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437515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49"/>
        <w:spacing w:after="0"/>
        <w:rPr>
          <w:sz w:val="20"/>
          <w:szCs w:val="20"/>
          <w:color w:val="auto"/>
        </w:rPr>
      </w:pPr>
      <w:r>
        <w:rPr>
          <w:rFonts w:ascii="Arial" w:cs="Arial" w:eastAsia="Arial" w:hAnsi="Arial"/>
          <w:sz w:val="25"/>
          <w:szCs w:val="25"/>
          <w:b w:val="1"/>
          <w:bCs w:val="1"/>
          <w:color w:val="auto"/>
        </w:rPr>
        <w:t>UNITED STATES</w:t>
      </w:r>
    </w:p>
    <w:p>
      <w:pPr>
        <w:spacing w:after="0" w:line="49" w:lineRule="exact"/>
        <w:rPr>
          <w:sz w:val="24"/>
          <w:szCs w:val="24"/>
          <w:color w:val="auto"/>
        </w:rPr>
      </w:pPr>
    </w:p>
    <w:p>
      <w:pPr>
        <w:jc w:val="center"/>
        <w:ind w:right="-4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49"/>
        <w:spacing w:after="0"/>
        <w:rPr>
          <w:sz w:val="20"/>
          <w:szCs w:val="20"/>
          <w:color w:val="auto"/>
        </w:rPr>
      </w:pPr>
      <w:r>
        <w:rPr>
          <w:rFonts w:ascii="Arial" w:cs="Arial" w:eastAsia="Arial" w:hAnsi="Arial"/>
          <w:sz w:val="14"/>
          <w:szCs w:val="14"/>
          <w:b w:val="1"/>
          <w:bCs w:val="1"/>
          <w:color w:val="auto"/>
        </w:rPr>
        <w:t>Washington, D.C. 20549</w:t>
      </w:r>
    </w:p>
    <w:p>
      <w:pPr>
        <w:spacing w:after="0" w:line="53" w:lineRule="exact"/>
        <w:rPr>
          <w:sz w:val="24"/>
          <w:szCs w:val="24"/>
          <w:color w:val="auto"/>
        </w:rPr>
      </w:pPr>
    </w:p>
    <w:p>
      <w:pPr>
        <w:jc w:val="center"/>
        <w:ind w:right="-49"/>
        <w:spacing w:after="0"/>
        <w:rPr>
          <w:sz w:val="20"/>
          <w:szCs w:val="20"/>
          <w:color w:val="auto"/>
        </w:rPr>
      </w:pPr>
      <w:r>
        <w:rPr>
          <w:rFonts w:ascii="Arial" w:cs="Arial" w:eastAsia="Arial" w:hAnsi="Arial"/>
          <w:sz w:val="25"/>
          <w:szCs w:val="25"/>
          <w:b w:val="1"/>
          <w:bCs w:val="1"/>
          <w:color w:val="auto"/>
        </w:rPr>
        <w:t>FORM 10-K</w:t>
      </w:r>
    </w:p>
    <w:p>
      <w:pPr>
        <w:spacing w:after="0" w:line="92" w:lineRule="exact"/>
        <w:rPr>
          <w:sz w:val="24"/>
          <w:szCs w:val="24"/>
          <w:color w:val="auto"/>
        </w:rPr>
      </w:pPr>
    </w:p>
    <w:p>
      <w:pPr>
        <w:ind w:left="3670" w:right="2440" w:hanging="3670"/>
        <w:spacing w:after="0" w:line="334" w:lineRule="auto"/>
        <w:tabs>
          <w:tab w:leader="none" w:pos="647"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December 31, 2025</w:t>
      </w:r>
    </w:p>
    <w:p>
      <w:pPr>
        <w:spacing w:after="0" w:line="1" w:lineRule="exact"/>
        <w:rPr>
          <w:sz w:val="24"/>
          <w:szCs w:val="24"/>
          <w:color w:val="auto"/>
        </w:rPr>
      </w:pPr>
    </w:p>
    <w:p>
      <w:pPr>
        <w:jc w:val="center"/>
        <w:ind w:right="-49"/>
        <w:spacing w:after="0"/>
        <w:rPr>
          <w:sz w:val="20"/>
          <w:szCs w:val="20"/>
          <w:color w:val="auto"/>
        </w:rPr>
      </w:pPr>
      <w:r>
        <w:rPr>
          <w:rFonts w:ascii="Arial" w:cs="Arial" w:eastAsia="Arial" w:hAnsi="Arial"/>
          <w:sz w:val="14"/>
          <w:szCs w:val="14"/>
          <w:color w:val="auto"/>
        </w:rPr>
        <w:t>OR</w:t>
      </w:r>
    </w:p>
    <w:p>
      <w:pPr>
        <w:spacing w:after="0" w:line="82" w:lineRule="exact"/>
        <w:rPr>
          <w:sz w:val="24"/>
          <w:szCs w:val="24"/>
          <w:color w:val="auto"/>
        </w:rPr>
      </w:pPr>
    </w:p>
    <w:p>
      <w:pPr>
        <w:ind w:left="3690" w:right="2160" w:hanging="3690"/>
        <w:spacing w:after="0" w:line="334" w:lineRule="auto"/>
        <w:tabs>
          <w:tab w:leader="none" w:pos="647"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 to_____</w:t>
      </w:r>
    </w:p>
    <w:p>
      <w:pPr>
        <w:ind w:left="3930"/>
        <w:spacing w:after="0"/>
        <w:rPr>
          <w:rFonts w:ascii="Arial" w:cs="Arial" w:eastAsia="Arial" w:hAnsi="Arial"/>
          <w:sz w:val="14"/>
          <w:szCs w:val="14"/>
          <w:color w:val="auto"/>
        </w:rPr>
      </w:pPr>
      <w:r>
        <w:rPr>
          <w:rFonts w:ascii="Arial" w:cs="Arial" w:eastAsia="Arial" w:hAnsi="Arial"/>
          <w:sz w:val="14"/>
          <w:szCs w:val="14"/>
          <w:color w:val="auto"/>
        </w:rPr>
        <w:t>Commission file number: 001-37908</w:t>
      </w:r>
    </w:p>
    <w:p>
      <w:pPr>
        <w:spacing w:after="0" w:line="67" w:lineRule="exact"/>
        <w:rPr>
          <w:sz w:val="24"/>
          <w:szCs w:val="24"/>
          <w:color w:val="auto"/>
        </w:rPr>
      </w:pPr>
    </w:p>
    <w:p>
      <w:pPr>
        <w:jc w:val="center"/>
        <w:ind w:right="-49"/>
        <w:spacing w:after="0"/>
        <w:rPr>
          <w:sz w:val="20"/>
          <w:szCs w:val="20"/>
          <w:color w:val="auto"/>
        </w:rPr>
      </w:pPr>
      <w:r>
        <w:rPr>
          <w:rFonts w:ascii="Arial" w:cs="Arial" w:eastAsia="Arial" w:hAnsi="Arial"/>
          <w:sz w:val="25"/>
          <w:szCs w:val="25"/>
          <w:b w:val="1"/>
          <w:bCs w:val="1"/>
          <w:color w:val="auto"/>
        </w:rPr>
        <w:t>CAMPING WORLD HOLDINGS, INC.</w:t>
      </w:r>
    </w:p>
    <w:p>
      <w:pPr>
        <w:spacing w:after="0" w:line="52" w:lineRule="exact"/>
        <w:rPr>
          <w:sz w:val="24"/>
          <w:szCs w:val="24"/>
          <w:color w:val="auto"/>
        </w:rPr>
      </w:pPr>
    </w:p>
    <w:p>
      <w:pPr>
        <w:jc w:val="center"/>
        <w:ind w:right="-4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190"/>
          </w:cols>
          <w:pgMar w:left="830" w:top="661" w:right="879" w:bottom="1440" w:gutter="0" w:footer="0" w:header="0"/>
        </w:sectPr>
      </w:pPr>
    </w:p>
    <w:p>
      <w:pPr>
        <w:spacing w:after="0" w:line="68" w:lineRule="exact"/>
        <w:rPr>
          <w:sz w:val="24"/>
          <w:szCs w:val="24"/>
          <w:color w:val="auto"/>
        </w:rPr>
      </w:pPr>
    </w:p>
    <w:p>
      <w:pPr>
        <w:jc w:val="center"/>
        <w:ind w:right="730"/>
        <w:spacing w:after="0"/>
        <w:rPr>
          <w:sz w:val="20"/>
          <w:szCs w:val="20"/>
          <w:color w:val="auto"/>
        </w:rPr>
      </w:pPr>
      <w:r>
        <w:rPr>
          <w:rFonts w:ascii="Arial" w:cs="Arial" w:eastAsia="Arial" w:hAnsi="Arial"/>
          <w:sz w:val="14"/>
          <w:szCs w:val="14"/>
          <w:b w:val="1"/>
          <w:bCs w:val="1"/>
          <w:color w:val="auto"/>
        </w:rPr>
        <w:t>Delaware</w:t>
      </w:r>
    </w:p>
    <w:p>
      <w:pPr>
        <w:spacing w:after="0" w:line="15" w:lineRule="exact"/>
        <w:rPr>
          <w:sz w:val="24"/>
          <w:szCs w:val="24"/>
          <w:color w:val="auto"/>
        </w:rPr>
      </w:pPr>
    </w:p>
    <w:p>
      <w:pPr>
        <w:jc w:val="center"/>
        <w:ind w:right="59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jc w:val="center"/>
        <w:ind w:right="1420"/>
        <w:spacing w:after="0"/>
        <w:rPr>
          <w:sz w:val="20"/>
          <w:szCs w:val="20"/>
          <w:color w:val="auto"/>
        </w:rPr>
      </w:pPr>
      <w:r>
        <w:rPr>
          <w:rFonts w:ascii="Arial" w:cs="Arial" w:eastAsia="Arial" w:hAnsi="Arial"/>
          <w:sz w:val="14"/>
          <w:szCs w:val="14"/>
          <w:b w:val="1"/>
          <w:bCs w:val="1"/>
          <w:color w:val="auto"/>
        </w:rPr>
        <w:t>81-1737145</w:t>
      </w:r>
    </w:p>
    <w:p>
      <w:pPr>
        <w:spacing w:after="0" w:line="15" w:lineRule="exact"/>
        <w:rPr>
          <w:sz w:val="24"/>
          <w:szCs w:val="24"/>
          <w:color w:val="auto"/>
        </w:rPr>
      </w:pPr>
    </w:p>
    <w:p>
      <w:pPr>
        <w:jc w:val="center"/>
        <w:ind w:right="1420"/>
        <w:spacing w:after="0"/>
        <w:rPr>
          <w:sz w:val="20"/>
          <w:szCs w:val="20"/>
          <w:color w:val="auto"/>
        </w:rPr>
      </w:pPr>
      <w:r>
        <w:rPr>
          <w:rFonts w:ascii="Arial" w:cs="Arial" w:eastAsia="Arial" w:hAnsi="Arial"/>
          <w:sz w:val="14"/>
          <w:szCs w:val="14"/>
          <w:color w:val="auto"/>
        </w:rPr>
        <w:t>(I.R.S. Employer Identification No.)</w:t>
      </w:r>
    </w:p>
    <w:p>
      <w:pPr>
        <w:spacing w:after="0" w:line="109" w:lineRule="exact"/>
        <w:rPr>
          <w:sz w:val="24"/>
          <w:szCs w:val="24"/>
          <w:color w:val="auto"/>
        </w:rPr>
      </w:pPr>
    </w:p>
    <w:p>
      <w:pPr>
        <w:sectPr>
          <w:pgSz w:w="11900" w:h="16838" w:orient="portrait"/>
          <w:cols w:equalWidth="0" w:num="2">
            <w:col w:w="5850" w:space="720"/>
            <w:col w:w="3620"/>
          </w:cols>
          <w:pgMar w:left="830" w:top="661" w:right="879" w:bottom="1440" w:gutter="0" w:footer="0" w:header="0"/>
          <w:type w:val="continuous"/>
        </w:sectPr>
      </w:pPr>
    </w:p>
    <w:p>
      <w:pPr>
        <w:ind w:left="4590"/>
        <w:spacing w:after="0"/>
        <w:rPr>
          <w:sz w:val="20"/>
          <w:szCs w:val="20"/>
          <w:color w:val="auto"/>
        </w:rPr>
      </w:pPr>
      <w:r>
        <w:rPr>
          <w:rFonts w:ascii="Arial" w:cs="Arial" w:eastAsia="Arial" w:hAnsi="Arial"/>
          <w:sz w:val="14"/>
          <w:szCs w:val="14"/>
          <w:b w:val="1"/>
          <w:bCs w:val="1"/>
          <w:color w:val="auto"/>
        </w:rPr>
        <w:t>2 Marriott Drive</w:t>
      </w:r>
    </w:p>
    <w:p>
      <w:pPr>
        <w:spacing w:after="0" w:line="29" w:lineRule="exact"/>
        <w:rPr>
          <w:sz w:val="24"/>
          <w:szCs w:val="24"/>
          <w:color w:val="auto"/>
        </w:rPr>
      </w:pPr>
    </w:p>
    <w:p>
      <w:pPr>
        <w:ind w:left="4370"/>
        <w:spacing w:after="0"/>
        <w:rPr>
          <w:sz w:val="20"/>
          <w:szCs w:val="20"/>
          <w:color w:val="auto"/>
        </w:rPr>
      </w:pPr>
      <w:r>
        <w:rPr>
          <w:rFonts w:ascii="Arial" w:cs="Arial" w:eastAsia="Arial" w:hAnsi="Arial"/>
          <w:sz w:val="14"/>
          <w:szCs w:val="14"/>
          <w:b w:val="1"/>
          <w:bCs w:val="1"/>
          <w:color w:val="auto"/>
        </w:rPr>
        <w:t>Lincolnshire, IL 60069</w:t>
      </w:r>
    </w:p>
    <w:p>
      <w:pPr>
        <w:spacing w:after="0" w:line="1" w:lineRule="exact"/>
        <w:rPr>
          <w:sz w:val="24"/>
          <w:szCs w:val="24"/>
          <w:color w:val="auto"/>
        </w:rPr>
      </w:pPr>
    </w:p>
    <w:p>
      <w:pPr>
        <w:ind w:left="3530"/>
        <w:spacing w:after="0"/>
        <w:rPr>
          <w:sz w:val="20"/>
          <w:szCs w:val="20"/>
          <w:color w:val="auto"/>
        </w:rPr>
      </w:pPr>
      <w:r>
        <w:rPr>
          <w:rFonts w:ascii="Arial" w:cs="Arial" w:eastAsia="Arial" w:hAnsi="Arial"/>
          <w:sz w:val="14"/>
          <w:szCs w:val="14"/>
          <w:color w:val="auto"/>
        </w:rPr>
        <w:t>(Address of principal executive offices) (Zip Code)</w:t>
      </w:r>
    </w:p>
    <w:p>
      <w:pPr>
        <w:spacing w:after="0" w:line="68" w:lineRule="exact"/>
        <w:rPr>
          <w:sz w:val="24"/>
          <w:szCs w:val="24"/>
          <w:color w:val="auto"/>
        </w:rPr>
      </w:pPr>
    </w:p>
    <w:p>
      <w:pPr>
        <w:ind w:left="4230"/>
        <w:spacing w:after="0"/>
        <w:rPr>
          <w:sz w:val="20"/>
          <w:szCs w:val="20"/>
          <w:color w:val="auto"/>
        </w:rPr>
      </w:pPr>
      <w:r>
        <w:rPr>
          <w:rFonts w:ascii="Arial" w:cs="Arial" w:eastAsia="Arial" w:hAnsi="Arial"/>
          <w:sz w:val="14"/>
          <w:szCs w:val="14"/>
          <w:b w:val="1"/>
          <w:bCs w:val="1"/>
          <w:color w:val="auto"/>
        </w:rPr>
        <w:t>Telephone: (847) 808-3000</w:t>
      </w:r>
    </w:p>
    <w:p>
      <w:pPr>
        <w:spacing w:after="0" w:line="29" w:lineRule="exact"/>
        <w:rPr>
          <w:sz w:val="24"/>
          <w:szCs w:val="24"/>
          <w:color w:val="auto"/>
        </w:rPr>
      </w:pPr>
    </w:p>
    <w:p>
      <w:pPr>
        <w:ind w:left="3430"/>
        <w:spacing w:after="0"/>
        <w:rPr>
          <w:sz w:val="20"/>
          <w:szCs w:val="20"/>
          <w:color w:val="auto"/>
        </w:rPr>
      </w:pPr>
      <w:r>
        <w:rPr>
          <w:rFonts w:ascii="Arial" w:cs="Arial" w:eastAsia="Arial" w:hAnsi="Arial"/>
          <w:sz w:val="14"/>
          <w:szCs w:val="14"/>
          <w:color w:val="auto"/>
        </w:rPr>
        <w:t>(Registrant’s telephone number, including area code)</w:t>
      </w:r>
    </w:p>
    <w:p>
      <w:pPr>
        <w:spacing w:after="0" w:line="82" w:lineRule="exact"/>
        <w:rPr>
          <w:sz w:val="24"/>
          <w:szCs w:val="24"/>
          <w:color w:val="auto"/>
        </w:rPr>
      </w:pPr>
    </w:p>
    <w:p>
      <w:pPr>
        <w:ind w:left="25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79" w:lineRule="exact"/>
        <w:rPr>
          <w:sz w:val="24"/>
          <w:szCs w:val="24"/>
          <w:color w:val="auto"/>
        </w:rPr>
      </w:pPr>
    </w:p>
    <w:tbl>
      <w:tblPr>
        <w:tblLayout w:type="fixed"/>
        <w:tblInd w:w="380" w:type="dxa"/>
        <w:tblCellMar>
          <w:top w:w="0" w:type="dxa"/>
          <w:left w:w="0" w:type="dxa"/>
          <w:bottom w:w="0" w:type="dxa"/>
          <w:right w:w="0" w:type="dxa"/>
        </w:tblCellMar>
      </w:tblPr>
      <w:tr>
        <w:trPr>
          <w:trHeight w:val="189"/>
        </w:trPr>
        <w:tc>
          <w:tcPr>
            <w:tcW w:w="3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46"/>
        </w:trPr>
        <w:tc>
          <w:tcPr>
            <w:tcW w:w="3080" w:type="dxa"/>
            <w:vAlign w:val="bottom"/>
            <w:tcBorders>
              <w:left w:val="single" w:sz="8" w:color="auto"/>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Class A Common Stock,</w:t>
            </w:r>
          </w:p>
        </w:tc>
        <w:tc>
          <w:tcPr>
            <w:tcW w:w="19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CWH</w:t>
            </w:r>
          </w:p>
        </w:tc>
        <w:tc>
          <w:tcPr>
            <w:tcW w:w="44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New York Stock Exchange</w:t>
            </w:r>
          </w:p>
        </w:tc>
      </w:tr>
      <w:tr>
        <w:trPr>
          <w:trHeight w:val="185"/>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$0.01 par value per share</w:t>
            </w:r>
          </w:p>
        </w:tc>
        <w:tc>
          <w:tcPr>
            <w:tcW w:w="1960" w:type="dxa"/>
            <w:vAlign w:val="bottom"/>
            <w:tcBorders>
              <w:bottom w:val="single" w:sz="8" w:color="auto"/>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16"/>
                <w:szCs w:val="16"/>
                <w:color w:val="auto"/>
              </w:rPr>
            </w:pPr>
          </w:p>
        </w:tc>
      </w:tr>
    </w:tbl>
    <w:p>
      <w:pPr>
        <w:spacing w:after="0" w:line="85" w:lineRule="exact"/>
        <w:rPr>
          <w:sz w:val="24"/>
          <w:szCs w:val="24"/>
          <w:color w:val="auto"/>
        </w:rPr>
      </w:pPr>
    </w:p>
    <w:p>
      <w:pPr>
        <w:ind w:left="25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51" w:lineRule="exact"/>
        <w:rPr>
          <w:sz w:val="24"/>
          <w:szCs w:val="24"/>
          <w:color w:val="auto"/>
        </w:rPr>
      </w:pPr>
    </w:p>
    <w:p>
      <w:pPr>
        <w:ind w:left="250"/>
        <w:spacing w:after="0" w:line="188" w:lineRule="exact"/>
        <w:tabs>
          <w:tab w:leader="none" w:pos="8310" w:val="left"/>
        </w:tabs>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69" w:lineRule="exact"/>
        <w:rPr>
          <w:sz w:val="24"/>
          <w:szCs w:val="24"/>
          <w:color w:val="auto"/>
        </w:rPr>
      </w:pPr>
    </w:p>
    <w:p>
      <w:pPr>
        <w:ind w:left="250"/>
        <w:spacing w:after="0" w:line="188" w:lineRule="exact"/>
        <w:tabs>
          <w:tab w:leader="none" w:pos="9030" w:val="left"/>
        </w:tabs>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100" w:lineRule="exact"/>
        <w:rPr>
          <w:sz w:val="24"/>
          <w:szCs w:val="24"/>
          <w:color w:val="auto"/>
        </w:rPr>
      </w:pPr>
    </w:p>
    <w:p>
      <w:pPr>
        <w:ind w:left="10" w:right="380" w:firstLine="247"/>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48" w:lineRule="exact"/>
        <w:rPr>
          <w:sz w:val="24"/>
          <w:szCs w:val="24"/>
          <w:color w:val="auto"/>
        </w:rPr>
      </w:pPr>
    </w:p>
    <w:p>
      <w:pPr>
        <w:ind w:left="10" w:right="400" w:firstLine="247"/>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48" w:lineRule="exact"/>
        <w:rPr>
          <w:sz w:val="24"/>
          <w:szCs w:val="24"/>
          <w:color w:val="auto"/>
        </w:rPr>
      </w:pPr>
    </w:p>
    <w:p>
      <w:pPr>
        <w:jc w:val="both"/>
        <w:ind w:left="10" w:right="240" w:firstLine="247"/>
        <w:spacing w:after="0" w:line="27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50"/>
        <w:spacing w:after="0" w:line="188" w:lineRule="exact"/>
        <w:tabs>
          <w:tab w:leader="none" w:pos="2130" w:val="left"/>
          <w:tab w:leader="none" w:pos="3790" w:val="left"/>
          <w:tab w:leader="none" w:pos="5690" w:val="left"/>
          <w:tab w:leader="none" w:pos="7990" w:val="left"/>
        </w:tabs>
        <w:rPr>
          <w:sz w:val="20"/>
          <w:szCs w:val="20"/>
          <w:color w:val="auto"/>
        </w:rPr>
      </w:pPr>
      <w:r>
        <w:rPr>
          <w:rFonts w:ascii="Arial" w:cs="Arial" w:eastAsia="Arial" w:hAnsi="Arial"/>
          <w:sz w:val="14"/>
          <w:szCs w:val="14"/>
          <w:color w:val="auto"/>
        </w:rPr>
        <w:t xml:space="preserve">Large accelerated filer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4"/>
          <w:szCs w:val="14"/>
          <w:color w:val="auto"/>
        </w:rPr>
        <w:t xml:space="preserve">Emerging growth company </w:t>
      </w:r>
      <w:r>
        <w:rPr>
          <w:rFonts w:ascii="Arial Unicode MS" w:cs="Arial Unicode MS" w:eastAsia="Arial Unicode MS" w:hAnsi="Arial Unicode MS"/>
          <w:sz w:val="14"/>
          <w:szCs w:val="14"/>
          <w:color w:val="auto"/>
        </w:rPr>
        <w:t>☐</w:t>
      </w:r>
    </w:p>
    <w:p>
      <w:pPr>
        <w:spacing w:after="0" w:line="100" w:lineRule="exact"/>
        <w:rPr>
          <w:sz w:val="24"/>
          <w:szCs w:val="24"/>
          <w:color w:val="auto"/>
        </w:rPr>
      </w:pPr>
    </w:p>
    <w:p>
      <w:pPr>
        <w:ind w:left="10" w:right="80" w:firstLine="247"/>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0" w:lineRule="exact"/>
        <w:rPr>
          <w:sz w:val="24"/>
          <w:szCs w:val="24"/>
          <w:color w:val="auto"/>
        </w:rPr>
      </w:pPr>
    </w:p>
    <w:p>
      <w:pPr>
        <w:ind w:left="10" w:firstLine="247"/>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20" w:lineRule="exact"/>
        <w:rPr>
          <w:sz w:val="24"/>
          <w:szCs w:val="24"/>
          <w:color w:val="auto"/>
        </w:rPr>
      </w:pPr>
    </w:p>
    <w:p>
      <w:pPr>
        <w:ind w:left="10" w:firstLine="247"/>
        <w:spacing w:after="0" w:line="193"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34" w:lineRule="exact"/>
        <w:rPr>
          <w:sz w:val="24"/>
          <w:szCs w:val="24"/>
          <w:color w:val="auto"/>
        </w:rPr>
      </w:pPr>
    </w:p>
    <w:p>
      <w:pPr>
        <w:ind w:left="10" w:right="40" w:firstLine="247"/>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4"/>
          <w:szCs w:val="14"/>
          <w:color w:val="auto"/>
        </w:rPr>
        <w:t>☐</w:t>
      </w:r>
    </w:p>
    <w:p>
      <w:pPr>
        <w:spacing w:after="0" w:line="2" w:lineRule="exact"/>
        <w:rPr>
          <w:sz w:val="24"/>
          <w:szCs w:val="24"/>
          <w:color w:val="auto"/>
        </w:rPr>
      </w:pPr>
    </w:p>
    <w:p>
      <w:pPr>
        <w:ind w:left="250"/>
        <w:spacing w:after="0" w:line="188" w:lineRule="exact"/>
        <w:tabs>
          <w:tab w:leader="none" w:pos="803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87" w:lineRule="exact"/>
        <w:rPr>
          <w:sz w:val="24"/>
          <w:szCs w:val="24"/>
          <w:color w:val="auto"/>
        </w:rPr>
      </w:pPr>
    </w:p>
    <w:p>
      <w:pPr>
        <w:ind w:left="250" w:right="120"/>
        <w:spacing w:after="0" w:line="273" w:lineRule="auto"/>
        <w:rPr>
          <w:sz w:val="20"/>
          <w:szCs w:val="20"/>
          <w:color w:val="auto"/>
        </w:rPr>
      </w:pPr>
      <w:r>
        <w:rPr>
          <w:rFonts w:ascii="Arial" w:cs="Arial" w:eastAsia="Arial" w:hAnsi="Arial"/>
          <w:sz w:val="14"/>
          <w:szCs w:val="14"/>
          <w:color w:val="auto"/>
        </w:rPr>
        <w:t>The aggregate market value of the voting and non-voting stock held by non-affiliates of the Registrant, as of June 30, 2025, the last business day of the Registrant’s most recently completed second fiscal quarter, was approximately $1,027,431,568. Solely for purposes of this disclosure, shares of common stock held by executive officers and directors of the Registrant as of such date have been excluded because such persons may be deemed to be affiliates.</w:t>
      </w:r>
    </w:p>
    <w:p>
      <w:pPr>
        <w:spacing w:after="0" w:line="18" w:lineRule="exact"/>
        <w:rPr>
          <w:sz w:val="24"/>
          <w:szCs w:val="24"/>
          <w:color w:val="auto"/>
        </w:rPr>
      </w:pPr>
    </w:p>
    <w:p>
      <w:pPr>
        <w:ind w:left="10" w:right="580" w:firstLine="247"/>
        <w:spacing w:after="0" w:line="285" w:lineRule="auto"/>
        <w:rPr>
          <w:sz w:val="20"/>
          <w:szCs w:val="20"/>
          <w:color w:val="auto"/>
        </w:rPr>
      </w:pPr>
      <w:r>
        <w:rPr>
          <w:rFonts w:ascii="Arial" w:cs="Arial" w:eastAsia="Arial" w:hAnsi="Arial"/>
          <w:sz w:val="14"/>
          <w:szCs w:val="14"/>
          <w:color w:val="auto"/>
        </w:rPr>
        <w:t>As of February 20, 2026, the registrant had 63,519,784 shares of Class A common stock outstanding, 39,466,964 shares of Class B common stock outstanding, and one share of Class C common stock outstanding.</w:t>
      </w:r>
    </w:p>
    <w:p>
      <w:pPr>
        <w:spacing w:after="0" w:line="23" w:lineRule="exact"/>
        <w:rPr>
          <w:sz w:val="24"/>
          <w:szCs w:val="24"/>
          <w:color w:val="auto"/>
        </w:rPr>
      </w:pPr>
    </w:p>
    <w:p>
      <w:pPr>
        <w:jc w:val="center"/>
        <w:ind w:right="-29"/>
        <w:spacing w:after="0"/>
        <w:rPr>
          <w:sz w:val="20"/>
          <w:szCs w:val="20"/>
          <w:color w:val="auto"/>
        </w:rPr>
      </w:pPr>
      <w:r>
        <w:rPr>
          <w:rFonts w:ascii="Arial" w:cs="Arial" w:eastAsia="Arial" w:hAnsi="Arial"/>
          <w:sz w:val="14"/>
          <w:szCs w:val="14"/>
          <w:b w:val="1"/>
          <w:bCs w:val="1"/>
          <w:color w:val="auto"/>
        </w:rPr>
        <w:t>DOCUMENTS INCORPORATED BY REFERENCE</w:t>
      </w:r>
    </w:p>
    <w:p>
      <w:pPr>
        <w:spacing w:after="0" w:line="82" w:lineRule="exact"/>
        <w:rPr>
          <w:sz w:val="24"/>
          <w:szCs w:val="24"/>
          <w:color w:val="auto"/>
        </w:rPr>
      </w:pPr>
    </w:p>
    <w:p>
      <w:pPr>
        <w:ind w:left="10" w:right="220" w:firstLine="247"/>
        <w:spacing w:after="0" w:line="305" w:lineRule="auto"/>
        <w:rPr>
          <w:sz w:val="20"/>
          <w:szCs w:val="20"/>
          <w:color w:val="auto"/>
        </w:rPr>
      </w:pPr>
      <w:r>
        <w:rPr>
          <w:rFonts w:ascii="Arial" w:cs="Arial" w:eastAsia="Arial" w:hAnsi="Arial"/>
          <w:sz w:val="14"/>
          <w:szCs w:val="14"/>
          <w:color w:val="auto"/>
        </w:rPr>
        <w:t>Portions of the registrant’s Proxy Statement relating to its 2026 Annual Meeting of Stockholders to be filed with the Securities and Exchange Commission within 120 days after the end of the fiscal year ended December 31, 2025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448945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-21590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29210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90"/>
          </w:cols>
          <w:pgMar w:left="830" w:top="661" w:right="87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80" w:type="dxa"/>
            <w:vAlign w:val="bottom"/>
            <w:gridSpan w:val="19"/>
          </w:tcPr>
          <w:p>
            <w:pPr>
              <w:jc w:val="center"/>
              <w:ind w:right="2320"/>
              <w:spacing w:after="0"/>
              <w:rPr>
                <w:sz w:val="20"/>
                <w:szCs w:val="20"/>
                <w:color w:val="auto"/>
              </w:rPr>
            </w:pPr>
            <w:r>
              <w:rPr>
                <w:rFonts w:ascii="Arial" w:cs="Arial" w:eastAsia="Arial" w:hAnsi="Arial"/>
                <w:sz w:val="18"/>
                <w:szCs w:val="18"/>
                <w:b w:val="1"/>
                <w:bCs w:val="1"/>
                <w:color w:val="auto"/>
                <w:w w:val="99"/>
              </w:rPr>
              <w:t>Camping World Holdings, Inc.</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140" w:type="dxa"/>
            <w:vAlign w:val="bottom"/>
            <w:gridSpan w:val="18"/>
          </w:tcPr>
          <w:p>
            <w:pPr>
              <w:jc w:val="center"/>
              <w:ind w:right="3060"/>
              <w:spacing w:after="0"/>
              <w:rPr>
                <w:sz w:val="20"/>
                <w:szCs w:val="20"/>
                <w:color w:val="auto"/>
              </w:rPr>
            </w:pPr>
            <w:r>
              <w:rPr>
                <w:rFonts w:ascii="Arial" w:cs="Arial" w:eastAsia="Arial" w:hAnsi="Arial"/>
                <w:sz w:val="18"/>
                <w:szCs w:val="18"/>
                <w:b w:val="1"/>
                <w:bCs w:val="1"/>
                <w:color w:val="auto"/>
                <w:w w:val="98"/>
              </w:rPr>
              <w:t>Form 10-K</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40" w:type="dxa"/>
            <w:vAlign w:val="bottom"/>
            <w:gridSpan w:val="23"/>
          </w:tcPr>
          <w:p>
            <w:pPr>
              <w:jc w:val="center"/>
              <w:ind w:right="1560"/>
              <w:spacing w:after="0"/>
              <w:rPr>
                <w:sz w:val="20"/>
                <w:szCs w:val="20"/>
                <w:color w:val="auto"/>
              </w:rPr>
            </w:pPr>
            <w:r>
              <w:rPr>
                <w:rFonts w:ascii="Arial" w:cs="Arial" w:eastAsia="Arial" w:hAnsi="Arial"/>
                <w:sz w:val="18"/>
                <w:szCs w:val="18"/>
                <w:b w:val="1"/>
                <w:bCs w:val="1"/>
                <w:color w:val="auto"/>
                <w:w w:val="99"/>
              </w:rPr>
              <w:t>For the Fiscal Year Ended December 31, 2025</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14"/>
          </w:tcPr>
          <w:p>
            <w:pPr>
              <w:jc w:val="center"/>
              <w:ind w:right="3320"/>
              <w:spacing w:after="0"/>
              <w:rPr>
                <w:sz w:val="20"/>
                <w:szCs w:val="20"/>
                <w:color w:val="auto"/>
              </w:rPr>
            </w:pPr>
            <w:r>
              <w:rPr>
                <w:rFonts w:ascii="Arial" w:cs="Arial" w:eastAsia="Arial" w:hAnsi="Arial"/>
                <w:sz w:val="18"/>
                <w:szCs w:val="18"/>
                <w:b w:val="1"/>
                <w:bCs w:val="1"/>
                <w:color w:val="auto"/>
              </w:rPr>
              <w:t>INDEX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gridSpan w:val="15"/>
            <w:vMerge w:val="restart"/>
          </w:tcPr>
          <w:p>
            <w:pPr>
              <w:jc w:val="center"/>
              <w:ind w:right="3280"/>
              <w:spacing w:after="0"/>
              <w:rPr>
                <w:sz w:val="20"/>
                <w:szCs w:val="20"/>
                <w:color w:val="auto"/>
              </w:rPr>
            </w:pPr>
            <w:r>
              <w:rPr>
                <w:rFonts w:ascii="Arial" w:cs="Arial" w:eastAsia="Arial" w:hAnsi="Arial"/>
                <w:sz w:val="18"/>
                <w:szCs w:val="18"/>
                <w:b w:val="1"/>
                <w:bCs w:val="1"/>
                <w:color w:val="0000EE"/>
                <w:w w:val="98"/>
              </w:rPr>
              <w:t>PART I</w:t>
            </w: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4"/>
        </w:trPr>
        <w:tc>
          <w:tcPr>
            <w:tcW w:w="500" w:type="dxa"/>
            <w:vAlign w:val="bottom"/>
            <w:vMerge w:val="restart"/>
          </w:tcPr>
          <w:p>
            <w:pPr>
              <w:spacing w:after="0"/>
              <w:rPr>
                <w:sz w:val="20"/>
                <w:szCs w:val="20"/>
                <w:color w:val="auto"/>
              </w:rPr>
            </w:pPr>
            <w:r>
              <w:rPr>
                <w:rFonts w:ascii="Arial" w:cs="Arial" w:eastAsia="Arial" w:hAnsi="Arial"/>
                <w:sz w:val="18"/>
                <w:szCs w:val="18"/>
                <w:color w:val="0000EE"/>
                <w:w w:val="95"/>
              </w:rPr>
              <w:t>Item 1</w:t>
            </w:r>
          </w:p>
        </w:tc>
        <w:tc>
          <w:tcPr>
            <w:tcW w:w="220" w:type="dxa"/>
            <w:vAlign w:val="bottom"/>
            <w:gridSpan w:val="5"/>
            <w:vMerge w:val="restart"/>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00" w:type="dxa"/>
            <w:vAlign w:val="bottom"/>
            <w:gridSpan w:val="15"/>
            <w:vMerge w:val="continue"/>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vMerge w:val="continue"/>
          </w:tcPr>
          <w:p>
            <w:pPr>
              <w:spacing w:after="0"/>
              <w:rPr>
                <w:sz w:val="17"/>
                <w:szCs w:val="17"/>
                <w:color w:val="auto"/>
              </w:rPr>
            </w:pPr>
          </w:p>
        </w:tc>
        <w:tc>
          <w:tcPr>
            <w:tcW w:w="220" w:type="dxa"/>
            <w:vAlign w:val="bottom"/>
            <w:gridSpan w:val="5"/>
            <w:vMerge w:val="continue"/>
          </w:tcPr>
          <w:p>
            <w:pPr>
              <w:spacing w:after="0"/>
              <w:rPr>
                <w:sz w:val="17"/>
                <w:szCs w:val="17"/>
                <w:color w:val="auto"/>
              </w:rPr>
            </w:pPr>
          </w:p>
        </w:tc>
        <w:tc>
          <w:tcPr>
            <w:tcW w:w="7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8"/>
              </w:rPr>
              <w:t>Business</w:t>
            </w:r>
          </w:p>
        </w:tc>
        <w:tc>
          <w:tcPr>
            <w:tcW w:w="2700" w:type="dxa"/>
            <w:vAlign w:val="bottom"/>
            <w:gridSpan w:val="17"/>
          </w:tcPr>
          <w:p>
            <w:pPr>
              <w:spacing w:after="0"/>
              <w:rPr>
                <w:sz w:val="17"/>
                <w:szCs w:val="17"/>
                <w:color w:val="auto"/>
              </w:rPr>
            </w:pPr>
          </w:p>
        </w:tc>
        <w:tc>
          <w:tcPr>
            <w:tcW w:w="580" w:type="dxa"/>
            <w:vAlign w:val="bottom"/>
            <w:tcBorders>
              <w:top w:val="single" w:sz="8" w:color="0000EE"/>
            </w:tcBorders>
            <w:gridSpan w:val="4"/>
          </w:tcPr>
          <w:p>
            <w:pPr>
              <w:spacing w:after="0"/>
              <w:rPr>
                <w:sz w:val="17"/>
                <w:szCs w:val="17"/>
                <w:color w:val="auto"/>
              </w:rPr>
            </w:pPr>
          </w:p>
        </w:tc>
        <w:tc>
          <w:tcPr>
            <w:tcW w:w="3300" w:type="dxa"/>
            <w:vAlign w:val="bottom"/>
            <w:gridSpan w:val="10"/>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gridSpan w:val="4"/>
          </w:tcPr>
          <w:p>
            <w:pPr>
              <w:spacing w:after="0" w:line="196" w:lineRule="exact"/>
              <w:rPr>
                <w:sz w:val="20"/>
                <w:szCs w:val="20"/>
                <w:color w:val="auto"/>
              </w:rPr>
            </w:pPr>
            <w:r>
              <w:rPr>
                <w:rFonts w:ascii="Arial" w:cs="Arial" w:eastAsia="Arial" w:hAnsi="Arial"/>
                <w:sz w:val="18"/>
                <w:szCs w:val="18"/>
                <w:color w:val="0000EE"/>
                <w:w w:val="96"/>
              </w:rPr>
              <w:t>Item 1A</w:t>
            </w:r>
          </w:p>
        </w:tc>
        <w:tc>
          <w:tcPr>
            <w:tcW w:w="80" w:type="dxa"/>
            <w:vAlign w:val="bottom"/>
            <w:gridSpan w:val="2"/>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Risk Factors</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Item 1B</w:t>
            </w:r>
          </w:p>
        </w:tc>
        <w:tc>
          <w:tcPr>
            <w:tcW w:w="80" w:type="dxa"/>
            <w:vAlign w:val="bottom"/>
            <w:gridSpan w:val="2"/>
          </w:tcPr>
          <w:p>
            <w:pPr>
              <w:spacing w:after="0"/>
              <w:rPr>
                <w:sz w:val="17"/>
                <w:szCs w:val="17"/>
                <w:color w:val="auto"/>
              </w:rPr>
            </w:pPr>
          </w:p>
        </w:tc>
        <w:tc>
          <w:tcPr>
            <w:tcW w:w="22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9"/>
              </w:rPr>
              <w:t>Unresolved Staff Comments</w:t>
            </w:r>
          </w:p>
        </w:tc>
        <w:tc>
          <w:tcPr>
            <w:tcW w:w="5060" w:type="dxa"/>
            <w:vAlign w:val="bottom"/>
            <w:gridSpan w:val="20"/>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gridSpan w:val="5"/>
          </w:tcPr>
          <w:p>
            <w:pPr>
              <w:spacing w:after="0" w:line="196" w:lineRule="exact"/>
              <w:rPr>
                <w:sz w:val="20"/>
                <w:szCs w:val="20"/>
                <w:color w:val="auto"/>
              </w:rPr>
            </w:pPr>
            <w:r>
              <w:rPr>
                <w:rFonts w:ascii="Arial" w:cs="Arial" w:eastAsia="Arial" w:hAnsi="Arial"/>
                <w:sz w:val="18"/>
                <w:szCs w:val="18"/>
                <w:color w:val="0000EE"/>
              </w:rPr>
              <w:t>Item 1C</w:t>
            </w:r>
          </w:p>
        </w:tc>
        <w:tc>
          <w:tcPr>
            <w:tcW w:w="60" w:type="dxa"/>
            <w:vAlign w:val="bottom"/>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Cybersecurity</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5"/>
              </w:rPr>
              <w:t>Item 2</w:t>
            </w:r>
          </w:p>
        </w:tc>
        <w:tc>
          <w:tcPr>
            <w:tcW w:w="16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Properties</w:t>
            </w:r>
          </w:p>
        </w:tc>
        <w:tc>
          <w:tcPr>
            <w:tcW w:w="6220" w:type="dxa"/>
            <w:vAlign w:val="bottom"/>
            <w:gridSpan w:val="27"/>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3</w:t>
            </w:r>
          </w:p>
        </w:tc>
        <w:tc>
          <w:tcPr>
            <w:tcW w:w="220" w:type="dxa"/>
            <w:vAlign w:val="bottom"/>
            <w:gridSpan w:val="5"/>
          </w:tcPr>
          <w:p>
            <w:pPr>
              <w:spacing w:after="0"/>
              <w:rPr>
                <w:sz w:val="17"/>
                <w:szCs w:val="17"/>
                <w:color w:val="auto"/>
              </w:rPr>
            </w:pPr>
          </w:p>
        </w:tc>
        <w:tc>
          <w:tcPr>
            <w:tcW w:w="15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9"/>
              </w:rPr>
              <w:t>Legal Proceedings</w:t>
            </w:r>
          </w:p>
        </w:tc>
        <w:tc>
          <w:tcPr>
            <w:tcW w:w="5820" w:type="dxa"/>
            <w:vAlign w:val="bottom"/>
            <w:gridSpan w:val="25"/>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4</w:t>
            </w:r>
          </w:p>
        </w:tc>
        <w:tc>
          <w:tcPr>
            <w:tcW w:w="220" w:type="dxa"/>
            <w:vAlign w:val="bottom"/>
            <w:gridSpan w:val="5"/>
          </w:tcPr>
          <w:p>
            <w:pPr>
              <w:spacing w:after="0"/>
              <w:rPr>
                <w:sz w:val="17"/>
                <w:szCs w:val="17"/>
                <w:color w:val="auto"/>
              </w:rPr>
            </w:pPr>
          </w:p>
        </w:tc>
        <w:tc>
          <w:tcPr>
            <w:tcW w:w="194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9"/>
              </w:rPr>
              <w:t>Mine Safety Disclosures</w:t>
            </w:r>
          </w:p>
        </w:tc>
        <w:tc>
          <w:tcPr>
            <w:tcW w:w="5380" w:type="dxa"/>
            <w:vAlign w:val="bottom"/>
            <w:gridSpan w:val="2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12"/>
        </w:trPr>
        <w:tc>
          <w:tcPr>
            <w:tcW w:w="500" w:type="dxa"/>
            <w:vAlign w:val="bottom"/>
            <w:vMerge w:val="restart"/>
          </w:tcPr>
          <w:p>
            <w:pPr>
              <w:spacing w:after="0"/>
              <w:rPr>
                <w:sz w:val="20"/>
                <w:szCs w:val="20"/>
                <w:color w:val="auto"/>
              </w:rPr>
            </w:pPr>
            <w:r>
              <w:rPr>
                <w:rFonts w:ascii="Arial" w:cs="Arial" w:eastAsia="Arial" w:hAnsi="Arial"/>
                <w:sz w:val="18"/>
                <w:szCs w:val="18"/>
                <w:color w:val="0000EE"/>
                <w:w w:val="95"/>
              </w:rPr>
              <w:t>Item 5</w:t>
            </w:r>
          </w:p>
        </w:tc>
        <w:tc>
          <w:tcPr>
            <w:tcW w:w="220" w:type="dxa"/>
            <w:vAlign w:val="bottom"/>
            <w:gridSpan w:val="5"/>
            <w:vMerge w:val="restart"/>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Borders>
              <w:bottom w:val="single" w:sz="8" w:color="0000EE"/>
            </w:tcBorders>
            <w:gridSpan w:val="6"/>
          </w:tcPr>
          <w:p>
            <w:pPr>
              <w:jc w:val="center"/>
              <w:spacing w:after="0"/>
              <w:rPr>
                <w:sz w:val="20"/>
                <w:szCs w:val="20"/>
                <w:color w:val="auto"/>
              </w:rPr>
            </w:pPr>
            <w:r>
              <w:rPr>
                <w:rFonts w:ascii="Arial" w:cs="Arial" w:eastAsia="Arial" w:hAnsi="Arial"/>
                <w:sz w:val="18"/>
                <w:szCs w:val="18"/>
                <w:b w:val="1"/>
                <w:bCs w:val="1"/>
                <w:color w:val="0000EE"/>
                <w:w w:val="96"/>
              </w:rPr>
              <w:t>PART II</w:t>
            </w:r>
          </w:p>
        </w:tc>
        <w:tc>
          <w:tcPr>
            <w:tcW w:w="3280" w:type="dxa"/>
            <w:vAlign w:val="bottom"/>
            <w:gridSpan w:val="9"/>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vMerge w:val="continue"/>
          </w:tcPr>
          <w:p>
            <w:pPr>
              <w:spacing w:after="0"/>
              <w:rPr>
                <w:sz w:val="17"/>
                <w:szCs w:val="17"/>
                <w:color w:val="auto"/>
              </w:rPr>
            </w:pPr>
          </w:p>
        </w:tc>
        <w:tc>
          <w:tcPr>
            <w:tcW w:w="220" w:type="dxa"/>
            <w:vAlign w:val="bottom"/>
            <w:gridSpan w:val="5"/>
            <w:vMerge w:val="continue"/>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Market for Registrant’s Common Equity, Related Stockholder Matters and Issuer</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380" w:type="dxa"/>
            <w:vAlign w:val="bottom"/>
            <w:tcBorders>
              <w:top w:val="single" w:sz="8" w:color="0000EE"/>
            </w:tcBorders>
            <w:gridSpan w:val="30"/>
          </w:tcPr>
          <w:p>
            <w:pPr>
              <w:spacing w:after="0" w:line="196" w:lineRule="exact"/>
              <w:rPr>
                <w:sz w:val="20"/>
                <w:szCs w:val="20"/>
                <w:color w:val="auto"/>
              </w:rPr>
            </w:pPr>
            <w:r>
              <w:rPr>
                <w:rFonts w:ascii="Arial" w:cs="Arial" w:eastAsia="Arial" w:hAnsi="Arial"/>
                <w:sz w:val="18"/>
                <w:szCs w:val="18"/>
                <w:color w:val="0000EE"/>
              </w:rPr>
              <w:t>Purchases of Equity Securities</w:t>
            </w:r>
          </w:p>
        </w:tc>
        <w:tc>
          <w:tcPr>
            <w:tcW w:w="940" w:type="dxa"/>
            <w:vAlign w:val="bottom"/>
            <w:gridSpan w:val="3"/>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6</w:t>
            </w:r>
          </w:p>
        </w:tc>
        <w:tc>
          <w:tcPr>
            <w:tcW w:w="220" w:type="dxa"/>
            <w:vAlign w:val="bottom"/>
            <w:gridSpan w:val="5"/>
          </w:tcPr>
          <w:p>
            <w:pPr>
              <w:spacing w:after="0"/>
              <w:rPr>
                <w:sz w:val="17"/>
                <w:szCs w:val="17"/>
                <w:color w:val="auto"/>
              </w:rPr>
            </w:pPr>
          </w:p>
        </w:tc>
        <w:tc>
          <w:tcPr>
            <w:tcW w:w="8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8"/>
              </w:rPr>
              <w:t>[Reserved]</w:t>
            </w:r>
          </w:p>
        </w:tc>
        <w:tc>
          <w:tcPr>
            <w:tcW w:w="1560" w:type="dxa"/>
            <w:vAlign w:val="bottom"/>
            <w:tcBorders>
              <w:top w:val="single" w:sz="8" w:color="0000EE"/>
            </w:tcBorders>
            <w:gridSpan w:val="10"/>
          </w:tcPr>
          <w:p>
            <w:pPr>
              <w:spacing w:after="0"/>
              <w:rPr>
                <w:sz w:val="17"/>
                <w:szCs w:val="17"/>
                <w:color w:val="auto"/>
              </w:rPr>
            </w:pPr>
          </w:p>
        </w:tc>
        <w:tc>
          <w:tcPr>
            <w:tcW w:w="4880" w:type="dxa"/>
            <w:vAlign w:val="bottom"/>
            <w:gridSpan w:val="19"/>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Arial" w:cs="Arial" w:eastAsia="Arial" w:hAnsi="Arial"/>
                <w:sz w:val="18"/>
                <w:szCs w:val="18"/>
                <w:color w:val="0000EE"/>
                <w:w w:val="95"/>
              </w:rPr>
              <w:t>Item 7</w:t>
            </w:r>
          </w:p>
        </w:tc>
        <w:tc>
          <w:tcPr>
            <w:tcW w:w="220" w:type="dxa"/>
            <w:vAlign w:val="bottom"/>
            <w:gridSpan w:val="5"/>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Item 7A</w:t>
            </w:r>
          </w:p>
        </w:tc>
        <w:tc>
          <w:tcPr>
            <w:tcW w:w="80" w:type="dxa"/>
            <w:vAlign w:val="bottom"/>
            <w:gridSpan w:val="2"/>
          </w:tcPr>
          <w:p>
            <w:pPr>
              <w:spacing w:after="0"/>
              <w:rPr>
                <w:sz w:val="17"/>
                <w:szCs w:val="17"/>
                <w:color w:val="auto"/>
              </w:rPr>
            </w:pPr>
          </w:p>
        </w:tc>
        <w:tc>
          <w:tcPr>
            <w:tcW w:w="4720" w:type="dxa"/>
            <w:vAlign w:val="bottom"/>
            <w:tcBorders>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9"/>
              </w:rPr>
              <w:t>Quantitative and Qualitative Disclosures About Market Risk</w:t>
            </w:r>
          </w:p>
        </w:tc>
        <w:tc>
          <w:tcPr>
            <w:tcW w:w="2600" w:type="dxa"/>
            <w:vAlign w:val="bottom"/>
            <w:gridSpan w:val="7"/>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Arial" w:cs="Arial" w:eastAsia="Arial" w:hAnsi="Arial"/>
                <w:sz w:val="18"/>
                <w:szCs w:val="18"/>
                <w:color w:val="0000EE"/>
                <w:w w:val="95"/>
              </w:rPr>
              <w:t>Item 8</w:t>
            </w:r>
          </w:p>
        </w:tc>
        <w:tc>
          <w:tcPr>
            <w:tcW w:w="220" w:type="dxa"/>
            <w:vAlign w:val="bottom"/>
            <w:gridSpan w:val="5"/>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Financial Statements and Supplementary Data</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9</w:t>
            </w:r>
          </w:p>
        </w:tc>
        <w:tc>
          <w:tcPr>
            <w:tcW w:w="220" w:type="dxa"/>
            <w:vAlign w:val="bottom"/>
            <w:gridSpan w:val="5"/>
          </w:tcPr>
          <w:p>
            <w:pPr>
              <w:spacing w:after="0"/>
              <w:rPr>
                <w:sz w:val="17"/>
                <w:szCs w:val="17"/>
                <w:color w:val="auto"/>
              </w:rPr>
            </w:pPr>
          </w:p>
        </w:tc>
        <w:tc>
          <w:tcPr>
            <w:tcW w:w="7140" w:type="dxa"/>
            <w:vAlign w:val="bottom"/>
            <w:tcBorders>
              <w:bottom w:val="single" w:sz="8" w:color="0000EE"/>
            </w:tcBorders>
            <w:gridSpan w:val="32"/>
          </w:tcPr>
          <w:p>
            <w:pPr>
              <w:spacing w:after="0" w:line="196" w:lineRule="exact"/>
              <w:rPr>
                <w:sz w:val="20"/>
                <w:szCs w:val="20"/>
                <w:color w:val="auto"/>
              </w:rPr>
            </w:pPr>
            <w:r>
              <w:rPr>
                <w:rFonts w:ascii="Arial" w:cs="Arial" w:eastAsia="Arial" w:hAnsi="Arial"/>
                <w:sz w:val="18"/>
                <w:szCs w:val="18"/>
                <w:color w:val="0000EE"/>
                <w:w w:val="99"/>
              </w:rPr>
              <w:t>Changes in and Disagreements with Accountants on Accounting and Financial Disclosure</w:t>
            </w: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Item 9A</w:t>
            </w:r>
          </w:p>
        </w:tc>
        <w:tc>
          <w:tcPr>
            <w:tcW w:w="80" w:type="dxa"/>
            <w:vAlign w:val="bottom"/>
            <w:gridSpan w:val="2"/>
          </w:tcPr>
          <w:p>
            <w:pPr>
              <w:spacing w:after="0"/>
              <w:rPr>
                <w:sz w:val="17"/>
                <w:szCs w:val="17"/>
                <w:color w:val="auto"/>
              </w:rPr>
            </w:pPr>
          </w:p>
        </w:tc>
        <w:tc>
          <w:tcPr>
            <w:tcW w:w="200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9"/>
              </w:rPr>
              <w:t>Controls and Procedures</w:t>
            </w:r>
          </w:p>
        </w:tc>
        <w:tc>
          <w:tcPr>
            <w:tcW w:w="5320" w:type="dxa"/>
            <w:vAlign w:val="bottom"/>
            <w:gridSpan w:val="21"/>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96"/>
        </w:trPr>
        <w:tc>
          <w:tcPr>
            <w:tcW w:w="640" w:type="dxa"/>
            <w:vAlign w:val="bottom"/>
            <w:gridSpan w:val="4"/>
          </w:tcPr>
          <w:p>
            <w:pPr>
              <w:spacing w:after="0" w:line="196" w:lineRule="exact"/>
              <w:rPr>
                <w:sz w:val="20"/>
                <w:szCs w:val="20"/>
                <w:color w:val="auto"/>
              </w:rPr>
            </w:pPr>
            <w:r>
              <w:rPr>
                <w:rFonts w:ascii="Arial" w:cs="Arial" w:eastAsia="Arial" w:hAnsi="Arial"/>
                <w:sz w:val="18"/>
                <w:szCs w:val="18"/>
                <w:color w:val="0000EE"/>
                <w:w w:val="96"/>
              </w:rPr>
              <w:t>Item 9B</w:t>
            </w:r>
          </w:p>
        </w:tc>
        <w:tc>
          <w:tcPr>
            <w:tcW w:w="80" w:type="dxa"/>
            <w:vAlign w:val="bottom"/>
            <w:gridSpan w:val="2"/>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Other Information</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sz w:val="20"/>
                <w:szCs w:val="20"/>
                <w:color w:val="auto"/>
              </w:rPr>
            </w:pPr>
            <w:r>
              <w:rPr>
                <w:rFonts w:ascii="Arial" w:cs="Arial" w:eastAsia="Arial" w:hAnsi="Arial"/>
                <w:sz w:val="18"/>
                <w:szCs w:val="18"/>
                <w:color w:val="0000EE"/>
                <w:w w:val="95"/>
              </w:rPr>
              <w:t>Item 9C</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600" w:type="dxa"/>
            <w:vAlign w:val="bottom"/>
            <w:tcBorders>
              <w:top w:val="single" w:sz="8" w:color="0000EE"/>
              <w:bottom w:val="single" w:sz="8" w:color="0000EE"/>
            </w:tcBorders>
            <w:gridSpan w:val="3"/>
            <w:vMerge w:val="restart"/>
          </w:tcPr>
          <w:p>
            <w:pPr>
              <w:spacing w:after="0"/>
              <w:rPr>
                <w:sz w:val="20"/>
                <w:szCs w:val="20"/>
                <w:color w:val="auto"/>
              </w:rPr>
            </w:pPr>
            <w:r>
              <w:rPr>
                <w:rFonts w:ascii="Arial" w:cs="Arial" w:eastAsia="Arial" w:hAnsi="Arial"/>
                <w:sz w:val="18"/>
                <w:szCs w:val="18"/>
                <w:color w:val="0000EE"/>
                <w:w w:val="96"/>
              </w:rPr>
              <w:t>Item 10</w:t>
            </w:r>
          </w:p>
        </w:tc>
        <w:tc>
          <w:tcPr>
            <w:tcW w:w="60" w:type="dxa"/>
            <w:vAlign w:val="bottom"/>
            <w:tcBorders>
              <w:top w:val="single" w:sz="8" w:color="0000EE"/>
              <w:bottom w:val="single" w:sz="8" w:color="0000EE"/>
            </w:tcBorders>
            <w:gridSpan w:val="2"/>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b w:val="1"/>
                <w:bCs w:val="1"/>
                <w:color w:val="0000EE"/>
                <w:w w:val="95"/>
              </w:rPr>
              <w:t>PART III</w:t>
            </w:r>
          </w:p>
        </w:tc>
        <w:tc>
          <w:tcPr>
            <w:tcW w:w="1420" w:type="dxa"/>
            <w:vAlign w:val="bottom"/>
            <w:tcBorders>
              <w:top w:val="single" w:sz="8" w:color="0000EE"/>
            </w:tcBorders>
            <w:gridSpan w:val="5"/>
          </w:tcPr>
          <w:p>
            <w:pPr>
              <w:spacing w:after="0"/>
              <w:rPr>
                <w:sz w:val="24"/>
                <w:szCs w:val="24"/>
                <w:color w:val="auto"/>
              </w:rPr>
            </w:pPr>
          </w:p>
        </w:tc>
        <w:tc>
          <w:tcPr>
            <w:tcW w:w="1920" w:type="dxa"/>
            <w:vAlign w:val="bottom"/>
            <w:gridSpan w:val="6"/>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96"/>
        </w:trPr>
        <w:tc>
          <w:tcPr>
            <w:tcW w:w="600" w:type="dxa"/>
            <w:vAlign w:val="bottom"/>
            <w:gridSpan w:val="3"/>
            <w:vMerge w:val="continue"/>
          </w:tcPr>
          <w:p>
            <w:pPr>
              <w:spacing w:after="0"/>
              <w:rPr>
                <w:sz w:val="17"/>
                <w:szCs w:val="17"/>
                <w:color w:val="auto"/>
              </w:rPr>
            </w:pPr>
          </w:p>
        </w:tc>
        <w:tc>
          <w:tcPr>
            <w:tcW w:w="60" w:type="dxa"/>
            <w:vAlign w:val="bottom"/>
            <w:gridSpan w:val="2"/>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Directors, Executive Officers and Corporate Governance</w:t>
            </w: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Item 11</w:t>
            </w:r>
          </w:p>
        </w:tc>
        <w:tc>
          <w:tcPr>
            <w:tcW w:w="120" w:type="dxa"/>
            <w:vAlign w:val="bottom"/>
            <w:gridSpan w:val="3"/>
          </w:tcPr>
          <w:p>
            <w:pPr>
              <w:spacing w:after="0"/>
              <w:rPr>
                <w:sz w:val="17"/>
                <w:szCs w:val="17"/>
                <w:color w:val="auto"/>
              </w:rPr>
            </w:pPr>
          </w:p>
        </w:tc>
        <w:tc>
          <w:tcPr>
            <w:tcW w:w="4500" w:type="dxa"/>
            <w:vAlign w:val="bottom"/>
            <w:tcBorders>
              <w:top w:val="single" w:sz="8" w:color="0000EE"/>
            </w:tcBorders>
            <w:gridSpan w:val="25"/>
          </w:tcPr>
          <w:p>
            <w:pPr>
              <w:spacing w:after="0" w:line="196" w:lineRule="exact"/>
              <w:rPr>
                <w:sz w:val="20"/>
                <w:szCs w:val="20"/>
                <w:color w:val="auto"/>
              </w:rPr>
            </w:pPr>
            <w:r>
              <w:rPr>
                <w:rFonts w:ascii="Arial" w:cs="Arial" w:eastAsia="Arial" w:hAnsi="Arial"/>
                <w:sz w:val="18"/>
                <w:szCs w:val="18"/>
                <w:color w:val="0000EE"/>
              </w:rPr>
              <w:t>Executive Compensation</w:t>
            </w:r>
          </w:p>
        </w:tc>
        <w:tc>
          <w:tcPr>
            <w:tcW w:w="2820" w:type="dxa"/>
            <w:vAlign w:val="bottom"/>
            <w:gridSpan w:val="8"/>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Arial" w:cs="Arial" w:eastAsia="Arial" w:hAnsi="Arial"/>
                <w:sz w:val="18"/>
                <w:szCs w:val="18"/>
                <w:color w:val="0000EE"/>
                <w:w w:val="96"/>
              </w:rPr>
              <w:t>Item 12</w:t>
            </w:r>
          </w:p>
        </w:tc>
        <w:tc>
          <w:tcPr>
            <w:tcW w:w="120" w:type="dxa"/>
            <w:vAlign w:val="bottom"/>
            <w:gridSpan w:val="3"/>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Security Ownership of Certain Beneficial Owners and Management and Related</w:t>
            </w: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vMerge w:val="restart"/>
          </w:tcPr>
          <w:p>
            <w:pPr>
              <w:spacing w:after="0"/>
              <w:rPr>
                <w:sz w:val="20"/>
                <w:szCs w:val="20"/>
                <w:color w:val="auto"/>
              </w:rPr>
            </w:pPr>
            <w:r>
              <w:rPr>
                <w:rFonts w:ascii="Arial" w:cs="Arial" w:eastAsia="Arial" w:hAnsi="Arial"/>
                <w:sz w:val="18"/>
                <w:szCs w:val="18"/>
                <w:color w:val="0000EE"/>
                <w:w w:val="96"/>
              </w:rPr>
              <w:t>Item 13</w:t>
            </w:r>
          </w:p>
        </w:tc>
        <w:tc>
          <w:tcPr>
            <w:tcW w:w="120" w:type="dxa"/>
            <w:vAlign w:val="bottom"/>
            <w:gridSpan w:val="3"/>
            <w:vMerge w:val="restart"/>
          </w:tcPr>
          <w:p>
            <w:pPr>
              <w:spacing w:after="0"/>
              <w:rPr>
                <w:sz w:val="17"/>
                <w:szCs w:val="17"/>
                <w:color w:val="auto"/>
              </w:rPr>
            </w:pPr>
          </w:p>
        </w:tc>
        <w:tc>
          <w:tcPr>
            <w:tcW w:w="6360" w:type="dxa"/>
            <w:vAlign w:val="bottom"/>
            <w:tcBorders>
              <w:top w:val="single" w:sz="8" w:color="0000EE"/>
            </w:tcBorders>
            <w:gridSpan w:val="29"/>
          </w:tcPr>
          <w:p>
            <w:pPr>
              <w:spacing w:after="0" w:line="196" w:lineRule="exact"/>
              <w:rPr>
                <w:sz w:val="20"/>
                <w:szCs w:val="20"/>
                <w:color w:val="auto"/>
              </w:rPr>
            </w:pPr>
            <w:r>
              <w:rPr>
                <w:rFonts w:ascii="Arial" w:cs="Arial" w:eastAsia="Arial" w:hAnsi="Arial"/>
                <w:sz w:val="18"/>
                <w:szCs w:val="18"/>
                <w:color w:val="0000EE"/>
              </w:rPr>
              <w:t>Stockholder Matters</w:t>
            </w:r>
          </w:p>
        </w:tc>
        <w:tc>
          <w:tcPr>
            <w:tcW w:w="960" w:type="dxa"/>
            <w:vAlign w:val="bottom"/>
            <w:gridSpan w:val="4"/>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600" w:type="dxa"/>
            <w:vAlign w:val="bottom"/>
            <w:gridSpan w:val="3"/>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3"/>
            <w:vMerge w:val="continue"/>
          </w:tcPr>
          <w:p>
            <w:pPr>
              <w:spacing w:after="0"/>
              <w:rPr>
                <w:sz w:val="17"/>
                <w:szCs w:val="17"/>
                <w:color w:val="auto"/>
              </w:rPr>
            </w:pPr>
          </w:p>
        </w:tc>
        <w:tc>
          <w:tcPr>
            <w:tcW w:w="120" w:type="dxa"/>
            <w:vAlign w:val="bottom"/>
            <w:gridSpan w:val="3"/>
            <w:vMerge w:val="continue"/>
          </w:tcPr>
          <w:p>
            <w:pPr>
              <w:spacing w:after="0"/>
              <w:rPr>
                <w:sz w:val="17"/>
                <w:szCs w:val="17"/>
                <w:color w:val="auto"/>
              </w:rPr>
            </w:pPr>
          </w:p>
        </w:tc>
        <w:tc>
          <w:tcPr>
            <w:tcW w:w="6080" w:type="dxa"/>
            <w:vAlign w:val="bottom"/>
            <w:tcBorders>
              <w:bottom w:val="single" w:sz="8" w:color="0000EE"/>
            </w:tcBorders>
            <w:gridSpan w:val="28"/>
          </w:tcPr>
          <w:p>
            <w:pPr>
              <w:spacing w:after="0" w:line="196" w:lineRule="exact"/>
              <w:rPr>
                <w:sz w:val="20"/>
                <w:szCs w:val="20"/>
                <w:color w:val="auto"/>
              </w:rPr>
            </w:pPr>
            <w:r>
              <w:rPr>
                <w:rFonts w:ascii="Arial" w:cs="Arial" w:eastAsia="Arial" w:hAnsi="Arial"/>
                <w:sz w:val="18"/>
                <w:szCs w:val="18"/>
                <w:color w:val="0000EE"/>
                <w:w w:val="99"/>
              </w:rPr>
              <w:t>Certain Relationships and Related Transactions, and Director Independence</w:t>
            </w:r>
          </w:p>
        </w:tc>
        <w:tc>
          <w:tcPr>
            <w:tcW w:w="1240" w:type="dxa"/>
            <w:vAlign w:val="bottom"/>
            <w:gridSpan w:val="5"/>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Arial" w:cs="Arial" w:eastAsia="Arial" w:hAnsi="Arial"/>
                <w:sz w:val="18"/>
                <w:szCs w:val="18"/>
                <w:color w:val="0000EE"/>
                <w:w w:val="96"/>
              </w:rPr>
              <w:t>Item 14</w:t>
            </w:r>
          </w:p>
        </w:tc>
        <w:tc>
          <w:tcPr>
            <w:tcW w:w="120" w:type="dxa"/>
            <w:vAlign w:val="bottom"/>
            <w:gridSpan w:val="3"/>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Principal Accountant Fees and Services</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439"/>
        </w:trPr>
        <w:tc>
          <w:tcPr>
            <w:tcW w:w="600" w:type="dxa"/>
            <w:vAlign w:val="bottom"/>
            <w:tcBorders>
              <w:top w:val="single" w:sz="8" w:color="0000EE"/>
            </w:tcBorders>
            <w:gridSpan w:val="3"/>
            <w:vMerge w:val="restart"/>
          </w:tcPr>
          <w:p>
            <w:pPr>
              <w:spacing w:after="0"/>
              <w:rPr>
                <w:sz w:val="20"/>
                <w:szCs w:val="20"/>
                <w:color w:val="auto"/>
              </w:rPr>
            </w:pPr>
            <w:r>
              <w:rPr>
                <w:rFonts w:ascii="Arial" w:cs="Arial" w:eastAsia="Arial" w:hAnsi="Arial"/>
                <w:sz w:val="18"/>
                <w:szCs w:val="18"/>
                <w:color w:val="0000EE"/>
                <w:w w:val="96"/>
              </w:rPr>
              <w:t>Item 15</w:t>
            </w:r>
          </w:p>
        </w:tc>
        <w:tc>
          <w:tcPr>
            <w:tcW w:w="120" w:type="dxa"/>
            <w:vAlign w:val="bottom"/>
            <w:gridSpan w:val="3"/>
            <w:vMerge w:val="restart"/>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gridSpan w:val="17"/>
          </w:tcPr>
          <w:p>
            <w:pPr>
              <w:spacing w:after="0"/>
              <w:rPr>
                <w:sz w:val="20"/>
                <w:szCs w:val="20"/>
                <w:color w:val="auto"/>
              </w:rPr>
            </w:pPr>
            <w:r>
              <w:rPr>
                <w:rFonts w:ascii="Arial" w:cs="Arial" w:eastAsia="Arial" w:hAnsi="Arial"/>
                <w:sz w:val="18"/>
                <w:szCs w:val="18"/>
                <w:b w:val="1"/>
                <w:bCs w:val="1"/>
                <w:color w:val="0000EE"/>
              </w:rPr>
              <w:t>PART IV</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600" w:type="dxa"/>
            <w:vAlign w:val="bottom"/>
            <w:gridSpan w:val="3"/>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340" w:type="dxa"/>
            <w:vAlign w:val="bottom"/>
            <w:gridSpan w:val="11"/>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3"/>
            <w:vMerge w:val="continue"/>
          </w:tcPr>
          <w:p>
            <w:pPr>
              <w:spacing w:after="0"/>
              <w:rPr>
                <w:sz w:val="17"/>
                <w:szCs w:val="17"/>
                <w:color w:val="auto"/>
              </w:rPr>
            </w:pPr>
          </w:p>
        </w:tc>
        <w:tc>
          <w:tcPr>
            <w:tcW w:w="120" w:type="dxa"/>
            <w:vAlign w:val="bottom"/>
            <w:gridSpan w:val="3"/>
            <w:vMerge w:val="continue"/>
          </w:tcPr>
          <w:p>
            <w:pPr>
              <w:spacing w:after="0"/>
              <w:rPr>
                <w:sz w:val="17"/>
                <w:szCs w:val="17"/>
                <w:color w:val="auto"/>
              </w:rPr>
            </w:pPr>
          </w:p>
        </w:tc>
        <w:tc>
          <w:tcPr>
            <w:tcW w:w="352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9"/>
              </w:rPr>
              <w:t>Exhibits and Financial Statement Schedules</w:t>
            </w:r>
          </w:p>
        </w:tc>
        <w:tc>
          <w:tcPr>
            <w:tcW w:w="3800" w:type="dxa"/>
            <w:vAlign w:val="bottom"/>
            <w:gridSpan w:val="13"/>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Item 16</w:t>
            </w:r>
          </w:p>
        </w:tc>
        <w:tc>
          <w:tcPr>
            <w:tcW w:w="120" w:type="dxa"/>
            <w:vAlign w:val="bottom"/>
            <w:gridSpan w:val="3"/>
          </w:tcPr>
          <w:p>
            <w:pPr>
              <w:spacing w:after="0"/>
              <w:rPr>
                <w:sz w:val="17"/>
                <w:szCs w:val="17"/>
                <w:color w:val="auto"/>
              </w:rPr>
            </w:pPr>
          </w:p>
        </w:tc>
        <w:tc>
          <w:tcPr>
            <w:tcW w:w="16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9"/>
              </w:rPr>
              <w:t>Form 10-K Summary</w:t>
            </w:r>
          </w:p>
        </w:tc>
        <w:tc>
          <w:tcPr>
            <w:tcW w:w="5640" w:type="dxa"/>
            <w:vAlign w:val="bottom"/>
            <w:gridSpan w:val="23"/>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7"/>
              </w:rPr>
              <w:t>Signatures</w:t>
            </w:r>
          </w:p>
        </w:tc>
        <w:tc>
          <w:tcPr>
            <w:tcW w:w="7180" w:type="dxa"/>
            <w:vAlign w:val="bottom"/>
            <w:gridSpan w:val="3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Principal Risk Factors</w:t>
      </w:r>
    </w:p>
    <w:p>
      <w:pPr>
        <w:spacing w:after="0" w:line="19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operate in a rapidly changing environment that involves a number of risks, some of which are beyond our control. In evaluating our company, you should consider carefully this summary of risks and uncertainties described below together with the other information included in this Annual Report on Form 10-K (“Form 10-K”), including our consolidated financial statements and related notes included in Part II, Item 8, “Financial Statements and Supplementary Data” in this Form 10-K. The occurrence of any of the following risks may materially and adversely affect our business, financial condition, results of operations and future prospects:</w:t>
      </w:r>
    </w:p>
    <w:p>
      <w:pPr>
        <w:spacing w:after="0" w:line="144" w:lineRule="exact"/>
        <w:rPr>
          <w:sz w:val="20"/>
          <w:szCs w:val="20"/>
          <w:color w:val="auto"/>
        </w:rPr>
      </w:pPr>
    </w:p>
    <w:p>
      <w:pPr>
        <w:jc w:val="both"/>
        <w:ind w:left="720" w:right="79" w:hanging="319"/>
        <w:spacing w:after="0" w:line="26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model is impacted by general economic conditions in our markets, including inflation and interest rates, as well as the health of the RV industry, and ongoing economic and financial uncertainties could cause a decline in consumer spending that could adversely affect our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affected by the availability and cost of financing to us and our customers.</w:t>
      </w:r>
    </w:p>
    <w:p>
      <w:pPr>
        <w:spacing w:after="0" w:line="197"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Fuel shortages, high prices for fuel, or changes in energy sources could have a negative effect on our business.</w:t>
      </w:r>
    </w:p>
    <w:p>
      <w:pPr>
        <w:spacing w:after="0" w:line="113"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depends to a significant extent on the well-being, as well as the continued popularity and reputation for quality, of our manufacturers, particularly Thor Industries, Inc. and Forest River, Inc.</w:t>
      </w:r>
    </w:p>
    <w:p>
      <w:pPr>
        <w:spacing w:after="0" w:line="113"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consumer preferences for our products or our failure to gauge those preferences could lead to reduced sales and increased cost of sales and selling, general and administrative expenses.</w:t>
      </w:r>
    </w:p>
    <w:p>
      <w:pPr>
        <w:spacing w:after="0" w:line="126"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Competition in the market for services, protection plans, products and resources targeting the RV lifestyle or RV enthusiast could reduce our revenues and profitability.</w:t>
      </w:r>
    </w:p>
    <w:p>
      <w:pPr>
        <w:spacing w:after="0" w:line="113" w:lineRule="exact"/>
        <w:rPr>
          <w:rFonts w:ascii="Times New Roman" w:cs="Times New Roman" w:eastAsia="Times New Roman" w:hAnsi="Times New Roman"/>
          <w:sz w:val="18"/>
          <w:szCs w:val="18"/>
          <w:color w:val="auto"/>
        </w:rPr>
      </w:pPr>
    </w:p>
    <w:p>
      <w:pPr>
        <w:jc w:val="both"/>
        <w:ind w:left="720" w:right="79" w:hanging="319"/>
        <w:spacing w:after="0" w:line="259"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expansion into new, unfamiliar markets, businesses, product lines or categories presents increased risks that may prevent us from being profitable in any such new markets, businesses, product lines or categories. Delays in opening new store locations, including greenfield locations and acquisitions, on anticipated timelines or at all, could have a material adverse effect on our business, financial condition and results of operations.</w:t>
      </w:r>
    </w:p>
    <w:p>
      <w:pPr>
        <w:spacing w:after="0" w:line="12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Unforeseen expenses, difficulties, and delays encountered in connection with acquisitions could inhibit our growth and negatively impact our profitability.</w:t>
      </w:r>
    </w:p>
    <w:p>
      <w:pPr>
        <w:spacing w:after="0" w:line="126"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maintain the strength and value of our brands and reputation could have a material adverse effect on our business, financial condition and results of operations.</w:t>
      </w:r>
    </w:p>
    <w:p>
      <w:pPr>
        <w:spacing w:after="0" w:line="113"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successfully order and manage our inventory to reflect consumer demand in a volatile market and anticipate changing consumer preferences and buying trends has, and may continue to have, an adverse effect on our business, financial condition and results of operations.</w:t>
      </w:r>
    </w:p>
    <w:p>
      <w:pPr>
        <w:spacing w:after="0" w:line="12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same store revenue may fluctuate and may not be a meaningful indicator of future performance.</w:t>
      </w:r>
    </w:p>
    <w:p>
      <w:pPr>
        <w:spacing w:after="0" w:line="19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seasonal and this leads to fluctuations in revenues.</w:t>
      </w:r>
    </w:p>
    <w:p>
      <w:pPr>
        <w:spacing w:after="0" w:line="183"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operate and expand our business and to respond to changing business and economic conditions will depend on the availability of adequate capital.</w:t>
      </w:r>
    </w:p>
    <w:p>
      <w:pPr>
        <w:spacing w:after="0" w:line="113"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Senior Secured Credit Facilities and our Floor Plan Facility contain restrictive covenants that may impair our ability to access sufficient capital and operate our business.</w:t>
      </w:r>
    </w:p>
    <w:p>
      <w:pPr>
        <w:spacing w:after="0" w:line="126" w:lineRule="exact"/>
        <w:rPr>
          <w:rFonts w:ascii="Times New Roman" w:cs="Times New Roman" w:eastAsia="Times New Roman" w:hAnsi="Times New Roman"/>
          <w:sz w:val="18"/>
          <w:szCs w:val="18"/>
          <w:color w:val="auto"/>
        </w:rPr>
      </w:pPr>
    </w:p>
    <w:p>
      <w:pPr>
        <w:jc w:val="both"/>
        <w:ind w:left="720" w:right="79" w:hanging="319"/>
        <w:spacing w:after="0" w:line="26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successfully execute or achieve the expected benefits of our cost cutting initiatives. Previous restructuring initiatives may result in asset impairment charges and could adversely affect the Company’s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20" w:right="79" w:hanging="319"/>
        <w:spacing w:after="0" w:line="268"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primarily rely on our fulfillment and distribution centers for our retail and e-commerce businesses, and, if there is a natural disaster or other serious disruption at any such facility, we may be unable to deliver merchandise effectively to our stores or customers.</w:t>
      </w:r>
    </w:p>
    <w:p>
      <w:pPr>
        <w:spacing w:after="0" w:line="142"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whether or not caused by climate change, unusual weather conditions, epidemic outbreaks, terrorist acts and political events could disrupt business and result in lower sales and otherwise adversely affect our financial performance.</w:t>
      </w:r>
    </w:p>
    <w:p>
      <w:pPr>
        <w:spacing w:after="0" w:line="129"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our relationships with third-party providers of services, protection plans, products and resources and a disruption of these relationships or of these providers’ operations could have an adverse effect on our business and results of operations.</w:t>
      </w:r>
    </w:p>
    <w:p>
      <w:pPr>
        <w:spacing w:after="0" w:line="129"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Because certain of the products that we sell are manufactured abroad, we may face delays, new or increased tariffs, increased cost or quality control deficiencies in the importation of these products, which could reduce our net sales and profitability.</w:t>
      </w:r>
    </w:p>
    <w:p>
      <w:pPr>
        <w:spacing w:after="0" w:line="142" w:lineRule="exact"/>
        <w:rPr>
          <w:rFonts w:ascii="Times New Roman" w:cs="Times New Roman" w:eastAsia="Times New Roman" w:hAnsi="Times New Roman"/>
          <w:sz w:val="18"/>
          <w:szCs w:val="18"/>
          <w:color w:val="auto"/>
        </w:rPr>
      </w:pPr>
    </w:p>
    <w:p>
      <w:pPr>
        <w:jc w:val="both"/>
        <w:ind w:left="720" w:right="79" w:hanging="319"/>
        <w:spacing w:after="0" w:line="26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 portion of our net income is related to financing, insurance and extended service contracts, which depend on third-party lenders and insurance companies. We cannot assure you that third-party lending institutions will continue to provide financing for RV purchases.</w:t>
      </w:r>
    </w:p>
    <w:p>
      <w:pPr>
        <w:spacing w:after="0" w:line="149"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retain senior executives and attract and retain other qualified employees, our business might be adversely affected.</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risks associated with leasing substantial amounts of space.</w:t>
      </w:r>
    </w:p>
    <w:p>
      <w:pPr>
        <w:spacing w:after="0" w:line="19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exclusive brand offerings expose us to various risks.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could incur asset impairment charges for goodwill, intangible assets or other long-lived assets.</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subject to numerous federal, state and local regulations and litigation risks, and we have been named in litigation, which has resulted in substantial costs and may result in reputational harm and divert management’s attention and resources.</w:t>
      </w:r>
    </w:p>
    <w:p>
      <w:pPr>
        <w:spacing w:after="0" w:line="142"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 failure in our e-commerce operations, security breaches and cybersecurity risks could disrupt our business and lead to reduced sales and growth prospects and reputational damage.</w:t>
      </w:r>
    </w:p>
    <w:p>
      <w:pPr>
        <w:spacing w:after="0" w:line="113"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maintain or upgrade our information technology systems or if we are unable to convert to alternate systems in an efficient and timely manner, our operations may be disrupted or become less efficient.</w:t>
      </w:r>
    </w:p>
    <w:p>
      <w:pPr>
        <w:spacing w:after="0" w:line="129" w:lineRule="exact"/>
        <w:rPr>
          <w:rFonts w:ascii="Times New Roman" w:cs="Times New Roman" w:eastAsia="Times New Roman" w:hAnsi="Times New Roman"/>
          <w:sz w:val="18"/>
          <w:szCs w:val="18"/>
          <w:color w:val="auto"/>
        </w:rPr>
      </w:pPr>
    </w:p>
    <w:p>
      <w:pPr>
        <w:jc w:val="both"/>
        <w:ind w:left="720" w:right="79" w:hanging="319"/>
        <w:spacing w:after="0" w:line="259"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Disruptions or breaches involving our or our third-party providers’ IT Systems or Confidential Information (as defined herein) or our failure to meet increasingly demanding regulatory requirements could interrupt our operations, compromise our reputation, expose us to litigation, government enforcement actions and costly response measures and could have a material adverse effect on our business, financial condition and results of operations.</w:t>
      </w:r>
    </w:p>
    <w:p>
      <w:pPr>
        <w:spacing w:after="0" w:line="137"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Material weaknesses in our internal control over financial reporting could have a significant adverse effect on our business and the price of our Class A common stock.</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risks associated with our organizational structure.</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There are risks associated with ownership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BASIS OF PRESENTATION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used in this Form 10-K, unless the context otherwise requires, references to:</w:t>
      </w:r>
    </w:p>
    <w:p>
      <w:pPr>
        <w:spacing w:after="0" w:line="117" w:lineRule="exact"/>
        <w:rPr>
          <w:sz w:val="20"/>
          <w:szCs w:val="20"/>
          <w:color w:val="auto"/>
        </w:rPr>
      </w:pPr>
    </w:p>
    <w:p>
      <w:pPr>
        <w:jc w:val="both"/>
        <w:ind w:left="1380" w:right="79" w:hanging="331"/>
        <w:spacing w:after="0" w:line="257"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“us,” “our,” “CWH,” the “Company,” “Camping World” and similar references refer to Camping World Holdings, Inc., and, unless referenced as “CWH” or otherwise stated, all of its subsidiaries, including CWGS Enterprises, LLC, which we refer to as “CWGS, LLC” and, unless otherwise stated, all of its subsidiaries.</w:t>
      </w:r>
    </w:p>
    <w:p>
      <w:pPr>
        <w:spacing w:after="0" w:line="71" w:lineRule="exact"/>
        <w:rPr>
          <w:rFonts w:ascii="Times New Roman" w:cs="Times New Roman" w:eastAsia="Times New Roman" w:hAnsi="Times New Roman"/>
          <w:sz w:val="18"/>
          <w:szCs w:val="18"/>
          <w:color w:val="auto"/>
        </w:rPr>
      </w:pPr>
    </w:p>
    <w:p>
      <w:pPr>
        <w:jc w:val="both"/>
        <w:ind w:left="1380" w:right="79" w:hanging="331"/>
        <w:spacing w:after="0" w:line="257"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"Active Customer" refers to a customer who has transacted with us in any of the eight most recently completed fiscal quarters prior to the date of measurement. Unless otherwise indicated, the date of measurement is December 31, 2025, our most recently completed fiscal quarter.</w:t>
      </w:r>
    </w:p>
    <w:p>
      <w:pPr>
        <w:spacing w:after="0" w:line="71" w:lineRule="exact"/>
        <w:rPr>
          <w:rFonts w:ascii="Times New Roman" w:cs="Times New Roman" w:eastAsia="Times New Roman" w:hAnsi="Times New Roman"/>
          <w:sz w:val="18"/>
          <w:szCs w:val="18"/>
          <w:color w:val="auto"/>
        </w:rPr>
      </w:pPr>
    </w:p>
    <w:p>
      <w:pPr>
        <w:jc w:val="both"/>
        <w:ind w:left="1380" w:right="79" w:hanging="331"/>
        <w:spacing w:after="0" w:line="253"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Equity Owners” refers collectively to ML Acquisition, funds controlled by Crestview Partners II GP, L.P. and the Former Profits Unit Holders and each of their permitted transferees that own common units in CWGS, LLC and who may redeem at each of their options their common units for, at our election (determined solely by our independent directors within the meaning of the rules of the New York Stock Exchange who are disinterested), cash or newly-issued shares of our Class A common stock. Direct exchanges of common units in CWGS, LLC by the Continuing Equity Owners with CWH for Class A common stock are included in the reference to “redemptions” in relation to common units in CWGS, LLC.</w:t>
      </w:r>
    </w:p>
    <w:p>
      <w:pPr>
        <w:spacing w:after="0" w:line="76" w:lineRule="exact"/>
        <w:rPr>
          <w:rFonts w:ascii="Times New Roman" w:cs="Times New Roman" w:eastAsia="Times New Roman" w:hAnsi="Times New Roman"/>
          <w:sz w:val="18"/>
          <w:szCs w:val="18"/>
          <w:color w:val="auto"/>
        </w:rPr>
      </w:pPr>
    </w:p>
    <w:p>
      <w:pPr>
        <w:ind w:left="1380" w:right="79" w:hanging="331"/>
        <w:spacing w:after="0" w:line="286"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“Crestview” refers to Crestview Advisors, L.L.C., a registered investment adviser to private equity funds, including funds affiliated with Crestview Partners II GP, L.P.</w:t>
      </w:r>
    </w:p>
    <w:p>
      <w:pPr>
        <w:spacing w:after="0" w:line="45" w:lineRule="exact"/>
        <w:rPr>
          <w:rFonts w:ascii="Times New Roman" w:cs="Times New Roman" w:eastAsia="Times New Roman" w:hAnsi="Times New Roman"/>
          <w:sz w:val="18"/>
          <w:szCs w:val="18"/>
          <w:color w:val="auto"/>
        </w:rPr>
      </w:pPr>
    </w:p>
    <w:p>
      <w:pPr>
        <w:ind w:left="1380" w:right="79" w:hanging="331"/>
        <w:spacing w:after="0" w:line="286"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“CWGS LLC Agreement” refers to CWGS, LLC’s amended and restated limited liability company agreement, as amended.</w:t>
      </w:r>
    </w:p>
    <w:p>
      <w:pPr>
        <w:spacing w:after="0" w:line="45" w:lineRule="exact"/>
        <w:rPr>
          <w:rFonts w:ascii="Times New Roman" w:cs="Times New Roman" w:eastAsia="Times New Roman" w:hAnsi="Times New Roman"/>
          <w:sz w:val="18"/>
          <w:szCs w:val="18"/>
          <w:color w:val="auto"/>
        </w:rPr>
      </w:pPr>
    </w:p>
    <w:p>
      <w:pPr>
        <w:jc w:val="both"/>
        <w:ind w:left="1380" w:right="79" w:hanging="331"/>
        <w:spacing w:after="0" w:line="257"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“Former Equity Owners” refers to those Original Equity Owners controlled by Crestview Partners II GP, L.P. that have exchanged their direct or indirect ownership interests in CWGS, LLC for shares of our Class A common stock in connection with the consummation of our initial public offering (“IPO”).</w:t>
      </w:r>
    </w:p>
    <w:p>
      <w:pPr>
        <w:spacing w:after="0" w:line="71" w:lineRule="exact"/>
        <w:rPr>
          <w:rFonts w:ascii="Times New Roman" w:cs="Times New Roman" w:eastAsia="Times New Roman" w:hAnsi="Times New Roman"/>
          <w:sz w:val="18"/>
          <w:szCs w:val="18"/>
          <w:color w:val="auto"/>
        </w:rPr>
      </w:pPr>
    </w:p>
    <w:p>
      <w:pPr>
        <w:jc w:val="both"/>
        <w:ind w:left="1380" w:right="79" w:hanging="331"/>
        <w:spacing w:after="0" w:line="254"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“Former Profits Unit Holders” refers collectively to Brent Moody, Andris A. Baltins and K. Dillon Schickli, who are members of our Board of Directors, and certain other current and former non-executive employees, former executive officers, and former directors, in each case, who held common units of CWGS, LLC pursuant to CWGS, LLC’s equity incentive plan that was in existence prior to our IPO and received common units of CWGS, LLC in exchange for their profits units in CWGS, LLC.</w:t>
      </w:r>
    </w:p>
    <w:p>
      <w:pPr>
        <w:spacing w:after="0" w:line="75" w:lineRule="exact"/>
        <w:rPr>
          <w:rFonts w:ascii="Times New Roman" w:cs="Times New Roman" w:eastAsia="Times New Roman" w:hAnsi="Times New Roman"/>
          <w:sz w:val="18"/>
          <w:szCs w:val="18"/>
          <w:color w:val="auto"/>
        </w:rPr>
      </w:pPr>
    </w:p>
    <w:p>
      <w:pPr>
        <w:jc w:val="both"/>
        <w:ind w:left="1380" w:right="79" w:hanging="331"/>
        <w:spacing w:after="0" w:line="268"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“ML Acquisition” refers to ML Acquisition Company, LLC, a Delaware limited liability company that is indirectly controlled by our former Chairman and Chief Executive Officer, Marcus A. Lemonis.</w:t>
      </w:r>
    </w:p>
    <w:p>
      <w:pPr>
        <w:spacing w:after="0" w:line="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“ML Related Parties” refers to ML Acquisition and its permitted transferees of common units.</w:t>
      </w:r>
    </w:p>
    <w:p>
      <w:pPr>
        <w:spacing w:after="0" w:line="116" w:lineRule="exact"/>
        <w:rPr>
          <w:rFonts w:ascii="Times New Roman" w:cs="Times New Roman" w:eastAsia="Times New Roman" w:hAnsi="Times New Roman"/>
          <w:sz w:val="18"/>
          <w:szCs w:val="18"/>
          <w:color w:val="auto"/>
        </w:rPr>
      </w:pPr>
    </w:p>
    <w:p>
      <w:pPr>
        <w:ind w:left="1380" w:right="79" w:hanging="331"/>
        <w:spacing w:after="0" w:line="286"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“ML RV Group” refers to ML RV Group, LLC, a Delaware limited liability company, wholly-owned by our former Chairman and Chief Executive Officer, Marcus A. Lemonis.</w:t>
      </w:r>
    </w:p>
    <w:p>
      <w:pPr>
        <w:spacing w:after="0" w:line="45" w:lineRule="exact"/>
        <w:rPr>
          <w:rFonts w:ascii="Times New Roman" w:cs="Times New Roman" w:eastAsia="Times New Roman" w:hAnsi="Times New Roman"/>
          <w:sz w:val="18"/>
          <w:szCs w:val="18"/>
          <w:color w:val="auto"/>
        </w:rPr>
      </w:pPr>
    </w:p>
    <w:p>
      <w:pPr>
        <w:jc w:val="both"/>
        <w:ind w:left="1380" w:right="79" w:hanging="331"/>
        <w:spacing w:after="0" w:line="257"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“Original Equity Owners” refers to the direct and certain indirect owners of interests in CWGS, LLC, collectively, prior to the Reorganization Transactions and Recapitalization (as defined in Note 1 – Summary of Significant Accounting Policies and Note 19 – Stockholders’ Equity to our consolidated financial statements included in Part II, Item 8 of this Form 10-K, respectively)</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80" w:right="79"/>
        <w:spacing w:after="0" w:line="287" w:lineRule="auto"/>
        <w:rPr>
          <w:sz w:val="20"/>
          <w:szCs w:val="20"/>
          <w:color w:val="auto"/>
        </w:rPr>
      </w:pPr>
      <w:r>
        <w:rPr>
          <w:rFonts w:ascii="Arial" w:cs="Arial" w:eastAsia="Arial" w:hAnsi="Arial"/>
          <w:sz w:val="18"/>
          <w:szCs w:val="18"/>
          <w:color w:val="auto"/>
        </w:rPr>
        <w:t>conducted in conjunction with our IPO, including ML Acquisition, funds controlled by Crestview Partners II GP, L.P. and the Former Profits Unit Holders.</w:t>
      </w:r>
    </w:p>
    <w:p>
      <w:pPr>
        <w:spacing w:after="0" w:line="45" w:lineRule="exact"/>
        <w:rPr>
          <w:sz w:val="20"/>
          <w:szCs w:val="20"/>
          <w:color w:val="auto"/>
        </w:rPr>
      </w:pPr>
    </w:p>
    <w:p>
      <w:pPr>
        <w:ind w:left="1380" w:hanging="331"/>
        <w:spacing w:after="0"/>
        <w:tabs>
          <w:tab w:leader="none" w:pos="1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“RV” refers to recreational vehicles.</w:t>
      </w:r>
    </w:p>
    <w:p>
      <w:pPr>
        <w:spacing w:after="0" w:line="116" w:lineRule="exact"/>
        <w:rPr>
          <w:rFonts w:ascii="Times New Roman" w:cs="Times New Roman" w:eastAsia="Times New Roman" w:hAnsi="Times New Roman"/>
          <w:sz w:val="18"/>
          <w:szCs w:val="18"/>
          <w:color w:val="auto"/>
        </w:rPr>
      </w:pPr>
    </w:p>
    <w:p>
      <w:pPr>
        <w:jc w:val="both"/>
        <w:ind w:left="1380" w:right="79" w:hanging="331"/>
        <w:spacing w:after="0" w:line="268" w:lineRule="auto"/>
        <w:tabs>
          <w:tab w:leader="none" w:pos="1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“Tax Receivable Agreement” refers to the tax receivable agreement that the Company entered into with CWGS, LLC, each of the Continuing Equity Owners and Crestview Partners II GP, L.P. in connection with the Company’s IPO.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8"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This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Form 10-K may be forward-looking statements. Statements regarding our future results of operations and financial position, business strategy and plans and objectives of management for future operations, including, among others, statements regarding expected new store location openings and closures; sufficiency of our sources of liquidity and capital and potential need for additional financing; future capital expenditures and debt service obligations; refinancing, retirement or exchange of outstanding debt; expectations regarding industry trends and consumer behavior and growth; our product offerings and strategy; inventory management; volatility in sales and potential impact of miscalculating the demand for our products or our product mix; expectations regarding increase of certain expenses in connection with our growth and new or increased tariffs; expectations regarding our cost reduction and restructuring initiatives and expected cost savings, pending litigation, and our plans related to dividend payments, are forward-looking statements. In some cases, you can identify forward-looking statements by terms such as “anticipate,” “believe,” “can,” “continue,” “could,” “designed,” “estimate,” “expect,” “forecast,” “goal,” “intend,” “may,” “might,” “plan,” “possible,” “potential,” “predict,” “project,” “should,” “target,” “will,” “would” or the negative of these terms or other similar expressions.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important factors described in this Form 10-K under Item 1A. Risk Factors and in our other filings with the Securities and Exchange Commission (“SEC”), that may cause our actual results, performance or achievements to differ materially and adversely from those expressed or implied by the forward-looking statements.</w:t>
      </w:r>
    </w:p>
    <w:p>
      <w:pPr>
        <w:spacing w:after="0" w:line="158"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Any forward-looking statements made herein speak only as of the date of this Form 10-K,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occur. We undertake no obligation to update any of these forward-looking statements for any reason after the date of this Form 10-K or to conform these statements to actual results or revised expectations. Additionally, our discussion of ESG issues herein is informed by various standards (including standards for the measurement of underlying data), and the interests of various stakeholders. As such, this discussion may not necessarily be “material” under the federal securities laws for SEC reporting purposes. Furthermore, parts of this information are subject to methodological considerations or information, including from third-parties that are still evolving and subject to change. For example, our disclosures based on any standards may change due to revisions in framework requirements, availability of information, changes in our business or applicable government policies, or other factors, some of which may be beyond our control.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Camping World Holdings, Inc. (together with its subsidiaries) is America’s largest retailer of RVs and related products and services. Through our Camping World and Good Sam brands, our vision is to make it easy for everyone to enjoy RVing and empower our customers’ joy of travel. We strive to build long-term value for our customers, employees, and stockholders by combining a comprehensive offering of RV products and services with a national network of RV dealerships, service centers and customer support centers. We also believe that our Good Sam organization and family of highly specialized services and plans, including roadside assistance, protection plans and insurance, uniquely enable us to protect our customers on the road ahead. On December 31, 2025, we operated a total of 196 store locations, with all locations selling and/or servicing RVs.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Business Strategy</w:t>
      </w:r>
    </w:p>
    <w:p>
      <w:pPr>
        <w:spacing w:after="0" w:line="257" w:lineRule="exact"/>
        <w:rPr>
          <w:sz w:val="20"/>
          <w:szCs w:val="20"/>
          <w:color w:val="auto"/>
        </w:rPr>
      </w:pPr>
    </w:p>
    <w:tbl>
      <w:tblPr>
        <w:tblLayout w:type="fixed"/>
        <w:tblInd w:w="50" w:type="dxa"/>
        <w:tblCellMar>
          <w:top w:w="0" w:type="dxa"/>
          <w:left w:w="0" w:type="dxa"/>
          <w:bottom w:w="0" w:type="dxa"/>
          <w:right w:w="0" w:type="dxa"/>
        </w:tblCellMar>
      </w:tblPr>
      <w:tr>
        <w:trPr>
          <w:trHeight w:val="304"/>
        </w:trPr>
        <w:tc>
          <w:tcPr>
            <w:tcW w:w="3060" w:type="dxa"/>
            <w:vAlign w:val="bottom"/>
            <w:tcBorders>
              <w:left w:val="single" w:sz="8" w:color="BFBFBF"/>
              <w:bottom w:val="single" w:sz="8" w:color="002060"/>
              <w:right w:val="single" w:sz="8" w:color="BFBFBF"/>
            </w:tcBorders>
            <w:shd w:val="clear" w:color="auto" w:fill="002060"/>
          </w:tcPr>
          <w:p>
            <w:pPr>
              <w:jc w:val="center"/>
              <w:spacing w:after="0"/>
              <w:rPr>
                <w:sz w:val="20"/>
                <w:szCs w:val="20"/>
                <w:color w:val="auto"/>
              </w:rPr>
            </w:pPr>
            <w:r>
              <w:rPr>
                <w:rFonts w:ascii="Arial" w:cs="Arial" w:eastAsia="Arial" w:hAnsi="Arial"/>
                <w:sz w:val="16"/>
                <w:szCs w:val="16"/>
                <w:color w:val="FFFFFF"/>
              </w:rPr>
              <w:t>Purpose</w:t>
            </w:r>
          </w:p>
        </w:tc>
        <w:tc>
          <w:tcPr>
            <w:tcW w:w="2980" w:type="dxa"/>
            <w:vAlign w:val="bottom"/>
            <w:tcBorders>
              <w:bottom w:val="single" w:sz="8" w:color="002060"/>
              <w:right w:val="single" w:sz="8" w:color="BFBFBF"/>
            </w:tcBorders>
            <w:shd w:val="clear" w:color="auto" w:fill="002060"/>
          </w:tcPr>
          <w:p>
            <w:pPr>
              <w:jc w:val="center"/>
              <w:spacing w:after="0"/>
              <w:rPr>
                <w:sz w:val="20"/>
                <w:szCs w:val="20"/>
                <w:color w:val="auto"/>
              </w:rPr>
            </w:pPr>
            <w:r>
              <w:rPr>
                <w:rFonts w:ascii="Arial" w:cs="Arial" w:eastAsia="Arial" w:hAnsi="Arial"/>
                <w:sz w:val="16"/>
                <w:szCs w:val="16"/>
                <w:color w:val="FFFFFF"/>
                <w:w w:val="99"/>
              </w:rPr>
              <w:t>Mission</w:t>
            </w:r>
          </w:p>
        </w:tc>
        <w:tc>
          <w:tcPr>
            <w:tcW w:w="2900" w:type="dxa"/>
            <w:vAlign w:val="bottom"/>
            <w:tcBorders>
              <w:bottom w:val="single" w:sz="8" w:color="002060"/>
              <w:right w:val="single" w:sz="8" w:color="BFBFBF"/>
            </w:tcBorders>
            <w:shd w:val="clear" w:color="auto" w:fill="002060"/>
          </w:tcPr>
          <w:p>
            <w:pPr>
              <w:jc w:val="center"/>
              <w:spacing w:after="0"/>
              <w:rPr>
                <w:sz w:val="20"/>
                <w:szCs w:val="20"/>
                <w:color w:val="auto"/>
              </w:rPr>
            </w:pPr>
            <w:r>
              <w:rPr>
                <w:rFonts w:ascii="Arial" w:cs="Arial" w:eastAsia="Arial" w:hAnsi="Arial"/>
                <w:sz w:val="16"/>
                <w:szCs w:val="16"/>
                <w:color w:val="FFFFFF"/>
              </w:rPr>
              <w:t>Vision</w:t>
            </w:r>
          </w:p>
        </w:tc>
      </w:tr>
      <w:tr>
        <w:trPr>
          <w:trHeight w:val="229"/>
        </w:trPr>
        <w:tc>
          <w:tcPr>
            <w:tcW w:w="3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color w:val="auto"/>
              </w:rPr>
              <w:t>To bond people with travel and the</w:t>
            </w:r>
          </w:p>
        </w:tc>
        <w:tc>
          <w:tcPr>
            <w:tcW w:w="298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We make it easy for everyone to enjoy</w:t>
            </w:r>
          </w:p>
        </w:tc>
        <w:tc>
          <w:tcPr>
            <w:tcW w:w="290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w w:val="99"/>
              </w:rPr>
              <w:t>To be the most trusted RV company</w:t>
            </w:r>
          </w:p>
        </w:tc>
      </w:tr>
      <w:tr>
        <w:trPr>
          <w:trHeight w:val="189"/>
        </w:trPr>
        <w:tc>
          <w:tcPr>
            <w:tcW w:w="3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color w:val="auto"/>
              </w:rPr>
              <w:t>outdoors through RVing.</w:t>
            </w:r>
          </w:p>
        </w:tc>
        <w:tc>
          <w:tcPr>
            <w:tcW w:w="298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w w:val="99"/>
              </w:rPr>
              <w:t>RVing.</w:t>
            </w:r>
          </w:p>
        </w:tc>
        <w:tc>
          <w:tcPr>
            <w:tcW w:w="290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in the world by enriching and</w:t>
            </w:r>
          </w:p>
        </w:tc>
      </w:tr>
      <w:tr>
        <w:trPr>
          <w:trHeight w:val="215"/>
        </w:trPr>
        <w:tc>
          <w:tcPr>
            <w:tcW w:w="3060" w:type="dxa"/>
            <w:vAlign w:val="bottom"/>
            <w:tcBorders>
              <w:left w:val="single" w:sz="8" w:color="BFBFBF"/>
              <w:right w:val="single" w:sz="8" w:color="BFBFBF"/>
            </w:tcBorders>
          </w:tcPr>
          <w:p>
            <w:pPr>
              <w:spacing w:after="0"/>
              <w:rPr>
                <w:sz w:val="18"/>
                <w:szCs w:val="18"/>
                <w:color w:val="auto"/>
              </w:rPr>
            </w:pPr>
          </w:p>
        </w:tc>
        <w:tc>
          <w:tcPr>
            <w:tcW w:w="2980" w:type="dxa"/>
            <w:vAlign w:val="bottom"/>
            <w:tcBorders>
              <w:right w:val="single" w:sz="8" w:color="BFBFBF"/>
            </w:tcBorders>
          </w:tcPr>
          <w:p>
            <w:pPr>
              <w:spacing w:after="0"/>
              <w:rPr>
                <w:sz w:val="18"/>
                <w:szCs w:val="18"/>
                <w:color w:val="auto"/>
              </w:rPr>
            </w:pPr>
          </w:p>
        </w:tc>
        <w:tc>
          <w:tcPr>
            <w:tcW w:w="290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preserving our customer’s time.</w:t>
            </w:r>
          </w:p>
        </w:tc>
      </w:tr>
      <w:tr>
        <w:trPr>
          <w:trHeight w:val="56"/>
        </w:trPr>
        <w:tc>
          <w:tcPr>
            <w:tcW w:w="3060" w:type="dxa"/>
            <w:vAlign w:val="bottom"/>
            <w:tcBorders>
              <w:left w:val="single" w:sz="8" w:color="BFBFBF"/>
              <w:bottom w:val="single" w:sz="8" w:color="BFBFBF"/>
              <w:right w:val="single" w:sz="8" w:color="BFBFBF"/>
            </w:tcBorders>
          </w:tcPr>
          <w:p>
            <w:pPr>
              <w:spacing w:after="0"/>
              <w:rPr>
                <w:sz w:val="4"/>
                <w:szCs w:val="4"/>
                <w:color w:val="auto"/>
              </w:rPr>
            </w:pPr>
          </w:p>
        </w:tc>
        <w:tc>
          <w:tcPr>
            <w:tcW w:w="2980" w:type="dxa"/>
            <w:vAlign w:val="bottom"/>
            <w:tcBorders>
              <w:bottom w:val="single" w:sz="8" w:color="BFBFBF"/>
              <w:right w:val="single" w:sz="8" w:color="BFBFBF"/>
            </w:tcBorders>
          </w:tcPr>
          <w:p>
            <w:pPr>
              <w:spacing w:after="0"/>
              <w:rPr>
                <w:sz w:val="4"/>
                <w:szCs w:val="4"/>
                <w:color w:val="auto"/>
              </w:rPr>
            </w:pPr>
          </w:p>
        </w:tc>
        <w:tc>
          <w:tcPr>
            <w:tcW w:w="2900" w:type="dxa"/>
            <w:vAlign w:val="bottom"/>
            <w:tcBorders>
              <w:bottom w:val="single" w:sz="8" w:color="BFBFBF"/>
              <w:right w:val="single" w:sz="8" w:color="BFBFBF"/>
            </w:tcBorders>
          </w:tcPr>
          <w:p>
            <w:pPr>
              <w:spacing w:after="0"/>
              <w:rPr>
                <w:sz w:val="4"/>
                <w:szCs w:val="4"/>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Key elements of our </w:t>
      </w:r>
      <w:r>
        <w:rPr>
          <w:rFonts w:ascii="Arial" w:cs="Arial" w:eastAsia="Arial" w:hAnsi="Arial"/>
          <w:sz w:val="16"/>
          <w:szCs w:val="16"/>
          <w:color w:val="auto"/>
        </w:rPr>
        <w:t>business</w:t>
      </w:r>
      <w:r>
        <w:rPr>
          <w:rFonts w:ascii="Arial" w:cs="Arial" w:eastAsia="Arial" w:hAnsi="Arial"/>
          <w:sz w:val="18"/>
          <w:szCs w:val="18"/>
          <w:color w:val="auto"/>
        </w:rPr>
        <w:t xml:space="preserve"> strategy are:</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i w:val="1"/>
          <w:iCs w:val="1"/>
          <w:color w:val="auto"/>
        </w:rPr>
        <w:t xml:space="preserve">Offer a Unique and Comprehensive Assortment of RV Products and Services. </w:t>
      </w:r>
      <w:r>
        <w:rPr>
          <w:rFonts w:ascii="Arial" w:cs="Arial" w:eastAsia="Arial" w:hAnsi="Arial"/>
          <w:sz w:val="18"/>
          <w:szCs w:val="18"/>
          <w:color w:val="auto"/>
        </w:rPr>
        <w:t>We believe our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offerings represent the best and most comprehensive assortment of services, protection plans, products and resources in the RV industry. We also believe our used RV offering and reconditioning program are best in class and provide us with a unique strategic advantage in the market. Many of our offerings, including our Good Sam services and plans, our exclusive brand RVs, and our digital retail experience through direct.campingworld.com are unique to us and have been developed in collaboration with leading industry suppliers and RV enthusiasts. We believe our size and scale allow us to deliver exceptional value to our customers.</w:t>
      </w:r>
    </w:p>
    <w:p>
      <w:pPr>
        <w:spacing w:after="0" w:line="18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i w:val="1"/>
          <w:iCs w:val="1"/>
          <w:color w:val="auto"/>
        </w:rPr>
        <w:t xml:space="preserve">Operate a National Network of RV Dealerships and Service Centers. </w:t>
      </w:r>
      <w:r>
        <w:rPr>
          <w:rFonts w:ascii="Arial" w:cs="Arial" w:eastAsia="Arial" w:hAnsi="Arial"/>
          <w:sz w:val="18"/>
          <w:szCs w:val="18"/>
          <w:color w:val="auto"/>
        </w:rPr>
        <w:t>As of December 31, 2025, we operated a</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network of 196 RV dealerships and/or service centers including one location in Elkhart, IN that offers discounted pricing on new RVs based on a factory direct model. The majority of these RV dealerships and service centers are conveniently located off major interstates and highways in key RV markets, staffed with knowledgeable local team members offering expert advice and a comprehensive assortment of RV-related products and services. Our RV dealerships and service centers are a one-stop-shop for everything RV and give RV consumers peace of mind that they can find what they need when they need it in their local market or while traveling throughout the country.</w:t>
      </w:r>
    </w:p>
    <w:p>
      <w:pPr>
        <w:spacing w:after="0" w:line="171"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i w:val="1"/>
          <w:iCs w:val="1"/>
          <w:color w:val="auto"/>
        </w:rPr>
        <w:t xml:space="preserve">Focus on Customer Service. </w:t>
      </w:r>
      <w:r>
        <w:rPr>
          <w:rFonts w:ascii="Arial" w:cs="Arial" w:eastAsia="Arial" w:hAnsi="Arial"/>
          <w:sz w:val="18"/>
          <w:szCs w:val="18"/>
          <w:color w:val="auto"/>
        </w:rPr>
        <w:t>We believe customer service is a critical component of our business. Our</w:t>
      </w:r>
      <w:r>
        <w:rPr>
          <w:rFonts w:ascii="Arial" w:cs="Arial" w:eastAsia="Arial" w:hAnsi="Arial"/>
          <w:sz w:val="18"/>
          <w:szCs w:val="18"/>
          <w:i w:val="1"/>
          <w:iCs w:val="1"/>
          <w:color w:val="auto"/>
        </w:rPr>
        <w:t xml:space="preserve"> </w:t>
      </w:r>
      <w:r>
        <w:rPr>
          <w:rFonts w:ascii="Arial" w:cs="Arial" w:eastAsia="Arial" w:hAnsi="Arial"/>
          <w:sz w:val="18"/>
          <w:szCs w:val="18"/>
          <w:color w:val="auto"/>
        </w:rPr>
        <w:t>dealerships and service centers are staffed with knowledgeable local team members offering expert advice and a wide assortment of products and services to approximately 4.2 million Active Customers. We currently operate call centers in Denver, CO, Bowling Green, KY, Greenville, NC, and Island Lake, IL. Our call center teams are extensively trained to assist customers with various products and services, including roadside assistance, protection product sales, and RV technician hotline questions, with every team focused on providing an exceptional level of service to our customers.</w:t>
      </w:r>
    </w:p>
    <w:p>
      <w:pPr>
        <w:spacing w:after="0" w:line="169" w:lineRule="exact"/>
        <w:rPr>
          <w:sz w:val="20"/>
          <w:szCs w:val="20"/>
          <w:color w:val="auto"/>
        </w:rPr>
      </w:pPr>
    </w:p>
    <w:p>
      <w:pPr>
        <w:jc w:val="both"/>
        <w:ind w:left="60" w:right="59"/>
        <w:spacing w:after="0" w:line="262" w:lineRule="auto"/>
        <w:rPr>
          <w:sz w:val="20"/>
          <w:szCs w:val="20"/>
          <w:color w:val="auto"/>
        </w:rPr>
      </w:pPr>
      <w:r>
        <w:rPr>
          <w:rFonts w:ascii="Arial" w:cs="Arial" w:eastAsia="Arial" w:hAnsi="Arial"/>
          <w:sz w:val="18"/>
          <w:szCs w:val="18"/>
          <w:i w:val="1"/>
          <w:iCs w:val="1"/>
          <w:color w:val="auto"/>
        </w:rPr>
        <w:t xml:space="preserve">Leverage Our Resources and Synergies. </w:t>
      </w:r>
      <w:r>
        <w:rPr>
          <w:rFonts w:ascii="Arial" w:cs="Arial" w:eastAsia="Arial" w:hAnsi="Arial"/>
          <w:sz w:val="18"/>
          <w:szCs w:val="18"/>
          <w:color w:val="auto"/>
        </w:rPr>
        <w:t>Our unique and comprehensive assortment of RV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our national network of RV dealerships and service centers, our network of customer service and contact centers, and our online and e-commerce platforms all work together to service our customers and make it easy for everyone to enjoy RVing. When a new customer engages with us, we leverage customized customer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87" w:lineRule="auto"/>
        <w:rPr>
          <w:sz w:val="20"/>
          <w:szCs w:val="20"/>
          <w:color w:val="auto"/>
        </w:rPr>
      </w:pPr>
      <w:r>
        <w:rPr>
          <w:rFonts w:ascii="Arial" w:cs="Arial" w:eastAsia="Arial" w:hAnsi="Arial"/>
          <w:sz w:val="18"/>
          <w:szCs w:val="18"/>
          <w:color w:val="auto"/>
        </w:rPr>
        <w:t>relationship management (“CRM”) platforms and proprietary tools, such as the RV Valuator, to actively and intelligently engage, service and promote our wide range of products and services for the RV lifestyle.</w:t>
      </w:r>
    </w:p>
    <w:p>
      <w:pPr>
        <w:spacing w:after="0" w:line="153" w:lineRule="exact"/>
        <w:rPr>
          <w:sz w:val="20"/>
          <w:szCs w:val="20"/>
          <w:color w:val="auto"/>
        </w:rPr>
      </w:pPr>
    </w:p>
    <w:p>
      <w:pPr>
        <w:jc w:val="both"/>
        <w:ind w:left="60" w:right="79"/>
        <w:spacing w:after="0" w:line="287" w:lineRule="auto"/>
        <w:rPr>
          <w:sz w:val="20"/>
          <w:szCs w:val="20"/>
          <w:color w:val="auto"/>
        </w:rPr>
      </w:pPr>
      <w:r>
        <w:rPr>
          <w:rFonts w:ascii="Arial" w:cs="Arial" w:eastAsia="Arial" w:hAnsi="Arial"/>
          <w:sz w:val="18"/>
          <w:szCs w:val="18"/>
          <w:i w:val="1"/>
          <w:iCs w:val="1"/>
          <w:color w:val="auto"/>
        </w:rPr>
        <w:t xml:space="preserve">Good Sam Mission. </w:t>
      </w:r>
      <w:r>
        <w:rPr>
          <w:rFonts w:ascii="Arial" w:cs="Arial" w:eastAsia="Arial" w:hAnsi="Arial"/>
          <w:sz w:val="18"/>
          <w:szCs w:val="18"/>
          <w:color w:val="auto"/>
        </w:rPr>
        <w:t>Our Good Sam mission is to clear the path ahead and empower our customers’ joy of</w:t>
      </w:r>
      <w:r>
        <w:rPr>
          <w:rFonts w:ascii="Arial" w:cs="Arial" w:eastAsia="Arial" w:hAnsi="Arial"/>
          <w:sz w:val="18"/>
          <w:szCs w:val="18"/>
          <w:i w:val="1"/>
          <w:iCs w:val="1"/>
          <w:color w:val="auto"/>
        </w:rPr>
        <w:t xml:space="preserve"> </w:t>
      </w:r>
      <w:r>
        <w:rPr>
          <w:rFonts w:ascii="Arial" w:cs="Arial" w:eastAsia="Arial" w:hAnsi="Arial"/>
          <w:sz w:val="18"/>
          <w:szCs w:val="18"/>
          <w:color w:val="auto"/>
        </w:rPr>
        <w:t>travel. We aim to accomplish this through the following four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109220</wp:posOffset>
            </wp:positionV>
            <wp:extent cx="889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109220</wp:posOffset>
            </wp:positionV>
            <wp:extent cx="825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109220</wp:posOffset>
            </wp:positionV>
            <wp:extent cx="825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109220</wp:posOffset>
            </wp:positionV>
            <wp:extent cx="889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109220</wp:posOffset>
            </wp:positionV>
            <wp:extent cx="889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32" w:lineRule="exact"/>
        <w:rPr>
          <w:sz w:val="20"/>
          <w:szCs w:val="20"/>
          <w:color w:val="auto"/>
        </w:rPr>
      </w:pPr>
    </w:p>
    <w:tbl>
      <w:tblPr>
        <w:tblLayout w:type="fixed"/>
        <w:tblInd w:w="50" w:type="dxa"/>
        <w:tblCellMar>
          <w:top w:w="0" w:type="dxa"/>
          <w:left w:w="0" w:type="dxa"/>
          <w:bottom w:w="0" w:type="dxa"/>
          <w:right w:w="0" w:type="dxa"/>
        </w:tblCellMar>
      </w:tblPr>
      <w:tr>
        <w:trPr>
          <w:trHeight w:val="40"/>
        </w:trPr>
        <w:tc>
          <w:tcPr>
            <w:tcW w:w="2260" w:type="dxa"/>
            <w:vAlign w:val="bottom"/>
            <w:tcBorders>
              <w:top w:val="single" w:sz="8" w:color="BFBFBF"/>
            </w:tcBorders>
          </w:tcPr>
          <w:p>
            <w:pPr>
              <w:spacing w:after="0"/>
              <w:rPr>
                <w:sz w:val="3"/>
                <w:szCs w:val="3"/>
                <w:color w:val="auto"/>
              </w:rPr>
            </w:pPr>
          </w:p>
        </w:tc>
        <w:tc>
          <w:tcPr>
            <w:tcW w:w="2220" w:type="dxa"/>
            <w:vAlign w:val="bottom"/>
            <w:tcBorders>
              <w:top w:val="single" w:sz="8" w:color="BFBFBF"/>
            </w:tcBorders>
          </w:tcPr>
          <w:p>
            <w:pPr>
              <w:spacing w:after="0"/>
              <w:rPr>
                <w:sz w:val="3"/>
                <w:szCs w:val="3"/>
                <w:color w:val="auto"/>
              </w:rPr>
            </w:pPr>
          </w:p>
        </w:tc>
        <w:tc>
          <w:tcPr>
            <w:tcW w:w="2220" w:type="dxa"/>
            <w:vAlign w:val="bottom"/>
            <w:tcBorders>
              <w:top w:val="single" w:sz="8" w:color="BFBFBF"/>
            </w:tcBorders>
          </w:tcPr>
          <w:p>
            <w:pPr>
              <w:spacing w:after="0"/>
              <w:rPr>
                <w:sz w:val="3"/>
                <w:szCs w:val="3"/>
                <w:color w:val="auto"/>
              </w:rPr>
            </w:pPr>
          </w:p>
        </w:tc>
        <w:tc>
          <w:tcPr>
            <w:tcW w:w="2220" w:type="dxa"/>
            <w:vAlign w:val="bottom"/>
            <w:tcBorders>
              <w:top w:val="single" w:sz="8" w:color="BFBFBF"/>
            </w:tcBorders>
          </w:tcPr>
          <w:p>
            <w:pPr>
              <w:spacing w:after="0"/>
              <w:rPr>
                <w:sz w:val="3"/>
                <w:szCs w:val="3"/>
                <w:color w:val="auto"/>
              </w:rPr>
            </w:pPr>
          </w:p>
        </w:tc>
      </w:tr>
      <w:tr>
        <w:trPr>
          <w:trHeight w:val="291"/>
        </w:trPr>
        <w:tc>
          <w:tcPr>
            <w:tcW w:w="2260" w:type="dxa"/>
            <w:vAlign w:val="bottom"/>
            <w:tcBorders>
              <w:left w:val="single" w:sz="8" w:color="BFBFBF"/>
              <w:bottom w:val="single" w:sz="8" w:color="23410A"/>
              <w:right w:val="single" w:sz="8" w:color="23410A"/>
            </w:tcBorders>
            <w:shd w:val="clear" w:color="auto" w:fill="23410A"/>
          </w:tcPr>
          <w:p>
            <w:pPr>
              <w:jc w:val="center"/>
              <w:spacing w:after="0"/>
              <w:rPr>
                <w:sz w:val="20"/>
                <w:szCs w:val="20"/>
                <w:color w:val="auto"/>
              </w:rPr>
            </w:pPr>
            <w:r>
              <w:rPr>
                <w:rFonts w:ascii="Arial" w:cs="Arial" w:eastAsia="Arial" w:hAnsi="Arial"/>
                <w:sz w:val="16"/>
                <w:szCs w:val="16"/>
                <w:color w:val="FFFFFF"/>
              </w:rPr>
              <w:t>Our Travel Point of View</w:t>
            </w:r>
          </w:p>
        </w:tc>
        <w:tc>
          <w:tcPr>
            <w:tcW w:w="2220" w:type="dxa"/>
            <w:vAlign w:val="bottom"/>
            <w:tcBorders>
              <w:bottom w:val="single" w:sz="8" w:color="23410A"/>
              <w:right w:val="single" w:sz="8" w:color="BFBFBF"/>
            </w:tcBorders>
            <w:shd w:val="clear" w:color="auto" w:fill="23410A"/>
          </w:tcPr>
          <w:p>
            <w:pPr>
              <w:jc w:val="center"/>
              <w:spacing w:after="0"/>
              <w:rPr>
                <w:sz w:val="20"/>
                <w:szCs w:val="20"/>
                <w:color w:val="auto"/>
              </w:rPr>
            </w:pPr>
            <w:r>
              <w:rPr>
                <w:rFonts w:ascii="Arial" w:cs="Arial" w:eastAsia="Arial" w:hAnsi="Arial"/>
                <w:sz w:val="16"/>
                <w:szCs w:val="16"/>
                <w:color w:val="FFFFFF"/>
              </w:rPr>
              <w:t>Our Products and Services</w:t>
            </w:r>
          </w:p>
        </w:tc>
        <w:tc>
          <w:tcPr>
            <w:tcW w:w="2220" w:type="dxa"/>
            <w:vAlign w:val="bottom"/>
            <w:tcBorders>
              <w:bottom w:val="single" w:sz="8" w:color="23410A"/>
              <w:right w:val="single" w:sz="8" w:color="BFBFBF"/>
            </w:tcBorders>
            <w:shd w:val="clear" w:color="auto" w:fill="23410A"/>
          </w:tcPr>
          <w:p>
            <w:pPr>
              <w:jc w:val="center"/>
              <w:spacing w:after="0"/>
              <w:rPr>
                <w:sz w:val="20"/>
                <w:szCs w:val="20"/>
                <w:color w:val="auto"/>
              </w:rPr>
            </w:pPr>
            <w:r>
              <w:rPr>
                <w:rFonts w:ascii="Arial" w:cs="Arial" w:eastAsia="Arial" w:hAnsi="Arial"/>
                <w:sz w:val="16"/>
                <w:szCs w:val="16"/>
                <w:color w:val="FFFFFF"/>
              </w:rPr>
              <w:t>Our Customer Experience</w:t>
            </w:r>
          </w:p>
        </w:tc>
        <w:tc>
          <w:tcPr>
            <w:tcW w:w="2220" w:type="dxa"/>
            <w:vAlign w:val="bottom"/>
            <w:tcBorders>
              <w:bottom w:val="single" w:sz="8" w:color="23410A"/>
              <w:right w:val="single" w:sz="8" w:color="BFBFBF"/>
            </w:tcBorders>
            <w:shd w:val="clear" w:color="auto" w:fill="23410A"/>
          </w:tcPr>
          <w:p>
            <w:pPr>
              <w:jc w:val="center"/>
              <w:spacing w:after="0"/>
              <w:rPr>
                <w:sz w:val="20"/>
                <w:szCs w:val="20"/>
                <w:color w:val="auto"/>
              </w:rPr>
            </w:pPr>
            <w:r>
              <w:rPr>
                <w:rFonts w:ascii="Arial" w:cs="Arial" w:eastAsia="Arial" w:hAnsi="Arial"/>
                <w:sz w:val="16"/>
                <w:szCs w:val="16"/>
                <w:color w:val="FFFFFF"/>
              </w:rPr>
              <w:t>Our Emotional Benefit</w:t>
            </w:r>
          </w:p>
        </w:tc>
      </w:tr>
      <w:tr>
        <w:trPr>
          <w:trHeight w:val="229"/>
        </w:trPr>
        <w:tc>
          <w:tcPr>
            <w:tcW w:w="22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color w:val="auto"/>
              </w:rPr>
              <w:t>Road trips and outdoor</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We design products and</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We inspire confidence by</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Our customers experience</w:t>
            </w:r>
          </w:p>
        </w:tc>
      </w:tr>
      <w:tr>
        <w:trPr>
          <w:trHeight w:val="189"/>
        </w:trPr>
        <w:tc>
          <w:tcPr>
            <w:tcW w:w="22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color w:val="auto"/>
              </w:rPr>
              <w:t>adventures do not need to</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services that think ahead to</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being clear about our</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curiosity, connection, and</w:t>
            </w:r>
          </w:p>
        </w:tc>
      </w:tr>
      <w:tr>
        <w:trPr>
          <w:trHeight w:val="203"/>
        </w:trPr>
        <w:tc>
          <w:tcPr>
            <w:tcW w:w="22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color w:val="auto"/>
              </w:rPr>
              <w:t>feel complex. We make</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support every part of the</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w w:val="99"/>
              </w:rPr>
              <w:t>offerings. We build trust</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joy every day on the road.</w:t>
            </w:r>
          </w:p>
        </w:tc>
      </w:tr>
      <w:tr>
        <w:trPr>
          <w:trHeight w:val="189"/>
        </w:trPr>
        <w:tc>
          <w:tcPr>
            <w:tcW w:w="22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color w:val="auto"/>
              </w:rPr>
              <w:t>these experiences feel</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w w:val="98"/>
              </w:rPr>
              <w:t>journey.</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with consistent service.</w:t>
            </w:r>
          </w:p>
        </w:tc>
        <w:tc>
          <w:tcPr>
            <w:tcW w:w="2220" w:type="dxa"/>
            <w:vAlign w:val="bottom"/>
            <w:tcBorders>
              <w:right w:val="single" w:sz="8" w:color="BFBFBF"/>
            </w:tcBorders>
          </w:tcPr>
          <w:p>
            <w:pPr>
              <w:spacing w:after="0"/>
              <w:rPr>
                <w:sz w:val="16"/>
                <w:szCs w:val="16"/>
                <w:color w:val="auto"/>
              </w:rPr>
            </w:pPr>
          </w:p>
        </w:tc>
      </w:tr>
      <w:tr>
        <w:trPr>
          <w:trHeight w:val="215"/>
        </w:trPr>
        <w:tc>
          <w:tcPr>
            <w:tcW w:w="22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color w:val="auto"/>
              </w:rPr>
              <w:t>effortless.</w:t>
            </w:r>
          </w:p>
        </w:tc>
        <w:tc>
          <w:tcPr>
            <w:tcW w:w="2220" w:type="dxa"/>
            <w:vAlign w:val="bottom"/>
            <w:tcBorders>
              <w:right w:val="single" w:sz="8" w:color="BFBFBF"/>
            </w:tcBorders>
          </w:tcPr>
          <w:p>
            <w:pPr>
              <w:spacing w:after="0"/>
              <w:rPr>
                <w:sz w:val="18"/>
                <w:szCs w:val="18"/>
                <w:color w:val="auto"/>
              </w:rPr>
            </w:pPr>
          </w:p>
        </w:tc>
        <w:tc>
          <w:tcPr>
            <w:tcW w:w="2220" w:type="dxa"/>
            <w:vAlign w:val="bottom"/>
            <w:tcBorders>
              <w:right w:val="single" w:sz="8" w:color="BFBFBF"/>
            </w:tcBorders>
          </w:tcPr>
          <w:p>
            <w:pPr>
              <w:spacing w:after="0"/>
              <w:rPr>
                <w:sz w:val="18"/>
                <w:szCs w:val="18"/>
                <w:color w:val="auto"/>
              </w:rPr>
            </w:pPr>
          </w:p>
        </w:tc>
        <w:tc>
          <w:tcPr>
            <w:tcW w:w="2220" w:type="dxa"/>
            <w:vAlign w:val="bottom"/>
            <w:tcBorders>
              <w:right w:val="single" w:sz="8" w:color="BFBFBF"/>
            </w:tcBorders>
          </w:tcPr>
          <w:p>
            <w:pPr>
              <w:spacing w:after="0"/>
              <w:rPr>
                <w:sz w:val="18"/>
                <w:szCs w:val="18"/>
                <w:color w:val="auto"/>
              </w:rPr>
            </w:pPr>
          </w:p>
        </w:tc>
      </w:tr>
      <w:tr>
        <w:trPr>
          <w:trHeight w:val="43"/>
        </w:trPr>
        <w:tc>
          <w:tcPr>
            <w:tcW w:w="2260" w:type="dxa"/>
            <w:vAlign w:val="bottom"/>
            <w:tcBorders>
              <w:left w:val="single" w:sz="8" w:color="BFBFBF"/>
              <w:bottom w:val="single" w:sz="8" w:color="BFBFBF"/>
              <w:right w:val="single" w:sz="8" w:color="BFBFBF"/>
            </w:tcBorders>
          </w:tcPr>
          <w:p>
            <w:pPr>
              <w:spacing w:after="0"/>
              <w:rPr>
                <w:sz w:val="3"/>
                <w:szCs w:val="3"/>
                <w:color w:val="auto"/>
              </w:rPr>
            </w:pPr>
          </w:p>
        </w:tc>
        <w:tc>
          <w:tcPr>
            <w:tcW w:w="2220" w:type="dxa"/>
            <w:vAlign w:val="bottom"/>
            <w:tcBorders>
              <w:bottom w:val="single" w:sz="8" w:color="BFBFBF"/>
              <w:right w:val="single" w:sz="8" w:color="BFBFBF"/>
            </w:tcBorders>
          </w:tcPr>
          <w:p>
            <w:pPr>
              <w:spacing w:after="0"/>
              <w:rPr>
                <w:sz w:val="3"/>
                <w:szCs w:val="3"/>
                <w:color w:val="auto"/>
              </w:rPr>
            </w:pPr>
          </w:p>
        </w:tc>
        <w:tc>
          <w:tcPr>
            <w:tcW w:w="2220" w:type="dxa"/>
            <w:vAlign w:val="bottom"/>
            <w:tcBorders>
              <w:bottom w:val="single" w:sz="8" w:color="BFBFBF"/>
              <w:right w:val="single" w:sz="8" w:color="BFBFBF"/>
            </w:tcBorders>
          </w:tcPr>
          <w:p>
            <w:pPr>
              <w:spacing w:after="0"/>
              <w:rPr>
                <w:sz w:val="3"/>
                <w:szCs w:val="3"/>
                <w:color w:val="auto"/>
              </w:rPr>
            </w:pPr>
          </w:p>
        </w:tc>
        <w:tc>
          <w:tcPr>
            <w:tcW w:w="2220" w:type="dxa"/>
            <w:vAlign w:val="bottom"/>
            <w:tcBorders>
              <w:bottom w:val="single" w:sz="8" w:color="BFBFBF"/>
              <w:right w:val="single" w:sz="8" w:color="BFBFBF"/>
            </w:tcBorders>
          </w:tcPr>
          <w:p>
            <w:pPr>
              <w:spacing w:after="0"/>
              <w:rPr>
                <w:sz w:val="3"/>
                <w:szCs w:val="3"/>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Background and Recent Developments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Founded in 1966, our Good Sam and Camping World brands have been serving RV owners and outdoor enthusiasts for more than 50 years. Good Sam combined with Camping World in 1997, when the Good Sam Club had approximately 911,000 members and Camping World had 26 store locations. In 2011, Camping World and Good Sam combined with FreedomRoads, a successful RV dealership business founded in 2003, to form the largest provider of products and services for RVs in North America. From 2011 to date, we have continued to expand our footprint of RV dealerships through new store openings, including greenfield locations and acquisitions.</w:t>
      </w:r>
    </w:p>
    <w:p>
      <w:pPr>
        <w:spacing w:after="0" w:line="19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8"/>
          <w:szCs w:val="18"/>
          <w:color w:val="auto"/>
        </w:rPr>
        <w:t>As the RV market contracted from COVID pandemic highs, we consolidated our dealership footprint in certain markets over the course of the past 18 months in order to better align our fixed cost structure to market demand. As a result, our dealership count has declined while earnings and market share have improved. We believe this focus on optimizing our same store base has positioned the Company well to take advantage of the next industry cycle.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Segments and Offerings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We operate two reportable segments: (i) Good Sam Services and Plans and (ii) RV and Outdoor Retail. See Note 23 — Segment Information to our consolidated financial statements included in Part II, Item 8 of this Form 10-K for further information regarding our reportable segments.</w:t>
      </w:r>
    </w:p>
    <w:p>
      <w:pPr>
        <w:spacing w:after="0" w:line="15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The following table presents revenue and gross profit details for our product and service offerings for the year ended December 31, 2025:</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rPr>
              <w:t>Year Ended December 31, 2025</w:t>
            </w:r>
          </w:p>
        </w:tc>
        <w:tc>
          <w:tcPr>
            <w:tcW w:w="960" w:type="dxa"/>
            <w:vAlign w:val="bottom"/>
            <w:tcBorders>
              <w:bottom w:val="single" w:sz="8" w:color="auto"/>
            </w:tcBorders>
          </w:tcPr>
          <w:p>
            <w:pPr>
              <w:spacing w:after="0"/>
              <w:rPr>
                <w:sz w:val="17"/>
                <w:szCs w:val="17"/>
                <w:color w:val="auto"/>
              </w:rPr>
            </w:pPr>
          </w:p>
        </w:tc>
      </w:tr>
      <w:tr>
        <w:trPr>
          <w:trHeight w:val="178"/>
        </w:trPr>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Percent of</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Percent of</w:t>
            </w:r>
          </w:p>
        </w:tc>
        <w:tc>
          <w:tcPr>
            <w:tcW w:w="960" w:type="dxa"/>
            <w:vAlign w:val="bottom"/>
          </w:tcPr>
          <w:p>
            <w:pPr>
              <w:spacing w:after="0"/>
              <w:rPr>
                <w:sz w:val="15"/>
                <w:szCs w:val="15"/>
                <w:color w:val="auto"/>
              </w:rPr>
            </w:pPr>
          </w:p>
        </w:tc>
      </w:tr>
      <w:tr>
        <w:trPr>
          <w:trHeight w:val="235"/>
        </w:trPr>
        <w:tc>
          <w:tcPr>
            <w:tcW w:w="262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0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0"/>
              <w:spacing w:after="0" w:line="235" w:lineRule="exact"/>
              <w:rPr>
                <w:sz w:val="20"/>
                <w:szCs w:val="20"/>
                <w:color w:val="auto"/>
              </w:rPr>
            </w:pPr>
            <w:r>
              <w:rPr>
                <w:rFonts w:ascii="Arial" w:cs="Arial" w:eastAsia="Arial" w:hAnsi="Arial"/>
                <w:sz w:val="14"/>
                <w:szCs w:val="14"/>
                <w:b w:val="1"/>
                <w:bCs w:val="1"/>
                <w:color w:val="auto"/>
              </w:rPr>
              <w:t>Revenue</w:t>
            </w:r>
            <w:r>
              <w:rPr>
                <w:rFonts w:ascii="Arial" w:cs="Arial" w:eastAsia="Arial" w:hAnsi="Arial"/>
                <w:sz w:val="21"/>
                <w:szCs w:val="21"/>
                <w:b w:val="1"/>
                <w:bCs w:val="1"/>
                <w:color w:val="auto"/>
                <w:vertAlign w:val="superscript"/>
              </w:rPr>
              <w:t>(1)</w:t>
            </w:r>
          </w:p>
        </w:tc>
        <w:tc>
          <w:tcPr>
            <w:tcW w:w="1400" w:type="dxa"/>
            <w:vAlign w:val="bottom"/>
            <w:gridSpan w:val="3"/>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b w:val="1"/>
                <w:bCs w:val="1"/>
                <w:color w:val="auto"/>
              </w:rPr>
              <w:t>Revenue</w:t>
            </w:r>
          </w:p>
        </w:tc>
        <w:tc>
          <w:tcPr>
            <w:tcW w:w="160" w:type="dxa"/>
            <w:vAlign w:val="bottom"/>
          </w:tcPr>
          <w:p>
            <w:pPr>
              <w:spacing w:after="0"/>
              <w:rPr>
                <w:sz w:val="20"/>
                <w:szCs w:val="20"/>
                <w:color w:val="auto"/>
              </w:rPr>
            </w:pPr>
          </w:p>
        </w:tc>
        <w:tc>
          <w:tcPr>
            <w:tcW w:w="1180" w:type="dxa"/>
            <w:vAlign w:val="bottom"/>
            <w:gridSpan w:val="2"/>
          </w:tcPr>
          <w:p>
            <w:pPr>
              <w:ind w:left="40"/>
              <w:spacing w:after="0" w:line="235" w:lineRule="exact"/>
              <w:rPr>
                <w:sz w:val="20"/>
                <w:szCs w:val="20"/>
                <w:color w:val="auto"/>
              </w:rPr>
            </w:pPr>
            <w:r>
              <w:rPr>
                <w:rFonts w:ascii="Arial" w:cs="Arial" w:eastAsia="Arial" w:hAnsi="Arial"/>
                <w:sz w:val="14"/>
                <w:szCs w:val="14"/>
                <w:b w:val="1"/>
                <w:bCs w:val="1"/>
                <w:color w:val="auto"/>
              </w:rPr>
              <w:t>Gross Profit</w:t>
            </w:r>
            <w:r>
              <w:rPr>
                <w:rFonts w:ascii="Arial" w:cs="Arial" w:eastAsia="Arial" w:hAnsi="Arial"/>
                <w:sz w:val="21"/>
                <w:szCs w:val="21"/>
                <w:b w:val="1"/>
                <w:bCs w:val="1"/>
                <w:color w:val="auto"/>
                <w:vertAlign w:val="superscript"/>
              </w:rPr>
              <w:t>(2)</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Gross Profit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Gross Margin</w:t>
            </w:r>
          </w:p>
        </w:tc>
      </w:tr>
      <w:tr>
        <w:trPr>
          <w:trHeight w:val="196"/>
        </w:trPr>
        <w:tc>
          <w:tcPr>
            <w:tcW w:w="26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Good Sam Services and Plans</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199,751</w:t>
            </w:r>
          </w:p>
        </w:tc>
        <w:tc>
          <w:tcPr>
            <w:tcW w:w="2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115,550</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w:t>
            </w:r>
          </w:p>
        </w:tc>
      </w:tr>
      <w:tr>
        <w:trPr>
          <w:trHeight w:val="203"/>
        </w:trPr>
        <w:tc>
          <w:tcPr>
            <w:tcW w:w="2620" w:type="dxa"/>
            <w:vAlign w:val="bottom"/>
          </w:tcPr>
          <w:p>
            <w:pPr>
              <w:ind w:left="120"/>
              <w:spacing w:after="0"/>
              <w:rPr>
                <w:sz w:val="20"/>
                <w:szCs w:val="20"/>
                <w:color w:val="auto"/>
              </w:rPr>
            </w:pPr>
            <w:r>
              <w:rPr>
                <w:rFonts w:ascii="Arial" w:cs="Arial" w:eastAsia="Arial" w:hAnsi="Arial"/>
                <w:sz w:val="16"/>
                <w:szCs w:val="16"/>
                <w:color w:val="auto"/>
              </w:rPr>
              <w:t>New vehicles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2,761,149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43.4%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364,908</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03"/>
        </w:trPr>
        <w:tc>
          <w:tcPr>
            <w:tcW w:w="2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Used vehicles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1,970,224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364,992</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03"/>
        </w:trPr>
        <w:tc>
          <w:tcPr>
            <w:tcW w:w="2620" w:type="dxa"/>
            <w:vAlign w:val="bottom"/>
          </w:tcPr>
          <w:p>
            <w:pPr>
              <w:ind w:left="120"/>
              <w:spacing w:after="0"/>
              <w:rPr>
                <w:sz w:val="20"/>
                <w:szCs w:val="20"/>
                <w:color w:val="auto"/>
              </w:rPr>
            </w:pPr>
            <w:r>
              <w:rPr>
                <w:rFonts w:ascii="Arial" w:cs="Arial" w:eastAsia="Arial" w:hAnsi="Arial"/>
                <w:sz w:val="16"/>
                <w:szCs w:val="16"/>
                <w:color w:val="auto"/>
              </w:rPr>
              <w:t>Products, service and other</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756,984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11.9%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355,386</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46.9%</w:t>
            </w:r>
          </w:p>
        </w:tc>
      </w:tr>
      <w:tr>
        <w:trPr>
          <w:trHeight w:val="203"/>
        </w:trPr>
        <w:tc>
          <w:tcPr>
            <w:tcW w:w="2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and insurance, net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639,544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639,544</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3"/>
        </w:trPr>
        <w:tc>
          <w:tcPr>
            <w:tcW w:w="2620" w:type="dxa"/>
            <w:vAlign w:val="bottom"/>
          </w:tcPr>
          <w:p>
            <w:pPr>
              <w:ind w:left="120"/>
              <w:spacing w:after="0"/>
              <w:rPr>
                <w:sz w:val="20"/>
                <w:szCs w:val="20"/>
                <w:color w:val="auto"/>
              </w:rPr>
            </w:pPr>
            <w:r>
              <w:rPr>
                <w:rFonts w:ascii="Arial" w:cs="Arial" w:eastAsia="Arial" w:hAnsi="Arial"/>
                <w:sz w:val="16"/>
                <w:szCs w:val="16"/>
                <w:color w:val="auto"/>
              </w:rPr>
              <w:t>Good Sam Club</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41,497</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36,772</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88.6%</w:t>
            </w:r>
          </w:p>
        </w:tc>
      </w:tr>
      <w:tr>
        <w:trPr>
          <w:trHeight w:val="196"/>
        </w:trPr>
        <w:tc>
          <w:tcPr>
            <w:tcW w:w="2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6,369,149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1,877,152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r>
      <w:tr>
        <w:trPr>
          <w:trHeight w:val="20"/>
        </w:trPr>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(1)Components of revenue are presented after intersegment eliminations.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(2)Gross profit is presented exclusive of depreciation and amortization, which is presented separately in operating expenses.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 Sam Services and Plans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Good Sam Services and Plans segment consists of programs, plans and services that are geared towards protecting, insuring and promoting the RV &amp; travel lifestyles, and include services such as extended vehicle service contracts, vehicle roadside assistance, property and casualty insurance, travel protection, travel planning and directories, and publications. Because our Good Sam protection plans and programs are often purchased to cover a multiple-year period and are renewable, this area of our business tends to generate high-margin, recurring revenue that is driven both by new and used RV purchases, the installed base of RV owners in the United States, and, more broadly, travelers across any vehicle type. We believe this highly specialized product offering has significant potential to penetrate broader parts of the recreational market, including boating or other powersports, to further empower our customers’ joy of travel, recreation and the outdoors.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Good Sam Services and Plans segment offerings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154940</wp:posOffset>
            </wp:positionV>
            <wp:extent cx="5648960" cy="2237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2237105"/>
                    </a:xfrm>
                    <a:prstGeom prst="rect">
                      <a:avLst/>
                    </a:prstGeom>
                    <a:noFill/>
                  </pic:spPr>
                </pic:pic>
              </a:graphicData>
            </a:graphic>
          </wp:anchor>
        </w:drawing>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FFFF"/>
        </w:rPr>
        <w:t>Protection Programs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Ensuring travelers’ safety and financial security with comprehensive assistance and protection plans.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97"/>
        </w:trPr>
        <w:tc>
          <w:tcPr>
            <w:tcW w:w="560" w:type="dxa"/>
            <w:vAlign w:val="bottom"/>
            <w:tcBorders>
              <w:top w:val="single" w:sz="8" w:color="D9D9D9"/>
            </w:tcBorders>
          </w:tcPr>
          <w:p>
            <w:pPr>
              <w:spacing w:after="0"/>
              <w:rPr>
                <w:sz w:val="24"/>
                <w:szCs w:val="24"/>
                <w:color w:val="auto"/>
              </w:rPr>
            </w:pPr>
          </w:p>
        </w:tc>
        <w:tc>
          <w:tcPr>
            <w:tcW w:w="2420" w:type="dxa"/>
            <w:vAlign w:val="bottom"/>
            <w:tcBorders>
              <w:top w:val="single" w:sz="8" w:color="D9D9D9"/>
              <w:right w:val="single" w:sz="8" w:color="D9D9D9"/>
            </w:tcBorders>
            <w:gridSpan w:val="2"/>
          </w:tcPr>
          <w:p>
            <w:pPr>
              <w:jc w:val="center"/>
              <w:ind w:right="560"/>
              <w:spacing w:after="0"/>
              <w:rPr>
                <w:sz w:val="20"/>
                <w:szCs w:val="20"/>
                <w:color w:val="auto"/>
              </w:rPr>
            </w:pPr>
            <w:r>
              <w:rPr>
                <w:rFonts w:ascii="Arial" w:cs="Arial" w:eastAsia="Arial" w:hAnsi="Arial"/>
                <w:sz w:val="18"/>
                <w:szCs w:val="18"/>
                <w:b w:val="1"/>
                <w:bCs w:val="1"/>
                <w:color w:val="auto"/>
                <w:w w:val="99"/>
              </w:rPr>
              <w:t>Emergency Programs</w:t>
            </w:r>
          </w:p>
        </w:tc>
        <w:tc>
          <w:tcPr>
            <w:tcW w:w="160" w:type="dxa"/>
            <w:vAlign w:val="bottom"/>
            <w:tcBorders>
              <w:top w:val="single" w:sz="8" w:color="D9D9D9"/>
            </w:tcBorders>
          </w:tcPr>
          <w:p>
            <w:pPr>
              <w:spacing w:after="0"/>
              <w:rPr>
                <w:sz w:val="24"/>
                <w:szCs w:val="24"/>
                <w:color w:val="auto"/>
              </w:rPr>
            </w:pPr>
          </w:p>
        </w:tc>
        <w:tc>
          <w:tcPr>
            <w:tcW w:w="2800" w:type="dxa"/>
            <w:vAlign w:val="bottom"/>
            <w:tcBorders>
              <w:top w:val="single" w:sz="8" w:color="D9D9D9"/>
              <w:right w:val="single" w:sz="8" w:color="D9D9D9"/>
            </w:tcBorders>
            <w:gridSpan w:val="2"/>
          </w:tcPr>
          <w:p>
            <w:pPr>
              <w:jc w:val="center"/>
              <w:ind w:right="180"/>
              <w:spacing w:after="0"/>
              <w:rPr>
                <w:sz w:val="20"/>
                <w:szCs w:val="20"/>
                <w:color w:val="auto"/>
              </w:rPr>
            </w:pPr>
            <w:r>
              <w:rPr>
                <w:rFonts w:ascii="Arial" w:cs="Arial" w:eastAsia="Arial" w:hAnsi="Arial"/>
                <w:sz w:val="18"/>
                <w:szCs w:val="18"/>
                <w:b w:val="1"/>
                <w:bCs w:val="1"/>
                <w:color w:val="auto"/>
              </w:rPr>
              <w:t>Financial Protection Programs</w:t>
            </w:r>
          </w:p>
        </w:tc>
        <w:tc>
          <w:tcPr>
            <w:tcW w:w="2960" w:type="dxa"/>
            <w:vAlign w:val="bottom"/>
            <w:tcBorders>
              <w:top w:val="single" w:sz="8" w:color="D9D9D9"/>
            </w:tcBorders>
            <w:gridSpan w:val="3"/>
          </w:tcPr>
          <w:p>
            <w:pPr>
              <w:jc w:val="center"/>
              <w:ind w:right="20"/>
              <w:spacing w:after="0"/>
              <w:rPr>
                <w:sz w:val="20"/>
                <w:szCs w:val="20"/>
                <w:color w:val="auto"/>
              </w:rPr>
            </w:pPr>
            <w:r>
              <w:rPr>
                <w:rFonts w:ascii="Arial" w:cs="Arial" w:eastAsia="Arial" w:hAnsi="Arial"/>
                <w:sz w:val="18"/>
                <w:szCs w:val="18"/>
                <w:b w:val="1"/>
                <w:bCs w:val="1"/>
                <w:color w:val="auto"/>
                <w:w w:val="99"/>
              </w:rPr>
              <w:t>Tire &amp; Maintenance Programs</w:t>
            </w:r>
          </w:p>
        </w:tc>
      </w:tr>
      <w:tr>
        <w:trPr>
          <w:trHeight w:val="20"/>
        </w:trPr>
        <w:tc>
          <w:tcPr>
            <w:tcW w:w="5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560" w:type="dxa"/>
            <w:vAlign w:val="bottom"/>
            <w:tcBorders>
              <w:right w:val="single" w:sz="8" w:color="D9D9D9"/>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80" w:type="dxa"/>
            <w:vAlign w:val="bottom"/>
            <w:tcBorders>
              <w:right w:val="single" w:sz="8" w:color="D9D9D9"/>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2"/>
        </w:trPr>
        <w:tc>
          <w:tcPr>
            <w:tcW w:w="2980" w:type="dxa"/>
            <w:vAlign w:val="bottom"/>
            <w:tcBorders>
              <w:right w:val="single" w:sz="8" w:color="D9D9D9"/>
            </w:tcBorders>
            <w:gridSpan w:val="3"/>
          </w:tcPr>
          <w:p>
            <w:pPr>
              <w:jc w:val="center"/>
              <w:spacing w:after="0"/>
              <w:rPr>
                <w:sz w:val="20"/>
                <w:szCs w:val="20"/>
                <w:color w:val="auto"/>
              </w:rPr>
            </w:pPr>
            <w:r>
              <w:rPr>
                <w:rFonts w:ascii="Arial" w:cs="Arial" w:eastAsia="Arial" w:hAnsi="Arial"/>
                <w:sz w:val="18"/>
                <w:szCs w:val="18"/>
                <w:color w:val="auto"/>
                <w:w w:val="99"/>
              </w:rPr>
              <w:t>Provide immediate aid in critical</w:t>
            </w:r>
          </w:p>
        </w:tc>
        <w:tc>
          <w:tcPr>
            <w:tcW w:w="160" w:type="dxa"/>
            <w:vAlign w:val="bottom"/>
          </w:tcPr>
          <w:p>
            <w:pPr>
              <w:spacing w:after="0"/>
              <w:rPr>
                <w:sz w:val="23"/>
                <w:szCs w:val="23"/>
                <w:color w:val="auto"/>
              </w:rPr>
            </w:pPr>
          </w:p>
        </w:tc>
        <w:tc>
          <w:tcPr>
            <w:tcW w:w="2800" w:type="dxa"/>
            <w:vAlign w:val="bottom"/>
            <w:tcBorders>
              <w:right w:val="single" w:sz="8" w:color="D9D9D9"/>
            </w:tcBorders>
            <w:gridSpan w:val="2"/>
          </w:tcPr>
          <w:p>
            <w:pPr>
              <w:jc w:val="center"/>
              <w:ind w:right="180"/>
              <w:spacing w:after="0"/>
              <w:rPr>
                <w:sz w:val="20"/>
                <w:szCs w:val="20"/>
                <w:color w:val="auto"/>
              </w:rPr>
            </w:pPr>
            <w:r>
              <w:rPr>
                <w:rFonts w:ascii="Arial" w:cs="Arial" w:eastAsia="Arial" w:hAnsi="Arial"/>
                <w:sz w:val="18"/>
                <w:szCs w:val="18"/>
                <w:color w:val="auto"/>
              </w:rPr>
              <w:t>Offer financial security against</w:t>
            </w:r>
          </w:p>
        </w:tc>
        <w:tc>
          <w:tcPr>
            <w:tcW w:w="200" w:type="dxa"/>
            <w:vAlign w:val="bottom"/>
          </w:tcPr>
          <w:p>
            <w:pPr>
              <w:spacing w:after="0"/>
              <w:rPr>
                <w:sz w:val="23"/>
                <w:szCs w:val="23"/>
                <w:color w:val="auto"/>
              </w:rPr>
            </w:pPr>
          </w:p>
        </w:tc>
        <w:tc>
          <w:tcPr>
            <w:tcW w:w="2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Focus on preventative</w:t>
            </w:r>
          </w:p>
        </w:tc>
      </w:tr>
      <w:tr>
        <w:trPr>
          <w:trHeight w:val="216"/>
        </w:trPr>
        <w:tc>
          <w:tcPr>
            <w:tcW w:w="2980" w:type="dxa"/>
            <w:vAlign w:val="bottom"/>
            <w:tcBorders>
              <w:right w:val="single" w:sz="8" w:color="D9D9D9"/>
            </w:tcBorders>
            <w:gridSpan w:val="3"/>
          </w:tcPr>
          <w:p>
            <w:pPr>
              <w:jc w:val="center"/>
              <w:spacing w:after="0"/>
              <w:rPr>
                <w:sz w:val="20"/>
                <w:szCs w:val="20"/>
                <w:color w:val="auto"/>
              </w:rPr>
            </w:pPr>
            <w:r>
              <w:rPr>
                <w:rFonts w:ascii="Arial" w:cs="Arial" w:eastAsia="Arial" w:hAnsi="Arial"/>
                <w:sz w:val="18"/>
                <w:szCs w:val="18"/>
                <w:color w:val="auto"/>
                <w:w w:val="99"/>
              </w:rPr>
              <w:t>situations, including Roadside</w:t>
            </w:r>
          </w:p>
        </w:tc>
        <w:tc>
          <w:tcPr>
            <w:tcW w:w="160" w:type="dxa"/>
            <w:vAlign w:val="bottom"/>
          </w:tcPr>
          <w:p>
            <w:pPr>
              <w:spacing w:after="0"/>
              <w:rPr>
                <w:sz w:val="18"/>
                <w:szCs w:val="18"/>
                <w:color w:val="auto"/>
              </w:rPr>
            </w:pPr>
          </w:p>
        </w:tc>
        <w:tc>
          <w:tcPr>
            <w:tcW w:w="2800" w:type="dxa"/>
            <w:vAlign w:val="bottom"/>
            <w:tcBorders>
              <w:right w:val="single" w:sz="8" w:color="D9D9D9"/>
            </w:tcBorders>
            <w:gridSpan w:val="2"/>
          </w:tcPr>
          <w:p>
            <w:pPr>
              <w:jc w:val="center"/>
              <w:ind w:right="160"/>
              <w:spacing w:after="0"/>
              <w:rPr>
                <w:sz w:val="20"/>
                <w:szCs w:val="20"/>
                <w:color w:val="auto"/>
              </w:rPr>
            </w:pPr>
            <w:r>
              <w:rPr>
                <w:rFonts w:ascii="Arial" w:cs="Arial" w:eastAsia="Arial" w:hAnsi="Arial"/>
                <w:sz w:val="18"/>
                <w:szCs w:val="18"/>
                <w:color w:val="auto"/>
                <w:w w:val="99"/>
              </w:rPr>
              <w:t>unexpected events,</w:t>
            </w:r>
          </w:p>
        </w:tc>
        <w:tc>
          <w:tcPr>
            <w:tcW w:w="200" w:type="dxa"/>
            <w:vAlign w:val="bottom"/>
          </w:tcPr>
          <w:p>
            <w:pPr>
              <w:spacing w:after="0"/>
              <w:rPr>
                <w:sz w:val="18"/>
                <w:szCs w:val="18"/>
                <w:color w:val="auto"/>
              </w:rPr>
            </w:pPr>
          </w:p>
        </w:tc>
        <w:tc>
          <w:tcPr>
            <w:tcW w:w="2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maintenance and tire care,</w:t>
            </w:r>
          </w:p>
        </w:tc>
      </w:tr>
      <w:tr>
        <w:trPr>
          <w:trHeight w:val="203"/>
        </w:trPr>
        <w:tc>
          <w:tcPr>
            <w:tcW w:w="2980" w:type="dxa"/>
            <w:vAlign w:val="bottom"/>
            <w:tcBorders>
              <w:right w:val="single" w:sz="8" w:color="D9D9D9"/>
            </w:tcBorders>
            <w:gridSpan w:val="3"/>
          </w:tcPr>
          <w:p>
            <w:pPr>
              <w:jc w:val="center"/>
              <w:spacing w:after="0" w:line="202" w:lineRule="exact"/>
              <w:rPr>
                <w:sz w:val="20"/>
                <w:szCs w:val="20"/>
                <w:color w:val="auto"/>
              </w:rPr>
            </w:pPr>
            <w:r>
              <w:rPr>
                <w:rFonts w:ascii="Arial" w:cs="Arial" w:eastAsia="Arial" w:hAnsi="Arial"/>
                <w:sz w:val="18"/>
                <w:szCs w:val="18"/>
                <w:color w:val="auto"/>
                <w:w w:val="99"/>
              </w:rPr>
              <w:t>Assistance and Tire Rescue for</w:t>
            </w:r>
          </w:p>
        </w:tc>
        <w:tc>
          <w:tcPr>
            <w:tcW w:w="2960" w:type="dxa"/>
            <w:vAlign w:val="bottom"/>
            <w:tcBorders>
              <w:right w:val="single" w:sz="8" w:color="D9D9D9"/>
            </w:tcBorders>
            <w:gridSpan w:val="3"/>
          </w:tcPr>
          <w:p>
            <w:pPr>
              <w:jc w:val="center"/>
              <w:ind w:right="20"/>
              <w:spacing w:after="0" w:line="202" w:lineRule="exact"/>
              <w:rPr>
                <w:sz w:val="20"/>
                <w:szCs w:val="20"/>
                <w:color w:val="auto"/>
              </w:rPr>
            </w:pPr>
            <w:r>
              <w:rPr>
                <w:rFonts w:ascii="Arial" w:cs="Arial" w:eastAsia="Arial" w:hAnsi="Arial"/>
                <w:sz w:val="18"/>
                <w:szCs w:val="18"/>
                <w:color w:val="auto"/>
                <w:w w:val="99"/>
              </w:rPr>
              <w:t>encompassing Extended Service</w:t>
            </w:r>
          </w:p>
        </w:tc>
        <w:tc>
          <w:tcPr>
            <w:tcW w:w="200" w:type="dxa"/>
            <w:vAlign w:val="bottom"/>
          </w:tcPr>
          <w:p>
            <w:pPr>
              <w:spacing w:after="0"/>
              <w:rPr>
                <w:sz w:val="17"/>
                <w:szCs w:val="17"/>
                <w:color w:val="auto"/>
              </w:rPr>
            </w:pPr>
          </w:p>
        </w:tc>
        <w:tc>
          <w:tcPr>
            <w:tcW w:w="276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featuring roof vehicle service</w:t>
            </w:r>
          </w:p>
        </w:tc>
      </w:tr>
      <w:tr>
        <w:trPr>
          <w:trHeight w:val="216"/>
        </w:trPr>
        <w:tc>
          <w:tcPr>
            <w:tcW w:w="560" w:type="dxa"/>
            <w:vAlign w:val="bottom"/>
          </w:tcPr>
          <w:p>
            <w:pPr>
              <w:spacing w:after="0"/>
              <w:rPr>
                <w:sz w:val="18"/>
                <w:szCs w:val="18"/>
                <w:color w:val="auto"/>
              </w:rPr>
            </w:pPr>
          </w:p>
        </w:tc>
        <w:tc>
          <w:tcPr>
            <w:tcW w:w="2420" w:type="dxa"/>
            <w:vAlign w:val="bottom"/>
            <w:tcBorders>
              <w:right w:val="single" w:sz="8" w:color="D9D9D9"/>
            </w:tcBorders>
            <w:gridSpan w:val="2"/>
          </w:tcPr>
          <w:p>
            <w:pPr>
              <w:jc w:val="center"/>
              <w:ind w:right="540"/>
              <w:spacing w:after="0"/>
              <w:rPr>
                <w:sz w:val="20"/>
                <w:szCs w:val="20"/>
                <w:color w:val="auto"/>
              </w:rPr>
            </w:pPr>
            <w:r>
              <w:rPr>
                <w:rFonts w:ascii="Arial" w:cs="Arial" w:eastAsia="Arial" w:hAnsi="Arial"/>
                <w:sz w:val="18"/>
                <w:szCs w:val="18"/>
                <w:color w:val="auto"/>
                <w:w w:val="99"/>
              </w:rPr>
              <w:t>on-the-road issues and</w:t>
            </w:r>
          </w:p>
        </w:tc>
        <w:tc>
          <w:tcPr>
            <w:tcW w:w="2960" w:type="dxa"/>
            <w:vAlign w:val="bottom"/>
            <w:tcBorders>
              <w:right w:val="single" w:sz="8" w:color="D9D9D9"/>
            </w:tcBorders>
            <w:gridSpan w:val="3"/>
          </w:tcPr>
          <w:p>
            <w:pPr>
              <w:jc w:val="center"/>
              <w:ind w:right="20"/>
              <w:spacing w:after="0"/>
              <w:rPr>
                <w:sz w:val="20"/>
                <w:szCs w:val="20"/>
                <w:color w:val="auto"/>
              </w:rPr>
            </w:pPr>
            <w:r>
              <w:rPr>
                <w:rFonts w:ascii="Arial" w:cs="Arial" w:eastAsia="Arial" w:hAnsi="Arial"/>
                <w:sz w:val="18"/>
                <w:szCs w:val="18"/>
                <w:color w:val="auto"/>
                <w:w w:val="99"/>
              </w:rPr>
              <w:t>Plans for RV maintenance, Good</w:t>
            </w:r>
          </w:p>
        </w:tc>
        <w:tc>
          <w:tcPr>
            <w:tcW w:w="296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contracts, Paint &amp; Fab to maintain</w:t>
            </w:r>
          </w:p>
        </w:tc>
      </w:tr>
      <w:tr>
        <w:trPr>
          <w:trHeight w:val="216"/>
        </w:trPr>
        <w:tc>
          <w:tcPr>
            <w:tcW w:w="2980" w:type="dxa"/>
            <w:vAlign w:val="bottom"/>
            <w:tcBorders>
              <w:right w:val="single" w:sz="8" w:color="D9D9D9"/>
            </w:tcBorders>
            <w:gridSpan w:val="3"/>
          </w:tcPr>
          <w:p>
            <w:pPr>
              <w:jc w:val="center"/>
              <w:spacing w:after="0"/>
              <w:rPr>
                <w:sz w:val="20"/>
                <w:szCs w:val="20"/>
                <w:color w:val="auto"/>
              </w:rPr>
            </w:pPr>
            <w:r>
              <w:rPr>
                <w:rFonts w:ascii="Arial" w:cs="Arial" w:eastAsia="Arial" w:hAnsi="Arial"/>
                <w:sz w:val="18"/>
                <w:szCs w:val="18"/>
                <w:color w:val="auto"/>
                <w:w w:val="99"/>
              </w:rPr>
              <w:t>TravelAssist for medical</w:t>
            </w:r>
          </w:p>
        </w:tc>
        <w:tc>
          <w:tcPr>
            <w:tcW w:w="160" w:type="dxa"/>
            <w:vAlign w:val="bottom"/>
          </w:tcPr>
          <w:p>
            <w:pPr>
              <w:spacing w:after="0"/>
              <w:rPr>
                <w:sz w:val="18"/>
                <w:szCs w:val="18"/>
                <w:color w:val="auto"/>
              </w:rPr>
            </w:pPr>
          </w:p>
        </w:tc>
        <w:tc>
          <w:tcPr>
            <w:tcW w:w="2800" w:type="dxa"/>
            <w:vAlign w:val="bottom"/>
            <w:tcBorders>
              <w:right w:val="single" w:sz="8" w:color="D9D9D9"/>
            </w:tcBorders>
            <w:gridSpan w:val="2"/>
          </w:tcPr>
          <w:p>
            <w:pPr>
              <w:jc w:val="center"/>
              <w:ind w:right="160"/>
              <w:spacing w:after="0"/>
              <w:rPr>
                <w:sz w:val="20"/>
                <w:szCs w:val="20"/>
                <w:color w:val="auto"/>
              </w:rPr>
            </w:pPr>
            <w:r>
              <w:rPr>
                <w:rFonts w:ascii="Arial" w:cs="Arial" w:eastAsia="Arial" w:hAnsi="Arial"/>
                <w:sz w:val="18"/>
                <w:szCs w:val="18"/>
                <w:color w:val="auto"/>
                <w:w w:val="99"/>
              </w:rPr>
              <w:t>Sam Insurance Agency for</w:t>
            </w:r>
          </w:p>
        </w:tc>
        <w:tc>
          <w:tcPr>
            <w:tcW w:w="200" w:type="dxa"/>
            <w:vAlign w:val="bottom"/>
          </w:tcPr>
          <w:p>
            <w:pPr>
              <w:spacing w:after="0"/>
              <w:rPr>
                <w:sz w:val="18"/>
                <w:szCs w:val="18"/>
                <w:color w:val="auto"/>
              </w:rPr>
            </w:pPr>
          </w:p>
        </w:tc>
        <w:tc>
          <w:tcPr>
            <w:tcW w:w="2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the visual aesthetic, and Tire &amp;</w:t>
            </w:r>
          </w:p>
        </w:tc>
      </w:tr>
      <w:tr>
        <w:trPr>
          <w:trHeight w:val="216"/>
        </w:trPr>
        <w:tc>
          <w:tcPr>
            <w:tcW w:w="2980" w:type="dxa"/>
            <w:vAlign w:val="bottom"/>
            <w:tcBorders>
              <w:right w:val="single" w:sz="8" w:color="D9D9D9"/>
            </w:tcBorders>
            <w:gridSpan w:val="3"/>
          </w:tcPr>
          <w:p>
            <w:pPr>
              <w:jc w:val="center"/>
              <w:spacing w:after="0"/>
              <w:rPr>
                <w:sz w:val="20"/>
                <w:szCs w:val="20"/>
                <w:color w:val="auto"/>
              </w:rPr>
            </w:pPr>
            <w:r>
              <w:rPr>
                <w:rFonts w:ascii="Arial" w:cs="Arial" w:eastAsia="Arial" w:hAnsi="Arial"/>
                <w:sz w:val="18"/>
                <w:szCs w:val="18"/>
                <w:color w:val="auto"/>
                <w:w w:val="99"/>
              </w:rPr>
              <w:t>emergencies during travel.</w:t>
            </w:r>
          </w:p>
        </w:tc>
        <w:tc>
          <w:tcPr>
            <w:tcW w:w="160" w:type="dxa"/>
            <w:vAlign w:val="bottom"/>
          </w:tcPr>
          <w:p>
            <w:pPr>
              <w:spacing w:after="0"/>
              <w:rPr>
                <w:sz w:val="18"/>
                <w:szCs w:val="18"/>
                <w:color w:val="auto"/>
              </w:rPr>
            </w:pPr>
          </w:p>
        </w:tc>
        <w:tc>
          <w:tcPr>
            <w:tcW w:w="2800" w:type="dxa"/>
            <w:vAlign w:val="bottom"/>
            <w:tcBorders>
              <w:right w:val="single" w:sz="8" w:color="D9D9D9"/>
            </w:tcBorders>
            <w:gridSpan w:val="2"/>
          </w:tcPr>
          <w:p>
            <w:pPr>
              <w:jc w:val="center"/>
              <w:ind w:right="180"/>
              <w:spacing w:after="0"/>
              <w:rPr>
                <w:sz w:val="20"/>
                <w:szCs w:val="20"/>
                <w:color w:val="auto"/>
              </w:rPr>
            </w:pPr>
            <w:r>
              <w:rPr>
                <w:rFonts w:ascii="Arial" w:cs="Arial" w:eastAsia="Arial" w:hAnsi="Arial"/>
                <w:sz w:val="18"/>
                <w:szCs w:val="18"/>
                <w:color w:val="auto"/>
                <w:w w:val="99"/>
              </w:rPr>
              <w:t>tailored insurance solutions,</w:t>
            </w:r>
          </w:p>
        </w:tc>
        <w:tc>
          <w:tcPr>
            <w:tcW w:w="200" w:type="dxa"/>
            <w:vAlign w:val="bottom"/>
          </w:tcPr>
          <w:p>
            <w:pPr>
              <w:spacing w:after="0"/>
              <w:rPr>
                <w:sz w:val="18"/>
                <w:szCs w:val="18"/>
                <w:color w:val="auto"/>
              </w:rPr>
            </w:pPr>
          </w:p>
        </w:tc>
        <w:tc>
          <w:tcPr>
            <w:tcW w:w="2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Wheel Protection to safeguard</w:t>
            </w:r>
          </w:p>
        </w:tc>
      </w:tr>
      <w:tr>
        <w:trPr>
          <w:trHeight w:val="216"/>
        </w:trPr>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60" w:type="dxa"/>
            <w:vAlign w:val="bottom"/>
            <w:tcBorders>
              <w:right w:val="single" w:sz="8" w:color="D9D9D9"/>
            </w:tcBorders>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Borders>
              <w:right w:val="single" w:sz="8" w:color="D9D9D9"/>
            </w:tcBorders>
            <w:gridSpan w:val="2"/>
          </w:tcPr>
          <w:p>
            <w:pPr>
              <w:jc w:val="center"/>
              <w:ind w:right="180"/>
              <w:spacing w:after="0"/>
              <w:rPr>
                <w:sz w:val="20"/>
                <w:szCs w:val="20"/>
                <w:color w:val="auto"/>
              </w:rPr>
            </w:pPr>
            <w:r>
              <w:rPr>
                <w:rFonts w:ascii="Arial" w:cs="Arial" w:eastAsia="Arial" w:hAnsi="Arial"/>
                <w:sz w:val="18"/>
                <w:szCs w:val="18"/>
                <w:color w:val="auto"/>
                <w:w w:val="99"/>
              </w:rPr>
              <w:t>Guaranteed Asset Protection</w:t>
            </w:r>
          </w:p>
        </w:tc>
        <w:tc>
          <w:tcPr>
            <w:tcW w:w="2960" w:type="dxa"/>
            <w:vAlign w:val="bottom"/>
            <w:gridSpan w:val="3"/>
          </w:tcPr>
          <w:p>
            <w:pPr>
              <w:jc w:val="center"/>
              <w:spacing w:after="0"/>
              <w:rPr>
                <w:sz w:val="20"/>
                <w:szCs w:val="20"/>
                <w:color w:val="auto"/>
              </w:rPr>
            </w:pPr>
            <w:r>
              <w:rPr>
                <w:rFonts w:ascii="Arial" w:cs="Arial" w:eastAsia="Arial" w:hAnsi="Arial"/>
                <w:sz w:val="18"/>
                <w:szCs w:val="18"/>
                <w:color w:val="auto"/>
                <w:w w:val="99"/>
              </w:rPr>
              <w:t>against tire-related mishaps and</w:t>
            </w:r>
          </w:p>
        </w:tc>
      </w:tr>
      <w:tr>
        <w:trPr>
          <w:trHeight w:val="216"/>
        </w:trPr>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60" w:type="dxa"/>
            <w:vAlign w:val="bottom"/>
            <w:tcBorders>
              <w:right w:val="single" w:sz="8" w:color="D9D9D9"/>
            </w:tcBorders>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Borders>
              <w:right w:val="single" w:sz="8" w:color="D9D9D9"/>
            </w:tcBorders>
            <w:gridSpan w:val="2"/>
          </w:tcPr>
          <w:p>
            <w:pPr>
              <w:jc w:val="center"/>
              <w:ind w:right="160"/>
              <w:spacing w:after="0"/>
              <w:rPr>
                <w:sz w:val="20"/>
                <w:szCs w:val="20"/>
                <w:color w:val="auto"/>
              </w:rPr>
            </w:pPr>
            <w:r>
              <w:rPr>
                <w:rFonts w:ascii="Arial" w:cs="Arial" w:eastAsia="Arial" w:hAnsi="Arial"/>
                <w:sz w:val="18"/>
                <w:szCs w:val="18"/>
                <w:color w:val="auto"/>
                <w:w w:val="99"/>
              </w:rPr>
              <w:t>(“GAP”) Insurance, Windshield</w:t>
            </w:r>
          </w:p>
        </w:tc>
        <w:tc>
          <w:tcPr>
            <w:tcW w:w="2960" w:type="dxa"/>
            <w:vAlign w:val="bottom"/>
            <w:gridSpan w:val="3"/>
          </w:tcPr>
          <w:p>
            <w:pPr>
              <w:jc w:val="center"/>
              <w:spacing w:after="0"/>
              <w:rPr>
                <w:sz w:val="20"/>
                <w:szCs w:val="20"/>
                <w:color w:val="auto"/>
              </w:rPr>
            </w:pPr>
            <w:r>
              <w:rPr>
                <w:rFonts w:ascii="Arial" w:cs="Arial" w:eastAsia="Arial" w:hAnsi="Arial"/>
                <w:sz w:val="18"/>
                <w:szCs w:val="18"/>
                <w:color w:val="auto"/>
                <w:w w:val="99"/>
              </w:rPr>
              <w:t>tire sales for replacement needs.</w:t>
            </w:r>
          </w:p>
        </w:tc>
      </w:tr>
      <w:tr>
        <w:trPr>
          <w:trHeight w:val="216"/>
        </w:trPr>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60" w:type="dxa"/>
            <w:vAlign w:val="bottom"/>
            <w:tcBorders>
              <w:right w:val="single" w:sz="8" w:color="D9D9D9"/>
            </w:tcBorders>
          </w:tcPr>
          <w:p>
            <w:pPr>
              <w:spacing w:after="0"/>
              <w:rPr>
                <w:sz w:val="18"/>
                <w:szCs w:val="18"/>
                <w:color w:val="auto"/>
              </w:rPr>
            </w:pPr>
          </w:p>
        </w:tc>
        <w:tc>
          <w:tcPr>
            <w:tcW w:w="2960" w:type="dxa"/>
            <w:vAlign w:val="bottom"/>
            <w:tcBorders>
              <w:right w:val="single" w:sz="8" w:color="D9D9D9"/>
            </w:tcBorders>
            <w:gridSpan w:val="3"/>
          </w:tcPr>
          <w:p>
            <w:pPr>
              <w:jc w:val="center"/>
              <w:ind w:right="20"/>
              <w:spacing w:after="0"/>
              <w:rPr>
                <w:sz w:val="20"/>
                <w:szCs w:val="20"/>
                <w:color w:val="auto"/>
              </w:rPr>
            </w:pPr>
            <w:r>
              <w:rPr>
                <w:rFonts w:ascii="Arial" w:cs="Arial" w:eastAsia="Arial" w:hAnsi="Arial"/>
                <w:sz w:val="18"/>
                <w:szCs w:val="18"/>
                <w:color w:val="auto"/>
                <w:w w:val="99"/>
              </w:rPr>
              <w:t>Protection, and Product Protection</w:t>
            </w: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9"/>
        </w:trPr>
        <w:tc>
          <w:tcPr>
            <w:tcW w:w="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60" w:type="dxa"/>
            <w:vAlign w:val="bottom"/>
            <w:tcBorders>
              <w:right w:val="single" w:sz="8" w:color="D9D9D9"/>
            </w:tcBorders>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tcBorders>
              <w:right w:val="single" w:sz="8" w:color="D9D9D9"/>
            </w:tcBorders>
            <w:gridSpan w:val="2"/>
          </w:tcPr>
          <w:p>
            <w:pPr>
              <w:jc w:val="center"/>
              <w:ind w:right="160"/>
              <w:spacing w:after="0"/>
              <w:rPr>
                <w:sz w:val="20"/>
                <w:szCs w:val="20"/>
                <w:color w:val="auto"/>
              </w:rPr>
            </w:pPr>
            <w:r>
              <w:rPr>
                <w:rFonts w:ascii="Arial" w:cs="Arial" w:eastAsia="Arial" w:hAnsi="Arial"/>
                <w:sz w:val="18"/>
                <w:szCs w:val="18"/>
                <w:color w:val="auto"/>
                <w:w w:val="99"/>
              </w:rPr>
              <w:t>Plans for various assets.</w:t>
            </w: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91"/>
        </w:trPr>
        <w:tc>
          <w:tcPr>
            <w:tcW w:w="560" w:type="dxa"/>
            <w:vAlign w:val="bottom"/>
            <w:tcBorders>
              <w:bottom w:val="single" w:sz="8" w:color="D9D9D9"/>
            </w:tcBorders>
          </w:tcPr>
          <w:p>
            <w:pPr>
              <w:spacing w:after="0"/>
              <w:rPr>
                <w:sz w:val="7"/>
                <w:szCs w:val="7"/>
                <w:color w:val="auto"/>
              </w:rPr>
            </w:pPr>
          </w:p>
        </w:tc>
        <w:tc>
          <w:tcPr>
            <w:tcW w:w="1860" w:type="dxa"/>
            <w:vAlign w:val="bottom"/>
            <w:tcBorders>
              <w:bottom w:val="single" w:sz="8" w:color="D9D9D9"/>
            </w:tcBorders>
          </w:tcPr>
          <w:p>
            <w:pPr>
              <w:spacing w:after="0"/>
              <w:rPr>
                <w:sz w:val="7"/>
                <w:szCs w:val="7"/>
                <w:color w:val="auto"/>
              </w:rPr>
            </w:pPr>
          </w:p>
        </w:tc>
        <w:tc>
          <w:tcPr>
            <w:tcW w:w="560" w:type="dxa"/>
            <w:vAlign w:val="bottom"/>
            <w:tcBorders>
              <w:bottom w:val="single" w:sz="8" w:color="D9D9D9"/>
              <w:right w:val="single" w:sz="8" w:color="D9D9D9"/>
            </w:tcBorders>
          </w:tcPr>
          <w:p>
            <w:pPr>
              <w:spacing w:after="0"/>
              <w:rPr>
                <w:sz w:val="7"/>
                <w:szCs w:val="7"/>
                <w:color w:val="auto"/>
              </w:rPr>
            </w:pPr>
          </w:p>
        </w:tc>
        <w:tc>
          <w:tcPr>
            <w:tcW w:w="160" w:type="dxa"/>
            <w:vAlign w:val="bottom"/>
            <w:tcBorders>
              <w:bottom w:val="single" w:sz="8" w:color="D9D9D9"/>
            </w:tcBorders>
          </w:tcPr>
          <w:p>
            <w:pPr>
              <w:spacing w:after="0"/>
              <w:rPr>
                <w:sz w:val="7"/>
                <w:szCs w:val="7"/>
                <w:color w:val="auto"/>
              </w:rPr>
            </w:pPr>
          </w:p>
        </w:tc>
        <w:tc>
          <w:tcPr>
            <w:tcW w:w="2620" w:type="dxa"/>
            <w:vAlign w:val="bottom"/>
            <w:tcBorders>
              <w:bottom w:val="single" w:sz="8" w:color="D9D9D9"/>
            </w:tcBorders>
          </w:tcPr>
          <w:p>
            <w:pPr>
              <w:spacing w:after="0"/>
              <w:rPr>
                <w:sz w:val="7"/>
                <w:szCs w:val="7"/>
                <w:color w:val="auto"/>
              </w:rPr>
            </w:pPr>
          </w:p>
        </w:tc>
        <w:tc>
          <w:tcPr>
            <w:tcW w:w="180" w:type="dxa"/>
            <w:vAlign w:val="bottom"/>
            <w:tcBorders>
              <w:bottom w:val="single" w:sz="8" w:color="D9D9D9"/>
              <w:right w:val="single" w:sz="8" w:color="D9D9D9"/>
            </w:tcBorders>
          </w:tcPr>
          <w:p>
            <w:pPr>
              <w:spacing w:after="0"/>
              <w:rPr>
                <w:sz w:val="7"/>
                <w:szCs w:val="7"/>
                <w:color w:val="auto"/>
              </w:rPr>
            </w:pPr>
          </w:p>
        </w:tc>
        <w:tc>
          <w:tcPr>
            <w:tcW w:w="200" w:type="dxa"/>
            <w:vAlign w:val="bottom"/>
            <w:tcBorders>
              <w:bottom w:val="single" w:sz="8" w:color="D9D9D9"/>
            </w:tcBorders>
          </w:tcPr>
          <w:p>
            <w:pPr>
              <w:spacing w:after="0"/>
              <w:rPr>
                <w:sz w:val="7"/>
                <w:szCs w:val="7"/>
                <w:color w:val="auto"/>
              </w:rPr>
            </w:pPr>
          </w:p>
        </w:tc>
        <w:tc>
          <w:tcPr>
            <w:tcW w:w="2540" w:type="dxa"/>
            <w:vAlign w:val="bottom"/>
            <w:tcBorders>
              <w:bottom w:val="single" w:sz="8" w:color="D9D9D9"/>
            </w:tcBorders>
          </w:tcPr>
          <w:p>
            <w:pPr>
              <w:spacing w:after="0"/>
              <w:rPr>
                <w:sz w:val="7"/>
                <w:szCs w:val="7"/>
                <w:color w:val="auto"/>
              </w:rPr>
            </w:pPr>
          </w:p>
        </w:tc>
        <w:tc>
          <w:tcPr>
            <w:tcW w:w="220" w:type="dxa"/>
            <w:vAlign w:val="bottom"/>
            <w:tcBorders>
              <w:bottom w:val="single" w:sz="8" w:color="D9D9D9"/>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248285</wp:posOffset>
            </wp:positionV>
            <wp:extent cx="5648960" cy="1423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4230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FFFF"/>
        </w:rPr>
        <w:t>Campgrounds &amp; Destinations</w:t>
      </w:r>
    </w:p>
    <w:p>
      <w:pPr>
        <w:spacing w:after="0" w:line="137" w:lineRule="exact"/>
        <w:rPr>
          <w:sz w:val="20"/>
          <w:szCs w:val="20"/>
          <w:color w:val="auto"/>
        </w:rPr>
      </w:pPr>
    </w:p>
    <w:p>
      <w:pPr>
        <w:jc w:val="center"/>
        <w:ind w:left="40" w:right="59"/>
        <w:spacing w:after="0" w:line="271" w:lineRule="auto"/>
        <w:rPr>
          <w:sz w:val="20"/>
          <w:szCs w:val="20"/>
          <w:color w:val="auto"/>
        </w:rPr>
      </w:pPr>
      <w:r>
        <w:rPr>
          <w:rFonts w:ascii="Arial" w:cs="Arial" w:eastAsia="Arial" w:hAnsi="Arial"/>
          <w:sz w:val="18"/>
          <w:szCs w:val="18"/>
          <w:color w:val="FFFFFF"/>
        </w:rPr>
        <w:t>Dedicated to enhancing the RV and outdoor experience by providing access to an extensive network of campgrounds and unique destinations.</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297"/>
        </w:trPr>
        <w:tc>
          <w:tcPr>
            <w:tcW w:w="1160" w:type="dxa"/>
            <w:vAlign w:val="bottom"/>
            <w:tcBorders>
              <w:top w:val="single" w:sz="8" w:color="D9D9D9"/>
            </w:tcBorders>
          </w:tcPr>
          <w:p>
            <w:pPr>
              <w:spacing w:after="0"/>
              <w:rPr>
                <w:sz w:val="24"/>
                <w:szCs w:val="24"/>
                <w:color w:val="auto"/>
              </w:rPr>
            </w:pPr>
          </w:p>
        </w:tc>
        <w:tc>
          <w:tcPr>
            <w:tcW w:w="3320" w:type="dxa"/>
            <w:vAlign w:val="bottom"/>
            <w:tcBorders>
              <w:top w:val="single" w:sz="8" w:color="D9D9D9"/>
              <w:right w:val="single" w:sz="8" w:color="D9D9D9"/>
            </w:tcBorders>
            <w:gridSpan w:val="2"/>
          </w:tcPr>
          <w:p>
            <w:pPr>
              <w:jc w:val="center"/>
              <w:ind w:right="1160"/>
              <w:spacing w:after="0"/>
              <w:rPr>
                <w:sz w:val="20"/>
                <w:szCs w:val="20"/>
                <w:color w:val="auto"/>
              </w:rPr>
            </w:pPr>
            <w:r>
              <w:rPr>
                <w:rFonts w:ascii="Arial" w:cs="Arial" w:eastAsia="Arial" w:hAnsi="Arial"/>
                <w:sz w:val="18"/>
                <w:szCs w:val="18"/>
                <w:b w:val="1"/>
                <w:bCs w:val="1"/>
                <w:color w:val="auto"/>
                <w:w w:val="99"/>
              </w:rPr>
              <w:t>Good Sam Campgrounds</w:t>
            </w:r>
          </w:p>
        </w:tc>
        <w:tc>
          <w:tcPr>
            <w:tcW w:w="4420" w:type="dxa"/>
            <w:vAlign w:val="bottom"/>
            <w:tcBorders>
              <w:top w:val="single" w:sz="8" w:color="D9D9D9"/>
            </w:tcBorders>
            <w:gridSpan w:val="3"/>
          </w:tcPr>
          <w:p>
            <w:pPr>
              <w:jc w:val="center"/>
              <w:ind w:right="20"/>
              <w:spacing w:after="0"/>
              <w:rPr>
                <w:sz w:val="20"/>
                <w:szCs w:val="20"/>
                <w:color w:val="auto"/>
              </w:rPr>
            </w:pPr>
            <w:r>
              <w:rPr>
                <w:rFonts w:ascii="Arial" w:cs="Arial" w:eastAsia="Arial" w:hAnsi="Arial"/>
                <w:sz w:val="18"/>
                <w:szCs w:val="18"/>
                <w:b w:val="1"/>
                <w:bCs w:val="1"/>
                <w:color w:val="auto"/>
              </w:rPr>
              <w:t>Coast to Coast Resorts</w:t>
            </w:r>
          </w:p>
        </w:tc>
      </w:tr>
      <w:tr>
        <w:trPr>
          <w:trHeight w:val="20"/>
        </w:trPr>
        <w:tc>
          <w:tcPr>
            <w:tcW w:w="11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160" w:type="dxa"/>
            <w:vAlign w:val="bottom"/>
            <w:tcBorders>
              <w:right w:val="single" w:sz="8" w:color="D9D9D9"/>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2"/>
        </w:trPr>
        <w:tc>
          <w:tcPr>
            <w:tcW w:w="4480" w:type="dxa"/>
            <w:vAlign w:val="bottom"/>
            <w:tcBorders>
              <w:right w:val="single" w:sz="8" w:color="D9D9D9"/>
            </w:tcBorders>
            <w:gridSpan w:val="3"/>
          </w:tcPr>
          <w:p>
            <w:pPr>
              <w:jc w:val="center"/>
              <w:spacing w:after="0"/>
              <w:rPr>
                <w:sz w:val="20"/>
                <w:szCs w:val="20"/>
                <w:color w:val="auto"/>
              </w:rPr>
            </w:pPr>
            <w:r>
              <w:rPr>
                <w:rFonts w:ascii="Arial" w:cs="Arial" w:eastAsia="Arial" w:hAnsi="Arial"/>
                <w:sz w:val="18"/>
                <w:szCs w:val="18"/>
                <w:color w:val="auto"/>
                <w:w w:val="99"/>
              </w:rPr>
              <w:t>Offers access to North America's largest network of</w:t>
            </w:r>
          </w:p>
        </w:tc>
        <w:tc>
          <w:tcPr>
            <w:tcW w:w="442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Provides exclusive access to a selection of premium</w:t>
            </w:r>
          </w:p>
        </w:tc>
      </w:tr>
      <w:tr>
        <w:trPr>
          <w:trHeight w:val="216"/>
        </w:trPr>
        <w:tc>
          <w:tcPr>
            <w:tcW w:w="4480" w:type="dxa"/>
            <w:vAlign w:val="bottom"/>
            <w:tcBorders>
              <w:right w:val="single" w:sz="8" w:color="D9D9D9"/>
            </w:tcBorders>
            <w:gridSpan w:val="3"/>
          </w:tcPr>
          <w:p>
            <w:pPr>
              <w:jc w:val="center"/>
              <w:spacing w:after="0"/>
              <w:rPr>
                <w:sz w:val="20"/>
                <w:szCs w:val="20"/>
                <w:color w:val="auto"/>
              </w:rPr>
            </w:pPr>
            <w:r>
              <w:rPr>
                <w:rFonts w:ascii="Arial" w:cs="Arial" w:eastAsia="Arial" w:hAnsi="Arial"/>
                <w:sz w:val="18"/>
                <w:szCs w:val="18"/>
                <w:color w:val="auto"/>
                <w:w w:val="99"/>
              </w:rPr>
              <w:t>campgrounds and RV parks, promoting a</w:t>
            </w:r>
          </w:p>
        </w:tc>
        <w:tc>
          <w:tcPr>
            <w:tcW w:w="442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resort destinations, catering to diverse traveler</w:t>
            </w:r>
          </w:p>
        </w:tc>
      </w:tr>
      <w:tr>
        <w:trPr>
          <w:trHeight w:val="239"/>
        </w:trPr>
        <w:tc>
          <w:tcPr>
            <w:tcW w:w="4480" w:type="dxa"/>
            <w:vAlign w:val="bottom"/>
            <w:tcBorders>
              <w:right w:val="single" w:sz="8" w:color="D9D9D9"/>
            </w:tcBorders>
            <w:gridSpan w:val="3"/>
          </w:tcPr>
          <w:p>
            <w:pPr>
              <w:jc w:val="center"/>
              <w:spacing w:after="0"/>
              <w:rPr>
                <w:sz w:val="20"/>
                <w:szCs w:val="20"/>
                <w:color w:val="auto"/>
              </w:rPr>
            </w:pPr>
            <w:r>
              <w:rPr>
                <w:rFonts w:ascii="Arial" w:cs="Arial" w:eastAsia="Arial" w:hAnsi="Arial"/>
                <w:sz w:val="18"/>
                <w:szCs w:val="18"/>
                <w:color w:val="auto"/>
                <w:w w:val="99"/>
              </w:rPr>
              <w:t>community-driven travel experience.</w:t>
            </w:r>
          </w:p>
        </w:tc>
        <w:tc>
          <w:tcPr>
            <w:tcW w:w="1200" w:type="dxa"/>
            <w:vAlign w:val="bottom"/>
          </w:tcPr>
          <w:p>
            <w:pPr>
              <w:spacing w:after="0"/>
              <w:rPr>
                <w:sz w:val="20"/>
                <w:szCs w:val="20"/>
                <w:color w:val="auto"/>
              </w:rPr>
            </w:pPr>
          </w:p>
        </w:tc>
        <w:tc>
          <w:tcPr>
            <w:tcW w:w="3220" w:type="dxa"/>
            <w:vAlign w:val="bottom"/>
            <w:gridSpan w:val="2"/>
          </w:tcPr>
          <w:p>
            <w:pPr>
              <w:jc w:val="center"/>
              <w:ind w:right="1220"/>
              <w:spacing w:after="0"/>
              <w:rPr>
                <w:sz w:val="20"/>
                <w:szCs w:val="20"/>
                <w:color w:val="auto"/>
              </w:rPr>
            </w:pPr>
            <w:r>
              <w:rPr>
                <w:rFonts w:ascii="Arial" w:cs="Arial" w:eastAsia="Arial" w:hAnsi="Arial"/>
                <w:sz w:val="18"/>
                <w:szCs w:val="18"/>
                <w:color w:val="auto"/>
                <w:w w:val="99"/>
              </w:rPr>
              <w:t>preferences.</w:t>
            </w:r>
          </w:p>
        </w:tc>
      </w:tr>
      <w:tr>
        <w:trPr>
          <w:trHeight w:val="90"/>
        </w:trPr>
        <w:tc>
          <w:tcPr>
            <w:tcW w:w="1160" w:type="dxa"/>
            <w:vAlign w:val="bottom"/>
            <w:tcBorders>
              <w:bottom w:val="single" w:sz="8" w:color="D9D9D9"/>
            </w:tcBorders>
          </w:tcPr>
          <w:p>
            <w:pPr>
              <w:spacing w:after="0"/>
              <w:rPr>
                <w:sz w:val="7"/>
                <w:szCs w:val="7"/>
                <w:color w:val="auto"/>
              </w:rPr>
            </w:pPr>
          </w:p>
        </w:tc>
        <w:tc>
          <w:tcPr>
            <w:tcW w:w="2160" w:type="dxa"/>
            <w:vAlign w:val="bottom"/>
            <w:tcBorders>
              <w:bottom w:val="single" w:sz="8" w:color="D9D9D9"/>
            </w:tcBorders>
          </w:tcPr>
          <w:p>
            <w:pPr>
              <w:spacing w:after="0"/>
              <w:rPr>
                <w:sz w:val="7"/>
                <w:szCs w:val="7"/>
                <w:color w:val="auto"/>
              </w:rPr>
            </w:pPr>
          </w:p>
        </w:tc>
        <w:tc>
          <w:tcPr>
            <w:tcW w:w="1160" w:type="dxa"/>
            <w:vAlign w:val="bottom"/>
            <w:tcBorders>
              <w:bottom w:val="single" w:sz="8" w:color="D9D9D9"/>
              <w:right w:val="single" w:sz="8" w:color="D9D9D9"/>
            </w:tcBorders>
          </w:tcPr>
          <w:p>
            <w:pPr>
              <w:spacing w:after="0"/>
              <w:rPr>
                <w:sz w:val="7"/>
                <w:szCs w:val="7"/>
                <w:color w:val="auto"/>
              </w:rPr>
            </w:pPr>
          </w:p>
        </w:tc>
        <w:tc>
          <w:tcPr>
            <w:tcW w:w="1200" w:type="dxa"/>
            <w:vAlign w:val="bottom"/>
            <w:tcBorders>
              <w:bottom w:val="single" w:sz="8" w:color="D9D9D9"/>
            </w:tcBorders>
          </w:tcPr>
          <w:p>
            <w:pPr>
              <w:spacing w:after="0"/>
              <w:rPr>
                <w:sz w:val="7"/>
                <w:szCs w:val="7"/>
                <w:color w:val="auto"/>
              </w:rPr>
            </w:pPr>
          </w:p>
        </w:tc>
        <w:tc>
          <w:tcPr>
            <w:tcW w:w="2000" w:type="dxa"/>
            <w:vAlign w:val="bottom"/>
            <w:tcBorders>
              <w:bottom w:val="single" w:sz="8" w:color="D9D9D9"/>
            </w:tcBorders>
          </w:tcPr>
          <w:p>
            <w:pPr>
              <w:spacing w:after="0"/>
              <w:rPr>
                <w:sz w:val="7"/>
                <w:szCs w:val="7"/>
                <w:color w:val="auto"/>
              </w:rPr>
            </w:pPr>
          </w:p>
        </w:tc>
        <w:tc>
          <w:tcPr>
            <w:tcW w:w="1220" w:type="dxa"/>
            <w:vAlign w:val="bottom"/>
            <w:tcBorders>
              <w:bottom w:val="single" w:sz="8" w:color="D9D9D9"/>
            </w:tcBorders>
          </w:tcPr>
          <w:p>
            <w:pPr>
              <w:spacing w:after="0"/>
              <w:rPr>
                <w:sz w:val="7"/>
                <w:szCs w:val="7"/>
                <w:color w:val="auto"/>
              </w:rPr>
            </w:pPr>
          </w:p>
        </w:tc>
      </w:tr>
    </w:tbl>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RV and Outdoor Retail</w:t>
      </w:r>
    </w:p>
    <w:p>
      <w:pPr>
        <w:spacing w:after="0" w:line="22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RV and Outdoor Retail segment consists of all aspects of our RV dealership operations, which includes selling new and used RVs, assisting with the financing of new and used RVs, selling protection and insurance related services and plans for RVs, servicing and repairing new and used RVs, installing RV parts and accessories, and selling RV and outdoor related products, parts and accessories. Within our RV and Outdoor Retail business, we also operate the Good Sam Club, which we believe is the largest membership-based RV organization in the world, with approximately 1.6 million paid members as of December 31, 2025, excluding the free basic tier members. Membership benefits include, among other benefits, a loyalty program</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where points can be redeemed for Camping World products and RV service, a variety of discounts at Camping World and Good Sam, in addition to partner campgrounds, fuel stations, and more, all of which we believe enhance the RV experience, drive customer engagement and loyalty, and provide cross-selling opportunities for our other products and services. A map depicting our national network of 196 RV dealerships and service centers as of December 31, 2025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57150</wp:posOffset>
            </wp:positionV>
            <wp:extent cx="5554980" cy="3317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54980"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Source: Statistical Surveys Inc.</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RV and Outdoor Retail segment offerings include:</w:t>
      </w:r>
    </w:p>
    <w:p>
      <w:pPr>
        <w:spacing w:after="0" w:line="225" w:lineRule="exact"/>
        <w:rPr>
          <w:sz w:val="20"/>
          <w:szCs w:val="20"/>
          <w:color w:val="auto"/>
        </w:rPr>
      </w:pPr>
    </w:p>
    <w:p>
      <w:pPr>
        <w:jc w:val="both"/>
        <w:ind w:left="1040" w:right="79" w:hanging="315"/>
        <w:spacing w:after="0" w:line="25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New and Used Vehicles</w:t>
      </w:r>
      <w:r>
        <w:rPr>
          <w:rFonts w:ascii="Arial" w:cs="Arial" w:eastAsia="Arial" w:hAnsi="Arial"/>
          <w:sz w:val="18"/>
          <w:szCs w:val="18"/>
          <w:color w:val="auto"/>
        </w:rPr>
        <w:t>. We offer a wide selection of new and used RVs across a range of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points, classes and floor plans. The table below contains a breakdown of our new RV unit sales and average selling price by RV class for 2025. Sales of new vehicles represented 43.4%, 46.3% and 41.4% of total revenue for 2025, 2024 and 2023, respectively. Sales of used vehicles represented 30.9%, 26.5% and 31.8% of total revenue for 2025, 2024, and 2023, respectively. New vehicles sold represented 53.9%, 58.0% and 50.8% of total vehicles sold for 2025, 2024 and 2023, respectively. Used vehicles sold represented 46.1%, 42.0% and 49.2% of total vehicles for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694690</wp:posOffset>
            </wp:positionV>
            <wp:extent cx="4251960" cy="47574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51960" cy="475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700" w:hanging="327"/>
        <w:spacing w:after="0"/>
        <w:tabs>
          <w:tab w:leader="none" w:pos="1700" w:val="left"/>
        </w:tabs>
        <w:numPr>
          <w:ilvl w:val="1"/>
          <w:numId w:val="8"/>
        </w:numPr>
        <w:rPr>
          <w:rFonts w:ascii="Arial" w:cs="Arial" w:eastAsia="Arial" w:hAnsi="Arial"/>
          <w:sz w:val="22"/>
          <w:szCs w:val="22"/>
          <w:color w:val="auto"/>
          <w:vertAlign w:val="superscript"/>
        </w:rPr>
      </w:pPr>
      <w:r>
        <w:rPr>
          <w:rFonts w:ascii="Arial" w:cs="Arial" w:eastAsia="Arial" w:hAnsi="Arial"/>
          <w:sz w:val="14"/>
          <w:szCs w:val="14"/>
          <w:color w:val="auto"/>
        </w:rPr>
        <w:t>Source: RV Industry Associations’ survey of manufacturers.</w:t>
      </w:r>
    </w:p>
    <w:p>
      <w:pPr>
        <w:spacing w:after="0" w:line="53" w:lineRule="exact"/>
        <w:rPr>
          <w:rFonts w:ascii="Arial" w:cs="Arial" w:eastAsia="Arial" w:hAnsi="Arial"/>
          <w:sz w:val="22"/>
          <w:szCs w:val="22"/>
          <w:color w:val="auto"/>
          <w:vertAlign w:val="superscript"/>
        </w:rPr>
      </w:pPr>
    </w:p>
    <w:p>
      <w:pPr>
        <w:ind w:left="1700" w:hanging="327"/>
        <w:spacing w:after="0" w:line="183" w:lineRule="auto"/>
        <w:tabs>
          <w:tab w:leader="none" w:pos="1700" w:val="left"/>
        </w:tabs>
        <w:numPr>
          <w:ilvl w:val="1"/>
          <w:numId w:val="8"/>
        </w:numPr>
        <w:rPr>
          <w:rFonts w:ascii="Arial" w:cs="Arial" w:eastAsia="Arial" w:hAnsi="Arial"/>
          <w:sz w:val="20"/>
          <w:szCs w:val="20"/>
          <w:color w:val="auto"/>
          <w:vertAlign w:val="superscript"/>
        </w:rPr>
      </w:pPr>
      <w:r>
        <w:rPr>
          <w:rFonts w:ascii="Arial" w:cs="Arial" w:eastAsia="Arial" w:hAnsi="Arial"/>
          <w:sz w:val="14"/>
          <w:szCs w:val="14"/>
          <w:color w:val="auto"/>
        </w:rPr>
        <w:t>Source: Statistical Surveys, Inc.</w:t>
      </w:r>
    </w:p>
    <w:p>
      <w:pPr>
        <w:spacing w:after="0" w:line="192" w:lineRule="exact"/>
        <w:rPr>
          <w:rFonts w:ascii="Arial" w:cs="Arial" w:eastAsia="Arial" w:hAnsi="Arial"/>
          <w:sz w:val="20"/>
          <w:szCs w:val="20"/>
          <w:color w:val="auto"/>
          <w:vertAlign w:val="superscript"/>
        </w:rPr>
      </w:pPr>
    </w:p>
    <w:p>
      <w:pPr>
        <w:jc w:val="both"/>
        <w:ind w:left="1040" w:right="79" w:hanging="315"/>
        <w:spacing w:after="0" w:line="25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Vehicle financing. </w:t>
      </w:r>
      <w:r>
        <w:rPr>
          <w:rFonts w:ascii="Arial" w:cs="Arial" w:eastAsia="Arial" w:hAnsi="Arial"/>
          <w:sz w:val="18"/>
          <w:szCs w:val="18"/>
          <w:color w:val="auto"/>
        </w:rPr>
        <w:t>Through arrangements with third-party lenders we are able to facilitate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for most of the new and used RVs we sell through our store locations. Generally, our financing transactions are structured through long-term retail installment sales contracts with terms of up to 20 years, which we enter into with our customers on behalf of our third-party lenders. The retail installment sales contracts are then assigned on a non-recourse basis, with the third-party lender assuming underwriting and credit risk. In 2025, we facilitated financing transactions for approximately 80.0% of our total new units sold and 73.5% of our total used units sold for which we earn a commission from the third-party lender.</w:t>
      </w:r>
    </w:p>
    <w:p>
      <w:pPr>
        <w:spacing w:after="0" w:line="184" w:lineRule="exact"/>
        <w:rPr>
          <w:rFonts w:ascii="Arial" w:cs="Arial" w:eastAsia="Arial" w:hAnsi="Arial"/>
          <w:sz w:val="18"/>
          <w:szCs w:val="18"/>
          <w:color w:val="auto"/>
        </w:rPr>
      </w:pPr>
    </w:p>
    <w:p>
      <w:pPr>
        <w:jc w:val="both"/>
        <w:ind w:left="1040" w:right="79" w:hanging="315"/>
        <w:spacing w:after="0" w:line="25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Protection Plans. </w:t>
      </w:r>
      <w:r>
        <w:rPr>
          <w:rFonts w:ascii="Arial" w:cs="Arial" w:eastAsia="Arial" w:hAnsi="Arial"/>
          <w:sz w:val="18"/>
          <w:szCs w:val="18"/>
          <w:color w:val="auto"/>
        </w:rPr>
        <w:t>We offer and sell a variety of protection plans and services to the purchasers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RVs as part of the delivery process, as well as GAP, tire and wheel, roof, extended service, and paint and fabric protection plans. These products are primarily underwritten and administered by independent third parties, and we are primarily compensated on a commission basis.</w:t>
      </w:r>
    </w:p>
    <w:p>
      <w:pPr>
        <w:spacing w:after="0" w:line="179" w:lineRule="exact"/>
        <w:rPr>
          <w:rFonts w:ascii="Arial" w:cs="Arial" w:eastAsia="Arial" w:hAnsi="Arial"/>
          <w:sz w:val="18"/>
          <w:szCs w:val="18"/>
          <w:color w:val="auto"/>
        </w:rPr>
      </w:pPr>
    </w:p>
    <w:p>
      <w:pPr>
        <w:jc w:val="both"/>
        <w:ind w:left="1040" w:right="79" w:hanging="315"/>
        <w:spacing w:after="0" w:line="261"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Repair and Maintenance. </w:t>
      </w:r>
      <w:r>
        <w:rPr>
          <w:rFonts w:ascii="Arial" w:cs="Arial" w:eastAsia="Arial" w:hAnsi="Arial"/>
          <w:sz w:val="18"/>
          <w:szCs w:val="18"/>
          <w:color w:val="auto"/>
        </w:rPr>
        <w:t>We offer RV repair and maintenance services at the majority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store locations. With approximately 2,800 RV service bays across our national footprint, we are equipped to offer comprehensive repair and maintenance services for most RV components.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40" w:right="79"/>
        <w:spacing w:after="0" w:line="287" w:lineRule="auto"/>
        <w:rPr>
          <w:sz w:val="20"/>
          <w:szCs w:val="20"/>
          <w:color w:val="auto"/>
        </w:rPr>
      </w:pPr>
      <w:r>
        <w:rPr>
          <w:rFonts w:ascii="Arial" w:cs="Arial" w:eastAsia="Arial" w:hAnsi="Arial"/>
          <w:sz w:val="18"/>
          <w:szCs w:val="18"/>
          <w:color w:val="auto"/>
        </w:rPr>
        <w:t>2025, we temporarily suspended our Good Sam RV ProCare mobile RV service as we make changes to optimize profitability and improve the customer experience.</w:t>
      </w:r>
    </w:p>
    <w:p>
      <w:pPr>
        <w:spacing w:after="0" w:line="153" w:lineRule="exact"/>
        <w:rPr>
          <w:sz w:val="20"/>
          <w:szCs w:val="20"/>
          <w:color w:val="auto"/>
        </w:rPr>
      </w:pPr>
    </w:p>
    <w:p>
      <w:pPr>
        <w:jc w:val="both"/>
        <w:ind w:left="1040" w:right="79" w:hanging="315"/>
        <w:spacing w:after="0" w:line="253"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RV parts, accessories and installation services. </w:t>
      </w:r>
      <w:r>
        <w:rPr>
          <w:rFonts w:ascii="Arial" w:cs="Arial" w:eastAsia="Arial" w:hAnsi="Arial"/>
          <w:sz w:val="18"/>
          <w:szCs w:val="18"/>
          <w:color w:val="auto"/>
        </w:rPr>
        <w:t>We offer a wide range of RV parts,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supplies and accessories at our store locations and through our e-commerce business. These products include towing and hitching products, satellite and GPS systems, electrical and lighting products, appliances and furniture, and other products for inside the RV, at the campsite, and around the campground. Our full-service repair facilities enable us to install all parts and accessories that we sell in our store locations. We believe our ability to both sell and install parts and accessories affords us a competitive advantage over online and big box retailers that do not have service centers designed to accommodate RVs, and over RV dealerships that do not offer a comprehensive selection of parts and accessories.</w:t>
      </w:r>
    </w:p>
    <w:p>
      <w:pPr>
        <w:spacing w:after="0" w:line="182" w:lineRule="exact"/>
        <w:rPr>
          <w:rFonts w:ascii="Arial" w:cs="Arial" w:eastAsia="Arial" w:hAnsi="Arial"/>
          <w:sz w:val="18"/>
          <w:szCs w:val="18"/>
          <w:color w:val="auto"/>
        </w:rPr>
      </w:pPr>
    </w:p>
    <w:p>
      <w:pPr>
        <w:jc w:val="both"/>
        <w:ind w:left="1040" w:right="79" w:hanging="315"/>
        <w:spacing w:after="0" w:line="262"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Collision repair and restoration. </w:t>
      </w:r>
      <w:r>
        <w:rPr>
          <w:rFonts w:ascii="Arial" w:cs="Arial" w:eastAsia="Arial" w:hAnsi="Arial"/>
          <w:sz w:val="18"/>
          <w:szCs w:val="18"/>
          <w:color w:val="auto"/>
        </w:rPr>
        <w:t>We offer collision repair services, including fiberglass front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rear cap replacement, windshield replacement, interior remodel solutions, and paint and body work, at many of our store locations, including numerous with full body paint booths. We perform collision repair services for a number of insurance carriers.</w:t>
      </w:r>
    </w:p>
    <w:p>
      <w:pPr>
        <w:spacing w:after="0" w:line="162" w:lineRule="exact"/>
        <w:rPr>
          <w:rFonts w:ascii="Arial" w:cs="Arial" w:eastAsia="Arial" w:hAnsi="Arial"/>
          <w:sz w:val="18"/>
          <w:szCs w:val="18"/>
          <w:color w:val="auto"/>
        </w:rPr>
      </w:pPr>
    </w:p>
    <w:p>
      <w:pPr>
        <w:jc w:val="both"/>
        <w:ind w:left="1040" w:right="79" w:hanging="315"/>
        <w:spacing w:after="0" w:line="252"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Good Sam Club. </w:t>
      </w:r>
      <w:r>
        <w:rPr>
          <w:rFonts w:ascii="Arial" w:cs="Arial" w:eastAsia="Arial" w:hAnsi="Arial"/>
          <w:sz w:val="18"/>
          <w:szCs w:val="18"/>
          <w:color w:val="auto"/>
        </w:rPr>
        <w:t>The Good Sam Club is a prepaid subscription membership organization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offers a points-based loyalty program, where points can be earned from purchases of our products and services and redeemed for savings on future purchases of our products and services. In addition to the standard paid membership, we offer an elite paid membership with enhanced rewards. The Good Sam Club also offers savings on a variety of products and services, including discounts on nightly rates at affiliated Good Sam RV parks and other benefits related to the RV lifestyle. We believe the Good Sam Club is the largest membership-based RV enthusiast organization in the world. As of December 31, 2025, there were approximately 1.6 million paid members in our Good Sam Club, excluding the free basic tier members. The free basic tier of the Good Sam Club was introduced in 2024 and does not include most of the paid membership benefits, but allows these members to earn points at a lower rate compared to the paid membership.</w:t>
      </w:r>
    </w:p>
    <w:p>
      <w:pPr>
        <w:spacing w:after="0" w:line="172" w:lineRule="exact"/>
        <w:rPr>
          <w:rFonts w:ascii="Arial" w:cs="Arial" w:eastAsia="Arial" w:hAnsi="Arial"/>
          <w:sz w:val="18"/>
          <w:szCs w:val="18"/>
          <w:color w:val="auto"/>
        </w:rPr>
      </w:pPr>
    </w:p>
    <w:p>
      <w:pPr>
        <w:jc w:val="both"/>
        <w:ind w:left="1040" w:right="79" w:hanging="315"/>
        <w:spacing w:after="0" w:line="256"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Co-branded credit cards. </w:t>
      </w:r>
      <w:r>
        <w:rPr>
          <w:rFonts w:ascii="Arial" w:cs="Arial" w:eastAsia="Arial" w:hAnsi="Arial"/>
          <w:sz w:val="18"/>
          <w:szCs w:val="18"/>
          <w:color w:val="auto"/>
        </w:rPr>
        <w:t>We contract with Bread Financial and Visa to offer four distinct card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Good Sam Travel Visa® Credit Card, Good Sam Rewards Visa® Credit Card, Coast to Coast Visa® Credit Card, and Good Sam Rewards Credit Card (private label). Depending on the card type, cardholders receive enhanced rewards points, referred to as Good Sam Rewards, for money spent in-store and online at our family of brands as well as at campgrounds, grocery stores, gas stations, EV charging stations, and anywhere else Visa® is accepted. As of December 31, 2025, we had approximately 152,000 issued and open Good Sam branded credit card accounts.</w:t>
      </w:r>
    </w:p>
    <w:p>
      <w:pPr>
        <w:spacing w:after="0" w:line="169" w:lineRule="exact"/>
        <w:rPr>
          <w:rFonts w:ascii="Arial" w:cs="Arial" w:eastAsia="Arial" w:hAnsi="Arial"/>
          <w:sz w:val="18"/>
          <w:szCs w:val="18"/>
          <w:color w:val="auto"/>
        </w:rPr>
      </w:pPr>
    </w:p>
    <w:p>
      <w:pPr>
        <w:ind w:left="1040" w:right="79" w:hanging="315"/>
        <w:spacing w:after="0" w:line="28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RV Rentals. </w:t>
      </w:r>
      <w:r>
        <w:rPr>
          <w:rFonts w:ascii="Arial" w:cs="Arial" w:eastAsia="Arial" w:hAnsi="Arial"/>
          <w:sz w:val="18"/>
          <w:szCs w:val="18"/>
          <w:color w:val="auto"/>
        </w:rPr>
        <w:t>We facilitate an RV rental platform that connects travelers with RV owners, allowing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flexible and personal RV experience.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Vehicle Sourcing and Dealer Agreements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acquire new RVs for retail sale directly from the original equipment manufacturer. Our strategy is to partner with financially sound manufacturers that make high quality products, have adequate manufacturing capacity and distribution, and maintain an appropriate product mix. We have strategic relationships with leading RV manufacturers, including Thor Industries, Inc. and Forest River, Inc. As of December 31, 2025, Thor Industries and Forest River accounted for approximately 58.4% and 34.4%, respectively, of our new RV inventory. In certain instances, our manufacturing partners produce exclusive brand products exclusively available at our RV dealerships and through our e-commerce platforms.</w:t>
      </w:r>
    </w:p>
    <w:p>
      <w:pPr>
        <w:spacing w:after="0" w:line="18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supply arrangements with manufacturers are typically governed by dealer agreements, which are customary in the RV industry, made on a location-by-location basis, and each store location typically enters into multiple dealer agreements with multiple manufacturers. Dealer agreements generally give us the right to sell certain RV makes and models within an exclusive designated area. The terms of these dealer agreements typically require us to, among other things, meet all the requirements and conditions of the manufacturer’s</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applicable programs, maintain certain minimum inventory requirements and meet certain retail sales objectives, perform services and repairs for all owners of the manufacturer’s RVs (regardless from whom the RV was purchased) that are still under warranty, stock certain of the manufacturer’s parts and accessories needed to service and repair the manufacturer’s RVs, actively advertise and promote the manufacturer’s RVs, and indemnify the manufacturer under certain circumstances.</w:t>
      </w:r>
    </w:p>
    <w:p>
      <w:pPr>
        <w:spacing w:after="0" w:line="17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primarily acquire used RVs through customer trade-ins and private party purchases or consignments. Our private party purchases and consignments are acquired through our dealership locations and our call center team in Mesa, AZ, and supported by proprietary tools such as our RV Valuator pricing tool and our virtual self-inspection process. We generally recondition used RVs acquired for retail sale in our parts and service departments. Historically, used RVs that we have not sold at our RV-centric store locations generally have been sold through other channels at wholesale prices.</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finance the purchase of substantially all of our new RV inventory from manufacturers through our Floor Plan Facility. Used vehicles may also be financed through our Floor Plan Facility. For more information on our Floor Plan Facility, see “Management's Discussion and Analysis of Financial Condition and Results of Operations—Liquidity and Capital Resources—Description of Senior Secured Credit Facilities and Floor Plan Facility” included in Part II, Item 7 of this Form 10-K and Note 4 — Inventories and Floor Plan Payables to our consolidated financial statements included in Part II, Item 8 of this Form 10-K.</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Marketing and Advertising</w:t>
      </w:r>
    </w:p>
    <w:p>
      <w:pPr>
        <w:spacing w:after="0" w:line="22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The lifestyle element of the RV industry and the multi-year nature of many of our products and services provides the opportunity to build long-term relationships with our customers. Our marketing strategies are focused on developing awareness around our brands, products and services, and driving traffic to our stores and websites, and we utilize a combination of digital, social, email, direct mail, print materials, and traditional media, as well as online inventory listings to accomplish this. As part of our marketing efforts, we maintain a proprietary database of individuals and customer purchasing data that we utilize for omnichannel campaigns. As of December 31, 2025, this database contained over 38.9 million unique contacts. In addition, we enter into sporting event sponsorships from time to time where we believe there to be a significant demographic overlap with RV and outdoor enthusiasts. Our Ultimate RV Show has evolved to be a multi-channel experience that is both online and in store locations and we have become Costco’s exclusive RV partner for its auto program. These shows and Costco auto program provide a strategic opportunity to expose first-time buyers and existing RV and outdoor enthusiasts to our products and services.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Trademarks and Other Intellectual Property</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own a variety of registered trademarks and service marks related to our brands and our services, protection plans, products and resources, including Good Sam, Camping World, and Overton’s. We also own the copyrights to certain articles in our publications and numerous domain names, including www.goodsamclub.com, www.campingworld.com, www.rv.com, www.rvs.com, www.rvrentals.com, direct.campingworld.com, and www.wildsam.com, among others. We believe that our trademarks and other intellectual property have significant value and are important to our marketing efforts. We do not know of any material pending claims of infringement or other challenges to our right to use our intellectual property in the United States or elsewhere. For additional information regarding our intellectual property, see Note 8 – Goodwill and Intangible Assets to our consolidated financial statements included in Part II, Item 8 of this Form 10-K.</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Human Capital Resources</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Talent</w:t>
      </w:r>
    </w:p>
    <w:p>
      <w:pPr>
        <w:spacing w:after="0" w:line="223"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As of December 31, 2025, we had 11,144 full-time and 283 part-time or seasonal employees. None of our employees are represented by a labor union or are party to a collective bargaining agreement, and we have had no labor-related work stoppages. We believe that our employee relations are generally good.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Development</w:t>
      </w:r>
    </w:p>
    <w:p>
      <w:pPr>
        <w:spacing w:after="0" w:line="22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Throughout 2025, we have continued to focus on enhancing and evolving our training offerings by expanding course content, refining delivery methods, and aligning programs closely with business needs. This ongoing investment is intended to strengthen core capabilities and support consistent execution across the organization. We delivered a broad portfolio of professional development opportunities, including in-person and virtual training programs, reaching approximately 1,200 participants. These facilitated sessions complement our e-learning courses that include role-based and compliance-oriented training. Additionally, we are investing in flexible technology solutions for our employees to engage in training programs in their location. Collectively, these efforts reflect a commitment to developing talent, strengthening leadership, and driving performance across the organization.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Inclusion and Belonging</w:t>
      </w:r>
    </w:p>
    <w:p>
      <w:pPr>
        <w:spacing w:after="0" w:line="223"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believe that our Company and our brand should be welcoming to the wide array of outdoor enthusiasts and our culture should promote respect and dignity of all humans. While it is our policy not to make decisions regarding hiring, promotion or compensation on the basis of any legally protected characteristics, including race or gender, we seek to promote inclusion of individuals, regardless of background, through legally compliant manners.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Community Engagement</w:t>
      </w:r>
    </w:p>
    <w:p>
      <w:pPr>
        <w:spacing w:after="0" w:line="223"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Since 2013, we have operated the Project Good Samaritan initiative, which encourages our associates to perform eight hours of volunteer work per quarter for a cause that is meaningful to them. This can include local soup kitchens, food pantries, home building, meal distribution, recycling programs, homeless shelters, and veteran programs. Employees receive paid time off for these volunteer hours.</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In 2025, we included a requirement that the volunteer activity be with a 501(c)(3) Nonprofit Organization and we had 362 team members either receive paid time off for preventative care visits or volunteer activities in their communities for a total of 2,391 hours.</w:t>
      </w:r>
    </w:p>
    <w:p>
      <w:pPr>
        <w:spacing w:after="0" w:line="175"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In 2024, we added up to 4 hours per year for full-time team members to receive paid time off to support their own personal health. This can include time away from work for eligible preventive care services, such as annual wellness visits, annual bloodwork or medical tests, recommended cancer screenings, vaccinations and immunizations, and routine eye and dental visits.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210"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We maintain a safety program to provide a safe and healthful workplace for our employees. We strive to comply with all health and safety standards that pertain to our operations. We have created and implemented processes to identify, reduce or eliminate physical hazards from the work environment, improve safety communication and train employees on safe work practices.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We face competition in all areas of our business. We believe that the principal competitive factors in the RV industry are breadth and depth of products and services, quality, pricing, availability, convenience, and customer service. Our competitors vary in size and breadth of their product offerings.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compete directly or indirectly with the following types of companies:</w:t>
      </w:r>
    </w:p>
    <w:p>
      <w:pPr>
        <w:spacing w:after="0" w:line="225"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other RV dealers selling new and used RVs;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major national insurance and warranty companies, providers of roadside assistance and providers of extended vehicle service contracts;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40" w:right="79" w:hanging="315"/>
        <w:spacing w:after="0" w:line="286"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multi-channel retailers and mass merchandisers, warehouse clubs, discount stores, department stores and other retailers, such as Wal-Mart, Target and Amazon;</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online retailers;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independent, local specialty stores.</w:t>
      </w:r>
    </w:p>
    <w:p>
      <w:pPr>
        <w:spacing w:after="0" w:line="22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Additional competitors may enter the businesses in which we currently operate. Moreover, some of our mass merchandising competitors do not currently compete in many of the product categories we offer but may choose to offer a broader array of competing products in the future.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Seasonality</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Historically, our business has been seasonal. Since RVs are primarily used by vacationers and campers during times of warmer weather, demand for our products and services tends to be highest in the spring and summer months and lowest in the winter months. As a result, our revenue and profitability has historically been higher in the second and third quarters than in the first and fourth quarters. On average over the last three years ended December 31, 2025, we generated 30.4% and 28.1% of our annual revenue in the second and third quarters, respectively, and 22.8% and 18.7% in the first and fourth quarters, respectively. For further discussion, see “Management’s Discussion and Analysis of Financial Condition and Results of Operations — Seasonality” in Item 7 of Part II of this Form 10-K.</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Laws and Regulations</w:t>
      </w:r>
    </w:p>
    <w:p>
      <w:pPr>
        <w:spacing w:after="0" w:line="225"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See “Risk Factors — Risks Related to Our Business — Our business is subject to numerous federal, state and local regulations,” “— Our failure to comply with certain environmental regulations could adversely affect our business, financial condition and results of operations,” “—Fuel shortages, high prices for fuel, or changes in energy sources could have a negative effect on our business,” “Our operations are subject to a series of risks related to climate change and other environmental, social, and governance (“ESG”) matters,” and “— Climate change legislation or regulations restricting emission of “greenhouse gases” could result in increased operating costs and reduced demand for RVs we sell” in Item 1A of Part I of this Form 10-K. Although we incur costs to comply with applicable laws and regulations in the ordinary course of our business, we do not presently anticipate that such costs will have a material effect on our capital expenditures, earnings and competitive position.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Health and Safety Regulations</w:t>
      </w:r>
    </w:p>
    <w:p>
      <w:pPr>
        <w:spacing w:after="0" w:line="223"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operations involve the use, handling, storage and contracting for recycling and/or disposal of materials such as motor oil and filters, transmission fluids, antifreeze, refrigerants, paints, thinners, batteries, cleaning products, lubricants, degreasing agents, tires and propane. Consequently, our business is subject to a complex variety of federal, state and local requirements that regulate the environment and public health and safety. We do not have any material known environmental commitments or contingencies.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Additional Information</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were incorporated in the State of Delaware in 2016. Our principal executive offices are located at 2 Marriott Drive, Lincolnshire, IL 60069 and our telephone number is (847) 808-3000. We make available our public filings, including annual reports on Form 10-K, quarterly reports on Form 10-Q, current reports on Form 8-K, and any amendments to those reports with the SEC free of charge through our website at www.campingworld.com in the “Investor Relations” section under “Financial Info” as soon as reasonably practicable after we electronically file such material with, or furnish such material to, the SEC. The information contained in, or accessible through, our website does not constitute a part of this Form 10-K.</w:t>
      </w:r>
    </w:p>
    <w:p>
      <w:pPr>
        <w:spacing w:after="0" w:line="181"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We may use our official LinkedIn account at the handle @CampingWorld and the LinkedIn account of our Chief Executive Officer at the handle @MatthewWagner, as distribution channels of material information about the Company and for complying with our disclosure obligations under Regulation FD. The information we post through this social media channel may be deemed material. Accordingly, investors should subscribe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8"/>
          <w:szCs w:val="18"/>
          <w:color w:val="auto"/>
        </w:rPr>
        <w:t>to these accounts, in addition to following our press releases, SEC filings and public conference calls and webcasts. Social media channels may be updated from time to time. The information we post through these channels is not a part of this Annual Report on Form 10-K.</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carefully the risks and uncertainties described below, together with the other information included in this Form 10-K. The occurrence of any of the following risks may materially and adversely affect our business, financial condition, results of operations and future prospects. In these circumstances, the market price of our Class A common stock could decline. Other events that we do not currently anticipate or that we currently deem immaterial may also affect our business, prospects, financial condition and results of operations.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27" w:lineRule="exact"/>
        <w:rPr>
          <w:sz w:val="20"/>
          <w:szCs w:val="20"/>
          <w:color w:val="auto"/>
        </w:rPr>
      </w:pPr>
    </w:p>
    <w:p>
      <w:pPr>
        <w:jc w:val="both"/>
        <w:ind w:left="60" w:right="59"/>
        <w:spacing w:after="0" w:line="265" w:lineRule="auto"/>
        <w:rPr>
          <w:sz w:val="20"/>
          <w:szCs w:val="20"/>
          <w:color w:val="auto"/>
        </w:rPr>
      </w:pPr>
      <w:r>
        <w:rPr>
          <w:rFonts w:ascii="Arial" w:cs="Arial" w:eastAsia="Arial" w:hAnsi="Arial"/>
          <w:sz w:val="18"/>
          <w:szCs w:val="18"/>
          <w:b w:val="1"/>
          <w:bCs w:val="1"/>
          <w:i w:val="1"/>
          <w:iCs w:val="1"/>
          <w:color w:val="auto"/>
        </w:rPr>
        <w:t>Our business model is impacted by general economic conditions in our markets, including inflation and interest rates, as well as the health of the RV industry, and ongoing economic and financial uncertainties could cause a decline in consumer spending that could adversely affect our business, financial condition and results of operations.</w:t>
      </w:r>
    </w:p>
    <w:p>
      <w:pPr>
        <w:spacing w:after="0" w:line="15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As a business that relies on consumer discretionary spending, we have in the past and may in the future be adversely affected if our customers reduce, delay or forego their purchases of our services, protection plans, products and resources as a result of:</w:t>
      </w:r>
    </w:p>
    <w:p>
      <w:pPr>
        <w:spacing w:after="0" w:line="171" w:lineRule="exact"/>
        <w:rPr>
          <w:sz w:val="20"/>
          <w:szCs w:val="20"/>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job losses, lower income levels or other population and employment trends;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bankruptcies;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higher consumer debt and interest rates;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reduced access to credit;</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higher energy and fuel costs;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relative or perceived cost, availability and comfort of RV use versus other modes of travel, such as air travel and rail;</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falling home prices;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lower consumer confidence or discretional consumer spending;</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higher inflation rates;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uncertainty or changes in tax policies and tax rates;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uncertainty or changes in import/export policies, including tariffs;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uncertainty due to national or international security concerns; or</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other general economic conditions, including deflation and recessions.</w:t>
      </w:r>
    </w:p>
    <w:p>
      <w:pPr>
        <w:spacing w:after="0" w:line="224"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We also rely on our store locations to attract and retain customers and to build our customer database. If we close store locations, are unable to open new store locations, including greenfield locations and acquisitions, on the timelines we anticipate or at all due to general economic conditions or otherwise, or experience declines in customer transactions in our existing store locations due to general economic conditions</w:t>
      </w:r>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87" w:lineRule="auto"/>
        <w:rPr>
          <w:sz w:val="20"/>
          <w:szCs w:val="20"/>
          <w:color w:val="auto"/>
        </w:rPr>
      </w:pPr>
      <w:r>
        <w:rPr>
          <w:rFonts w:ascii="Arial" w:cs="Arial" w:eastAsia="Arial" w:hAnsi="Arial"/>
          <w:sz w:val="18"/>
          <w:szCs w:val="18"/>
          <w:color w:val="auto"/>
        </w:rPr>
        <w:t>or otherwise, our ability to maintain and grow our customer database and our Active Customers will be limited, which could have a material adverse effect on our business, financial condition and results of operations.</w:t>
      </w:r>
    </w:p>
    <w:p>
      <w:pPr>
        <w:spacing w:after="0" w:line="153"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In addition, political conditions, including new and changing laws or tariffs, regulations, executive orders and enforcement priorities, may create uncertainty about how such laws and regulations will be interpreted and applied and, consequently, may create market uncertainty. This may adversely impact customer demand, increase our costs and adversely impact our business.</w:t>
      </w:r>
    </w:p>
    <w:p>
      <w:pPr>
        <w:spacing w:after="0" w:line="176"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Decreases in Active Customers, average spend per customer, or retention and renewal rates for our Good Sam services and plans has, at times, negatively affected and could in the future negatively affect our financial performance, and a prolonged period of depressed consumer spending could have a material adverse effect on our business. For instance, our Active Customers declined in 2025. In prior years and to some extent in 2025, promotional activities and decreased demand for consumer products affected our profitability and margins, and this negative impact could return or worsen in future periods. In addition, adverse economic conditions may result in an increase in our operating expenses due to, among other things, higher costs of labor, energy, equipment and facilities, as well as higher tariffs. Due to fluctuations in the U.S. economy, our sales, operating and financial results for a particular period are difficult to predict, making it difficult to forecast results for future periods. Additionally, we are subject to economic fluctuations in local markets that may not reflect the economic conditions of the U.S. economy. Any of the foregoing factors could have a material adverse effect on our business, financial condition and results of operations.</w:t>
      </w:r>
    </w:p>
    <w:p>
      <w:pPr>
        <w:spacing w:after="0" w:line="194"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In addition, the success of our recurring Good Sam services and plans, as well as our RV and outdoor retail business, depends, in part, on our customers’ use of certain RV websites and/or the purchase of services, protection plans, products and resources through participating merchants, as well as the health of the RV industry generally.</w:t>
      </w:r>
    </w:p>
    <w:p>
      <w:pPr>
        <w:spacing w:after="0" w:line="163"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In addition, during recent periods we have faced, and may continue to face, increased competition from other businesses with similar product and service offerings. For example, our competitors have listed RVs at or below cost. As a result, we responded and may need to further respond by establishing pricing, marketing and other programs or by seeking out additional strategic alliances or acquisitions that may be less favorable to us than we could otherwise establish or obtain in more favorable economic environments. Such programs have adversely impacted our gross margin, operating margin and selling, general and administrative expenses. In addition, declines in the national economy could cause partners and/or advertising customers who participate in our programs to go out of business. Should the number of partners and/or advertising customers entering bankruptcy rise, it is likely that the number of uncollectible accounts would also rise. These factors could have a material adverse effect on our business, financial condition and results of operations.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is affected by the availability and cost of financing to us and our customers.</w:t>
      </w:r>
    </w:p>
    <w:p>
      <w:pPr>
        <w:spacing w:after="0" w:line="22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business is affected by the availability of financing to us and our customers. Generally, RV dealers, including us, finance their purchases of inventory. As of December 31, 2025, we had up to $2.15 billion in maximum borrowing capacity under our Ninth Amended and Restated Credit Agreement for floor plan financing (the “Floor Plan Facility”) (see Note 4 ─ Inventories and Floor Plan Payables to our consolidated financial statements included in Part II, Item 8 of this Form 10-K). A decrease in the availability of this type of wholesale financing or an increase in the cost of such wholesale financing could prevent us from carrying adequate levels of inventory, which may limit product offerings and could lead to reduced revenues.</w:t>
      </w:r>
    </w:p>
    <w:p>
      <w:pPr>
        <w:spacing w:after="0" w:line="181"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Furthermore, many of our customers finance their RV purchases. Consumer credit market conditions continue to influence demand, especially for RVs, and may continue to do so. Deteriorating economic conditions due to factors including heightened inflation, higher interest rates, increased unemployment, financial market uncertainty, decreases in disposable income, declines in consumer confidence, tariffs, economic slowdowns or recessions have negatively impacted and may in the future negatively impact credit conditions or credit worthiness of our customers, and adversely affect the ability of consumers to finance potential purchases at acceptable terms and interest rates. For instance, higher interest rates have limited the amount of financing that certain customers qualify for when purchasing a new or used RV. This has resulted and could in the future result in a decrease in sales of our products and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79"/>
        <w:spacing w:after="0" w:line="294" w:lineRule="auto"/>
        <w:rPr>
          <w:sz w:val="20"/>
          <w:szCs w:val="20"/>
          <w:color w:val="auto"/>
        </w:rPr>
      </w:pPr>
      <w:r>
        <w:rPr>
          <w:rFonts w:ascii="Arial" w:cs="Arial" w:eastAsia="Arial" w:hAnsi="Arial"/>
          <w:sz w:val="18"/>
          <w:szCs w:val="18"/>
          <w:b w:val="1"/>
          <w:bCs w:val="1"/>
          <w:i w:val="1"/>
          <w:iCs w:val="1"/>
          <w:color w:val="auto"/>
        </w:rPr>
        <w:t>Fuel shortages, high prices for fuel, or changes in energy sources could have a negative effect on our business.</w:t>
      </w:r>
    </w:p>
    <w:p>
      <w:pPr>
        <w:spacing w:after="0" w:line="13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Gasoline or diesel fuel is currently required for the operation of RVs. There can be no assurance that the supply of these petroleum products will continue uninterrupted, that rationing will not be imposed or that the price of or tax on these petroleum products will not significantly increase in the future. Shortages of gasoline and diesel fuel have had a material adverse effect on the RV industry as a whole in the past and any such shortages or substantial increases in the price of fuel could have a material adverse effect on our business, financial condition or results of operations.</w:t>
      </w:r>
    </w:p>
    <w:p>
      <w:pPr>
        <w:spacing w:after="0" w:line="184"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In the future, new government regulations could require us to sell RVs and other products that rely on alternative energy sources or prohibit consumers from purchasing products that rely on fuel or other traditional energy sources. For example, regulations passed in December 2021 by the California Air Resources Board (“CARB”) will prohibit the sale of gas-powered generators in California beginning in 2028. Additionally, CARB approved the Advanced Clean Trucks regulation in March 2021, which places requirements on RV manufacturers that are expected to prevent many new diesel RV models from being sold in California (and in states that have adopted the California standard) beginning with the 2024 model year. However, consistent with President Trump’s January 20, 2025 executive order titled “Unleashing American Energy”, Congress approved resolutions under the Congressional Review Act (CRA) that revoked waivers from the United States Environmental Protection Agency (“EPA”) that previously allowed California to adopt the Advanced Clean Truck regulation and other greenhouse gas (“GHG”) emissions regulations that are stricter than federal regulations. Although Trump signed the CRA Resolutions in June 2025, they remain subject to judicial challenges and it is unclear whether California’s Advanced Clean Trucks regulation remains enforceable. In addition, Trump’s executive order called for creation of a new, and likely less stringent, federal vehicle emissions standards and the EPA proposed new regulations in August 2025 that would repeal previously adopted regulations on vehicle GHG emissions. It is currently unclear whether such regulations will be adopted and, if adopted, whether they would survive likely judicial challenges. However, if current EPA and CARB regulations relating to vehicle emissions and energy sources remain in place, or become more stringent in the future, we may not have offerings available to satisfy such requirements or such alternative energy sources could be less desirable to our customers or result in reduced towing capacity, which may reduce demand or lower margins and adversely affect our business, financial condition or results of operations.</w:t>
      </w:r>
    </w:p>
    <w:p>
      <w:pPr>
        <w:spacing w:after="0" w:line="186" w:lineRule="exact"/>
        <w:rPr>
          <w:sz w:val="20"/>
          <w:szCs w:val="20"/>
          <w:color w:val="auto"/>
        </w:rPr>
      </w:pPr>
    </w:p>
    <w:p>
      <w:pPr>
        <w:jc w:val="both"/>
        <w:ind w:left="60" w:right="79"/>
        <w:spacing w:after="0" w:line="294" w:lineRule="auto"/>
        <w:rPr>
          <w:sz w:val="20"/>
          <w:szCs w:val="20"/>
          <w:color w:val="auto"/>
        </w:rPr>
      </w:pPr>
      <w:r>
        <w:rPr>
          <w:rFonts w:ascii="Arial" w:cs="Arial" w:eastAsia="Arial" w:hAnsi="Arial"/>
          <w:sz w:val="18"/>
          <w:szCs w:val="18"/>
          <w:b w:val="1"/>
          <w:bCs w:val="1"/>
          <w:i w:val="1"/>
          <w:iCs w:val="1"/>
          <w:color w:val="auto"/>
        </w:rPr>
        <w:t>Our success depends to a significant extent on the well-being, as well as the continued popularity and reputation for quality, of our manufacturers, particularly Thor Industries, Inc. and Forest River, Inc.</w:t>
      </w:r>
    </w:p>
    <w:p>
      <w:pPr>
        <w:spacing w:after="0" w:line="13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Thor Industries, Inc. and Forest River, Inc. supplied approximately 58.4% and 34.4%, respectively, of our new RV inventory as of December 31, 2025. We depend on our manufacturers to provide us with products that compare favorably with competing products in terms of quality, performance, safety and advanced features. Any adverse change in the production efficiency, product development efforts, technological advancement, marketplace acceptance, reputation, marketing capabilities or financial condition of our manufacturers, particularly Thor Industries, Inc. and Forest River, Inc., could have a substantial adverse impact on our business. Any difficulties encountered by any of these manufacturers, resulting from economic, financial, or other factors, could adversely affect the quality and amount of products that they are able to supply to us, and the services and support they provide to us.</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interruption or discontinuance of the operations of Thor Industries, Inc. and Forest River, Inc. or other manufacturers could cause us to experience shortfalls, disruptions, or delays with respect to needed inventory. Although we believe that adequate alternate sources would be available that could replace any manufacturer as a product source, those alternate sources may not be available at the time of any interruption, and alternative products may not be available at comparable quality and prices.</w:t>
      </w:r>
    </w:p>
    <w:p>
      <w:pPr>
        <w:spacing w:after="0" w:line="183"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supply arrangements with manufacturers are typically governed by dealer agreements, which are customary in the RV industry. Our dealer agreements with manufacturers are generally made on a location-by-location basis, and each store location typically enters into multiple dealer agreements with multiple manufacturers. These dealer agreements may contain affirmative obligations that we must comply with. Our dealer agreements also generally provide for a one-year term, which is typically renewed annually. For more</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8"/>
          <w:szCs w:val="18"/>
          <w:color w:val="auto"/>
        </w:rPr>
        <w:t>information on our dealer arrangements, see “Item 1. Business ─ Vehicle Sourcing and Dealer Arrangements” under Part I of this Form 10-K.</w:t>
      </w:r>
    </w:p>
    <w:p>
      <w:pPr>
        <w:spacing w:after="0" w:line="15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addition, certain of our dealer agreements contain stocking level requirements and certain of our dealer agreements contain contractual provisions concerning minimum advertised product pricing for current model year units. Wholesale pricing is generally established on a model year basis and is subject to change at the manufacturer’s sole discretion. In certain cases, manufacturers have, and may continue to establish a suggested retail price, below which we cannot advertise that manufacturer’s RVs. Any change, non-renewal, unfavorable renegotiation or termination of these arrangements for any reason could adversely affect product availability and cost and our financial performance.</w:t>
      </w:r>
    </w:p>
    <w:p>
      <w:pPr>
        <w:spacing w:after="0" w:line="183" w:lineRule="exact"/>
        <w:rPr>
          <w:sz w:val="20"/>
          <w:szCs w:val="20"/>
          <w:color w:val="auto"/>
        </w:rPr>
      </w:pPr>
    </w:p>
    <w:p>
      <w:pPr>
        <w:jc w:val="both"/>
        <w:ind w:left="60" w:right="79"/>
        <w:spacing w:after="0" w:line="294" w:lineRule="auto"/>
        <w:rPr>
          <w:sz w:val="20"/>
          <w:szCs w:val="20"/>
          <w:color w:val="auto"/>
        </w:rPr>
      </w:pPr>
      <w:r>
        <w:rPr>
          <w:rFonts w:ascii="Arial" w:cs="Arial" w:eastAsia="Arial" w:hAnsi="Arial"/>
          <w:sz w:val="18"/>
          <w:szCs w:val="18"/>
          <w:b w:val="1"/>
          <w:bCs w:val="1"/>
          <w:i w:val="1"/>
          <w:iCs w:val="1"/>
          <w:color w:val="auto"/>
        </w:rPr>
        <w:t>Changes in consumer preferences for our products or our failure to gauge those preferences could lead to reduced sales and increased cost of sales and selling, general and administrative expenses.</w:t>
      </w:r>
    </w:p>
    <w:p>
      <w:pPr>
        <w:spacing w:after="0" w:line="13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cannot be certain that historical consumer preferences for RVs in general, and any related products, will remain unchanged. RVs are generally used for recreational purposes, and demand for our products may be adversely affected by competition from other activities that occupy consumers’ leisure time and by changes in consumer lifestyle, usage pattern, or taste. Similarly, an overall decrease in consumer leisure time may reduce consumers’ willingness to purchase our products. During the COVID -19 pandemic, we experienced significant acceleration in our in-store traffic and revenue trends in May 2020 continuing into the quarter ended June 30, 2021 and demand for new and used vehicles remained elevated through the remainder</w:t>
      </w:r>
    </w:p>
    <w:p>
      <w:pPr>
        <w:spacing w:after="0" w:line="1"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color w:val="auto"/>
        </w:rPr>
        <w:t>of 2021 and into the beginning of 2022. The industry saw an influx of new first-time participants because RVs allowed people to travel in a safe and socially distant manner during the COVID-19 crisis. These trends are no longer prevalent and may not recur in the future. Over the past several years, we have seen a shift in our overall sales mix towards new travel trailer vehicles, which, prior to the COVID-19 pandemic, had led to declines in our average selling price of a new vehicle unit. From 2015 to 2025, new vehicle travel trailer units as a percent of total new vehicles increased from 62% to 79% of total new vehicle unit sales. From 2015 to 2025, our average selling price of a new vehicle unit decreased 8%, from $39,853 to $37,083, as the higher mix of lower priced travel trailers was partially offset by higher inflation over that period. As a result of the lower industry supply of travel trailers and motorhomes for much of 2021, both average cost and average sales price increased in 2022 and 2021, but average selling price began to decrease in 2023 and continued through 2025. During 2025, average sales price and average cost of new vehicles decreased 7% and 6%, respectively.</w:t>
      </w:r>
    </w:p>
    <w:p>
      <w:pPr>
        <w:spacing w:after="0" w:line="195" w:lineRule="exact"/>
        <w:rPr>
          <w:sz w:val="20"/>
          <w:szCs w:val="20"/>
          <w:color w:val="auto"/>
        </w:rPr>
      </w:pPr>
    </w:p>
    <w:p>
      <w:pPr>
        <w:jc w:val="both"/>
        <w:ind w:left="60" w:right="79"/>
        <w:spacing w:after="0" w:line="294" w:lineRule="auto"/>
        <w:rPr>
          <w:sz w:val="20"/>
          <w:szCs w:val="20"/>
          <w:color w:val="auto"/>
        </w:rPr>
      </w:pPr>
      <w:r>
        <w:rPr>
          <w:rFonts w:ascii="Arial" w:cs="Arial" w:eastAsia="Arial" w:hAnsi="Arial"/>
          <w:sz w:val="18"/>
          <w:szCs w:val="18"/>
          <w:b w:val="1"/>
          <w:bCs w:val="1"/>
          <w:i w:val="1"/>
          <w:iCs w:val="1"/>
          <w:color w:val="auto"/>
        </w:rPr>
        <w:t>Competition in the market for services, protection plans, products and resources targeting the RV lifestyle or RV enthusiast could reduce our revenues and profitability.</w:t>
      </w:r>
    </w:p>
    <w:p>
      <w:pPr>
        <w:spacing w:after="0" w:line="13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markets for services, protection plans, products and resources targeting RV owners and enthusiasts are highly fragmented and competitive. Major competitive factors that drive the RV, outdoor and active sports markets are price, product and service features, technology, performance, reliability, quality, availability, variety, delivery and customer service. We compete directly or indirectly with the following types of companies:</w:t>
      </w:r>
    </w:p>
    <w:p>
      <w:pPr>
        <w:spacing w:after="0" w:line="183" w:lineRule="exact"/>
        <w:rPr>
          <w:sz w:val="20"/>
          <w:szCs w:val="20"/>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other RV dealers selling new and used RVs;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major national insurance and warranty companies, providers of roadside assistance and providers of extended vehicle service contracts;</w:t>
      </w:r>
    </w:p>
    <w:p>
      <w:pPr>
        <w:spacing w:after="0" w:line="153"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multi-channel retailers and mass merchandisers, warehouse clubs, discount stores, department stores and other retailers, such as Wal-Mart, Target and Amazon;</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online retailers;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independent, local specialty stores.</w:t>
      </w:r>
    </w:p>
    <w:p>
      <w:pPr>
        <w:spacing w:after="0" w:line="22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Additional competitors may enter the businesses in which we currently operate. Moreover, some of our mass merchandising competitors do not currently compete in many of the product categories we offer, but may choose to offer a broader array of competing products in the future. Some of our competitors may build new</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color w:val="auto"/>
        </w:rPr>
        <w:t>stores in or near our existing locations and certain RV and accessory manufacturers may choose to expand their direct to consumer offerings. In addition, an increase in the number of aggregator and price comparison sites for insurance products may negatively impact our sales of these products. If any of our competitors successfully provides a broader, more efficient or attractive combination of services, protection plans, products and resources to our target customers, our business results could be materially adversely affected. Our inability to compete effectively with existing or potential competitors could have a material adverse effect on our business, financial condition and results of operations.</w:t>
      </w:r>
    </w:p>
    <w:p>
      <w:pPr>
        <w:spacing w:after="0" w:line="171"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b w:val="1"/>
          <w:bCs w:val="1"/>
          <w:i w:val="1"/>
          <w:iCs w:val="1"/>
          <w:color w:val="auto"/>
        </w:rPr>
        <w:t>The expansion into new, unfamiliar markets, businesses, product lines or categories presents increased risks that may prevent us from being profitable in any such new markets, businesses, product lines or categories. Delays in opening new store locations, including greenfield locations and acquisitions, on anticipated timelines or at all, could have a material adverse effect on our business, financial condition and results of operations.</w:t>
      </w:r>
    </w:p>
    <w:p>
      <w:pPr>
        <w:spacing w:after="0" w:line="182"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As a result of any future expansion into new, unfamiliar markets, businesses, product lines or categories, we may have less familiarity with local consumer preferences and less business, product or category knowledge with respect to new businesses, product lines or categories, and could encounter difficulties in attracting customers due to a reduced level of consumer familiarity with our brands or reduced product or category knowledge. Other factors that may impact our ability to open new store locations, including greenfield locations and acquisitions, in new markets and to operate them profitably or acquire new businesses, product lines or categories, many of which are beyond our control, include:</w:t>
      </w:r>
    </w:p>
    <w:p>
      <w:pPr>
        <w:spacing w:after="0" w:line="169" w:lineRule="exact"/>
        <w:rPr>
          <w:sz w:val="20"/>
          <w:szCs w:val="20"/>
          <w:color w:val="auto"/>
        </w:rPr>
      </w:pPr>
    </w:p>
    <w:p>
      <w:pPr>
        <w:jc w:val="both"/>
        <w:ind w:left="1040" w:right="79" w:hanging="315"/>
        <w:spacing w:after="0" w:line="268"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suitable acquisition opportunities or new locations, including our ability to gather and assess demographic and marketing data to determine consumer demand for our products in the locations we select or accurately assess profitability;</w:t>
      </w:r>
    </w:p>
    <w:p>
      <w:pPr>
        <w:spacing w:after="0" w:line="16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negotiate favorable lease agreements;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secure product lines;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the entitlement process, the availability of construction materials and labor for new store locations and significant construction delays or cost overruns;</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secure required third-party or governmental permits and approvals;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hire and train skilled store operating personnel, especially management personnel;</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provide a satisfactory mix of merchandise that is responsive to the needs of our customers living in the geographic areas where new store locations are built or acquired;</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supply new store locations with inventory in a timely manner;</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building or leasing store locations near our store locations or in locations we have identified as targets; and</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regional economic and other factors in the geographic areas where we expand.</w:t>
      </w:r>
    </w:p>
    <w:p>
      <w:pPr>
        <w:spacing w:after="0" w:line="224"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The expansion into new markets, businesses, products or categories may not be supported adequately by our current resources, personnel and systems, and may also create new distribution and merchandising challenges, including additional strain on our distribution centers, an increase in information to be processed by our management information systems and diversion of management attention from existing operations. To the extent that we are not able to meet these additional challenges, our sales could decrease, and our operating expenses could increase, which could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Finally, the size, timing, and integration of any future new store location openings, including greenfield locations and acquisitions, or the acquisition of new businesses, product lines or categories may cause substantial fluctuations in our results of operations from quarter to quarter. Consequently, our results of operations for any quarter may not be indicative of the results that may be achieved for any subsequent quarter or for a full fiscal year. These fluctuations could adversely affect the market price of our Class A common stock.</w:t>
      </w:r>
    </w:p>
    <w:p>
      <w:pPr>
        <w:spacing w:after="0" w:line="179"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As a result of the above factors, we cannot assure you that we will be successful in operating store locations in new markets or acquiring new businesses, product lines or categories on a profitable basis, and our failure to do so could have a material adverse effect on our business, financial condition and results of operations.</w:t>
      </w:r>
    </w:p>
    <w:p>
      <w:pPr>
        <w:spacing w:after="0" w:line="182"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8"/>
          <w:szCs w:val="18"/>
          <w:b w:val="1"/>
          <w:bCs w:val="1"/>
          <w:i w:val="1"/>
          <w:iCs w:val="1"/>
          <w:color w:val="auto"/>
        </w:rPr>
        <w:t>Unforeseen expenses, difficulties, and delays encountered in connection with acquisitions could inhibit our growth and negatively impact our profitability.</w:t>
      </w:r>
    </w:p>
    <w:p>
      <w:pPr>
        <w:spacing w:after="0" w:line="139"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Our ability to continue to grow through the acquisition of additional store locations will depend upon various factors, including the following:</w:t>
      </w:r>
    </w:p>
    <w:p>
      <w:pPr>
        <w:spacing w:after="0" w:line="153" w:lineRule="exact"/>
        <w:rPr>
          <w:sz w:val="20"/>
          <w:szCs w:val="20"/>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suitable acquisition candidates at attractive purchase prices;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compete effectively for available acquisition opportunities;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cash on hand, borrowed funds or Class A common stock with a sufficient market price to finance the acquisitions;</w:t>
      </w:r>
    </w:p>
    <w:p>
      <w:pPr>
        <w:spacing w:after="0" w:line="18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obtain any requisite third-party or governmental approvals; and</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absence of one or more third parties attempting to impose unsatisfactory restrictions on us in connection with their approval of acquisitions.</w:t>
      </w:r>
    </w:p>
    <w:p>
      <w:pPr>
        <w:spacing w:after="0" w:line="181"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As a part of our strategy, we occasionally engage in discussions with various dealerships and other outdoor lifestyle businesses regarding their potential acquisition by us. In connection with these discussions, we and each potential acquisition candidate exchange confidential operational and financial information, conduct due diligence inquiries, and consider the structure, terms, and conditions of the potential acquisition. Potential acquisition discussions frequently involve difficult business integration and other issues, including in some cases, management succession and related matters. As a result of these and other factors, a number of potential acquisitions that from time to time have been announced or appear likely to occur do not result in binding legal agreements or are not consummated. In addition, we may have disagreements with potential acquisition targets, which could lead to litigation. Acquisitions that have closed may not have the intended benefit. Any of these factors or outcomes could result in a material adverse effect on our business, financial condition and results of operations.</w:t>
      </w:r>
    </w:p>
    <w:p>
      <w:pPr>
        <w:spacing w:after="0" w:line="186"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8"/>
          <w:szCs w:val="18"/>
          <w:b w:val="1"/>
          <w:bCs w:val="1"/>
          <w:i w:val="1"/>
          <w:iCs w:val="1"/>
          <w:color w:val="auto"/>
        </w:rPr>
        <w:t>Failure to maintain the strength and value of our brands and reputation could have a material adverse effect on our business, financial condition and results of operations.</w:t>
      </w:r>
    </w:p>
    <w:p>
      <w:pPr>
        <w:spacing w:after="0" w:line="139"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Our success depends on the value and strength of our key brands, including Good Sam and Camping World. These brands are integral to our business as well as to the implementation of our strategies for expanding our business. Maintaining, enhancing, promoting and positioning our brands, particularly in new markets where we have limited brand recognition, will depend largely on the success of our marketing and merchandising efforts and our ability to provide high quality services, protection plans, products and resources and a consistent, high quality customer experience. Our brands could be adversely affected if we fail to achieve these objectives, if we fail to comply with local laws and regulations, if we are subject to publicized litigation or if our public image or reputation were to be tarnished by negative publicity. Some of these risks may be beyond our ability to control, such as the effects of negative publicity regarding our manufacturers, suppliers or third-party providers of services or negative publicity related to members of management.</w:t>
      </w:r>
    </w:p>
    <w:p>
      <w:pPr>
        <w:spacing w:after="0" w:line="1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In addition, our brands and reputation are increasingly vulnerable to the effects of negative commentary, reviews, or viral content on social media platforms and online review sites, which may spread</w:t>
      </w:r>
    </w:p>
    <w:p>
      <w:pPr>
        <w:sectPr>
          <w:pgSz w:w="11900" w:h="16838" w:orient="portrait"/>
          <w:cols w:equalWidth="0" w:num="1">
            <w:col w:w="9019"/>
          </w:cols>
          <w:pgMar w:left="1440" w:top="513" w:right="1440"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color w:val="auto"/>
        </w:rPr>
        <w:t>rapidly and be difficult to counter. Consumer purchasing decisions for high-value products like RVs are often influenced by online reviews, social media commentary, and third-party ratings, and negative information-whether or not accurate-could deter potential customers, reduce sales, and diminish the value of our brands. We also use social media channels, including TikTok, Facebook, and YouTube, to communicate with consumers; any failure to appropriately manage our social media presence, respond to negative posts in a timely manner, or accurately convey information through these channels could result in brand damage, customer dissatisfaction, or regulatory scrutiny.</w:t>
      </w:r>
    </w:p>
    <w:p>
      <w:pPr>
        <w:spacing w:after="0" w:line="169"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Any of these events could result in decreases in revenues. Further, maintaining, enhancing, promoting and positioning our brands’ image may require us to make substantial investments, which could adversely affect our cash flow, and which may ultimately be unsuccessful. These factors could have a material adverse effect on our business, financial condition and results of operations.</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Our failure to successfully order and manage our inventory to reflect consumer demand in a volatile market and anticipate changing consumer preferences and buying trends has, and may continue to have, an adverse effect on our business, financial condition and results of operations.</w:t>
      </w:r>
    </w:p>
    <w:p>
      <w:pPr>
        <w:spacing w:after="0" w:line="14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Our success depends upon our ability to successfully manage our inventory and to anticipate and respond to merchandise trends and consumer demands in a timely manner. Our products are intended to appeal to consumers who are, or could become, RV owners and enthusiasts across North America. The preferences of these consumers cannot be predicted with certainty and are subject to change. Further, the retail consumer industry, by its nature, is volatile and sensitive to numerous economic factors, including consumer preferences, competition, market conditions, general economic conditions and other factors outside of our control. We typically order merchandise well in advance of the following selling season making it difficult for us to respond rapidly to new or changing product trends, increases or decreases in consumer demand or changes in prices. Additionally, we may not be able to adjust proprietary pricing tools, such as the RV Valuator, to respond to changes in consumer demand or pricing until after a trend is established. If we misjudge either the market for our merchandise or our consumers’ purchasing habits in the future, our revenues may decline significantly, and we may not have sufficient quantities of merchandise to satisfy consumer demand or sales orders, or we may be required to discount excess inventory, either of which could have a material adverse effect on our business, financial condition and results of operations. For example, in the normal course of business, we periodically will implement discounting to reduce our excess RV inventory. In addition, we have exited certain non-RV retail categories because we felt those categories did not have sufficient demand or sales margins to justify our inventory levels. These activities have negatively impacted our gross margin, operating margin and selling, general and administrative expenses and could materially adversely affect our future results of operations and financial condition.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same store revenue may fluctuate and may not be a meaningful indicator of future performance.</w:t>
      </w:r>
    </w:p>
    <w:p>
      <w:pPr>
        <w:spacing w:after="0" w:line="223"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Our same store revenue may vary from period to period. In addition to the above risk factors a number of additional factors have historically affected, and will continue to affect, our same store revenue results, including:</w:t>
      </w:r>
    </w:p>
    <w:p>
      <w:pPr>
        <w:spacing w:after="0" w:line="175" w:lineRule="exact"/>
        <w:rPr>
          <w:sz w:val="20"/>
          <w:szCs w:val="20"/>
          <w:color w:val="auto"/>
        </w:rPr>
      </w:pPr>
    </w:p>
    <w:p>
      <w:pPr>
        <w:jc w:val="both"/>
        <w:ind w:left="1040" w:right="79" w:hanging="315"/>
        <w:spacing w:after="0" w:line="257" w:lineRule="auto"/>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changes or anticipated changes to regulations related to some of the products we sell or to the localities in which we operate, such as the regulations passed in December 2021 by CARB that will prohibit the sale of gas-powered generators in California beginning in 2028 or the Advanced Clean Trucks regulation approved by CARB in March 2021, which places requirements on RV manufacturers that are expected to prevent many new diesel RV models from being sold in states that have adopted the regulation beginning with the 2024 model year;</w:t>
      </w:r>
    </w:p>
    <w:p>
      <w:pPr>
        <w:spacing w:after="0" w:line="167" w:lineRule="exact"/>
        <w:rPr>
          <w:rFonts w:ascii="Times New Roman" w:cs="Times New Roman" w:eastAsia="Times New Roman" w:hAnsi="Times New Roman"/>
          <w:sz w:val="18"/>
          <w:szCs w:val="18"/>
          <w:color w:val="auto"/>
        </w:rPr>
      </w:pPr>
    </w:p>
    <w:p>
      <w:pPr>
        <w:ind w:left="1040" w:right="439" w:hanging="315"/>
        <w:spacing w:after="0" w:line="286" w:lineRule="auto"/>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provide quality customer service that will increase our conversion of shoppers into paying customers;</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atypical weather patterns;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product mix;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pricing and average unit sales.</w:t>
      </w:r>
    </w:p>
    <w:p>
      <w:pPr>
        <w:spacing w:after="0" w:line="22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An unanticipated decline in revenues or same store revenue may cause the price of our Class A common stock to fluctuate significantly.</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is seasonal and this leads to fluctuations in revenues.</w:t>
      </w:r>
    </w:p>
    <w:p>
      <w:pPr>
        <w:spacing w:after="0" w:line="22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have experienced, and expect to continue to experience, variability in revenue, net income and cash flows as a result of annual seasonality in our business. The RV outdoor and active sports specialty retail industries are cyclical and, because RVs are used primarily by vacationers and campers, demand for services, protection plans, products and resources generally declines during the winter season, while sales and profits are generally highest during the spring and summer months. In addition, unusually severe weather conditions in some geographic areas may impact demand.</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average, over the three years ended December 31, 2025, we generated 30.4% and 28.1% of our annual revenue in the second and third fiscal quarters, respectively, which include the spring and summer months. We have historically incurred additional expenses in the second and third fiscal quarters due to higher purchase volumes, increased staffing in our store locations and program costs. If, for any reason, we miscalculate the demand for our products or our product mix during the second and third fiscal quarters, our sales in these quarters could decline, resulting in higher labor costs as a percentage of sales, lower margins and excess inventory, which could have a material adverse effect on our business, financial condition and results of operations. Additionally, selling, general, and administrative (“SG&amp;A”) expenses as a percentage of gross profit tend to be higher in the first and fourth quarters due to the seasonality of our business.</w:t>
      </w:r>
    </w:p>
    <w:p>
      <w:pPr>
        <w:spacing w:after="0" w:line="18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Due to our seasonality, the possible adverse impact from other risks associated with our business, including atypical weather, consumer spending levels and general business conditions, is potentially greater if any such risks occur during our peak sales seasons.</w:t>
      </w:r>
    </w:p>
    <w:p>
      <w:pPr>
        <w:spacing w:after="0" w:line="173"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Our ability to operate and expand our business and to respond to changing business and economic conditions will depend on the availability of adequate capital.</w:t>
      </w:r>
    </w:p>
    <w:p>
      <w:pPr>
        <w:spacing w:after="0" w:line="15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operation of our business, the rate of our expansion and our ability to respond to changing business and economic conditions depend on the availability of adequate capital, which in turn depends partly on cash flow generated by our business. We also require sufficient cash flow to meet our obligations under our existing debt agreements. (See “Management's Discussion and Analysis of Financial Condition and Results of Operations — Liquidity and Capital Resources — Description of Senior Secured Credit Facilities and Floor Plan Facility” in Item 7 of Part II of this Form 10-K). We cannot assure you that our cash flow from operations or cash available under our financing agreements, including our $65.0 million revolving credit facility (the “Revolving Credit Facility”) or our floor plan financing through the Floor Plan Facility, will be sufficient to meet our needs. If we are unable to generate sufficient cash flows from operations in the future, and if availability under our Revolving Credit Facility or our Floor Plan Facility is not sufficient, or if additional borrowings under our Real Estate Facilities (as defined in Note 10 — Long-Term Debt to our consolidated financial statements included in Item 8 of Part II of this Form 10-K) are unavailable,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w:t>
      </w:r>
    </w:p>
    <w:p>
      <w:pPr>
        <w:spacing w:after="0" w:line="185" w:lineRule="exact"/>
        <w:rPr>
          <w:sz w:val="20"/>
          <w:szCs w:val="20"/>
          <w:color w:val="auto"/>
        </w:rPr>
      </w:pPr>
    </w:p>
    <w:p>
      <w:pPr>
        <w:jc w:val="both"/>
        <w:ind w:left="60" w:right="79"/>
        <w:spacing w:after="0" w:line="294" w:lineRule="auto"/>
        <w:rPr>
          <w:sz w:val="20"/>
          <w:szCs w:val="20"/>
          <w:color w:val="auto"/>
        </w:rPr>
      </w:pPr>
      <w:r>
        <w:rPr>
          <w:rFonts w:ascii="Arial" w:cs="Arial" w:eastAsia="Arial" w:hAnsi="Arial"/>
          <w:sz w:val="18"/>
          <w:szCs w:val="18"/>
          <w:b w:val="1"/>
          <w:bCs w:val="1"/>
          <w:i w:val="1"/>
          <w:iCs w:val="1"/>
          <w:color w:val="auto"/>
        </w:rPr>
        <w:t>Our Senior Secured Credit Facilities and our Floor Plan Facility contain restrictive covenants that may impair our ability to access sufficient capital and operate our business.</w:t>
      </w:r>
    </w:p>
    <w:p>
      <w:pPr>
        <w:spacing w:after="0" w:line="1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Our senior secured credit facilities, comprised of our Revolving Credit Facility and our $1.4 billion term loan facility (the “Term Loan Facility” and together with the Revolving Credit Facility, the “Senior Secured Credit Facilities”) and our Floor Plan Facility contain various provisions that limit our ability to, among other things:</w:t>
      </w:r>
    </w:p>
    <w:p>
      <w:pPr>
        <w:spacing w:after="0" w:line="171" w:lineRule="exact"/>
        <w:rPr>
          <w:sz w:val="20"/>
          <w:szCs w:val="20"/>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indebtedness;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incur certain liens;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consolidate or merge;</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alter the business conducted by us and our subsidiaries;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make investments, loans, advances, guarantees and acquisitions;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sell assets, including capital stock of our subsidiaries;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pay dividends on capital stock or redeem, repurchase or retire capital stock or certain other indebtedness;</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engage in transactions with affiliates;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agreements restricting our subsidiaries’ ability to pay dividends.</w:t>
      </w:r>
    </w:p>
    <w:p>
      <w:pPr>
        <w:spacing w:after="0" w:line="224"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In addition, the restrictive covenants in our Senior Secured Credit Facilities and our Floor Plan Facility require us to maintain specified financial ratios and provide for acceleration of the indebtedness thereunder in the case of certain events of default, which could have a material adverse effect on our business, financial condition and results of operations. See “Management's Discussion and Analysis of Financial Condition and Results of Operations — Liquidity and Capital Resources — Description of Senior Secured Credit Facilities and Floor Plan Facility” in Item 7 of Part II of this Form 10-K and Note 10 — Long-Term Debt to our consolidated financial statements included in Item 8 of Part II of this Form 10-K. Our ability to comply with those financial ratios may be affected by events beyond our control, and our failure to comply with these ratios could result in an event of default. In an event of default, we may not have sufficient funds available, or we may not have access to sufficient capital from other sources, to repay any accelerated debt and our lenders could foreclose on liens which cover substantially all of our assets.</w:t>
      </w:r>
    </w:p>
    <w:p>
      <w:pPr>
        <w:spacing w:after="0" w:line="203"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8"/>
          <w:szCs w:val="18"/>
          <w:b w:val="1"/>
          <w:bCs w:val="1"/>
          <w:i w:val="1"/>
          <w:iCs w:val="1"/>
          <w:color w:val="auto"/>
        </w:rPr>
        <w:t>Future pandemics or health crises may have negative impacts on our business, including disruptions to our operations that could have a material adverse effect on our results of operations, financial condition and cash flows.</w:t>
      </w:r>
    </w:p>
    <w:p>
      <w:pPr>
        <w:spacing w:after="0" w:line="157" w:lineRule="exact"/>
        <w:rPr>
          <w:sz w:val="20"/>
          <w:szCs w:val="20"/>
          <w:color w:val="auto"/>
        </w:rPr>
      </w:pPr>
    </w:p>
    <w:p>
      <w:pPr>
        <w:jc w:val="both"/>
        <w:ind w:left="60" w:right="59" w:firstLine="648"/>
        <w:spacing w:after="0" w:line="303" w:lineRule="auto"/>
        <w:rPr>
          <w:sz w:val="20"/>
          <w:szCs w:val="20"/>
          <w:color w:val="auto"/>
        </w:rPr>
      </w:pPr>
      <w:r>
        <w:rPr>
          <w:rFonts w:ascii="Arial" w:cs="Arial" w:eastAsia="Arial" w:hAnsi="Arial"/>
          <w:sz w:val="18"/>
          <w:szCs w:val="18"/>
          <w:color w:val="auto"/>
        </w:rPr>
        <w:t>Future pandemics or health crises may have negative impacts on our business, including, without limitation, the following:</w:t>
      </w:r>
    </w:p>
    <w:p>
      <w:pPr>
        <w:spacing w:after="0" w:line="139" w:lineRule="exact"/>
        <w:rPr>
          <w:sz w:val="20"/>
          <w:szCs w:val="20"/>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the delivery of certain products from our vendors as a result of shipping delays;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temporary facility closures, production slowdowns and disruption to operations;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product costs or shortages;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reduced traffic at our store locations or reduced demand for our products and services;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labor shortages including for key positions;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financial impacts that could cause one or more of our counterparty financial institutions to fail or default on their obligations to us or for us to default on one or more of our credit agreements;</w:t>
      </w:r>
    </w:p>
    <w:p>
      <w:pPr>
        <w:spacing w:after="0" w:line="153" w:lineRule="exact"/>
        <w:rPr>
          <w:rFonts w:ascii="Times New Roman" w:cs="Times New Roman" w:eastAsia="Times New Roman" w:hAnsi="Times New Roman"/>
          <w:sz w:val="18"/>
          <w:szCs w:val="18"/>
          <w:color w:val="auto"/>
        </w:rPr>
      </w:pPr>
    </w:p>
    <w:p>
      <w:pPr>
        <w:jc w:val="both"/>
        <w:ind w:left="1040" w:right="79" w:hanging="315"/>
        <w:spacing w:after="0" w:line="268" w:lineRule="auto"/>
        <w:tabs>
          <w:tab w:leader="none" w:pos="10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significant impairment charges with respect to noncurrent assets, including goodwill, other intangible assets, and other long-lived assets, as well as inventory whose fair values may be negatively affected; and</w:t>
      </w:r>
    </w:p>
    <w:p>
      <w:pPr>
        <w:spacing w:after="0" w:line="16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heightened cybersecurity risks during periods of increased remote working.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79" w:firstLine="648"/>
        <w:spacing w:after="0" w:line="318" w:lineRule="auto"/>
        <w:rPr>
          <w:sz w:val="20"/>
          <w:szCs w:val="20"/>
          <w:color w:val="auto"/>
        </w:rPr>
      </w:pPr>
      <w:r>
        <w:rPr>
          <w:rFonts w:ascii="Arial" w:cs="Arial" w:eastAsia="Arial" w:hAnsi="Arial"/>
          <w:sz w:val="18"/>
          <w:szCs w:val="18"/>
          <w:color w:val="auto"/>
        </w:rPr>
        <w:t>These and other disruptions to our business could have a material adverse effect on our results of operations, financial condition and cash flows.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successfully execute or achieve the expected benefits of our cost cutting initiatives.</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From time to time, we engage in cost cutting or restructuring initiatives to try to streamline our organizational footprint. These initiatives may not have the intended benefits and may result in unintended consequences and costs, such as the loss of institutional knowledge and expertise, attrition beyond the intended number of employees impacted by any reduction in force, and decreased morale among our remaining employees. We also may be unable to terminate or sublet applicable leases or reduce IT costs related to such initiatives, which has occurred in connection with recent restructuring initiatives. If we are unable to realize the anticipated benefits from our cost cutting or restructuring initiatives, or if we experience significant adverse consequences from such initiatives, our business, financial condition, and results of operations may be materially adversely affected.</w:t>
      </w:r>
    </w:p>
    <w:p>
      <w:pPr>
        <w:spacing w:after="0" w:line="18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We primarily rely on our fulfillment and distribution centers for our retail and e-commerce businesses, and, if there is a natural disaster or other serious disruption at any such facility, we may be unable to deliver merchandise effectively to our stores or customers.</w:t>
      </w:r>
    </w:p>
    <w:p>
      <w:pPr>
        <w:spacing w:after="0" w:line="15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handle almost all of our e-commerce orders and distribution to our retail stores through fulfillment and distribution facilities (see “Item 2. Properties” under Part I of this Form 10-K). Any natural disaster or other serious disruption at any such facility due to fire, tornado, earthquake, flood or any other cause could damage our on-site inventory or impair our ability to use such distribution and fulfillment center. While we maintain business interruption insurance, as well as general property insurance, the amount of insurance coverage may not be sufficient to cover our losses in such an event. Any of these occurrences could impair our ability to adequately stock our stores or fulfill customer orders and harm our results of operations.</w:t>
      </w:r>
    </w:p>
    <w:p>
      <w:pPr>
        <w:spacing w:after="0" w:line="183" w:lineRule="exact"/>
        <w:rPr>
          <w:sz w:val="20"/>
          <w:szCs w:val="20"/>
          <w:color w:val="auto"/>
        </w:rPr>
      </w:pPr>
    </w:p>
    <w:p>
      <w:pPr>
        <w:jc w:val="both"/>
        <w:ind w:left="60" w:right="59"/>
        <w:spacing w:after="0" w:line="264" w:lineRule="auto"/>
        <w:rPr>
          <w:sz w:val="20"/>
          <w:szCs w:val="20"/>
          <w:color w:val="auto"/>
        </w:rPr>
      </w:pPr>
      <w:r>
        <w:rPr>
          <w:rFonts w:ascii="Arial" w:cs="Arial" w:eastAsia="Arial" w:hAnsi="Arial"/>
          <w:sz w:val="18"/>
          <w:szCs w:val="18"/>
          <w:b w:val="1"/>
          <w:bCs w:val="1"/>
          <w:i w:val="1"/>
          <w:iCs w:val="1"/>
          <w:color w:val="auto"/>
        </w:rPr>
        <w:t>Natural disasters, whether or not caused by climate change, unusual weather conditions, epidemic outbreaks, terrorist acts and political events could disrupt business and result in lower sales and otherwise adversely affect our financial performance.</w:t>
      </w:r>
    </w:p>
    <w:p>
      <w:pPr>
        <w:spacing w:after="0" w:line="16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The occurrence of one or more natural disasters, such as tornadoes, hurricanes, fires, droughts, floods, hail storms and earthquakes, unusual weather conditions, epidemic outbreaks or other public health crises, terrorist attacks or disruptive political events in certain regions where our stores are located could adversely affect our business and result in lower sales, or could impact the degree to which travel and recreational activities remain attractive, either of which could have a material adverse effect on our business, financial condition, and results of operations. Severe weather, such as heavy snowfall or extreme temperatures, may discourage or restrict customers in a particular region from traveling to our stores or utilizing our products, thereby reducing our sales and profitability. Natural disasters including tornadoes, hurricanes, droughts, floods, hailstorms and earthquakes may damage our stores or other operations, which may materially adversely affect our consolidated financial results. In addition to business interruption, our retail business is subject to substantial risk of property loss due to the concentration of property at our store locations. Climate change and other environmental and social pressures may impact the frequency and/or intensity of such events as well as cause chronic changes, such as changes in temperature or precipitation patterns or sea-level rise, that may also have an adverse impact on our operations, including but not limited to a change in consumer behavior, including with respect to the degree to which travel and recreational activities remain attractive. To the extent these events also impact one or more of our key suppliers or result in the closure of one or more of our distribution centers or our corporate headquarters, we may be unable to maintain inventory balances, maintain delivery schedules or provide other support functions to our stores. Our insurance coverage may also be insufficient to cover all losses related to such events, or changing climatic conditions may make it so that we are not able to obtain sufficient insurance coverage on terms that we find acceptable. Any of these events could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79"/>
        <w:spacing w:after="0" w:line="272" w:lineRule="auto"/>
        <w:rPr>
          <w:sz w:val="20"/>
          <w:szCs w:val="20"/>
          <w:color w:val="auto"/>
        </w:rPr>
      </w:pPr>
      <w:r>
        <w:rPr>
          <w:rFonts w:ascii="Arial" w:cs="Arial" w:eastAsia="Arial" w:hAnsi="Arial"/>
          <w:sz w:val="18"/>
          <w:szCs w:val="18"/>
          <w:b w:val="1"/>
          <w:bCs w:val="1"/>
          <w:i w:val="1"/>
          <w:iCs w:val="1"/>
          <w:color w:val="auto"/>
        </w:rPr>
        <w:t>We depend on our relationships with third-party providers of services, protection plans, products and resources and a disruption of these relationships or of these providers’ operations could have an adverse effect on our business and results of operations.</w:t>
      </w:r>
    </w:p>
    <w:p>
      <w:pPr>
        <w:spacing w:after="0" w:line="158"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Our business depends in part on developing and maintaining productive relationships with third-party providers of services, protection plans, products and resources that we market to our customers. During the year ended December 31, 2025, we sourced our products from over 1,300 domestic and international vendors. Additionally, we rely on certain third-party providers to support our services, protection plans, products and resources, including insurance carriers for our property and casualty insurance and extended service contracts, banks and captive financing companies for vehicle financing and refinancing, Comenity Capital Bank as the issuer of our co-branded credit cards, and a tow provider network for our roadside assistance programs. We cannot accurately predict when, or the extent to which, we will experience any disruption in the supply of products from our vendors or suppliers or services from our third-party providers. Any such disruption could negatively impact our ability to market and sell our services, protection plans, products and resources, which could have a material adverse effect on our business, financial condition and results of operations. In addition, Comenity Capital Bank could decline to renew our services agreement or become insolvent and unable to perform our contract, and we may be unable to timely find a replacement bank to provide these services.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depend on merchandise purchased from our vendors to obtain products for our store locations. We have contractual arrangements providing for continued supply from two of our key vendors; however, our other vendors may discontinue selling to us at any time. Changes in commercial practices of our key vendors or manufacturers, such as changes in vendor support and incentives or changes in credit or payment terms, could also negatively impact our results. If we lose one or more key vendors or are unable to promptly replace a vendor that is unwilling or unable to satisfy our requirements with a vendor providing equally appealing products at comparable prices, we may not be able to offer products that are important to our merchandise assortment.</w:t>
      </w:r>
    </w:p>
    <w:p>
      <w:pPr>
        <w:spacing w:after="0" w:line="18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also are subject to risks, such as the price and availability of raw materials, shipping delays, labor disputes, trade restrictions, union organizing activity, strikes, inclement weather, natural disasters, war and terrorism and adverse general economic and political conditions that might limit our vendors’ ability to provide us with quality merchandise on a timely and cost-efficient basis. We may not be able to develop relationships with new vendors, and products from alternative sources, if any, may be of a lesser quality and more expensive than those we currently purchase. Any delay or failure in offering quality products and services to our customers could have a material adverse effect on our business, financial condition and results of operations.</w:t>
      </w:r>
    </w:p>
    <w:p>
      <w:pPr>
        <w:spacing w:after="0" w:line="181"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We offer emergency roadside assistance to our customers at a fixed price per year and we pay our tow provider network based on usage. If the amount of emergency roadside claims substantially exceeds our estimates or if our tow provider is unable to adequately respond to calls, it could have a material adverse effect on our business, financial condition or results of operations.</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With respect to the insurance programs that we offer, we are dependent on the insurance carriers that underwrite the insurance to obtain appropriate regulatory approvals and maintain compliance with insurance regulations. If such carriers are out of compliance, we may be required to use an alternative carrier or products or cease marketing certain products in certain states, which could have a material adverse effect on our business, financial condition and results of operations. If we are required to use an alternative carrier or change our products, it may materially increase the time required to bring an insurance related product to market. Any disruption in our service offerings could harm our reputation and result in customer dissatisfaction.</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Additionally, we provide financing to qualified customers through a number of third-party financing providers. If one or more of these third-party providers ceases to provide financing to our customers, provides financing to fewer customers or no longer provides financing on competitive terms, or if we were unable to replace the current third-party providers upon the occurrence of one or more of the foregoing events, it could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Because certain of the products that we sell are manufactured abroad, we may face delays, new or increased tariffs, increased cost or quality control deficiencies in the importation of these products, which could reduce our net sales and profitability.</w:t>
      </w:r>
    </w:p>
    <w:p>
      <w:pPr>
        <w:spacing w:after="0" w:line="15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 portion of the products that we purchase for resale, including those purchased from domestic suppliers, is manufactured abroad in China, Mexico and other countries. In addition, we believe most of our non-RV exclusive brand merchandise is manufactured abroad. Additionally, many of our U.S.-based suppliers source some of their components from these countries, which could result in higher procurement costs from U.S.-based suppliers. In 2025, our costs applicable to revenue included the costs of directly sourced inventory from China, Mexico, and Canada of approximately $37.5 million, $10.5 million and $2.3 million, respectively.</w:t>
      </w:r>
    </w:p>
    <w:p>
      <w:pPr>
        <w:spacing w:after="0" w:line="184"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Trade tensions between the United States and China, Mexico, Canada, Russia and other countries have escalated in recent years. We may not be able to mitigate the impacts of any future tariffs or trade restrictions, and our business, results of operations and financial position would be materially adversely affected. As a result, our foreign imports, in particular imports from China and Mexico, subject us to the risks of changes in, or the imposition of new import tariffs, duties or quotas, new restrictions on imports, loss of “most favored nation” status with the United States for a particular foreign country, antidumping or countervailing duty orders, retaliatory actions in response to illegal trade practices, work stoppages, delays in shipment, trade route challenges due to global political tensions, freight expense increases, product cost increases due to foreign currency fluctuations or revaluations and economic uncertainties. If any of these or other factors were to cause a disruption of trade from the countries in which our vendors or the suppliers of our vendors are located or impose additional costs in connection with the purchase of our products, we may be unable to obtain sufficient quantities of products to satisfy our requirements and our results of operations could be adversely affected.</w:t>
      </w:r>
    </w:p>
    <w:p>
      <w:pPr>
        <w:spacing w:after="0" w:line="187"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Additionally, some stakeholders have expectations that companies monitor the environmental and/or social performance of their value chains, including compliance with a variety of labor practices and end of life considerations. Compliance with emerging expectations and regulations can be costly, require us to establish or augment programs to diligence or monitor our suppliers, or, in the case of legislation such as the Uyghur Forced Labor Prevention Act, to design supply chains to avoid certain regions altogether. To the extent that any foreign manufacturers which supply products to us directly or indirectly utilize quality control standards, labor practices or other practices that vary from those legally mandated or commonly accepted in the United States, we could be hurt by a variety of adverse impacts, including but not limited to any resulting negative publicity or, in some cases, face potential liability or a denial of import for our products.</w:t>
      </w:r>
    </w:p>
    <w:p>
      <w:pPr>
        <w:spacing w:after="0" w:line="18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A portion of our net income is related to financing, insurance and extended service contracts, which depend on third-party lenders and insurance companies. We cannot assure you that third-party lending institutions will continue to provide financing for RV purchases.</w:t>
      </w:r>
    </w:p>
    <w:p>
      <w:pPr>
        <w:spacing w:after="0" w:line="15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portion of our net income comes from the fees we receive from lending institutions and insurance companies for arranging financing and insurance coverage for our customers unless customers prepay the financing within a specified period (generally within six months of making the loan), in which case we are required to rebate (or “chargeback”) all or a portion of the commissions paid to us by the lending institution. Our revenues from financing fees and vehicle service contract fees are recorded net of a reserve for estimated future chargebacks based on historical operating results. Lending institutions may change the criteria or terms they use to make loan decisions, which could reduce the number of customers for whom we can arrange financing, or may elect to not continue to provide these products with respect to RVs. Our customers may also use the internet or other electronic methods to find financing alternatives. If any of these events occur, we could lose a significant portion of our income and profit. Our arrangements with lending institutions are typically governed by retail dealer agreements, which are customary in the RV industry. Our retail dealer agreements with lenders are generally made on a location by location basis, and each store location typically enters into multiple retail dealer agreements with multiple lending institutions. These retail dealer agreements may contain affirmative obligations that we must comply with.</w:t>
      </w:r>
    </w:p>
    <w:p>
      <w:pPr>
        <w:spacing w:after="0" w:line="172"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Furthermore, new and used vehicles may be sold and financed through retail installment sales contracts entered into between us and third-party purchasers. Prior to entering into a retail installment sales contract with a third-party purchaser, we typically have a commitment from a third-party lender for the assignment of such retail installment sales contract, subject to final review, approval and verification of the retail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installment sales contract, related documentation and the information contained therein. Retail installment sales contracts are typically assigned by us to third-party lenders simultaneously with the execution of the retail installment sales contracts. Contracts in transit represent amounts due from third-party lenders from whom pre-arranged assignment agreements have been determined, and to whom the retail installment sales contracts have been assigned. We recognize revenue from the sale of new and used vehicles upon completion of the sale to the customer. Conditions to completing a sale include having an agreement with the customer, including pricing, whereby the sales price must be reasonably expected to be collected and having control transferred to the customer. Funding from the third-party lender is provided upon receipt, final review, approval and verification of the retail installment sales contract, related documentation and the information contained therein. Retail installment sales contracts are typically funded within ten days of the initial approval of the retail installment sales contract by the third-party lender. Contracts in transit are included in current assets in our consolidated financial statements included in Item 8 of Part II of this Form 10-K and totaled $53.3 million and $61.2 million as of December 31, 2025 and December 31, 2024, respectively. Any defaults on these retail installment sales contracts could have a material adverse effect on our business, financial condition and results of operations.</w:t>
      </w:r>
    </w:p>
    <w:p>
      <w:pPr>
        <w:spacing w:after="0" w:line="173" w:lineRule="exact"/>
        <w:rPr>
          <w:sz w:val="20"/>
          <w:szCs w:val="20"/>
          <w:color w:val="auto"/>
        </w:rPr>
      </w:pPr>
    </w:p>
    <w:p>
      <w:pPr>
        <w:ind w:left="60" w:right="759"/>
        <w:spacing w:after="0" w:line="325" w:lineRule="auto"/>
        <w:rPr>
          <w:sz w:val="20"/>
          <w:szCs w:val="20"/>
          <w:color w:val="auto"/>
        </w:rPr>
      </w:pPr>
      <w:r>
        <w:rPr>
          <w:rFonts w:ascii="Arial" w:cs="Arial" w:eastAsia="Arial" w:hAnsi="Arial"/>
          <w:sz w:val="18"/>
          <w:szCs w:val="18"/>
          <w:b w:val="1"/>
          <w:bCs w:val="1"/>
          <w:i w:val="1"/>
          <w:iCs w:val="1"/>
          <w:color w:val="auto"/>
        </w:rPr>
        <w:t>If we are unable to retain senior executives and attract and retain other qualified employees, our business might be adversely affected.</w:t>
      </w:r>
    </w:p>
    <w:p>
      <w:pPr>
        <w:spacing w:after="0" w:line="12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Our success depends in part on our ability to attract, hire, train and retain qualified managerial, sales, marketing, and service personnel. Competition for these types of personnel is high. We may be unsuccessful in attracting and retaining the personnel we require to conduct our operations successfully and, in such an event, our business could be materially and adversely affected. Our success also depends to a significant extent on the continued service and performance of our senior management team. The loss of any member of our senior management team, or our failure to successfully manage any retirements or transitions in senior management or the integration of senior management into new roles could impair our ability to execute our business plan and could therefore have a material adverse effect on our business, results of operations and financial condition.</w:t>
      </w:r>
    </w:p>
    <w:p>
      <w:pPr>
        <w:spacing w:after="0" w:line="182" w:lineRule="exact"/>
        <w:rPr>
          <w:sz w:val="20"/>
          <w:szCs w:val="20"/>
          <w:color w:val="auto"/>
        </w:rPr>
      </w:pPr>
    </w:p>
    <w:p>
      <w:pPr>
        <w:jc w:val="both"/>
        <w:ind w:left="60" w:right="59" w:firstLine="648"/>
        <w:spacing w:after="0" w:line="299" w:lineRule="auto"/>
        <w:rPr>
          <w:sz w:val="20"/>
          <w:szCs w:val="20"/>
          <w:color w:val="auto"/>
        </w:rPr>
      </w:pPr>
      <w:r>
        <w:rPr>
          <w:rFonts w:ascii="Arial" w:cs="Arial" w:eastAsia="Arial" w:hAnsi="Arial"/>
          <w:sz w:val="17"/>
          <w:szCs w:val="17"/>
          <w:color w:val="auto"/>
        </w:rPr>
        <w:t>For example, in December 2025, Marcus A. Lemonis, our then Chairman and Chief Executive Officer, announced his retirement from his role and the Board of Directors effective December 31, 2025, following which he transitioned to the non-executive role of Co-Founder and Special Advisor for a term through December 31, 2026. Effective January 1, 2026, Matthew D. Wagner was appointed as our Chief Executive Officer and as a member of the Board of Directors. Mr. Wagner will also continue to serve as our President and principal operating officer. Additionally, effective January 1, 2026, Brent Moody was appointed as Chairman of the Board.</w:t>
      </w:r>
    </w:p>
    <w:p>
      <w:pPr>
        <w:spacing w:after="0" w:line="159" w:lineRule="exact"/>
        <w:rPr>
          <w:sz w:val="20"/>
          <w:szCs w:val="20"/>
          <w:color w:val="auto"/>
        </w:rPr>
      </w:pPr>
    </w:p>
    <w:p>
      <w:pPr>
        <w:jc w:val="both"/>
        <w:ind w:left="60" w:right="79" w:firstLine="648"/>
        <w:spacing w:after="0" w:line="303" w:lineRule="auto"/>
        <w:rPr>
          <w:sz w:val="20"/>
          <w:szCs w:val="20"/>
          <w:color w:val="auto"/>
        </w:rPr>
      </w:pPr>
      <w:r>
        <w:rPr>
          <w:rFonts w:ascii="Arial" w:cs="Arial" w:eastAsia="Arial" w:hAnsi="Arial"/>
          <w:sz w:val="18"/>
          <w:szCs w:val="18"/>
          <w:color w:val="auto"/>
        </w:rPr>
        <w:t>We do not currently maintain key-man life insurance policies on any member of our senior management team or other key employees.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subject to risks associated with leasing substantial amounts of space.</w:t>
      </w:r>
    </w:p>
    <w:p>
      <w:pPr>
        <w:spacing w:after="0" w:line="22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lease the majority of the real properties where we have retail operations as well as certain corporate offices and distribution centers. Our leases generally provide for fixed monthly rentals with escalation clauses and range from five to twenty years. The profitability of our business is in part dependent on renewing leases for stores in desirable locations and, if necessary, identifying and closing underperforming stores or relocating these stores to alternative locations in a cost-effective manner. Typically, a large portion of a store’s operating expense is the cost associated with leasing the location.</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Additionally, over time our current store locations may not continue to be desirable because of changes in demographics within the surrounding area or a decline in shopping traffic, including traffic generated by other nearby stores. Although we have the right to terminate some of our leases under specified conditions by making certain payments, we may not be able to terminate a particular lease if or when we would like to do so. If we decide to close stores, we are generally required to either continue to pay rent and operating expenses for the balance of the lease term or, for certain locations, pay exercise rights to terminate, which in either case could be expensive. Even if we are able to assign or sublease vacated locations where our lease cannot be terminated, we may remain liable on the lease obligations if the assignee or sublessee does not perform.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If we are unable to service our lease expenses or are unable to, on favorable terms, negotiate renewals of leases at desirable locations or identify and close underperforming locations, we may be forced to seek alternative sites in our target markets, which may be difficult and have a material adverse effect on our business, financial condition and results of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exclusive brand offerings expose us to various risks.</w:t>
      </w:r>
    </w:p>
    <w:p>
      <w:pPr>
        <w:spacing w:after="0" w:line="22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expect to continue to grow our exclusive brand offerings, sometimes referred to as private brand offerings or contract manufacturing, through a combination of brands that we own and brands that we license from third parties. We have invested in our development and procurement resources and marketing efforts relating to these exclusive brand offerings. Although we believe that our exclusive brand products offer value to our customers at each price point and provide us with higher gross margins than comparable third-party branded products we sell, the expansion of our exclusive brand offerings also subjects us to certain specific risks in addition to those discussed elsewhere in this section, such as:</w:t>
      </w:r>
    </w:p>
    <w:p>
      <w:pPr>
        <w:spacing w:after="0" w:line="181"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mandatory or voluntary product recalls;</w:t>
      </w:r>
    </w:p>
    <w:p>
      <w:pPr>
        <w:spacing w:after="0" w:line="22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protect our proprietary rights (including defending against counterfeit, knock offs, grey-market, infringing or otherwise unauthorized goods);</w:t>
      </w:r>
    </w:p>
    <w:p>
      <w:pPr>
        <w:spacing w:after="0" w:line="1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navigate and avoid claims related to the proprietary rights of third parties;</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60"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administer and comply with obligations under license agreements that we have with the licensors of brands, including, in some instances, certain minimum sales requirements that, if not met, could cause us to lose the licensing rights or pay damages; and</w:t>
      </w:r>
    </w:p>
    <w:p>
      <w:pPr>
        <w:spacing w:after="0" w:line="190"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generally encountered by entities that source, sell and market exclusive branded offerings for retail.</w:t>
      </w:r>
    </w:p>
    <w:p>
      <w:pPr>
        <w:spacing w:after="0" w:line="15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An increase in sales of our exclusive brands may also adversely affect sales of our vendors’ products, which may, in turn, adversely affect our relationship with our vendors. Our failure to adequately address some or all of these risks could have a material adverse effect on our business, results of operations and financial condition.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could incur asset impairment charges for goodwill, intangible assets or other long-lived assets.</w:t>
      </w:r>
    </w:p>
    <w:p>
      <w:pPr>
        <w:spacing w:after="0" w:line="22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We have a significant amount of goodwill, intangible assets and other long-lived assets. At least annually, we review goodwill for impairment. Long-lived assets, operating lease assets, identifiable intangible assets and goodwill are also reviewed for impairment whenever events or changes in circumstances indicate the carrying amount of an asset may not be recoverable from future cash flows. These events or circumstances could include a significant change in the business climate, legal factors, operating performance indicators, competition, sale or disposition of a significant portion of the business or other factors. If the carrying value of a long-lived asset is considered impaired, an impairment charge is recorded for the amount by which the carrying value of the long-lived asset exceeds its fair value. Our determination of future cash flows, future recoverability and fair value of our long-lived assets as well as the reporting unit fair value used in our goodwill analysis include significant estimates and assumptions. Changes in those estimates or assumptions or lower than anticipated future financial performance may result in the identification of an impaired asset and a noncash impairment charge, which could be material. See Note 5 — Restructuring and Long-Lived Asset Impairment to our consolidated financial statements included in Item 8 of Part II of this Form 10-K for a discussion of impairment charges for the year ended December 31, 2025. We may in the future identify additional impairment charges and any such charges could adversely affect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Regulation and Litigation</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is subject to numerous federal, state and local regulations.</w:t>
      </w:r>
    </w:p>
    <w:p>
      <w:pPr>
        <w:spacing w:after="0" w:line="22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operations are subject to varying degrees of federal, state and local regulation, including our RV sales, RV financing, outbound telemarketing, direct mail, roadside assistance programs, insurance activities, and the sale of extended service contracts. New regulatory efforts may be proposed from time to time that have a material adverse effect on our ability to operate our businesses or our results of operations. For example, in the past a principal source of leads for our direct response marketing efforts was new vehicle registrations provided by motor vehicle departments in various states. Currently, all states restrict access to motor vehicle registration information.</w:t>
      </w:r>
    </w:p>
    <w:p>
      <w:pPr>
        <w:spacing w:after="0" w:line="181"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We receive, store, handle, transmit, use, and otherwise process information that relates to individuals and/or constitutes “personal data,” “personal information,” “personally identifiable information,” or similar terms under applicable data privacy laws (collectively, “Personal Information”), as well as Personal Information from and about actual and prospective customers, club members, associates, employees, suppliers and service providers and proprietary information belonging to our business or to our business partners (collectively, “Confidential Information”). We also depend on a number of third party vendors in relation to the operation of our business, a number of which process Confidential Information on our behalf. We, and our vendors, are subject to a number of laws, regulations, industry standards, and other requirements relating to consumer protection, information security and, data protection and privacy, including those that apply generally to the handling of Confidential Information about individuals, and those that are specific to certain industries, sectors, contexts, or locations. Many of these laws and regulations are still evolving and could be interpreted in ways that could harm our business or limit the services we are able to offer.</w:t>
      </w:r>
    </w:p>
    <w:p>
      <w:pPr>
        <w:spacing w:after="0" w:line="186"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For example, the Federal Trade Commission and state regulators enforce a variety of data privacy issues, such as promises made in privacy policies or failures to appropriately protect information about individuals, as unfair or deceptive acts or practices in or affecting commerce in violation of the Federal Trade Commission Act or similar state laws. Moreover, certain states in the United States and most countries have adopted privacy and security laws that apply to our business. These laws generally require companies to implement specific privacy and information security controls and legal protections to protect certain types of Personal Information and to collect or use it subject to disclosures. Additional compliance investment and potential business process changes may continue to be required as these laws and others go into effect. Further, in order to comply with the varying state laws around data breaches, we must maintain adequate security measures, which require significant investments in resources and ongoing attention.</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Further, 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Controlling the Assault of Non-Solicited Pornography and Marketing Act of 2003, and similar state consumer protection and communication privacy laws, such as California’s Invasion of Privacy Act.</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Additionally, we may be considered a “financial institution” under the Gramm-Leach Bliley Act (the “GLBA”). The GLBA regulates, among other things, the use of certain information about individuals (“non-public personal information”) in the context of the provision of financial services, including by banks and other financial institutions. The GLBA includes both a “Privacy Rule,” which imposes obligations on financial institutions relating to the use or disclosure of non-public personal information, and a “safeguards rule,” which imposes obligations on financial institutions and, indirectly, their service providers to implement and maintain physical, administrative and technological measures to protect the security of non-public personal financial information. Any failure to comply with the GLBA could result in substantial financial penalties.</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Even though we believe we and our vendors are generally in compliance with applicable laws, rules and regulations relating to privacy and data security, these laws are in some cases relatively new and the interpretation and application of these laws are uncertain. Any failure or perceived failure by us to comply with data privacy laws, rules, regulations, industry standards and other requirements could result in proceedings or actions against us by individuals, consumer rights groups, governmental agencies, or others. We could incur</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62" w:lineRule="auto"/>
        <w:rPr>
          <w:sz w:val="20"/>
          <w:szCs w:val="20"/>
          <w:color w:val="auto"/>
        </w:rPr>
      </w:pPr>
      <w:r>
        <w:rPr>
          <w:rFonts w:ascii="Arial" w:cs="Arial" w:eastAsia="Arial" w:hAnsi="Arial"/>
          <w:sz w:val="18"/>
          <w:szCs w:val="18"/>
          <w:color w:val="auto"/>
        </w:rPr>
        <w:t>significant costs in investigating and defending such claims and, if found liable, pay significant damages or fines or be required to make changes to our business. Further, these proceedings and any subsequent adverse outcomes may subject us to significant negative publicity and an erosion of trust. If any of these events were to occur, our business, results of operations, and financial condition could be materially adversely affected.</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are also subject to federal and numerous state consumer protection and unfair trade practice laws and regulations relating to the sale, transportation and marketing of motor vehicles, including so-called “lemon laws.” Federal, state and local laws and regulations also impose upon vehicle operators various restrictions on the length and width of motor vehicles that may be operated in certain jurisdictions or on certain roadways. Certain jurisdictions also prohibit the sale of vehicles exceeding length restrictions. Federal and state authorities also have various environmental control standards relating to air, water, noise pollution and hazardous waste generation and disposal which affect our business and operations.</w:t>
      </w:r>
    </w:p>
    <w:p>
      <w:pPr>
        <w:spacing w:after="0" w:line="181"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We and the RVs we sell are subject to environmental regulations that may adversely impact us. For example, regulations passed in December 2021 by the CARB will prohibit the sale of gas-powered generators in California beginning in 2028. Additionally, CARB approved the Advanced Clean Trucks regulation in March 2021, which places requirements on RV manufacturers that are expected to prevent many new diesel RV models from being sold in states that have adopted the regulation beginning with the 2024 model year. See Item 1A, “Risk Factors ― Fuel shortages, high prices for fuel, or changes in energy sources could have a negative effect on our business.” for additional information on these regulations and recent actions by the Trump Administration impacting such regulations. We may not have offerings available to satisfy any such requirements or such alternative energy sources could be less desirable to our customers or result in reduced towing capacity, which may reduce demand or lower margins and adversely affect our business, financial condition or results of operations.</w:t>
      </w:r>
    </w:p>
    <w:p>
      <w:pPr>
        <w:spacing w:after="0" w:line="174"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Our business is also affected by other laws and regulations including, but not limited to, labor (including federal and state minimum wage and overtime requirements), advertising, real estate, promotions, quality of services, intellectual property, tax, import and export, anti-corruption, anti-competition, environmental, health and safety. Our multi-state presence and variable compensation structure adds complexity to our payroll calculation and compliance efforts. Any failure or perceived failure by us to comply with wage and hour laws, rules, regulations, and other requirements could result in proceedings or actions against us by employees or groups of employees, or governmental agencies. We have incurred and in the future could incur significant costs in investigating and defending such claims and have paid and may in the future pay significant settlement amounts, damages or fines, particularly if we are found liable in such proceedings. The foregoing could materially adversely affect our business, results of operations, and financial condition.</w:t>
      </w:r>
    </w:p>
    <w:p>
      <w:pPr>
        <w:spacing w:after="0" w:line="182"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Furthermore, our property and casualty insurance programs, and our extended service contracts that we offer through third-party insurance carriers are subject to various federal and state laws and regulations governing the business of insurance, including, without limitation, laws and regulations governing the administration, underwriting, marketing, solicitation, liability obligations or sale of insurance programs. Any failure by us or our third-party insurance providers to comply with current licensing and approval requirements could result in such regulators denying their initial or renewal applications for such licenses, modifying the terms of licenses or revoking licenses that they currently possess, which could severely inhibit our ability to market these products. Additionally, certain state laws and regulations govern the form and content of certain disclosures that must be made in connection with the sale, advertising or offer of any insurance program to a consumer. If we fail to comply with these regulations, we may be ordered to pay fines or penalties by regulators or to discontinue certain products.</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offer extended service contracts and guaranteed asset protection (“GAP”) insurance that may be purchased as a supplement to the original purchaser’s warranty. These products are subject to complex federal and state laws and regulations. There can be no assurance that regulatory authorities in the jurisdictions in which these products are offered will not seek to regulate or restrict these products. Failure to comply with applicable laws and regulations, including with respect to the transfer of administration and liability obligations associated with these extended service contracts to a third party upon purchase by the customer, could result in fines or other penalties including orders by state regulators to discontinue sales of the warranty products in one or more jurisdictions. Such a result could materially and adversely affect our business, results of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State dealer laws generally provide that a manufacturer may not terminate or refuse to renew a dealer agreement unless it has first provided the dealer with written notice setting forth good cause and stating the grounds for termination or non-renewal. If such dealer laws are repealed in the states in which we operate, manufacturers may be able to terminate our dealer agreements without providing advance notice, an opportunity to cure or a showing of good cause. Without the protection of state dealer laws, it may also be more difficult for our dealerships to renew their dealer agreements upon expiration.</w:t>
      </w:r>
    </w:p>
    <w:p>
      <w:pPr>
        <w:spacing w:after="0" w:line="18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Several states currently have laws in effect that are similar to, and in certain cases, more restrictive than, these federal laws. Compliance with these regulations is costly and time-consuming. Inadvertent violation of any of these regulations could cause us to incur fines and penalties and may also lead to restrictions on our ability to manufacture and sell our products and services and to import or export the products we sell.</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have instituted various and comprehensive policies and procedures to address compliance. However, there can be no assurance that we or our employees, contractors, vendors or our agents will not violate such laws and regulations or our policies and procedures. Compliance with these laws and others may be onerous and costly, at times, and may be inconsistent from jurisdiction to jurisdiction which further complicates compliance efforts. The Company is subject to litigation related to these laws and others and has experienced an increase in wage and hour litigation. Any non-compliance with these laws and others could lead to further litigation or fines, which could adversely affect our business, results of operations and financial condition.</w:t>
      </w:r>
    </w:p>
    <w:p>
      <w:pPr>
        <w:spacing w:after="0" w:line="185"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For more information on the various regulations applicable to our business, see “Item I. Business— Laws and Regulations” under Part I of this Form 10-K.</w:t>
      </w:r>
    </w:p>
    <w:p>
      <w:pPr>
        <w:spacing w:after="0" w:line="155"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8"/>
          <w:szCs w:val="18"/>
          <w:b w:val="1"/>
          <w:bCs w:val="1"/>
          <w:i w:val="1"/>
          <w:iCs w:val="1"/>
          <w:color w:val="auto"/>
        </w:rPr>
        <w:t>We are subject to environmental, health and safety laws and regulations, violations of which could adversely affect our business, financial condition and results of operations.</w:t>
      </w:r>
    </w:p>
    <w:p>
      <w:pPr>
        <w:spacing w:after="0" w:line="12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Our operations involve the use, handling, storage and contracting for recycling and/or disposal/discharge of materials such as motor oil and filters, transmission fluids, antifreeze, refrigerants, paints, thinners, batteries, cleaning products, lubricants, degreasing agents, tires and propane. Consequently, our business is subject to a complex variety of federal, state and local requirements that regulate the environment, public health and safety, and we may incur significant costs to comply with such requirements, which costs may increase if existing laws and regulations are revised or reinterpreted or if new laws and regulations become applicable to our operations. Certain of our operations may also require permits or other approvals, which may delay our ability to execute on portions of our business strategy. Our failure to comply with these regulations could cause us to become subject to fines and penalties or otherwise have an adverse impact on our business. In addition, we indemnify certain of our landlords for any hazardous waste which may be found on or about property we lease that may become the subject of a claim arising during or after our lease term. Certain environmental laws may impose liability on us, as the owner or operator, for environmental contamination at our properties without regard to whether we knew of or caused the contamination or the legality of the release or disposal action at the time of its occurrence. If any such contamination were to be found on property that we occupy, a claim giving rise to our liability could have a negative effect on our business, financial condition and results of operations.</w:t>
      </w:r>
    </w:p>
    <w:p>
      <w:pPr>
        <w:spacing w:after="0" w:line="197" w:lineRule="exact"/>
        <w:rPr>
          <w:sz w:val="20"/>
          <w:szCs w:val="20"/>
          <w:color w:val="auto"/>
        </w:rPr>
      </w:pPr>
    </w:p>
    <w:p>
      <w:pPr>
        <w:jc w:val="both"/>
        <w:ind w:left="60" w:right="79"/>
        <w:spacing w:after="0" w:line="294" w:lineRule="auto"/>
        <w:rPr>
          <w:sz w:val="20"/>
          <w:szCs w:val="20"/>
          <w:color w:val="auto"/>
        </w:rPr>
      </w:pPr>
      <w:r>
        <w:rPr>
          <w:rFonts w:ascii="Arial" w:cs="Arial" w:eastAsia="Arial" w:hAnsi="Arial"/>
          <w:sz w:val="18"/>
          <w:szCs w:val="18"/>
          <w:b w:val="1"/>
          <w:bCs w:val="1"/>
          <w:i w:val="1"/>
          <w:iCs w:val="1"/>
          <w:color w:val="auto"/>
        </w:rPr>
        <w:t>Our operations are subject to a series of risks related to climate change and other environmental, social, and governance (“ESG”) matters.</w:t>
      </w:r>
    </w:p>
    <w:p>
      <w:pPr>
        <w:spacing w:after="0" w:line="13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There is scrutiny from investors, customers, policymakers, and other stakeholders regarding companies’ management of ESG matters, such as climate change and human capital. For example, there are varying expectations on fuel economy, GHG emissions, and other aspects of our products. We may not have offerings available to satisfy such requirements or such alternative energy sources could be less desirable to our customers or result in reduced towing capacity, which may reduce demand or lower margins and adversely affect our business, financial condition or results of operations.</w:t>
      </w:r>
    </w:p>
    <w:p>
      <w:pPr>
        <w:spacing w:after="0" w:line="18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Developing alternatives that satisfy the market’s evolving expectations of, among other things, vehicle emissions profiles may require us to incur significant costs. Additionally, there are several competing alternatives to replace petroleum-based fuels for vehicles, including but not limited to: electricity, hydrogen, and</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62" w:lineRule="auto"/>
        <w:rPr>
          <w:sz w:val="20"/>
          <w:szCs w:val="20"/>
          <w:color w:val="auto"/>
        </w:rPr>
      </w:pPr>
      <w:r>
        <w:rPr>
          <w:rFonts w:ascii="Arial" w:cs="Arial" w:eastAsia="Arial" w:hAnsi="Arial"/>
          <w:sz w:val="18"/>
          <w:szCs w:val="18"/>
          <w:color w:val="auto"/>
        </w:rPr>
        <w:t>compressed and/or renewable gas. To the extent potential customers prefer technologies different from those used in the vehicles we offer for sale, or are prohibited by law in certain jurisdictions from purchasing vehicles that we sell (i.e., new vehicles that use gasoline fuel), then demand for such vehicles may not develop or may not develop as quickly as we expect.</w:t>
      </w:r>
    </w:p>
    <w:p>
      <w:pPr>
        <w:spacing w:after="0" w:line="176"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Expectations around the company’s management of ESG matters continues to evolve rapidly, in many instances due to factors that are out of our control. Any voluntary efforts we engage in (including disclosures, certifications, goals, or others) to improve the ESG profile of our company and/or products may be costly and may not have the desired effect. Moreover, various stakeholders have different, and at times conflicting, expectations. For example, while some policymakers (such as the State of California) have adopted requirements for various disclosures or actions on environmental and social matters, (including GHG metrics and others described above in “—Fuel shortages, high prices for fuel, or changes in energy sources could have a negative effect on our business”), policymakers in other jurisdictions have sought to constrain companies’ consideration of such matters in certain circumstances. Both advocates and opponents to certain ESG matters are increasingly resorting to a range of activism forms, including media campaigns and litigation, to advance their perspectives. We may be required to incur costs to manage ESG matters or navigate stakeholder expectations regarding same, and any failure to address such expectations (including legal requirements) may result in reputational damage, as well as impacts to our ability to attract and retain employees or customers, regulatory or investor engagement, or other adverse impacts. This and other stakeholder expectations will likely lead to increased costs as well as scrutiny that could heighten all of the risks identified in this risk factor. All of these risks may also impact our suppliers or customers, which may indirectly impact our business, financial condition, or results of operations.</w:t>
      </w:r>
    </w:p>
    <w:p>
      <w:pPr>
        <w:spacing w:after="0" w:line="198"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A failure in our e-commerce operations, security breaches and cybersecurity risks could disrupt our business and lead to reduced sales and growth prospects and reputational damage.</w:t>
      </w:r>
    </w:p>
    <w:p>
      <w:pPr>
        <w:spacing w:after="0" w:line="15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 xml:space="preserve">Consumers are increasingly embracing shopping online and through mobile commerce applications. As a result, a growing portion of total consumer expenditures with retailers is occurring online and through mobile commerce applications and a declining portion of total consumer expenditures is occurring at brick and mortar store locations. Our e-commerce business is an important element of our brands and relationship with our customers, and we expect it to continue to grow. In addition to changing consumer preferences and shifting traffic patterns and buying trends in e-commerce, we are vulnerable to additional risks and uncertainties associated with e-commerce sales, including rapid changes in technology, website downtime and other technical failures, security breaches, cyber-attacks, consumer privacy concerns, changes in state tax regimes and government regulation of internet activities (for additional discussion of security breaches and cyber attacks, </w:t>
      </w:r>
      <w:r>
        <w:rPr>
          <w:rFonts w:ascii="Arial" w:cs="Arial" w:eastAsia="Arial" w:hAnsi="Arial"/>
          <w:sz w:val="18"/>
          <w:szCs w:val="18"/>
          <w:i w:val="1"/>
          <w:iCs w:val="1"/>
          <w:color w:val="auto"/>
        </w:rPr>
        <w:t>see</w:t>
      </w:r>
      <w:r>
        <w:rPr>
          <w:rFonts w:ascii="Arial" w:cs="Arial" w:eastAsia="Arial" w:hAnsi="Arial"/>
          <w:sz w:val="18"/>
          <w:szCs w:val="18"/>
          <w:color w:val="auto"/>
        </w:rPr>
        <w:t xml:space="preserve"> – “Disruptions or breaches involving our or our third-party providers’ information technology systems or network security could interrupt our operations, compromise our reputation, expose us to litigation, government enforcement actions and costly response measures and could have a material adverse effect on our business, financial condition and results of operations”). Our failure to successfully respond to these risks and uncertainties could reduce our e-commerce sales, increase our costs, diminish our growth prospects and damage our brands, which could negatively impact our results of operations and stock price.</w:t>
      </w:r>
    </w:p>
    <w:p>
      <w:pPr>
        <w:spacing w:after="0" w:line="19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addition, there is no guarantee that we will be able to expand our e-commerce business. Our competitors may have e-commerce businesses that are substantially larger and more developed than ours, which places us at a competitive disadvantage. Although we continually update our websites, we may not be successful in implementing improved website features and there is no guarantee that such improvements will expand our e-commerce business. If we are unable to expand our e-commerce business, our growth plans may suffer, and the price of our Class A common stock could decline.</w:t>
      </w:r>
    </w:p>
    <w:p>
      <w:pPr>
        <w:spacing w:after="0" w:line="18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We may be unable to enforce our intellectual property rights and we may be accused of infringing the intellectual property rights of third parties which could have a material adverse effect on our business, financial condition and results of operations.</w:t>
      </w:r>
    </w:p>
    <w:p>
      <w:pPr>
        <w:spacing w:after="0" w:line="15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own a variety of registered trademarks and service marks for the names of our clubs, magazines and other publications. We also own the copyrights to certain articles in our publications. We believe that our trademarks and copyrights have significant value and are important to our marketing efforts. If we are unable to continue to protect the trademarks and service marks for our proprietary brands, if such marks become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62" w:lineRule="auto"/>
        <w:rPr>
          <w:sz w:val="20"/>
          <w:szCs w:val="20"/>
          <w:color w:val="auto"/>
        </w:rPr>
      </w:pPr>
      <w:r>
        <w:rPr>
          <w:rFonts w:ascii="Arial" w:cs="Arial" w:eastAsia="Arial" w:hAnsi="Arial"/>
          <w:sz w:val="18"/>
          <w:szCs w:val="18"/>
          <w:color w:val="auto"/>
        </w:rPr>
        <w:t>generic or if third parties adopt marks similar to our marks, our ability to differentiate our products and services may be diminished. In the event that our trademarks or service marks are successfully challenged by third parties, we could lose brand recognition and be forced to devote additional resources to advertising and marketing new brands for our products.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From time to time, we may be compelled to protect our intellectual property, which may involve litigation. Such litigation may be time-consuming, expensive and distract our management from running the day-to-day operations of our business, and could result in the impairment or loss of the involved intellectual property. There is no guarantee that the steps we take to protect our intellectual property, including litigation when necessary, will be successful. The loss or reduction of any of our significant intellectual property rights could diminish our ability to distinguish our products from competitors’ products and retain our market share for our proprietary products. Our inability to effectively protect our proprietary intellectual property rights could have a material adverse effect on our business, results of operations and financial condition.</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Other parties also may claim that we infringe their proprietary rights. Such claims, whether or not meritorious, may result in the expenditure of significant financial and managerial resources, injunctions against us or the payment of damages. These claims could have a material adverse effect on our business, financial condition and results of operations.</w:t>
      </w:r>
    </w:p>
    <w:p>
      <w:pPr>
        <w:spacing w:after="0" w:line="18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If we are unable to maintain or upgrade our information technology systems or if we are unable to convert to alternate systems in an efficient and timely manner, our operations may be disrupted or become less efficient.</w:t>
      </w:r>
    </w:p>
    <w:p>
      <w:pPr>
        <w:spacing w:after="0" w:line="158"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 xml:space="preserve">We depend on a variety of information technology systems for the efficient functioning of our business. We rely on certain hardware, telecommunications and software vendors to maintain and periodically upgrade many of these systems so that we can continue to support our business. Various components of our information technology systems, including hardware, networks, and software, are licensed to us by third-party vendors. We rely extensively on our information technology systems to process transactions, summarize results and manage our business. Additionally, because we accept debit and credit cards for payment, we are subject to the Payment Card Industry Data Security Standard (“PCI-DSS”), issued by the Payment Card Industry Security Standards Council. Costs and potential problems and interruptions associated with the implementation of new or upgraded systems and technology such as those necessary to maintain compliance with the PCI-DSS or with maintenance or adequate support of existing systems could also disrupt or reduce the efficiency of our operations (for additional discussion of risks related to PCI-DSS, </w:t>
      </w:r>
      <w:r>
        <w:rPr>
          <w:rFonts w:ascii="Arial" w:cs="Arial" w:eastAsia="Arial" w:hAnsi="Arial"/>
          <w:sz w:val="18"/>
          <w:szCs w:val="18"/>
          <w:i w:val="1"/>
          <w:iCs w:val="1"/>
          <w:color w:val="auto"/>
        </w:rPr>
        <w:t>see</w:t>
      </w:r>
      <w:r>
        <w:rPr>
          <w:rFonts w:ascii="Arial" w:cs="Arial" w:eastAsia="Arial" w:hAnsi="Arial"/>
          <w:sz w:val="18"/>
          <w:szCs w:val="18"/>
          <w:color w:val="auto"/>
        </w:rPr>
        <w:t xml:space="preserve"> – “Disruptions or breaches involving our or our third-party providers’ IT Systems or Confidential Information could interrupt our operations, compromise our reputation, expose us to litigation, government enforcement actions and costly response measures and could have a material adverse effect on our business, financial condition and results of operations”). Any material interruptions or failures in our payment-related systems could have a material adverse effect on our business, financial condition and results of operations.</w:t>
      </w:r>
    </w:p>
    <w:p>
      <w:pPr>
        <w:spacing w:after="0" w:line="19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Disruptions or breaches involving our or our third-party providers’ IT Systems or Confidential Information could interrupt our operations, compromise our reputation, expose us to litigation, government enforcement actions and costly response measures and could have a material adverse effect on our business, financial condition and results of operations.</w:t>
      </w:r>
    </w:p>
    <w:p>
      <w:pPr>
        <w:spacing w:after="0" w:line="17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rely on the integrity, security and successful functioning of our computer systems, hardware, software, technology infrastructure, and online sites and networks (collectively, “IT Systems”) across our operations. While we own and operate certain parts of our IT Systems, we also rely on critical third-party service providers for an array of IT Systems and related products and services. We use IT Systems for external and internal functions, such as to support product sales, our Good Sam services and plans, manage procurement and our supply chain, track inventory information at our store locations, and to communicate customer information, aggregate daily sales, margin and promotional information. We also use IT Systems to report and audit our operational results. In addition, we and our third-party providers have access to, collect, process, use and maintain Confidential Information.</w:t>
      </w:r>
    </w:p>
    <w:p>
      <w:pPr>
        <w:spacing w:after="0" w:line="183"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We and our third-party providers experience cyberattacks and security incidents. For example, we previously experienced a security incident in February 2022 (the “Cybersecurity Incident”), that resulted in a</w:t>
      </w:r>
    </w:p>
    <w:p>
      <w:pPr>
        <w:sectPr>
          <w:pgSz w:w="11900" w:h="16838" w:orient="portrait"/>
          <w:cols w:equalWidth="0" w:num="1">
            <w:col w:w="9019"/>
          </w:cols>
          <w:pgMar w:left="1440" w:top="513" w:right="1440"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62" w:lineRule="auto"/>
        <w:rPr>
          <w:sz w:val="20"/>
          <w:szCs w:val="20"/>
          <w:color w:val="auto"/>
        </w:rPr>
      </w:pPr>
      <w:r>
        <w:rPr>
          <w:rFonts w:ascii="Arial" w:cs="Arial" w:eastAsia="Arial" w:hAnsi="Arial"/>
          <w:sz w:val="18"/>
          <w:szCs w:val="18"/>
          <w:color w:val="auto"/>
        </w:rPr>
        <w:t>temporary disruption to our operations and caused the Company to incur costs, including legal and other professional fees and investments related to the security of our IT Systems. Additionally, we were subject to certain litigation, including class action lawsuits, arising out of the Cybersecurity Incident which we settled for an immaterial amount.</w:t>
      </w:r>
    </w:p>
    <w:p>
      <w:pPr>
        <w:spacing w:after="0" w:line="176"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Both we and our vendors continue to face numerous and evolving cybersecurity risks that threaten the confidentiality, integrity, and availability of our IT Systems and Confidential Information. We are vulnerable to cybersecurity risks from diverse threat actors such as state sponsored organizations and opportunistic hackers and hacktivists, as well as through diverse attack vectors, (for example, ransomware, viruses, advanced persistent threats, misconduct by external or inside actors, social engineering/phishing, human error by associates and contractors, and malicious code embedded in open source software), as well as from bugs, misconfigurations and vulnerabilities in commercial software that is integrated into our (or our suppliers’ or service providers’) IT Systems, products, or services. Thus, we and our vendors remain vulnerable to further successful cyberattacks, security breaches and disruptions to our IT Systems and our Confidential Information, in addition to damage or interruption to our IT Systems and Confidential Information from earthquakes, acts of war or terrorist attacks, floods, fires, tornadoes, hurricanes, power loss and outages, computer and telecommunications failures and similar incidents. Some of our systems are not fully redundant, and our disaster recovery planning cannot account for all eventualities. Remote employees and vendors located in foreign countries also present additional operational and cybersecurity risks.</w:t>
      </w:r>
    </w:p>
    <w:p>
      <w:pPr>
        <w:spacing w:after="0" w:line="194"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We expect cyberattacks to accelerate going forward. Threat actors are becoming more sophisticated and difficult to anticipate or deflect as they increasingly use tools and techniques, including artificial intelligence designed to circumvent security controls, to avoid detection, and to remove forensic evidence that may be needed to effectively identify, investigate and remediate attacks. As a result, we may be unable to detect, investigate, remediate or recover from future attacks or incidents, or to avoid a material adverse impact to our IT Systems, Confidential Information, or business. In addition, we regularly identify and track known security vulnerabilities in software and systems but cannot guarantee that patches or mitigating measures will be applied before vulnerabilities can be exploited by a threat actor. There can also be no assurance that our cybersecurity risk management program and processes, including our policies, controls or procedures, will be fully implemented, complied with or effective in protecting our IT Systems and Confidential Information. Because we make extensive use of third party suppliers and service providers, such as cloud services that support our internal and customer-facing operations, successful cyberattacks that disrupt or result in unauthorized access to third party IT Systems can materially impact our operations and financial results.</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significant incident that impacts the availability, integrity, or confidentiality of our IT Systems, or Confidential Information could result in interruptions in our services, noncompliance with dynamic laws and regulations, substantial negative media attention, damage to our club member, customer and supplier relationships and our reputation, exposure to litigation (including class actions), regulatory investigations, and lost sales, fines, penalties, damages, and increased remediation costs, any or all of which could have a material adverse effect on our business, financial condition and results of operations. We cannot guarantee that any costs and liabilities incurred in relation to an attack or incident will be covered by our existing insurance policies or that applicable insurance will be available to us in the future on economically reasonable terms or at all.</w:t>
      </w:r>
    </w:p>
    <w:p>
      <w:pPr>
        <w:spacing w:after="0" w:line="18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In addition, we may be subject to specific data security frameworks and/or laws that require us to maintain a certain level of security, and the regulatory environment surrounding information security and privacy is increasingly demanding, with the frequent imposition of new and constantly changing requirements across our business. For example, amendments to the Safeguards Rule of the GLBA require covered financial institutions to adopt specific data security measures as of June 9, 2023. In addition, customers have a high expectation that we will adequately protect their Personal Information from cyberattacks or other security breaches. Any failure to comply with current or contemplated cybersecurity and data protection laws and regulations or a significant breach of Confidential Information could attract a substantial amount of negative media attention, damage our club member, customer and supplier relationships and our reputation, and result in lost sales, fines and/or lawsuits, and laws such as the California Consumer Privacy Act impose statutory damages for certain types of data breaches that affect the Personal Information of consumers.</w:t>
      </w:r>
    </w:p>
    <w:p>
      <w:pPr>
        <w:spacing w:after="0" w:line="174"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Moreover, as we accept debit and credit cards for payment, we are subject to the PCI-DSS, issued by the Payment Card Industry Security Standards Council. PCI-DSS contains compliance guidelines with regard</w:t>
      </w:r>
    </w:p>
    <w:p>
      <w:pPr>
        <w:sectPr>
          <w:pgSz w:w="11900" w:h="16838" w:orient="portrait"/>
          <w:cols w:equalWidth="0" w:num="1">
            <w:col w:w="9019"/>
          </w:cols>
          <w:pgMar w:left="1440" w:top="513" w:right="1440"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62" w:lineRule="auto"/>
        <w:rPr>
          <w:sz w:val="20"/>
          <w:szCs w:val="20"/>
          <w:color w:val="auto"/>
        </w:rPr>
      </w:pPr>
      <w:r>
        <w:rPr>
          <w:rFonts w:ascii="Arial" w:cs="Arial" w:eastAsia="Arial" w:hAnsi="Arial"/>
          <w:sz w:val="18"/>
          <w:szCs w:val="18"/>
          <w:color w:val="auto"/>
        </w:rPr>
        <w:t>to our security surrounding the physical and electronic storage, processing and transmission of cardholder data. If we or our service providers are unable to comply with the security standards established by banks and the payment card industry, we may be subject to fines, restrictions and expulsion from card acceptance programs, which could materially and adversely affect our business.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may be affected by the evolving regulatory framework for AI Technologies.</w:t>
      </w:r>
    </w:p>
    <w:p>
      <w:pPr>
        <w:spacing w:after="0" w:line="19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8"/>
          <w:szCs w:val="18"/>
          <w:color w:val="auto"/>
        </w:rPr>
        <w:t>We use or plan to use artificial intelligence (“AI”), machine learning, and automated decision-making technologies, (collectively, “AI Technologies”) throughout our business and are making investments in this area.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w:t>
      </w:r>
    </w:p>
    <w:p>
      <w:pPr>
        <w:spacing w:after="0" w:line="113"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8"/>
          <w:szCs w:val="18"/>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subject to product liability claims if people or property are harmed by the products we sell.</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Some of the products we sell may expose us to product liability claims relating to personal injury, death, or environmental or property damage, and may require product recalls or other actions. Although we maintain liability insurance, we cannot be certain that our coverage will be adequate for liabilities actually incurred or that insurance will continue to be available to us on economically reasonable terms, or at all. In addition, some of our agreements with our vendors and sellers do not indemnify us from product liability. Even if a product liability claim is not successful or is not fully pursued, the negative publicity surrounding a product recall or any assertion that our products caused property damage or personal injury could damage our brand identity and our reputation with existing and potential consumers and have a material adverse effect on our business, financial condition and results of operations.</w:t>
      </w:r>
    </w:p>
    <w:p>
      <w:pPr>
        <w:spacing w:after="0" w:line="183"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Any increase in the frequency and size of these claims, as compared to our experience in prior years, may cause the premium that we are required to pay for insurance to increase significantly and may negatively impact future insurance costs. It may also increase the amounts we pay in punitive damages, not all of which may be covered by our insurance.</w:t>
      </w:r>
    </w:p>
    <w:p>
      <w:pPr>
        <w:spacing w:after="0" w:line="178"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We have been named in litigation, which has resulted in substantial costs and may result in reputational harm and divert management’s attention and resources.</w:t>
      </w:r>
    </w:p>
    <w:p>
      <w:pPr>
        <w:spacing w:after="0" w:line="12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face legal risks in our business, including claims from disputes with our employees and our former employees and claims associated with general commercial disputes, product liability and other matters. Risks associated with legal liability often are difficult to assess or quantify and their existence and magnitude can remain unknown for significant periods of time.</w:t>
      </w:r>
    </w:p>
    <w:p>
      <w:pPr>
        <w:spacing w:after="0" w:line="18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have been named in the past, are currently named and may be named in the future as defendants of class action lawsuits, including wage and hour class action litigation. We have been subject to securities class action litigation and may be subject to similar or other litigation in the future. For information regarding these lawsuits, refer to Note 14, Commitments and Contingencies – Litigation of our consolidated financial statements included in Part II, Item 8 of this Form 10-K.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results of any current or future legal proceedings cannot be predicted with certainty. Regardless of their subject matter or merits, such legal proceedings have resulted in and are likely to continue to result in significant cost to us, which may not be covered by insurance, may divert the attention of management or may otherwise have an adverse effect on our business, financial condition and results of operations. Negative publicity or negative outcomes from litigation, whether or not resulting in a substantial cost, could materially damage our reputation, could limit our operations and could have a material adverse effect on our business, financial condition, results of operations, and the price of our Class A common stock. In addition, such legal proceedings may make it more difficult to finance our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Our Organizational Structure</w:t>
      </w:r>
    </w:p>
    <w:p>
      <w:pPr>
        <w:spacing w:after="0" w:line="227" w:lineRule="exact"/>
        <w:rPr>
          <w:sz w:val="20"/>
          <w:szCs w:val="20"/>
          <w:color w:val="auto"/>
        </w:rPr>
      </w:pPr>
    </w:p>
    <w:p>
      <w:pPr>
        <w:jc w:val="both"/>
        <w:ind w:left="60" w:right="59"/>
        <w:spacing w:after="0" w:line="265" w:lineRule="auto"/>
        <w:rPr>
          <w:sz w:val="20"/>
          <w:szCs w:val="20"/>
          <w:color w:val="auto"/>
        </w:rPr>
      </w:pPr>
      <w:r>
        <w:rPr>
          <w:rFonts w:ascii="Arial" w:cs="Arial" w:eastAsia="Arial" w:hAnsi="Arial"/>
          <w:sz w:val="18"/>
          <w:szCs w:val="18"/>
          <w:b w:val="1"/>
          <w:bCs w:val="1"/>
          <w:i w:val="1"/>
          <w:iCs w:val="1"/>
          <w:color w:val="auto"/>
        </w:rPr>
        <w:t>Marcus A. Lemonis, through his beneficial ownership of our shares directly or indirectly held by ML Acquisition and ML RV Group, has substantial control over us, including over decisions that require the approval of stockholders, and his interests, along with the interests of our other Continuing Equity Owners, in our business may conflict with yours.</w:t>
      </w:r>
    </w:p>
    <w:p>
      <w:pPr>
        <w:spacing w:after="0" w:line="164" w:lineRule="exact"/>
        <w:rPr>
          <w:sz w:val="20"/>
          <w:szCs w:val="20"/>
          <w:color w:val="auto"/>
        </w:rPr>
      </w:pPr>
    </w:p>
    <w:p>
      <w:pPr>
        <w:jc w:val="both"/>
        <w:ind w:left="60" w:right="59" w:firstLine="324"/>
        <w:spacing w:after="0" w:line="250" w:lineRule="auto"/>
        <w:rPr>
          <w:sz w:val="20"/>
          <w:szCs w:val="20"/>
          <w:color w:val="auto"/>
        </w:rPr>
      </w:pPr>
      <w:r>
        <w:rPr>
          <w:rFonts w:ascii="Arial" w:cs="Arial" w:eastAsia="Arial" w:hAnsi="Arial"/>
          <w:sz w:val="18"/>
          <w:szCs w:val="18"/>
          <w:color w:val="auto"/>
        </w:rPr>
        <w:t>We entered into a voting agreement in connection with our IPO with ML Acquisition Company, LLC, a Delaware limited liability company, which is indirectly owned by each of the estate of our former director, Stephen Adams, and former Chairman and Chief Executive Officer, Marcus A. Lemonis (“ML Acquisition”), ML RV Group, LLC, a Delaware limited liability company, wholly owned by former Chairman and Chief Executive Officer, Marcus A. Lemonis (“ML RV Group”), CVRV Acquisition LLC and CVRV Acquisition II LLC (the “Voting Agreement”). Subject to the Voting Agreement, Marcus A. Lemonis, through his beneficial ownership of our shares directly or indirectly held by ML Acquisition and ML RV Group, may approve or disapprove substantially all transactions and other matters requiring approval by our stockholders, such as a merger, consolidation, dissolution or sale of all or substantially all of our assets, the issuance or redemption of certain additional equity interests, and the election of directors including transactions that may not be in the best interests of holders of our Class A common stock or, conversely, prevent the consummation of transactions that may be in the best interests of holders of our Class A common stock.</w:t>
      </w:r>
    </w:p>
    <w:p>
      <w:pPr>
        <w:spacing w:after="0" w:line="194" w:lineRule="exact"/>
        <w:rPr>
          <w:sz w:val="20"/>
          <w:szCs w:val="20"/>
          <w:color w:val="auto"/>
        </w:rPr>
      </w:pPr>
    </w:p>
    <w:p>
      <w:pPr>
        <w:jc w:val="both"/>
        <w:ind w:left="60" w:right="59" w:firstLine="324"/>
        <w:spacing w:after="0" w:line="249" w:lineRule="auto"/>
        <w:rPr>
          <w:sz w:val="20"/>
          <w:szCs w:val="20"/>
          <w:color w:val="auto"/>
        </w:rPr>
      </w:pPr>
      <w:r>
        <w:rPr>
          <w:rFonts w:ascii="Arial" w:cs="Arial" w:eastAsia="Arial" w:hAnsi="Arial"/>
          <w:sz w:val="18"/>
          <w:szCs w:val="18"/>
          <w:color w:val="auto"/>
        </w:rPr>
        <w:t xml:space="preserve">In addition, pursuant to the Voting Agreement, Crestview Advisors, L.L.C., a registered investment adviser to private equity funds, including funds affiliated with Crestview Partners II GP, L.P. (“Crestview”) currently has the right to designate one of our directors (the “Crestview Director”). Each of ML Acquisition and ML RV Group has agreed to vote, or cause to vote, all of their outstanding shares of our Class A common stock, Class B common stock and Class C common stock at any annual or special meeting of stockholders in which directors are elected, so as to cause the election of the Crestview Director. In addition, the ML Related Parties also currently have the right to designate four of our directors (the “ML Acquisition Directors”). Moreover, ML RV Group has the right to designate one director for as long as it holds our one share of Class C common stock (the “ML RV Director”). As described in the Voting Agreement, these designation rights are subject to change based on the relevant parties’ ownership of Class A common stock. Funds controlled by Crestview Partners II GP, L.P. have agreed to vote, or cause to vote, all of their outstanding shares of our Class A common stock and Class B common stock at any annual or special meeting of stockholders in which directors are elected, so as to cause the election of the ML Acquisition Directors and the ML RV Director. Additionally, pursuant to the Voting Agreement, we are required to take commercially reasonable action to cause (i) the Board of Directors to be comprised at least of nine directors absent an appropriate waiver or approval to increase or decrease the size of the Board (which the Company obtained to set the Board at eight directors); (ii) the individuals designated in accordance with the terms of the Voting Agreement to be included in the slate of nominees to be elected to the Board of Directors at the next annual or special meeting of stockholders of the Company at which directors are to be elected and at each annual meeting of stockholders of the Company thereafter at which a director’s term expires; (iii) the individuals designated in accordance with the terms of the Voting Agreement to fill the applicable vacancies on the Board of Directors; and (iv) a ML Acquisition Director or the ML RV Director to be the chairperson of the Board of Directors (as defined in our amended and restated bylaws). The Voting Agreement allows for the Board of Directors to reject the nomination, appointment or election of a particular director if such nomination, appointment or election would constitute a breach of the Board of Directors’ fiduciary duties to the Company’s stockholders or does not otherwise comply with any requirements of our amended and restated certificate of incorporation or our amended and restated bylaws or the charter for, or related guidelines of, the Board of Directors’ Nominating and Corporate Governance Committee. For additional information, see </w:t>
      </w:r>
      <w:r>
        <w:rPr>
          <w:rFonts w:ascii="Arial" w:cs="Arial" w:eastAsia="Arial" w:hAnsi="Arial"/>
          <w:sz w:val="18"/>
          <w:szCs w:val="18"/>
          <w:i w:val="1"/>
          <w:iCs w:val="1"/>
          <w:color w:val="auto"/>
        </w:rPr>
        <w:t>“We are a “controlled company” within the meaning of the NYSE listing requirements and, as a</w:t>
      </w:r>
      <w:r>
        <w:rPr>
          <w:rFonts w:ascii="Arial" w:cs="Arial" w:eastAsia="Arial" w:hAnsi="Arial"/>
          <w:sz w:val="18"/>
          <w:szCs w:val="18"/>
          <w:color w:val="auto"/>
        </w:rPr>
        <w:t xml:space="preserve"> </w:t>
      </w:r>
      <w:r>
        <w:rPr>
          <w:rFonts w:ascii="Arial" w:cs="Arial" w:eastAsia="Arial" w:hAnsi="Arial"/>
          <w:sz w:val="18"/>
          <w:szCs w:val="18"/>
          <w:i w:val="1"/>
          <w:iCs w:val="1"/>
          <w:color w:val="auto"/>
        </w:rPr>
        <w:t>result, qualify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8"/>
          <w:szCs w:val="18"/>
          <w:i w:val="1"/>
          <w:iCs w:val="1"/>
          <w:color w:val="auto"/>
        </w:rPr>
        <w:t>for exemptions from certain corporate governance requirements. Our stockholders do not have the same protections afforded to stockholders of companies that are subject to such corporate governance requirements.”</w:t>
      </w:r>
    </w:p>
    <w:p>
      <w:pPr>
        <w:spacing w:after="0" w:line="154" w:lineRule="exact"/>
        <w:rPr>
          <w:sz w:val="20"/>
          <w:szCs w:val="20"/>
          <w:color w:val="auto"/>
        </w:rPr>
      </w:pPr>
    </w:p>
    <w:p>
      <w:pPr>
        <w:jc w:val="both"/>
        <w:ind w:left="60" w:right="59" w:firstLine="324"/>
        <w:spacing w:after="0" w:line="250" w:lineRule="auto"/>
        <w:rPr>
          <w:sz w:val="20"/>
          <w:szCs w:val="20"/>
          <w:color w:val="auto"/>
        </w:rPr>
      </w:pPr>
      <w:r>
        <w:rPr>
          <w:rFonts w:ascii="Arial" w:cs="Arial" w:eastAsia="Arial" w:hAnsi="Arial"/>
          <w:sz w:val="18"/>
          <w:szCs w:val="18"/>
          <w:color w:val="auto"/>
        </w:rPr>
        <w:t>The Voting Agreement further provides that, for so long as the ML Related Parties, directly or indirectly, beneficially own, in the aggregate, 22.5% or more of our Class A common stock (assuming that all outstanding common units in CWGS, LLC are redeemed for newly-issued shares of our Class A common stock on a one-for-one basis), the approval of ML Acquisition will be required for certain corporate actions. These actions include: (1) a change of control; (2) acquisitions or dispositions of assets above $100 million; (3) the issuance of securities of Camping World Holdings, Inc. or any of its subsidiaries (other than under equity incentive plans that have received the prior approval of our Board of Directors); (4) material amendments to our certificate of incorporation or bylaws; and (5) any change in the size of the Board of Directors. The Voting Agreement also provides that, for so long as the ML Related Parties, directly or indirectly, beneficially own, in the aggregate, 27.5% or more of our Class A common stock (assuming that all outstanding common units of CWGS, LLC are redeemed for newly-issued shares of our Class A common stock, on a one-for-one basis), the approval of ML Acquisition, as applicable, will be required for the hiring and termination of our Chief Executive Officer. These rights may prevent the consummation of transactions that may be in the best interests of holders of our Class A common stock. We previously disclosed our understanding that CWGS Holding, LLC and ML Acquisition would be dissolved. To our knowledge, these dissolutions have not occurred and it is unknown if the dissolutions may occur in the future.</w:t>
      </w:r>
    </w:p>
    <w:p>
      <w:pPr>
        <w:spacing w:after="0" w:line="19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doctrine of “corporate opportunity” does not apply with respect to any director or stockholder who is not employed by us or our affiliates.</w:t>
      </w:r>
    </w:p>
    <w:p>
      <w:pPr>
        <w:spacing w:after="0" w:line="158"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does not apply with respect to any director or stockholder who is not employed by us or our affiliates. Any director or stockholder who is not employed by us or our affiliates therefore has no duty to communicate or present corporate opportunities to us, and has the right to either hold any corporate opportunity for their (and their affiliates’) own account and benefit or to recommend, assign or otherwise transfer such corporate opportunity to persons other than us, including to any director or stockholder who is not employed by us or our affiliates.</w:t>
      </w:r>
    </w:p>
    <w:p>
      <w:pPr>
        <w:spacing w:after="0" w:line="19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or prospects.</w:t>
      </w:r>
    </w:p>
    <w:p>
      <w:pPr>
        <w:spacing w:after="0" w:line="185" w:lineRule="exact"/>
        <w:rPr>
          <w:sz w:val="20"/>
          <w:szCs w:val="20"/>
          <w:color w:val="auto"/>
        </w:rPr>
      </w:pPr>
    </w:p>
    <w:p>
      <w:pPr>
        <w:jc w:val="both"/>
        <w:ind w:left="60" w:right="79"/>
        <w:spacing w:after="0" w:line="265" w:lineRule="auto"/>
        <w:rPr>
          <w:sz w:val="20"/>
          <w:szCs w:val="20"/>
          <w:color w:val="auto"/>
        </w:rPr>
      </w:pPr>
      <w:r>
        <w:rPr>
          <w:rFonts w:ascii="Arial" w:cs="Arial" w:eastAsia="Arial" w:hAnsi="Arial"/>
          <w:sz w:val="18"/>
          <w:szCs w:val="18"/>
          <w:b w:val="1"/>
          <w:bCs w:val="1"/>
          <w:i w:val="1"/>
          <w:iCs w:val="1"/>
          <w:color w:val="auto"/>
        </w:rPr>
        <w:t>We are a “controlled company” within the meaning of the NYSE listing requirements and, as a result, qualify for exemptions from certain corporate governance requirements. Our stockholders do not have the same protections afforded to stockholders of companies that are subject to such corporate governance requirements.</w:t>
      </w:r>
    </w:p>
    <w:p>
      <w:pPr>
        <w:spacing w:after="0" w:line="150" w:lineRule="exact"/>
        <w:rPr>
          <w:sz w:val="20"/>
          <w:szCs w:val="20"/>
          <w:color w:val="auto"/>
        </w:rPr>
      </w:pPr>
    </w:p>
    <w:p>
      <w:pPr>
        <w:jc w:val="both"/>
        <w:ind w:left="60" w:right="59" w:firstLine="324"/>
        <w:spacing w:after="0" w:line="256" w:lineRule="auto"/>
        <w:rPr>
          <w:sz w:val="20"/>
          <w:szCs w:val="20"/>
          <w:color w:val="auto"/>
        </w:rPr>
      </w:pPr>
      <w:r>
        <w:rPr>
          <w:rFonts w:ascii="Arial" w:cs="Arial" w:eastAsia="Arial" w:hAnsi="Arial"/>
          <w:sz w:val="18"/>
          <w:szCs w:val="18"/>
          <w:color w:val="auto"/>
        </w:rPr>
        <w:t>Pursuant to the terms of the Voting Agreement, Marcus A. Lemonis, through his beneficial ownership of our shares directly or indirectly held by ML Acquisition and ML RV Group, and certain funds controlled by Crestview Partners II GP, L.P., in the aggregate, have more than 50% of the voting power for the election of directors, and, as a result, we are considered a “controlled company” for the purposes of the New York Stock Exchange (the “NYSE”) listing requirements. As such, we qualify for, and may rely on, exemptions from certain corporate governance requirements, including the requirements to have a majority of independent directors on our Board of Directors, an entirely independent Nominating and Corporate Governance Committee, an entirely</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8"/>
          <w:szCs w:val="18"/>
          <w:color w:val="auto"/>
        </w:rPr>
        <w:t>independent Compensation Committee or to perform an annual performance evaluation of the Nominating and Corporate Governance and Compensation Committees.</w:t>
      </w:r>
    </w:p>
    <w:p>
      <w:pPr>
        <w:spacing w:after="0" w:line="153" w:lineRule="exact"/>
        <w:rPr>
          <w:sz w:val="20"/>
          <w:szCs w:val="20"/>
          <w:color w:val="auto"/>
        </w:rPr>
      </w:pPr>
    </w:p>
    <w:p>
      <w:pPr>
        <w:jc w:val="both"/>
        <w:ind w:left="60" w:right="59" w:firstLine="324"/>
        <w:spacing w:after="0" w:line="252" w:lineRule="auto"/>
        <w:rPr>
          <w:sz w:val="20"/>
          <w:szCs w:val="20"/>
          <w:color w:val="auto"/>
        </w:rPr>
      </w:pPr>
      <w:r>
        <w:rPr>
          <w:rFonts w:ascii="Arial" w:cs="Arial" w:eastAsia="Arial" w:hAnsi="Arial"/>
          <w:sz w:val="18"/>
          <w:szCs w:val="18"/>
          <w:color w:val="auto"/>
        </w:rPr>
        <w:t>The corporate governance requirements and specifically the independence standards are intended to ensure that directors who are considered independent are free of any conflicting interest that could influence their actions as directors. We have utilized, and may continue to utilize, certain exemptions afforded to a “controlled company.” As a result, we are not subject to certain corporate governance requirements, including that a majority of our Board of Directors consists of “independent directors,” as defined under the rules of the NYSE.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 Accordingly, our stockholders may not have the same protections afforded to stockholders of companies that are subject to all of the corporate governance requirements of the NYSE.</w:t>
      </w:r>
    </w:p>
    <w:p>
      <w:pPr>
        <w:spacing w:after="0" w:line="19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principal asset is our interest in CWGS, LLC, and accordingly, we depend on distributions from CWGS, LLC to pay dividends, taxes and expenses, including payments under the Tax Receivable Agreement. CWGS, LLC’s ability to make such distributions may be subject to various limitations and restrictions.</w:t>
      </w:r>
    </w:p>
    <w:p>
      <w:pPr>
        <w:spacing w:after="0" w:line="17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a holding company and had no material assets as of December 31, 2025, other than our ownership of 63,436,696 common units, representing a 61.4% economic interest in the business of CWGS, LLC and cash of $4.9 million. We have no independent means of generating revenue or cash flow, and our ability to pay dividends in the future, if any, will be dependent upon the financial results and cash flows of CWGS, LLC and its subsidiaries and distributions we receive from CWGS, LLC. There can be no assurance that our subsidiaries will generate sufficient cash flow to dividend or distribute funds to us or that applicable state law and contractual restrictions, including negative covenants in our debt instruments, will permit such dividends or distributions.</w:t>
      </w:r>
    </w:p>
    <w:p>
      <w:pPr>
        <w:spacing w:after="0" w:line="18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CWGS, LLC is treated as a partnership for U.S. federal income tax purposes and, as such, generally is not subject to any entity-level U.S. federal income tax. Instead, taxable income is allocated to holders of its common units, including us. As a result, we incur income taxes on our allocable share of any net taxable income of CWGS, LLC. Under the terms of the CWGS LLC Agreement, CWGS, LLC is obligated to make tax distributions to holders of its common units, including us, except to the extent such distributions would render CWGS, LLC insolvent or are otherwise prohibited by law or our Senior Secured Credit Facilities, our Floor Plan Facility or any of our future debt agreements. In addition to tax expenses, we will also incur expenses related to our operations, our interests in CWGS, LLC and related party agreements, including payment obligations under the Tax Receivable Agreement, and expenses and costs of being a public company, all of which could be significant. We intend, as its managing member, to cause CWGS, LLC to make distributions in an amount sufficient to allow us to pay our taxes and operating expenses, including any ordinary course payments due under the Tax Receivable Agreement. However, CWGS, LLC’s ability to make such distributions may be subject to various limitations and restrictions including, but not limited to, restrictions on distributions that would either violate any contract or agreement to which CWGS, LLC is then a party, including debt agreements, or any applicable law, or that would have the effect of rendering CWGS, LLC insolvent. If CWGS, LLC does not have sufficient funds to pay tax distributions or other liabilities to fund our operations, we may have to borrow funds, which could materially adversely affect our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may accelerate payments due under the Tax Receivable Agreement. If CWGS, LLC does not have sufficient funds to make distributions, our ability to declare and pay cash dividends may also be restricted or impaired. See “— Risks Relating to Ownership of Our Class A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Our Tax Receivable Agreement with the Continuing Equity Owners and Crestview Partners II GP, L.P. requires us to make cash payments to them in respect of certain tax benefits to which we may become entitled, and the amounts that we may be required to pay could be significant.</w:t>
      </w:r>
    </w:p>
    <w:p>
      <w:pPr>
        <w:spacing w:after="0" w:line="158"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In connection with our IPO, we entered into a Tax Receivable Agreement with CWGS, LLC, each of the Continuing Equity Owners and Crestview Partners II GP, L.P. which confers certain benefits upon the Continuing Equity Owners and Crestview Partners II GP, L.P. that do not benefit the holders of our Class A common stock to the same extent as it benefits such Continuing Equity Owners and Crestview Partners II GP, L.P. Pursuant to the Tax Receivable Agreement, we are required to make cash payments to the Continuing Equity Owners and Crestview Partners II GP, L.P. equal to 85% of the tax benefits, if any, that we actually realize, or in some circumstances are deemed to realize as a result of (i) increases in tax basis resulting from the purchase of common units from Crestview Partners II GP, L.P. in exchange for Class A common stock in connection with the consummation of the IPO and the related corporate reorganization transactions and any future redemptions that are funded by Camping World Holdings, Inc. or redemption of common units and (ii) certain other tax benefits attributable to payments under the Tax Receivable Agreement.</w:t>
      </w:r>
    </w:p>
    <w:p>
      <w:pPr>
        <w:spacing w:after="0" w:line="174"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The payment obligation is an obligation of us and not of CWGS, LLC. The amount of the cash payments that we may be required to make under the Tax Receivable Agreement could be significant. Payments under the Tax Receivable Agreement will be based on the tax reporting positions that we determine, which tax reporting positions are subject to challenge by taxing authorities. Any payments made by us to the Continuing Equity Owners and Crestview Partners II GP, L.P.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Nonpayment for a specified period may constitute a material breach of a material obligation under the Tax Receivable Agreement and therefore may accelerate payments due under the Tax Receivable Agreement. Furthermore, our future obligation to make payments under the Tax Receivable Agreement could make us a less attractive target for an acquisition, particularly in the case of an acquirer that cannot use some or all of the tax benefits that may be deemed realized under the Tax Receivable Agreement. The payments under the Tax Receivable Agreement are also not conditioned upon the Continuing Equity Owners or Crestview Partners II GP, L.P. maintaining a continued ownership interest in CWGS, LLC.</w:t>
      </w:r>
    </w:p>
    <w:p>
      <w:pPr>
        <w:spacing w:after="0" w:line="182" w:lineRule="exact"/>
        <w:rPr>
          <w:sz w:val="20"/>
          <w:szCs w:val="20"/>
          <w:color w:val="auto"/>
        </w:rPr>
      </w:pPr>
    </w:p>
    <w:p>
      <w:pPr>
        <w:jc w:val="both"/>
        <w:ind w:left="60" w:right="59" w:firstLine="648"/>
        <w:spacing w:after="0" w:line="280" w:lineRule="auto"/>
        <w:rPr>
          <w:sz w:val="20"/>
          <w:szCs w:val="20"/>
          <w:color w:val="auto"/>
        </w:rPr>
      </w:pPr>
      <w:r>
        <w:rPr>
          <w:rFonts w:ascii="Arial" w:cs="Arial" w:eastAsia="Arial" w:hAnsi="Arial"/>
          <w:sz w:val="17"/>
          <w:szCs w:val="17"/>
          <w:color w:val="auto"/>
        </w:rPr>
        <w:t>Additional liabilities under the Tax Receivable Agreement may be required to be recorded when CWGS, LLC units are redeemed in the future. Such amounts of cash payments that the Company may be required to make under the Tax Receivable Agreement for such future redemptions could be significant. In addition, we</w:t>
      </w:r>
    </w:p>
    <w:p>
      <w:pPr>
        <w:jc w:val="both"/>
        <w:ind w:left="60" w:right="59"/>
        <w:spacing w:after="0" w:line="252" w:lineRule="auto"/>
        <w:rPr>
          <w:sz w:val="20"/>
          <w:szCs w:val="20"/>
          <w:color w:val="auto"/>
        </w:rPr>
      </w:pPr>
      <w:r>
        <w:rPr>
          <w:rFonts w:ascii="Arial" w:cs="Arial" w:eastAsia="Arial" w:hAnsi="Arial"/>
          <w:sz w:val="18"/>
          <w:szCs w:val="18"/>
          <w:color w:val="auto"/>
        </w:rPr>
        <w:t>may be required to record an increase to the liability to the extent we can project utilization of benefits derived from prior exchanges. The amount of liabilities to be recorded in the future is dependent on a variety of factors including future stock prices, tax rates in effect, and the Company’s ability to utilize the tax benefits created as a result of the future redemptions of CWGS, LLC units. The significance of these factors and related uncertainty associated with the related liabilities makes estimation of future potential amounts under the Tax Receivable Agreement impractical to determine.</w:t>
      </w:r>
    </w:p>
    <w:p>
      <w:pPr>
        <w:spacing w:after="0" w:line="187" w:lineRule="exact"/>
        <w:rPr>
          <w:sz w:val="20"/>
          <w:szCs w:val="20"/>
          <w:color w:val="auto"/>
        </w:rPr>
      </w:pPr>
    </w:p>
    <w:p>
      <w:pPr>
        <w:jc w:val="both"/>
        <w:ind w:left="60" w:right="59"/>
        <w:spacing w:after="0" w:line="264" w:lineRule="auto"/>
        <w:rPr>
          <w:sz w:val="20"/>
          <w:szCs w:val="20"/>
          <w:color w:val="auto"/>
        </w:rPr>
      </w:pPr>
      <w:r>
        <w:rPr>
          <w:rFonts w:ascii="Arial" w:cs="Arial" w:eastAsia="Arial" w:hAnsi="Arial"/>
          <w:sz w:val="18"/>
          <w:szCs w:val="18"/>
          <w:b w:val="1"/>
          <w:bCs w:val="1"/>
          <w:i w:val="1"/>
          <w:iCs w:val="1"/>
          <w:color w:val="auto"/>
        </w:rPr>
        <w:t>The amounts that we may be required to pay to the Continuing Equity Owners and Crestview Partners II GP, L.P. under the Tax Receivable Agreement may be accelerated in certain circumstances and may also significantly exceed the actual tax benefits that we ultimately realize.</w:t>
      </w:r>
    </w:p>
    <w:p>
      <w:pPr>
        <w:spacing w:after="0" w:line="16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The Tax Receivable Agreement provides that if certain mergers, asset sales, other forms of business combination, or other changes of control were to occur, if we materially breach any of our material obligations under the Tax Receivable Agreement or if, at any time, we elect an early termination of the Tax Receivable Agreement, then the Tax Receivable Agreement will terminate and our obligations, or our successor’s obligations, to make payments under the Tax Receivable Agreement would accelerate and become immediately due and payable. The amount due and payable in those circumstances is determined based on certain assumptions, including an assumption that we would have sufficient taxable income to fully utilize all potential future tax benefits that are subject to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As a result of the foregoing, (i) we could be required to make cash payments to the Continuing Equity Owners and Crestview Partners II GP, L.P. that are greater than the specified percentage of the actual benefits we ultimately realize in respect of the tax benefits that are subject to the Tax Receivable Agreement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 or other changes of control. There can be no assurance that we will be able to finance our obligations under the Tax Receivable Agreement.</w:t>
      </w:r>
    </w:p>
    <w:p>
      <w:pPr>
        <w:spacing w:after="0" w:line="19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Equity Owners and Crestview Partners II GP, L.P. under the Tax Receivable Agreement in the event that any tax benefits are disallowed.</w:t>
      </w:r>
    </w:p>
    <w:p>
      <w:pPr>
        <w:spacing w:after="0" w:line="158"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We will not be reimbursed for any cash payments previously made to the Continuing Equity Owners and Crestview Partners II GP, L.P. pursuant to the Tax Receivable Agreement if any tax benefits initially claimed by us are subsequently challenged by a taxing authority and are ultimately disallowed. Instead, any excess cash payments made by us to a Continuing Equity Owner or Crestview Partners II GP, L.P. will be netted against any future cash payments that we might otherwise be required to make under the terms of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The applicable U.S. federal income tax rules are complex and factual in nature, and there can be no assurance that the IRS or a court will not disagree with our tax reporting positions. As a result, it is possible that we could make cash payments under the Tax Receivable Agreement that are substantially greater than our actual cash tax savings.</w:t>
      </w:r>
    </w:p>
    <w:p>
      <w:pPr>
        <w:spacing w:after="0" w:line="196"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8"/>
          <w:szCs w:val="18"/>
          <w:b w:val="1"/>
          <w:bCs w:val="1"/>
          <w:i w:val="1"/>
          <w:iCs w:val="1"/>
          <w:color w:val="auto"/>
        </w:rPr>
        <w:t>Our organizational structure may cause us to be subject to IRS audit, which may result in the assessment of interest and penalties.</w:t>
      </w:r>
    </w:p>
    <w:p>
      <w:pPr>
        <w:spacing w:after="0" w:line="139"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We consolidate CWGS, LLC, which, as a limited liability company, generally is not subject to U.S. federal income taxes. Rather, as a partnership for U.S. tax purposes, CWGS, LLC’s taxable income flows through to the owners, including us, who are responsible for paying the applicable income taxes on the income allocated to them. However, the Company is subject to partnership audit rules enacted as part of the Bipartisan Budget Act of 2015 (the “Centralized Partnership Audit Regime”). Under the Centralized Partnership Audit Regime, any IRS audit of CWGS, LLC would be conducted at the CWGS, LLC level, and if the IRS determines an adjustment is necessary, the default rule is that CWGS, LLC would pay an “imputed underpayment” including interest and penalties, if applicable. CWGS, LLC may instead elect to make a “push-out” election, in which case the members or partners for the year that is under audit would be required to take into account the adjustments on their own personal income tax returns.</w:t>
      </w:r>
    </w:p>
    <w:p>
      <w:pPr>
        <w:spacing w:after="0" w:line="184"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Our operating agreement stipulates that CWGS, LLC is indemnified by members for any payment made to relevant taxing authorities under the Centralized Partnership Audit Regime. It is intended that any payment CWGS, LLC makes on behalf of its current members will be reflected as a distribution, rather than tax expense, at the time that such distribution is declared.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Ownership of Our Class A Common Stock</w:t>
      </w:r>
    </w:p>
    <w:p>
      <w:pPr>
        <w:spacing w:after="0" w:line="21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The Continuing Equity Owners (through common units) own interests in CWGS, LLC, and the Continuing Equity Owners have the right to redeem their interests in CWGS, LLC pursuant to the terms of the CWGS LLC Agreement for newly-issued shares of Class A common stock or cash.</w:t>
      </w:r>
    </w:p>
    <w:p>
      <w:pPr>
        <w:spacing w:after="0" w:line="15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At December 31, 2025, we had an aggregate of 186,563,304 shares of Class A common stock authorized but unissued, including 39,895,393 shares of Class A common stock issuable, at our election, upon redemption of CWGS, LLC common units held by the Continuing Equity Owners. In connection with our IPO,</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color w:val="auto"/>
        </w:rPr>
        <w:t>CWGS, LLC entered into the CWGS LLC Agreement, and subject to certain restrictions set forth therein, the Continuing Equity Owners are entitled to have their common units redeemed from time to time at each of their options for, at our election (determined solely by our independent directors (within the meaning of the rules of the NYSE) who are disinterested), newly-issued shares of our Class A common stock on a one-for-one basis or a cash payment equal to a volume weighted average market price of one share of Class A common stock for each common unit redeemed, in each case in accordance with the terms of the CWGS LLC Agreement; provided that, at our election (determined solely by our independent directors (within the meaning of the rules of the NYSE) who are disinterested), we may effect a direct exchange of such Class A common stock or such cash, as applicable, for such common units. The Continuing Equity Owners may exercise such redemption right for as long as their common units remain outstanding. In connection with our IPO, we also entered into a Registration Rights Agreement pursuant to which the shares of Class A common stock issued upon such redemption and the shares of Class A common stock issued to the Former Equity Owners in connection with the corporate reorganization transactions entered into in connection therewith will be eligible for resale, subject to certain limitations set forth therein. The market price of shares of our Class A common stock could decline as a result of these redemptions or sales, or as a result of the perception that they could occur.</w:t>
      </w:r>
    </w:p>
    <w:p>
      <w:pPr>
        <w:spacing w:after="0" w:line="19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You may be diluted by future issuances of additional Class A common stock or common units in connection with our incentive plans, acquisitions or otherwise; future sales of such shares in the public market, or the expectations that such sales may occur, could lower our stock price.</w:t>
      </w:r>
    </w:p>
    <w:p>
      <w:pPr>
        <w:spacing w:after="0" w:line="158"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Our amended and restated certificate of incorporation authorizes us to issue shares of our Class A common stock and options, rights, warrants and appreciation rights relating to our Class A common stock for the consideration and on the terms and conditions established by our Board of Directors in its sole discretion, whether in connection with acquisitions or otherwise.</w:t>
      </w:r>
    </w:p>
    <w:p>
      <w:pPr>
        <w:spacing w:after="0" w:line="163"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We have reserved shares for issuance under our 2016 Incentive Award Plan (as amended and restated, the “2016 Plan”) in an amount equal to 6,993,081 shares of Class A common stock as of December 31, 2025, including shares of Class A common stock issuable pursuant to 137,719 stock options, 1,915,476 restricted stock units, and 750,000 performance stock units that were granted to certain of our directors and certain of our employees and advisors. Any Class A common stock that we issue, including under our 2016 Plan or other equity incentive plans that we may adopt in the future, would dilute the percentage ownership of holders of our Class A common stock.</w:t>
      </w:r>
    </w:p>
    <w:p>
      <w:pPr>
        <w:spacing w:after="0" w:line="16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In the future, we may also issue additional securities if we need to raise capital, including, but not limited to, in connection with acquisitions, which could constitute a material portion of our then-outstanding shares of Class A common stock.</w:t>
      </w:r>
    </w:p>
    <w:p>
      <w:pPr>
        <w:spacing w:after="0" w:line="173"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8"/>
          <w:szCs w:val="18"/>
          <w:b w:val="1"/>
          <w:bCs w:val="1"/>
          <w:i w:val="1"/>
          <w:iCs w:val="1"/>
          <w:color w:val="auto"/>
        </w:rPr>
        <w:t>Our ability and intention to pay dividends on our Class A common stock, if any, is subject to the discretion of our Board of Directors and may be limited by our structure and statutory restrictions.</w:t>
      </w:r>
    </w:p>
    <w:p>
      <w:pPr>
        <w:spacing w:after="0" w:line="139" w:lineRule="exact"/>
        <w:rPr>
          <w:sz w:val="20"/>
          <w:szCs w:val="20"/>
          <w:color w:val="auto"/>
        </w:rPr>
      </w:pPr>
    </w:p>
    <w:p>
      <w:pPr>
        <w:jc w:val="both"/>
        <w:ind w:left="60" w:right="59" w:firstLine="648"/>
        <w:spacing w:after="0" w:line="249" w:lineRule="auto"/>
        <w:rPr>
          <w:sz w:val="20"/>
          <w:szCs w:val="20"/>
          <w:color w:val="auto"/>
        </w:rPr>
      </w:pPr>
      <w:r>
        <w:rPr>
          <w:rFonts w:ascii="Arial" w:cs="Arial" w:eastAsia="Arial" w:hAnsi="Arial"/>
          <w:sz w:val="18"/>
          <w:szCs w:val="18"/>
          <w:color w:val="auto"/>
        </w:rPr>
        <w:t>We have historically paid a regular cash dividend using distributions from CWGS, LLC, including all or a portion of the Excess Tax Distribution (as defined under “Dividend Policy” included in Part II, Item 5 of this Form 10-K), to the holders of our Class A common stock from time to time, subject to the discretion of our Board of Directors. In February 2026, following consideration of forecasted tax distributions, the reduced availability of excess tax distributions to fund dividend payments driven partly by the impact of recent tax law changes, and in consideration of our focus on reducing net debt leverage, our Board of Directors determined to pause our regular cash dividend program. Our Board of Directors will monitor changes in the above factors and plans to re-evaluate the future of our dividend program at a later date. The payment of future dividends on our Class A common stock, if any, will be subject to our discretion as the sole managing member of CWGS, LLC and the discretion of our Board of Directors and will depend on, among other things, our results of operations, financial condition, level of indebtedness, capital requirements, contractual restrictions, restrictions in our debt agreements and in any preferred stock, business prospects and other factors that our Board of Directors may deem relevant. Additionally, our ability to distribute any Excess Tax Distribution will also be subject to no early termination or amendment of the Tax Receivable Agreement, as well as the amount of tax distributions actually paid to us and our actual tax liability, which is affected by the conversion of certain subsidiaries, including Camping World, Inc., to limited liability companies (see Note 12 – Income Taxes to our consolidated financial statements included in Part II, Item 8 of this Form 10-K). As a consequence of these considerations, the Board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of Directors determined to pause our regular cash dividend program and we may not make future dividend payments on our Class A common stock. Additionally, any change in the level of our dividends or the suspension of the payment thereof could adversely affect the market price of our Class A common stock. For additional information on our payments of dividends, see “Item 5. Market for Registrant’s Common Equity, Related Stockholder Matters and Issuer Purchases of Equity Securities—Dividend Policy” under Part II of this Form 10-K.</w:t>
      </w:r>
    </w:p>
    <w:p>
      <w:pPr>
        <w:spacing w:after="0" w:line="184"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Delaware law and certain provisions in our amended and restated certificate of incorporation may prevent efforts by our stockholders to change the direction or management of our company.</w:t>
      </w:r>
    </w:p>
    <w:p>
      <w:pPr>
        <w:spacing w:after="0" w:line="153"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are a Delaware corporation, and the anti-takeover provisions of Delaware law impose various impediments to the ability of a third party to acquire control of us, even if a change of control would be beneficial to our existing stockholders. In addition, our amended and restated certificate of incorporation and our amended and restated bylaws contain provisions that may make the acquisition of our Company more difficult without the approval of our Board of Directors, including, but not limited to, the following:</w:t>
      </w:r>
    </w:p>
    <w:p>
      <w:pPr>
        <w:spacing w:after="0" w:line="179" w:lineRule="exact"/>
        <w:rPr>
          <w:sz w:val="20"/>
          <w:szCs w:val="20"/>
          <w:color w:val="auto"/>
        </w:rPr>
      </w:pPr>
    </w:p>
    <w:p>
      <w:pPr>
        <w:ind w:left="1040" w:right="79" w:hanging="315"/>
        <w:spacing w:after="0" w:line="270" w:lineRule="auto"/>
        <w:tabs>
          <w:tab w:leader="none" w:pos="10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Board of Directors is classified into three classes, each of which serves for a staggered three-year term;</w:t>
      </w:r>
    </w:p>
    <w:p>
      <w:pPr>
        <w:spacing w:after="0" w:line="181" w:lineRule="exact"/>
        <w:rPr>
          <w:rFonts w:ascii="Times New Roman" w:cs="Times New Roman" w:eastAsia="Times New Roman" w:hAnsi="Times New Roman"/>
          <w:sz w:val="18"/>
          <w:szCs w:val="18"/>
          <w:color w:val="auto"/>
        </w:rPr>
      </w:pPr>
    </w:p>
    <w:p>
      <w:pPr>
        <w:jc w:val="both"/>
        <w:ind w:left="1040" w:right="79" w:hanging="315"/>
        <w:spacing w:after="0" w:line="255" w:lineRule="auto"/>
        <w:tabs>
          <w:tab w:leader="none" w:pos="10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 majority of our stockholders or a majority of our Board of Directors may call special meetings of our stockholders, and until such time as the ML Related Parties, directly or indirectly, beneficially own in the aggregate, less than 27.5% of all of the outstanding common units of CWGS, LLC, only the chairperson of our Board of Directors or a majority of our Board of Directors may call special meetings of our stockholders;</w:t>
      </w:r>
    </w:p>
    <w:p>
      <w:pPr>
        <w:spacing w:after="0" w:line="182"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have authorized undesignated preferred stock, the terms of which may be established and shares of which may be issued without stockholder approval;</w:t>
      </w:r>
    </w:p>
    <w:p>
      <w:pPr>
        <w:spacing w:after="0" w:line="181"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required or permitted to be taken by our stockholders at an annual meeting or special meeting of stockholders may be taken without a meeting, without prior notice and without a vote, if a written consent is signed by the holders of our outstanding shares of common stock representing not less than the minimum number of votes that would be necessary to authorize such action at a meeting at which all outstanding shares of common stock entitled to vote thereon, and at such time as the ML Related Parties, directly or indirectly, beneficially own in the aggregate, less than 27.5% of all of the outstanding common units of CWGS, LLC, any action required or permitted to be taken by our stockholders at an annual meeting or special meeting of stockholders may not be taken by written consent in lieu of a meeting;</w:t>
      </w:r>
    </w:p>
    <w:p>
      <w:pPr>
        <w:spacing w:after="0" w:line="189" w:lineRule="exact"/>
        <w:rPr>
          <w:rFonts w:ascii="Times New Roman" w:cs="Times New Roman" w:eastAsia="Times New Roman" w:hAnsi="Times New Roman"/>
          <w:sz w:val="18"/>
          <w:szCs w:val="18"/>
          <w:color w:val="auto"/>
        </w:rPr>
      </w:pPr>
    </w:p>
    <w:p>
      <w:pPr>
        <w:jc w:val="both"/>
        <w:ind w:left="1040" w:right="79" w:hanging="315"/>
        <w:spacing w:after="0" w:line="243" w:lineRule="auto"/>
        <w:tabs>
          <w:tab w:leader="none" w:pos="10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amended and restated certificate of incorporation may be amended or repealed by the affirmative vote of a majority of the votes which all our stockholders would be eligible to cast in an election of directors and our amended and restated bylaws may be amended or repealed by a majority vote of our Board of Directors or by the affirmative vote of a majority of the votes which all our stockholders would be eligible to cast in an election of directors, and at such time as the ML Related Parties, directly or indirectly, beneficially own in the aggregate, less than 27.5% of all of the outstanding common units of CWGS, LLC, our amended and restated certificate of incorporation and our amended and restated bylaws may be amended or repealed by the affirmative vote of the holders of at least 66</w:t>
      </w:r>
      <w:r>
        <w:rPr>
          <w:rFonts w:ascii="Arial" w:cs="Arial" w:eastAsia="Arial" w:hAnsi="Arial"/>
          <w:sz w:val="26"/>
          <w:szCs w:val="26"/>
          <w:color w:val="auto"/>
          <w:vertAlign w:val="superscript"/>
        </w:rPr>
        <w:t>2</w:t>
      </w:r>
      <w:r>
        <w:rPr>
          <w:rFonts w:ascii="Arial" w:cs="Arial" w:eastAsia="Arial" w:hAnsi="Arial"/>
          <w:sz w:val="18"/>
          <w:szCs w:val="18"/>
          <w:color w:val="auto"/>
        </w:rPr>
        <w:t>/</w:t>
      </w:r>
      <w:r>
        <w:rPr>
          <w:rFonts w:ascii="Arial" w:cs="Arial" w:eastAsia="Arial" w:hAnsi="Arial"/>
          <w:sz w:val="26"/>
          <w:szCs w:val="26"/>
          <w:color w:val="auto"/>
          <w:vertAlign w:val="subscript"/>
        </w:rPr>
        <w:t>3</w:t>
      </w:r>
      <w:r>
        <w:rPr>
          <w:rFonts w:ascii="Arial" w:cs="Arial" w:eastAsia="Arial" w:hAnsi="Arial"/>
          <w:sz w:val="18"/>
          <w:szCs w:val="18"/>
          <w:color w:val="auto"/>
        </w:rPr>
        <w:t>% of the votes which all our stockholders would be entitled to cast in any annual election of directors and our amended and restated bylaws may also be amended or repealed by a majority vote of our Board of Directors;</w:t>
      </w:r>
    </w:p>
    <w:p>
      <w:pPr>
        <w:spacing w:after="0" w:line="19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require advance notice for stockholder proposals and nominations; and</w:t>
      </w:r>
    </w:p>
    <w:p>
      <w:pPr>
        <w:spacing w:after="0" w:line="224" w:lineRule="exact"/>
        <w:rPr>
          <w:rFonts w:ascii="Times New Roman" w:cs="Times New Roman" w:eastAsia="Times New Roman" w:hAnsi="Times New Roman"/>
          <w:sz w:val="18"/>
          <w:szCs w:val="18"/>
          <w:color w:val="auto"/>
        </w:rPr>
      </w:pPr>
    </w:p>
    <w:p>
      <w:pPr>
        <w:jc w:val="both"/>
        <w:ind w:left="1040" w:right="79" w:hanging="315"/>
        <w:spacing w:after="0" w:line="255" w:lineRule="auto"/>
        <w:tabs>
          <w:tab w:leader="none" w:pos="10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have opted out of Section 203 of the Delaware General Corporation Law of the State of Delaware (the “DGCL”), however, our amended and restated certificate of incorporation contains provisions that are similar to Section 203 of the DGCL (except with respect to ML Acquisition and Crestview and any of their respective affiliates and any of their respective direct or indirect transferees of Class B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These provisions could discourage, delay or prevent a transaction involving a change in control of our company. These provisions could also discourage proxy contests and make it more difficult for you and other stockholders to elect directors of your choosing and cause us to take other corporate actions you desire, including actions that you may deem advantageous, or negatively affect the trading price of our Class A common stock. In addition, because our Board of Directors is responsible for appointing the members of our management team, these provisions could in turn affect any attempt by our stockholders to replace current members of our management team.</w:t>
      </w:r>
    </w:p>
    <w:p>
      <w:pPr>
        <w:spacing w:after="0" w:line="16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Please see “— Risks Relating to Our Organizational Structure — Certain of our stockholders have significant control over us, including with respect to the election of directors, and the interests of our other Continuing Equity Owners in our business may conflict with yours.”</w:t>
      </w:r>
    </w:p>
    <w:p>
      <w:pPr>
        <w:spacing w:after="0" w:line="173"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certain exceptions, that the Court of Chancery of the State of Delaware will be the sole and exclusive forum for certain stockholder litigation matters, and our amended and restated bylaws designate the federal district courts of the United States as the exclusive forum for actions arising under the Securities Act of 1933, as amended, which could limit our stockholders’ ability to obtain a favorable judicial forum for disputes with us or our directors, officers, employees or stockholders.</w:t>
      </w:r>
    </w:p>
    <w:p>
      <w:pPr>
        <w:spacing w:after="0" w:line="145"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Our amended and restated certificate of incorporation provides, subject to limited exceptions, that the Court of Chancery of the State of Delaware will, to the fullest extent permitted by law,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any director or our officers or employees arising pursuant to any provision of the DGCL, our amended and restated certificate of incorporation or our amended and restated bylaws; or</w:t>
      </w:r>
    </w:p>
    <w:p>
      <w:pPr>
        <w:spacing w:after="0" w:line="1" w:lineRule="exact"/>
        <w:rPr>
          <w:sz w:val="20"/>
          <w:szCs w:val="20"/>
          <w:color w:val="auto"/>
        </w:rPr>
      </w:pPr>
    </w:p>
    <w:p>
      <w:pPr>
        <w:jc w:val="both"/>
        <w:ind w:left="60" w:right="59" w:hanging="10"/>
        <w:spacing w:after="0" w:line="249" w:lineRule="auto"/>
        <w:tabs>
          <w:tab w:leader="none" w:pos="37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action asserting a claim against us, any director or our officers or employees that is governed by the internal affairs doctrine. Any person or entity purchasing or otherwise acquiring any interest in shares of our capital stock are deemed to have notice of and to have consented to the provisions of our amended and restated certificate of incorporation described above. In addition, our amended and restated bylaws provide that the federal district courts of the United States are the exclusive forum for any complaint raising a cause of action arising under the Securities Act of 1933, as amended. These choice of forum provisions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provisions in our amended and restated certificate of incorporation or our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188" w:lineRule="exact"/>
        <w:rPr>
          <w:sz w:val="20"/>
          <w:szCs w:val="20"/>
          <w:color w:val="auto"/>
        </w:rPr>
      </w:pPr>
    </w:p>
    <w:p>
      <w:pPr>
        <w:jc w:val="both"/>
        <w:ind w:left="60" w:right="79"/>
        <w:spacing w:after="0" w:line="272"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Class A common stock, which could depress the price of our Class A common stock.</w:t>
      </w:r>
    </w:p>
    <w:p>
      <w:pPr>
        <w:spacing w:after="0" w:line="11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amended and restated certificate of incorporation authorizes us to issue one or more series of preferred stock. Our Board of Directors will have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Class A common stock. The potential issuance of preferred stock may delay or prevent a change in control of us, discouraging bids for our Class A common stock at a premium to the market price, and materially and adversely affect the market price and the voting and other rights of the holders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7" w:lineRule="exact"/>
        <w:rPr>
          <w:sz w:val="20"/>
          <w:szCs w:val="20"/>
          <w:color w:val="auto"/>
        </w:rPr>
      </w:pPr>
    </w:p>
    <w:p>
      <w:pPr>
        <w:jc w:val="both"/>
        <w:ind w:left="60" w:right="79"/>
        <w:spacing w:after="0" w:line="294" w:lineRule="auto"/>
        <w:rPr>
          <w:sz w:val="20"/>
          <w:szCs w:val="20"/>
          <w:color w:val="auto"/>
        </w:rPr>
      </w:pPr>
      <w:r>
        <w:rPr>
          <w:rFonts w:ascii="Arial" w:cs="Arial" w:eastAsia="Arial" w:hAnsi="Arial"/>
          <w:sz w:val="18"/>
          <w:szCs w:val="18"/>
          <w:b w:val="1"/>
          <w:bCs w:val="1"/>
          <w:i w:val="1"/>
          <w:iCs w:val="1"/>
          <w:color w:val="auto"/>
        </w:rPr>
        <w:t>Material weaknesses in our internal control over financial reporting could have a significant adverse effect on our business and the price of our Class A common stock.</w:t>
      </w:r>
    </w:p>
    <w:p>
      <w:pPr>
        <w:spacing w:after="0" w:line="13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As a public reporting company, we are subject to the rules and regulations established from time to time by the SEC and NYSE. These rules and regulations require, among other things, that we have, and periodically evaluate, procedures with respect to our internal control over financial reporting. Reporting obligations as a public company are likely to continue to place a considerable strain on our financial and management systems, processes and controls, as well as on our personnel.</w:t>
      </w:r>
    </w:p>
    <w:p>
      <w:pPr>
        <w:spacing w:after="0" w:line="183"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Likewise, our independent registered public accounting firm is required to provide an attestation report on the effectiveness of our internal control over financial reporting.</w:t>
      </w:r>
    </w:p>
    <w:p>
      <w:pPr>
        <w:spacing w:after="0" w:line="17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connection with the preparation of our financial statements and the audit of our financial results for 2024, we had identified material weaknesses in our internal controls relating to insufficient technical resources to properly design and operate internal controls over financial reporting. Although the material weaknesses have been remediated as of December 31, 2025, there can be no assurance that we will not identify additional material weaknesses in the future.</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future periods, if our senior management is unable to conclude that we have effective internal control over financial reporting, or to certify the effectiveness of such controls, or if our independent registered public accounting firm cannot render an unqualified opinion on management’s assessment and the effectiveness of our internal control over financial reporting, or if additional material weaknesses in our internal control over financial reporting are identified, we may be required to restate our financial statements and could be subject to regulatory scrutiny, a loss of public and investor confidence, and litigation from investors and stockholders, which could have a material adverse effect on our business and the price of our Class A common stock.</w:t>
      </w:r>
    </w:p>
    <w:p>
      <w:pPr>
        <w:spacing w:after="0" w:line="18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addition, if we do not maintain adequate financial and management personnel, processes and controls, we may not be able to manage our business effectively or accurately report our financial performance on a timely basis, which could cause a decline in our Class A common stock price and adversely affect our results of operations and financial condition. Failure to comply with the Sarbanes-Oxley Act could potentially subject us to sanctions or investigations by the SEC, the NYSE or other regulatory authorities, which would require additional financial and management resources.</w:t>
      </w:r>
    </w:p>
    <w:p>
      <w:pPr>
        <w:spacing w:after="0" w:line="186"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operating results and financial condition.</w:t>
      </w:r>
    </w:p>
    <w:p>
      <w:pPr>
        <w:spacing w:after="0" w:line="13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We are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valuation of our deferred tax assets and liabilities;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expected timing and amount of the release of any tax valuation allowances;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tax effects of stock-based compensation;</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intercompany restructurings; or</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tax laws, regulations or interpretations thereof.</w:t>
      </w:r>
    </w:p>
    <w:p>
      <w:pPr>
        <w:spacing w:after="0" w:line="224"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In addition, we may be subject to audits of our income, sales and other transaction taxes by U.S. federal and state authorities. We are currently under New York state audit (see Note 12 – Income Taxes to our consolidated financial statements included in Part II, Item 8 of this Form 10-K). Outcomes from these audits could have an adverse effect on our operating results and financial condition.</w:t>
      </w:r>
    </w:p>
    <w:p>
      <w:pPr>
        <w:spacing w:after="0" w:line="178" w:lineRule="exact"/>
        <w:rPr>
          <w:sz w:val="20"/>
          <w:szCs w:val="20"/>
          <w:color w:val="auto"/>
        </w:rPr>
      </w:pPr>
    </w:p>
    <w:p>
      <w:pPr>
        <w:jc w:val="both"/>
        <w:ind w:left="60" w:right="79"/>
        <w:spacing w:after="0" w:line="294" w:lineRule="auto"/>
        <w:rPr>
          <w:sz w:val="20"/>
          <w:szCs w:val="20"/>
          <w:color w:val="auto"/>
        </w:rPr>
      </w:pPr>
      <w:r>
        <w:rPr>
          <w:rFonts w:ascii="Arial" w:cs="Arial" w:eastAsia="Arial" w:hAnsi="Arial"/>
          <w:sz w:val="18"/>
          <w:szCs w:val="18"/>
          <w:b w:val="1"/>
          <w:bCs w:val="1"/>
          <w:i w:val="1"/>
          <w:iCs w:val="1"/>
          <w:color w:val="auto"/>
        </w:rPr>
        <w:t>Our Class A common stock price may be volatile or may decline regardless of our operating performance.</w:t>
      </w:r>
    </w:p>
    <w:p>
      <w:pPr>
        <w:spacing w:after="0" w:line="13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Volatility in the market price of our Class A common stock may prevent you from being able to sell your shares at or above the price you paid for such shares. Many factors, which are outside our control, may cause the market price of our Class A common stock to fluctuate significantly, including those described elsewhere in this “Risk Factors” section and this Form 10-K, as well as the following:</w:t>
      </w:r>
    </w:p>
    <w:p>
      <w:pPr>
        <w:spacing w:after="0" w:line="180" w:lineRule="exact"/>
        <w:rPr>
          <w:sz w:val="20"/>
          <w:szCs w:val="20"/>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our operating and financial performance and prospects;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conditions that impact demand for our services;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future announcements concerning our business or our competitors’ businesses;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our public float;</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market and industry perception of our success, or lack thereof, in pursuing our growth strategy;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laws or regulations which adversely affect our industry or us;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senior management or key personnel;</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issuances, exchanges or sales, or expected issuances, exchanges or sales of our capital stock;</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dividend policy;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adverse resolution of new or pending litigation against us;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1040" w:right="79" w:hanging="315"/>
        <w:spacing w:after="0" w:line="268" w:lineRule="auto"/>
        <w:tabs>
          <w:tab w:leader="none" w:pos="10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general market, economic and political conditions in the United States and global economies or financial markets, including those resulting from international trade policy, natural disasters, terrorist attacks, acts of war and responses to such events.</w:t>
      </w:r>
    </w:p>
    <w:p>
      <w:pPr>
        <w:spacing w:after="0" w:line="17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company, or if they issue unfavorable commentary about us or our industry or downgrade our Class A common stock, the price of our Class A common stock could decline.</w:t>
      </w:r>
    </w:p>
    <w:p>
      <w:pPr>
        <w:spacing w:after="0" w:line="15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trading market for our Class A common stock depends in part on the research and reports that third-party securities analysts publish about our company and our industry. If one or more analysts cease coverage of our company, we could lose visibility in the market. In addition, one or more of these analysts could downgrade our Class A common stock or issue other negative commentary about our company or our industry. As a result of one or more of these factors, the trading price of our Class A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1C. CYBERSECURITY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Cybersecurity Risk Management and Strategy</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We have developed and implemented a cybersecurity risk management program designed to protect the confidentiality, integrity, and availability of our critical systems and information. Our cybersecurity risk management program includes a cybersecurity incident response plan.</w:t>
      </w:r>
    </w:p>
    <w:p>
      <w:pPr>
        <w:spacing w:after="0" w:line="157"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spacing w:after="0" w:line="1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operational, and financial risk areas.</w:t>
      </w:r>
    </w:p>
    <w:p>
      <w:pPr>
        <w:spacing w:after="0" w:line="2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cybersecurity risk management program includes:</w:t>
      </w:r>
    </w:p>
    <w:p>
      <w:pPr>
        <w:spacing w:after="0" w:line="212" w:lineRule="exact"/>
        <w:rPr>
          <w:sz w:val="20"/>
          <w:szCs w:val="20"/>
          <w:color w:val="auto"/>
        </w:rPr>
      </w:pPr>
    </w:p>
    <w:p>
      <w:pPr>
        <w:ind w:left="1040" w:right="79" w:hanging="315"/>
        <w:spacing w:after="0" w:line="286" w:lineRule="auto"/>
        <w:tabs>
          <w:tab w:leader="none" w:pos="10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risk assessments designed to help identify material cybersecurity risks to our critical systems, information, products, services, and our broader enterprise IT environment;</w:t>
      </w:r>
    </w:p>
    <w:p>
      <w:pPr>
        <w:spacing w:after="0" w:line="153" w:lineRule="exact"/>
        <w:rPr>
          <w:rFonts w:ascii="Times New Roman" w:cs="Times New Roman" w:eastAsia="Times New Roman" w:hAnsi="Times New Roman"/>
          <w:sz w:val="18"/>
          <w:szCs w:val="18"/>
          <w:color w:val="auto"/>
        </w:rPr>
      </w:pPr>
    </w:p>
    <w:p>
      <w:pPr>
        <w:jc w:val="both"/>
        <w:ind w:left="1040" w:right="79" w:hanging="315"/>
        <w:spacing w:after="0" w:line="262" w:lineRule="auto"/>
        <w:tabs>
          <w:tab w:leader="none" w:pos="10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security team principally responsible for managing (1) our cybersecurity risk assessment processes, (2) our security controls, (3) our cybersecurity operations center and third party service providers responsible for monitoring and measuring threats, and (4) our response to cybersecurity incidents;</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use of external service providers, where appropriate, to assess, test or otherwise assist with aspects of our security controls;</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regular testing of our critical systems to identify and address potential vulnerabilities;</w:t>
      </w:r>
    </w:p>
    <w:p>
      <w:pPr>
        <w:spacing w:after="0" w:line="237"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awareness training of our employees, incident response personnel, and senior management;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40" w:right="79" w:hanging="315"/>
        <w:spacing w:after="0" w:line="286" w:lineRule="auto"/>
        <w:tabs>
          <w:tab w:leader="none" w:pos="104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 cybersecurity incident response plan that includes procedures for responding to cybersecurity incidents; and</w:t>
      </w:r>
    </w:p>
    <w:p>
      <w:pPr>
        <w:spacing w:after="0" w:line="153" w:lineRule="exact"/>
        <w:rPr>
          <w:rFonts w:ascii="Times New Roman" w:cs="Times New Roman" w:eastAsia="Times New Roman" w:hAnsi="Times New Roman"/>
          <w:sz w:val="18"/>
          <w:szCs w:val="18"/>
          <w:color w:val="auto"/>
        </w:rPr>
      </w:pPr>
    </w:p>
    <w:p>
      <w:pPr>
        <w:jc w:val="both"/>
        <w:ind w:left="1040" w:right="79" w:hanging="315"/>
        <w:spacing w:after="0" w:line="268" w:lineRule="auto"/>
        <w:tabs>
          <w:tab w:leader="none" w:pos="104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 third party risk management process for certain service providers that is calibrated based on our assessment of each provider’s operational criticality, level of access to our systems and data, and respective risk profile.</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There can be no assurance that our cybersecurity risk management program and processes, including our policies, controls or procedures, will be fully implemented, complied with or effective in protecting our systems and information.</w:t>
      </w:r>
    </w:p>
    <w:p>
      <w:pPr>
        <w:spacing w:after="0" w:line="171"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We regularly experience cyberattacks and other incidents and will continue to experience varying degrees of attacks and incidents in the future. To date, 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however we cannot guarantee that material incidents will not occur in the future. See “Risk Factors ─ Risks Relating to Regulation and Litigation ─ “A failure in our e-commerce operations, security breaches and cybersecurity risks could disrupt our business and lead to reduced sales and growth prospects and reputational damage.“ and “Disruptions or breaches involving our or our third-party providers’ IT Systems or Confidential Information could interrupt our operations, compromise our reputation, expose us to litigation, government enforcement actions and costly response measures and could have a material adverse effect on our business, financial condition and results of operations.” included in Part I, Item 1A of this Form 10-K.</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Cybersecurity Governance</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Our Board considers cybersecurity risk as part of its risk oversight function and has delegated to the Audit Committee (“Committee”) oversight of cybersecurity and other information technology risks. The Committee oversees management’s implementation of our cybersecurity risk management program.</w:t>
      </w:r>
    </w:p>
    <w:p>
      <w:pPr>
        <w:spacing w:after="0" w:line="171"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The Committee receives briefings from our information security team (“Information Security”) on our cybersecurity risks no less than annually. In addition, management updates the Committee in addition to the full Board, as necessary, regarding any material cybersecurity incidents, as well as any incidents with lesser impact potential.</w:t>
      </w:r>
    </w:p>
    <w:p>
      <w:pPr>
        <w:spacing w:after="0" w:line="163"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Our Chief Information Security Officer (“CISO”) is primarily responsible for leading enterprise-wide cybersecurity strategy, policy, standards, architecture, and processes. Our CISO reports to the Chief Administrative and Legal Officer, and together with our Chief Technology Officer, regularly updates our management team on efforts regarding the prevention, detection, mitigation, and remediation of cybersecurity events and security enhancements. Reports may include briefings that have been informed by internal security personnel, threat intelligence and other information obtained from governmental, public, or private sources in addition to alerts and reports produced by security tools deployed in the IT environment.</w:t>
      </w:r>
    </w:p>
    <w:p>
      <w:pPr>
        <w:spacing w:after="0" w:line="16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CISO has approximately 30 years of IT and cybersecurity leadership. With a strong foundation in risk management and oversight, his previous roles included overseeing technology infrastructure and secured operations in addition to leading IT audit and assurance teams at multi-billion-dollar manufacturers. Our CISO holds an MBA, a B.S. in Computer Engineering, is CISSP, CISM, CISA, and CRISC certified and is a specialist in securing operational technology.</w:t>
      </w:r>
    </w:p>
    <w:p>
      <w:pPr>
        <w:spacing w:after="0" w:line="17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Information Security has significant experience in incident response, forensics, vulnerability management, network security administration, fraud prevention, and other governance, risk, and compliance areas. Information Security maintains subject matter expert level knowledge in cybersecurity frameworks and governance organizations such as NIST, ISO 27001, and PCI-DSS, along with industry certifications commensurate with their roles.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jc w:val="both"/>
        <w:ind w:left="60" w:right="79" w:firstLine="648"/>
        <w:spacing w:after="0" w:line="262" w:lineRule="auto"/>
        <w:rPr>
          <w:sz w:val="20"/>
          <w:szCs w:val="20"/>
          <w:color w:val="auto"/>
        </w:rPr>
      </w:pPr>
      <w:r>
        <w:rPr>
          <w:rFonts w:ascii="Arial" w:cs="Arial" w:eastAsia="Arial" w:hAnsi="Arial"/>
          <w:sz w:val="18"/>
          <w:szCs w:val="18"/>
          <w:color w:val="auto"/>
        </w:rPr>
        <w:t>We typically lease the real properties where we have operations. Our real property leases generally provide for fixed monthly rentals with annual escalation clauses. The table below sets forth certain information concerning our offices and distribution centers as of December 31, 2025, and the lease expiration dates include all stated option periods.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Lease</w:t>
            </w:r>
          </w:p>
        </w:tc>
        <w:tc>
          <w:tcPr>
            <w:tcW w:w="54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20" w:type="dxa"/>
            <w:vAlign w:val="bottom"/>
          </w:tcPr>
          <w:p>
            <w:pPr>
              <w:ind w:left="21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Square Feet   </w:t>
            </w:r>
            <w:r>
              <w:rPr>
                <w:rFonts w:ascii="Arial" w:cs="Arial" w:eastAsia="Arial" w:hAnsi="Arial"/>
                <w:sz w:val="14"/>
                <w:szCs w:val="14"/>
                <w:color w:val="auto"/>
              </w:rPr>
              <w:t>​​​</w:t>
            </w:r>
          </w:p>
        </w:tc>
        <w:tc>
          <w:tcPr>
            <w:tcW w:w="920" w:type="dxa"/>
            <w:vAlign w:val="bottom"/>
          </w:tcPr>
          <w:p>
            <w:pPr>
              <w:jc w:val="right"/>
              <w:ind w:right="176"/>
              <w:spacing w:after="0"/>
              <w:rPr>
                <w:sz w:val="20"/>
                <w:szCs w:val="20"/>
                <w:color w:val="auto"/>
              </w:rPr>
            </w:pPr>
            <w:r>
              <w:rPr>
                <w:rFonts w:ascii="Arial" w:cs="Arial" w:eastAsia="Arial" w:hAnsi="Arial"/>
                <w:sz w:val="14"/>
                <w:szCs w:val="14"/>
                <w:b w:val="1"/>
                <w:bCs w:val="1"/>
                <w:color w:val="auto"/>
              </w:rPr>
              <w:t>Acres</w:t>
            </w:r>
          </w:p>
        </w:tc>
        <w:tc>
          <w:tcPr>
            <w:tcW w:w="1460" w:type="dxa"/>
            <w:vAlign w:val="bottom"/>
            <w:gridSpan w:val="3"/>
          </w:tcPr>
          <w:p>
            <w:pPr>
              <w:ind w:left="80"/>
              <w:spacing w:after="0" w:line="189" w:lineRule="exact"/>
              <w:rPr>
                <w:sz w:val="20"/>
                <w:szCs w:val="20"/>
                <w:color w:val="auto"/>
              </w:rPr>
            </w:pPr>
            <w:r>
              <w:rPr>
                <w:rFonts w:ascii="Arial" w:cs="Arial" w:eastAsia="Arial" w:hAnsi="Arial"/>
                <w:sz w:val="12"/>
                <w:szCs w:val="12"/>
                <w:color w:val="auto"/>
              </w:rPr>
              <w:t xml:space="preserve">​​​ </w:t>
            </w:r>
            <w:r>
              <w:rPr>
                <w:rFonts w:ascii="Arial" w:cs="Arial" w:eastAsia="Arial" w:hAnsi="Arial"/>
                <w:sz w:val="21"/>
                <w:szCs w:val="21"/>
                <w:b w:val="1"/>
                <w:bCs w:val="1"/>
                <w:color w:val="auto"/>
                <w:vertAlign w:val="subscript"/>
              </w:rPr>
              <w:t>Expiration</w:t>
            </w:r>
            <w:r>
              <w:rPr>
                <w:rFonts w:ascii="Arial" w:cs="Arial" w:eastAsia="Arial" w:hAnsi="Arial"/>
                <w:sz w:val="16"/>
                <w:szCs w:val="16"/>
                <w:b w:val="1"/>
                <w:bCs w:val="1"/>
                <w:color w:val="auto"/>
                <w:vertAlign w:val="superscript"/>
              </w:rPr>
              <w:t>(1)</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r>
      <w:tr>
        <w:trPr>
          <w:trHeight w:val="182"/>
        </w:trPr>
        <w:tc>
          <w:tcPr>
            <w:tcW w:w="4660" w:type="dxa"/>
            <w:vAlign w:val="bottom"/>
            <w:tcBorders>
              <w:top w:val="single" w:sz="8" w:color="CCEEFF"/>
            </w:tcBorders>
            <w:gridSpan w:val="4"/>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Office Facilities:</w:t>
            </w:r>
          </w:p>
        </w:tc>
        <w:tc>
          <w:tcPr>
            <w:tcW w:w="10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Lincolnshire, Illinois (Corporate headquarters and RV</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5"/>
        </w:trPr>
        <w:tc>
          <w:tcPr>
            <w:tcW w:w="20" w:type="dxa"/>
            <w:vAlign w:val="bottom"/>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and Outdoor Retail headquarters)</w:t>
            </w:r>
          </w:p>
        </w:tc>
        <w:tc>
          <w:tcPr>
            <w:tcW w:w="1080" w:type="dxa"/>
            <w:vAlign w:val="bottom"/>
          </w:tcPr>
          <w:p>
            <w:pPr>
              <w:jc w:val="right"/>
              <w:spacing w:after="0"/>
              <w:rPr>
                <w:sz w:val="20"/>
                <w:szCs w:val="20"/>
                <w:color w:val="auto"/>
              </w:rPr>
            </w:pPr>
            <w:r>
              <w:rPr>
                <w:rFonts w:ascii="Arial" w:cs="Arial" w:eastAsia="Arial" w:hAnsi="Arial"/>
                <w:sz w:val="18"/>
                <w:szCs w:val="18"/>
                <w:color w:val="auto"/>
              </w:rPr>
              <w:t>42,845</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4"/>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Englewood, Colorado (Good Sam Services and Plans</w:t>
            </w: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operations, customer contact and service center and</w:t>
            </w: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5"/>
        </w:trPr>
        <w:tc>
          <w:tcPr>
            <w:tcW w:w="20" w:type="dxa"/>
            <w:vAlign w:val="bottom"/>
            <w:shd w:val="clear" w:color="auto" w:fill="CCEEFF"/>
          </w:tcPr>
          <w:p>
            <w:pPr>
              <w:spacing w:after="0"/>
              <w:rPr>
                <w:sz w:val="20"/>
                <w:szCs w:val="20"/>
                <w:color w:val="auto"/>
              </w:rPr>
            </w:pPr>
          </w:p>
        </w:tc>
        <w:tc>
          <w:tcPr>
            <w:tcW w:w="4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information system functions)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59,704</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24"/>
        </w:trPr>
        <w:tc>
          <w:tcPr>
            <w:tcW w:w="20" w:type="dxa"/>
            <w:vAlign w:val="bottom"/>
          </w:tcPr>
          <w:p>
            <w:pPr>
              <w:spacing w:after="0"/>
              <w:rPr>
                <w:sz w:val="19"/>
                <w:szCs w:val="19"/>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Bowling Green, Kentucky (RV and Outdoor Retail</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5"/>
        </w:trPr>
        <w:tc>
          <w:tcPr>
            <w:tcW w:w="20" w:type="dxa"/>
            <w:vAlign w:val="bottom"/>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administrative and information systems functions)</w:t>
            </w:r>
          </w:p>
        </w:tc>
        <w:tc>
          <w:tcPr>
            <w:tcW w:w="1080" w:type="dxa"/>
            <w:vAlign w:val="bottom"/>
          </w:tcPr>
          <w:p>
            <w:pPr>
              <w:jc w:val="right"/>
              <w:spacing w:after="0"/>
              <w:rPr>
                <w:sz w:val="20"/>
                <w:szCs w:val="20"/>
                <w:color w:val="auto"/>
              </w:rPr>
            </w:pPr>
            <w:r>
              <w:rPr>
                <w:rFonts w:ascii="Arial" w:cs="Arial" w:eastAsia="Arial" w:hAnsi="Arial"/>
                <w:sz w:val="18"/>
                <w:szCs w:val="18"/>
                <w:color w:val="auto"/>
              </w:rPr>
              <w:t>33,947</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2054</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24"/>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Oxnard, California (Good Sam Services and Plans</w:t>
            </w: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5"/>
        </w:trPr>
        <w:tc>
          <w:tcPr>
            <w:tcW w:w="20" w:type="dxa"/>
            <w:vAlign w:val="bottom"/>
            <w:shd w:val="clear" w:color="auto" w:fill="CCEEFF"/>
          </w:tcPr>
          <w:p>
            <w:pPr>
              <w:spacing w:after="0"/>
              <w:rPr>
                <w:sz w:val="20"/>
                <w:szCs w:val="20"/>
                <w:color w:val="auto"/>
              </w:rPr>
            </w:pPr>
          </w:p>
        </w:tc>
        <w:tc>
          <w:tcPr>
            <w:tcW w:w="4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publishing and administrative)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2030</w:t>
            </w: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Lakeville, Minnesota (RV and Outdoor Retail</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5"/>
        </w:trPr>
        <w:tc>
          <w:tcPr>
            <w:tcW w:w="20" w:type="dxa"/>
            <w:vAlign w:val="bottom"/>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administrative and information systems functions)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11,961</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2047</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24"/>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Chicago, Illinois (Administrative and information</w:t>
            </w: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5"/>
        </w:trPr>
        <w:tc>
          <w:tcPr>
            <w:tcW w:w="20" w:type="dxa"/>
            <w:vAlign w:val="bottom"/>
            <w:shd w:val="clear" w:color="auto" w:fill="CCEEFF"/>
          </w:tcPr>
          <w:p>
            <w:pPr>
              <w:spacing w:after="0"/>
              <w:rPr>
                <w:sz w:val="20"/>
                <w:szCs w:val="20"/>
                <w:color w:val="auto"/>
              </w:rPr>
            </w:pPr>
          </w:p>
        </w:tc>
        <w:tc>
          <w:tcPr>
            <w:tcW w:w="4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systems functions)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2039</w:t>
            </w: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Mesa, Arizona (call center and administrative</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5"/>
        </w:trPr>
        <w:tc>
          <w:tcPr>
            <w:tcW w:w="20" w:type="dxa"/>
            <w:vAlign w:val="bottom"/>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functions)</w:t>
            </w:r>
          </w:p>
        </w:tc>
        <w:tc>
          <w:tcPr>
            <w:tcW w:w="1080" w:type="dxa"/>
            <w:vAlign w:val="bottom"/>
          </w:tcPr>
          <w:p>
            <w:pPr>
              <w:jc w:val="right"/>
              <w:spacing w:after="0"/>
              <w:rPr>
                <w:sz w:val="20"/>
                <w:szCs w:val="20"/>
                <w:color w:val="auto"/>
              </w:rPr>
            </w:pPr>
            <w:r>
              <w:rPr>
                <w:rFonts w:ascii="Arial" w:cs="Arial" w:eastAsia="Arial" w:hAnsi="Arial"/>
                <w:sz w:val="18"/>
                <w:szCs w:val="18"/>
                <w:color w:val="auto"/>
              </w:rPr>
              <w:t>6,690</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Manassas, VA (administrative functions)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2032</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Rochester, NY (administrative functions)</w:t>
            </w:r>
          </w:p>
        </w:tc>
        <w:tc>
          <w:tcPr>
            <w:tcW w:w="1080" w:type="dxa"/>
            <w:vAlign w:val="bottom"/>
          </w:tcPr>
          <w:p>
            <w:pPr>
              <w:jc w:val="right"/>
              <w:spacing w:after="0"/>
              <w:rPr>
                <w:sz w:val="20"/>
                <w:szCs w:val="20"/>
                <w:color w:val="auto"/>
              </w:rPr>
            </w:pPr>
            <w:r>
              <w:rPr>
                <w:rFonts w:ascii="Arial" w:cs="Arial" w:eastAsia="Arial" w:hAnsi="Arial"/>
                <w:sz w:val="18"/>
                <w:szCs w:val="18"/>
                <w:color w:val="auto"/>
              </w:rPr>
              <w:t>4,000</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189"/>
        </w:trPr>
        <w:tc>
          <w:tcPr>
            <w:tcW w:w="466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Retail Distribution Centers:</w:t>
            </w: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Lebec, CA (RV and Outdoor Retail)</w:t>
            </w:r>
          </w:p>
        </w:tc>
        <w:tc>
          <w:tcPr>
            <w:tcW w:w="1080" w:type="dxa"/>
            <w:vAlign w:val="bottom"/>
          </w:tcPr>
          <w:p>
            <w:pPr>
              <w:jc w:val="right"/>
              <w:spacing w:after="0"/>
              <w:rPr>
                <w:sz w:val="20"/>
                <w:szCs w:val="20"/>
                <w:color w:val="auto"/>
              </w:rPr>
            </w:pPr>
            <w:r>
              <w:rPr>
                <w:rFonts w:ascii="Arial" w:cs="Arial" w:eastAsia="Arial" w:hAnsi="Arial"/>
                <w:sz w:val="18"/>
                <w:szCs w:val="18"/>
                <w:color w:val="auto"/>
              </w:rPr>
              <w:t>389,160</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w:t>
            </w: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Lebanon, Indiana (RV and Outdoor Retail)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707,952</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2040</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bl>
    <w:p>
      <w:pPr>
        <w:spacing w:after="0" w:line="220" w:lineRule="exact"/>
        <w:rPr>
          <w:sz w:val="20"/>
          <w:szCs w:val="20"/>
          <w:color w:val="auto"/>
        </w:rPr>
      </w:pPr>
    </w:p>
    <w:p>
      <w:pPr>
        <w:ind w:left="240"/>
        <w:spacing w:after="0"/>
        <w:tabs>
          <w:tab w:leader="none" w:pos="540" w:val="left"/>
        </w:tabs>
        <w:rPr>
          <w:sz w:val="20"/>
          <w:szCs w:val="20"/>
          <w:color w:val="auto"/>
        </w:rPr>
      </w:pPr>
      <w:r>
        <w:rPr>
          <w:rFonts w:ascii="Arial" w:cs="Arial" w:eastAsia="Arial" w:hAnsi="Arial"/>
          <w:sz w:val="14"/>
          <w:szCs w:val="14"/>
          <w:color w:val="auto"/>
        </w:rPr>
        <w:t>(1)</w:t>
        <w:tab/>
        <w:t>Assumes exercise of applicable lease renewal options.</w:t>
      </w:r>
    </w:p>
    <w:p>
      <w:pPr>
        <w:spacing w:after="0" w:line="28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of December 31, 2025, most of the properties, including the above and most of our 196 store locations, were leased through 234 leases. Our retail locations are located in 44 states, generally ranging in size from approximately 10,000 to 80,000 square feet, and are typically situated on approximately 8 to 45 acres. The leases for our store locations typically have terms between 5 to 20 years, with multiple renewal terms of five years each. These leases are typically “triple net leases” that require us to pay real estate taxes, insurance and maintenance costs.</w:t>
      </w: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12"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For information regarding legal proceedings, refer to Note 14 – Commitments and Contingencies – Litigation of our consolidated financial statements included in Part II, Item 8 of this Form 10-K.</w:t>
      </w:r>
    </w:p>
    <w:p>
      <w:pPr>
        <w:spacing w:after="0" w:line="15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also engaged in various other legal actions, claims and proceedings arising in the ordinary course of business, including but not limited to employee wage and hour and other employment related matters, as well as breach of contract, trade practices, property liability, commercial, and environmental health and safety matters. We do not believe that the ultimate resolution of such matters will have a material adverse effect on our business, financial condition or results of operations. However, litigation is subject to many uncertainties, and the outcome of certain of such individual litigated matters may not be reasonably predictable and any related damages may not be estimable. Certain of these litigation matters could result in an adverse outcome to us, and any such adverse outcome could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 About Our Executive Officers and Directors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The following table provides information regarding the Company’s executive officers and directors (ages are as of February 27, 2025):</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4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2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w:t>
            </w:r>
          </w:p>
        </w:tc>
        <w:tc>
          <w:tcPr>
            <w:tcW w:w="432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Position(s)</w:t>
            </w:r>
          </w:p>
        </w:tc>
      </w:tr>
      <w:tr>
        <w:trPr>
          <w:trHeight w:val="224"/>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Matthew D. Wagner</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40</w:t>
            </w:r>
          </w:p>
        </w:tc>
        <w:tc>
          <w:tcPr>
            <w:tcW w:w="26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President and Director</w:t>
            </w: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Thomas E. Kirn</w:t>
            </w: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2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Chief Financial and Accounting Officer</w:t>
            </w: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Lindsey J. Christen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45</w:t>
            </w:r>
          </w:p>
        </w:tc>
        <w:tc>
          <w:tcPr>
            <w:tcW w:w="26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Chief Administrative and Legal Officer and Secretary</w:t>
            </w: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Brent Moody</w:t>
            </w: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2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Andris A. Baltins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80</w:t>
            </w:r>
          </w:p>
        </w:tc>
        <w:tc>
          <w:tcPr>
            <w:tcW w:w="26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Brian P. Cassidy</w:t>
            </w: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2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Director</w:t>
            </w: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Mary J. George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75</w:t>
            </w:r>
          </w:p>
        </w:tc>
        <w:tc>
          <w:tcPr>
            <w:tcW w:w="26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Kathleen S. Lane</w:t>
            </w: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68</w:t>
            </w:r>
          </w:p>
        </w:tc>
        <w:tc>
          <w:tcPr>
            <w:tcW w:w="2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Director</w:t>
            </w: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W. Malone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67</w:t>
            </w:r>
          </w:p>
        </w:tc>
        <w:tc>
          <w:tcPr>
            <w:tcW w:w="26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9"/>
        </w:trPr>
        <w:tc>
          <w:tcPr>
            <w:tcW w:w="2900" w:type="dxa"/>
            <w:vAlign w:val="bottom"/>
          </w:tcPr>
          <w:p>
            <w:pPr>
              <w:ind w:left="20"/>
              <w:spacing w:after="0"/>
              <w:rPr>
                <w:sz w:val="20"/>
                <w:szCs w:val="20"/>
                <w:color w:val="auto"/>
              </w:rPr>
            </w:pPr>
            <w:r>
              <w:rPr>
                <w:rFonts w:ascii="Arial" w:cs="Arial" w:eastAsia="Arial" w:hAnsi="Arial"/>
                <w:sz w:val="18"/>
                <w:szCs w:val="18"/>
                <w:color w:val="auto"/>
              </w:rPr>
              <w:t>K. Dillon Schickli</w:t>
            </w:r>
          </w:p>
        </w:tc>
        <w:tc>
          <w:tcPr>
            <w:tcW w:w="2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72</w:t>
            </w:r>
          </w:p>
        </w:tc>
        <w:tc>
          <w:tcPr>
            <w:tcW w:w="2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8"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Set forth below is a description of the background of each of the Company’s executive officers and directors.</w:t>
      </w:r>
    </w:p>
    <w:p>
      <w:pPr>
        <w:spacing w:after="0" w:line="153"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i w:val="1"/>
          <w:iCs w:val="1"/>
          <w:color w:val="auto"/>
        </w:rPr>
        <w:t xml:space="preserve">Matthew D. Wagner </w:t>
      </w:r>
      <w:r>
        <w:rPr>
          <w:rFonts w:ascii="Arial" w:cs="Arial" w:eastAsia="Arial" w:hAnsi="Arial"/>
          <w:sz w:val="18"/>
          <w:szCs w:val="18"/>
          <w:color w:val="auto"/>
        </w:rPr>
        <w:t>has served as Camping World Holdings, Inc.’s Chief Executive Officer,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as a member of the Board of Directors since January 1, 2026. Mr. Wagner previously served as President from July 2024 to December 2025 and as Chief Operating Officer from January 2023 to June 2024. Prior to these roles, he served as Executive Vice President from August 2019 to December 2022, Senior Vice President, Sales, Marketing, and Corporate Development from December 2018 to August 2019. Mr. Wagner originally joined the Company in 2007 as an intern and held various leadership positions within the organization and its subsidiaries, including Vice President of Inventory Operations for FreedomRoads, LLC from May 2016 to December 2018. He received a B.S. degree in Finance and Operations and Supply Chain Management from Marquette University.</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i w:val="1"/>
          <w:iCs w:val="1"/>
          <w:color w:val="auto"/>
        </w:rPr>
        <w:t xml:space="preserve">Thomas E. Kirn </w:t>
      </w:r>
      <w:r>
        <w:rPr>
          <w:rFonts w:ascii="Arial" w:cs="Arial" w:eastAsia="Arial" w:hAnsi="Arial"/>
          <w:sz w:val="18"/>
          <w:szCs w:val="18"/>
          <w:color w:val="auto"/>
        </w:rPr>
        <w:t>has served as the Company’s Chief Financial Officer since July 2024 and has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the Company’s Chief Accounting Officer since September 2020. Mr. Kirn joined the Company in September 2019 as the Chief Financial Officer for FreedomRoads, LLC (“FreedomRoads”), an indirect subsidiary of the Company. Prior to joining FreedomRoads, Mr. Kirn held various roles at Ernst &amp; Young, LLP from 2009 to 2019. Mr. Kirn holds a B.A. in Accounting and a B.A. in Hispanic Studies from Illinois Wesleyan University.</w:t>
      </w:r>
    </w:p>
    <w:p>
      <w:pPr>
        <w:spacing w:after="0" w:line="179"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i w:val="1"/>
          <w:iCs w:val="1"/>
          <w:color w:val="auto"/>
        </w:rPr>
        <w:t xml:space="preserve">Lindsey J. Christen </w:t>
      </w:r>
      <w:r>
        <w:rPr>
          <w:rFonts w:ascii="Arial" w:cs="Arial" w:eastAsia="Arial" w:hAnsi="Arial"/>
          <w:sz w:val="18"/>
          <w:szCs w:val="18"/>
          <w:color w:val="auto"/>
        </w:rPr>
        <w:t>has served as Chief Administrative and Legal Officer of Camping World Holdings,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CWGS, LLC and its subsidiaries since July 2023. Ms. Christen previously served as Executive Vice President of CWGS LLC and its subsidiaries from February 2022 until July 2023 and General Counsel and Secretary of Camping World Holdings, Inc. and CWGS, LLC and its subsidiaries since June 2020. Ms. Christen previously served as Senior Vice President of CWGS, LLC and its subsidiaries from June 2020 to February 2022, as Assistant General Counsel of Good Sam Enterprises, LLC, Camping World, Inc. and FreedomRoads, LLC from 2011 until June 2020 and Corporate Counsel of Camping World, Inc. and FreedomRoads, LLC from 2008 to 2011. Ms. Christen received a J.D. from Brooklyn Law School in 2007 and a B.A. from Villanova University.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i w:val="1"/>
          <w:iCs w:val="1"/>
          <w:color w:val="auto"/>
        </w:rPr>
        <w:t xml:space="preserve">Brent Moody </w:t>
      </w:r>
      <w:r>
        <w:rPr>
          <w:rFonts w:ascii="Arial" w:cs="Arial" w:eastAsia="Arial" w:hAnsi="Arial"/>
          <w:sz w:val="18"/>
          <w:szCs w:val="18"/>
          <w:color w:val="auto"/>
        </w:rPr>
        <w:t>has served as Camping World Holdings, Inc.’s Chairman of the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2026 and as a member of the Board of Directors of Camping World Holdings, Inc. since May 2018. Mr. Moody previously served as a Senior Advisor to Camping World Holdings, Inc. from July 1, 2024 through December 31, 2024, as President of Camping World Holdings, Inc. and President of CWGS Enterprises, LLC from September 2018 to June 30, 2024, as Camping World Holdings, Inc.’s Chief Operating and Legal Officer from March 2016 to September 2018, as the Chief Operating and Legal Officer of CWGS, LLC and its subsidiaries since January 2016, as the Executive Vice President and Chief Administrative and Legal Officer of CWGS, LLC from February 2011 to December 31, 2015, as the Executive Vice President and Chief Administrative and Legal Officer of Good Sam Enterprises, LLC from January 2011 to December 2015, as the Executive Vice President and Chief Administrative and Legal Officer of FreedomRoads, LLC and Camping World, Inc. from 2010 until December 2015, as Executive Vice President/General Counsel and Business Development of Camping World, Inc. and FreedomRoads, LLC from 2006 to 2010, as Senior Vice President/General Counsel and Business Development of Camping World, Inc. and Good Sam Enterprises, LLC from 2004 to 2006 and as Vice President and General Counsel of Camping World, Inc. from 2002 to 2004. From 1998 to 2002, Mr. Moody was a shareholder of the law firm of Greenberg Traurig, P.A. From 1996 to 1998, Mr. Moody served as vice president and assistant general counsel for Blockbuster, Inc. Mr. Moody received a J.D. from Nova Southeastern University, Shepard Broad Law Center and a B.S. from Western Kentucky University. Mr. Moody’s extensive legal experience, his experience in various areas of complex business transactions and mergers and acquisitions, and his extensive knowledge of the Company’s operations make him well qualified to serve on our Board of Directors.</w:t>
      </w:r>
    </w:p>
    <w:p>
      <w:pPr>
        <w:spacing w:after="0" w:line="19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i w:val="1"/>
          <w:iCs w:val="1"/>
          <w:color w:val="auto"/>
        </w:rPr>
        <w:t xml:space="preserve">Andris A. Baltins </w:t>
      </w:r>
      <w:r>
        <w:rPr>
          <w:rFonts w:ascii="Arial" w:cs="Arial" w:eastAsia="Arial" w:hAnsi="Arial"/>
          <w:sz w:val="18"/>
          <w:szCs w:val="18"/>
          <w:color w:val="auto"/>
        </w:rPr>
        <w:t>has served on the Board of Directors of Camping World Holdings, Inc. since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2016, on the Board of Directors of CWGS, LLC since February 2011 and on the Board of Directors of Good Sam Enterprises, LLC since February 2006. He has been a member of the law firm of Kaplan, Strangis and Kaplan, P.A. since 1979. Mr. Baltins serves as a director of various private and nonprofit corporations. Mr. Baltins previously served as a director of Polaris Industries, Inc. from 1995 until 2011. Mr. Baltins received a J.D. from the University of Minnesota Law School and a B.A. from Yale University. Mr. Baltins’ over 40-year legal career as an advisor to numerous public and private companies and his experience in the areas of complex business transactions, mergers and acquisitions and corporate law make him well qualified to serve on our Board of Directors.</w:t>
      </w:r>
    </w:p>
    <w:p>
      <w:pPr>
        <w:spacing w:after="0" w:line="169" w:lineRule="exact"/>
        <w:rPr>
          <w:sz w:val="20"/>
          <w:szCs w:val="20"/>
          <w:color w:val="auto"/>
        </w:rPr>
      </w:pPr>
    </w:p>
    <w:p>
      <w:pPr>
        <w:jc w:val="both"/>
        <w:ind w:left="60" w:right="59" w:firstLine="648"/>
        <w:spacing w:after="0" w:line="249" w:lineRule="auto"/>
        <w:rPr>
          <w:sz w:val="20"/>
          <w:szCs w:val="20"/>
          <w:color w:val="auto"/>
        </w:rPr>
      </w:pPr>
      <w:r>
        <w:rPr>
          <w:rFonts w:ascii="Arial" w:cs="Arial" w:eastAsia="Arial" w:hAnsi="Arial"/>
          <w:sz w:val="18"/>
          <w:szCs w:val="18"/>
          <w:i w:val="1"/>
          <w:iCs w:val="1"/>
          <w:color w:val="auto"/>
        </w:rPr>
        <w:t xml:space="preserve">Brian P. Cassidy </w:t>
      </w:r>
      <w:r>
        <w:rPr>
          <w:rFonts w:ascii="Arial" w:cs="Arial" w:eastAsia="Arial" w:hAnsi="Arial"/>
          <w:sz w:val="18"/>
          <w:szCs w:val="18"/>
          <w:color w:val="auto"/>
        </w:rPr>
        <w:t>has served on the Board of Directors of Camping World Holdings, Inc. since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2016 and on the Board of Directors of CWGS, LLC since March 2011. Mr. Cassidy is the president and a partner at Crestview, which he joined in 2004, and currently serves as head of Crestview’s media and communications strategy. Mr. Cassidy currently serves as a director of Pursuit Attractions and Hospitality Inc., since August 2020, and has served as a director of various private companies, including Saber Interactive since September 2024, Journey Beyond since July 2024, FC3 since November 2020, Digicomm since August 2020, Hornblower Holdings since April 2018, Congruex LLC since November 2017, and WideOpenWest, Inc. since December 2015. Mr. Cassidy previously served as a director of Cumulus Media, Inc., a public company, from May 2014 until March 2017, served as a director of various private companies, including Industrial Media from October 2016 to February 2022, ICM Partners from December 2019 to June 2022, NEP Group, Inc. from December 2012 to October 2018, Interoute Communications Holdings from April 2015 until May 2018, OneLink Communications from May 2007 until November 2012 and ValueOptions, Inc. from December 2007 until December 2014, and served as chairman of TenCate Grass from September 2021 to February 2024. He was also involved with Crestview’s investments in Charter Communications, Inc. and Insight Communications, Inc. Prior to joining Crestview, Mr. Cassidy worked in private equity at Boston Ventures, where he invested in companies in the media and communications, entertainment and business services industries. Previously, he worked as the acting chief financial officer of one of Boston Ventures’ portfolio companies. Prior to that time, Mr. Cassidy was an investment banking analyst at Alex. Brown &amp; Sons, where he completed a range of financing and mergers and acquisitions assignments for companies in the consumer and business services sectors. Mr. Cassidy received an M.B.A. from the Stanford Graduate School of Business and an A.B. in Physics from Harvard College. Mr. Cassidy’s private equity investment and company oversight experience and background with respect to acquisitions, debt financings and equity financings make him well qualified to serve on our Board of Directors.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i w:val="1"/>
          <w:iCs w:val="1"/>
          <w:color w:val="auto"/>
        </w:rPr>
        <w:t xml:space="preserve">Mary J. George </w:t>
      </w:r>
      <w:r>
        <w:rPr>
          <w:rFonts w:ascii="Arial" w:cs="Arial" w:eastAsia="Arial" w:hAnsi="Arial"/>
          <w:sz w:val="18"/>
          <w:szCs w:val="18"/>
          <w:color w:val="auto"/>
        </w:rPr>
        <w:t>has served on the Board of Directors of Camping World Holdings, Inc. since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2017. Since January 2022, Ms. George has also served on the board of ASP Conair Holdings LP, owner of Conair Corporation, a private U.S.- based company that sells small appliances, personal care, and health and beauty products. She has also served on the board of Hyduro, Inc., a private company and developer of a mobile connected smart water bottle cap, designed to optimize personal hydration by providing timely feedback, since March 2022. Ms. George also served as executive chairman of Ju-Ju-Be, a private company and retailer of premium diaper bags and other baby products from January 2018 to September 2022. Ms. George has been a founding partner of Morningstar Capital Investments, LLC, an investment firm, since 2001. Ms. George served as chief executive officer and a director at Easton Hockey Holdings Inc., a private manufacturer of ice hockey equipment, from August 2014 to December 2016. From 2002 to 2015, Ms. George held various positions, including co-chairman (2002 to 2009) and vice chairman (2009 to 2015), at Bell Automotive Products, Inc., a private manufacturer of automotive accessories. From 1994 to 2004, Ms. George held various positions, including chief operating officer (1995 to 1998), chief executive officer (1998 to 2000), and chairman (2000 to 2004), at Bell Sports Inc., a formerly public helmet manufacturer. Ms. George previously served as a director of various public and private companies, including Image Entertainment, Inc., a formerly public independent distributor of home entertainment programming, from 2010 to 2012, Oakley, Inc., a public sports equipment and lifestyle accessories manufacturer, from 2004 to 2007, BRG Sports Inc. since 2013, 3 Day Blinds Inc. from 2007 to 2015, and Oreck Corporation from 2008 to 2012. Ms. George’s experience in sales, marketing and general management in the consumer products industry, as well as success in the development of internationally renowned branded products, provides our Board of Directors with greater insight in the areas of product branding and strategic growth in the consumer products industry, and make her well-qualified to serve on our Board of Directors.</w:t>
      </w:r>
    </w:p>
    <w:p>
      <w:pPr>
        <w:spacing w:after="0" w:line="184"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i w:val="1"/>
          <w:iCs w:val="1"/>
          <w:color w:val="auto"/>
        </w:rPr>
        <w:t xml:space="preserve">Kathleen S. Lane </w:t>
      </w:r>
      <w:r>
        <w:rPr>
          <w:rFonts w:ascii="Arial" w:cs="Arial" w:eastAsia="Arial" w:hAnsi="Arial"/>
          <w:sz w:val="18"/>
          <w:szCs w:val="18"/>
          <w:color w:val="auto"/>
        </w:rPr>
        <w:t>has served on the Board of Directors of Camping World Holdings, Inc. since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2024. Ms. Lane served as the Chief Information Officer at TJX Companies, a multinational off-price department store corporation, from 2008 to 2013. She also served as Chief Information Officer at National Grid, a multi-national electricity and gas provider for commercial and residential applications from 2006 to 2008. She has also had a breadth of experience within the consumer products industry, having started her career at The Proctor &amp; Gamble Company. Ms. Lane then served as Chief Information Officer at GE Oil &amp; Gas in Florence, Italy from 2000 to 2002, as Chief Information Officer at Gillette and as director, technology services of Pepsi Cola International. She has served on the Board of Directors of Hanover Insurance Group, Inc., an insurance company, since September 2018. Ms. Lane previously served as a director of Bob Evans Farms, Inc., a publicly traded operator of over 500 restaurants and a producer and distributer of food products, from 2014 to 2018, Armstrong Flooring, Inc., a formerly publicly traded leading global producer of flooring products, from 2016 to 2023, and EarthLink Holdings, LLC, a managed network, security and cloud services provider, from 2013 to 2017. Ms. Lane has served as a trustee and on the finance committee of Hebrew SeniorLife, a nonprofit organization, since 2022. Ms. Lane’s experience in retail industries and as a Chief Information Officer provides our Board of Directors with valuable expertise in key focus areas and makes Ms. Lane well qualified to serve on our Board of Directors.</w:t>
      </w:r>
    </w:p>
    <w:p>
      <w:pPr>
        <w:spacing w:after="0" w:line="19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i w:val="1"/>
          <w:iCs w:val="1"/>
          <w:color w:val="auto"/>
        </w:rPr>
        <w:t xml:space="preserve">Michael W. Malone </w:t>
      </w:r>
      <w:r>
        <w:rPr>
          <w:rFonts w:ascii="Arial" w:cs="Arial" w:eastAsia="Arial" w:hAnsi="Arial"/>
          <w:sz w:val="18"/>
          <w:szCs w:val="18"/>
          <w:color w:val="auto"/>
        </w:rPr>
        <w:t>has served on the Board of Directors of Camping World Holdings, Inc. since May</w:t>
      </w:r>
      <w:r>
        <w:rPr>
          <w:rFonts w:ascii="Arial" w:cs="Arial" w:eastAsia="Arial" w:hAnsi="Arial"/>
          <w:sz w:val="18"/>
          <w:szCs w:val="18"/>
          <w:i w:val="1"/>
          <w:iCs w:val="1"/>
          <w:color w:val="auto"/>
        </w:rPr>
        <w:t xml:space="preserve"> </w:t>
      </w:r>
      <w:r>
        <w:rPr>
          <w:rFonts w:ascii="Arial" w:cs="Arial" w:eastAsia="Arial" w:hAnsi="Arial"/>
          <w:sz w:val="18"/>
          <w:szCs w:val="18"/>
          <w:color w:val="auto"/>
        </w:rPr>
        <w:t>2019. Mr. Malone was Vice President, Finance and Chief Financial Officer of Polaris Industries Inc. ("Polaris"), a manufacturer of power sports vehicles, from January 1997 to July 2015 and retired from Polaris in March 2016. From January 1997 to January 2010, Mr. Malone also served as Corporate Secretary. Mr. Malone was Vice President and Treasurer of Polaris from December 1994 to January 1997 and was Chief Financial Officer and Treasurer of a predecessor company of Polaris from January 1993 to December 1994. Mr. Malone joined Polaris in 1984 after four years with Arthur Andersen LLP. Mr. Malone has served on the board of Don Stevens, LLC, a private company, since May 2021. Previously, Mr. Malone served on the board and on the Audit (chair), Finance and Nominating and Governance Committees of Armstrong Flooring, Inc., a formerly publicly traded leading global producer of flooring products, from 2016 to 2023. Mr. Malone also served on the board of Stevens Equipment Supply LLC, a private company, from 2011 to 2020, as well as the boards of various nonprofit organizations. Mr. Malone received a B.A. in accounting and business administration from St. John's University (Collegeville, Minnesota). Mr. Malone's experiences as the former Chief Financial Officer of a public company, his public company board experience, and his in-depth knowledge of the outdoor lifestyle industry make him well qualified to serve on our Board of Directors.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i w:val="1"/>
          <w:iCs w:val="1"/>
          <w:color w:val="auto"/>
        </w:rPr>
        <w:t xml:space="preserve">K. Dillon Schickli </w:t>
      </w:r>
      <w:r>
        <w:rPr>
          <w:rFonts w:ascii="Arial" w:cs="Arial" w:eastAsia="Arial" w:hAnsi="Arial"/>
          <w:sz w:val="18"/>
          <w:szCs w:val="18"/>
          <w:color w:val="auto"/>
        </w:rPr>
        <w:t>has served on the Board of Directors of Camping World Holdings, Inc. since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2016 and on the Board of Directors of CWGS, LLC since August 2011. Mr. Schickli previously served on the Board of Directors of CWGS, LLC from 1990 until 1995 and was chief operating officer of Affinity Group, Inc., the predecessor of Good Sam Enterprises, LLC, from 1993 until 1995. Previously, Mr. Schickli was a co-investor with Crestview in DS Waters Group, Inc. (“DS Waters”) and served as vice chairman of its board of directors until it was sold to Cott Corporation in December 2014. Prior to that time, Mr. Schickli was the chief executive officer of DS Waters from June 2010 until February 2013 and subsequently led the buyout of the business by Crestview. Mr. Schickli also previously led the buyout of DS Waters from Danone Group &amp; Suntory Ltd. in November 2005 and was also a co investor in DS Waters with Kelso &amp; Company. Mr. Schickli served as co-chief executive officer and chief financial officer of DS Waters from November 2005 until June 2010, when he became the sole chief executive officer. Mr. Schickli started his business career in the capital planning and acquisitions group of the Pepsi Cola Company after he received his M.B.A. from the University of Chicago. Mr. Schickli received a B.A. from Carleton College in 1975. Mr. Schickli’s long association with, and knowledge of, the Company, extensive experience serving as a director of other businesses, operating experience as a chief executive officer and chief financial officer and his experience as a private equity investor with respect to acquisitions, debt financings, equity and financings make him well qualified to serve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5"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Our Class A common stock is traded on the New York Stock Exchange under the symbol “CWH.” There is no public trading market for our Class B common stock and Class C common stock.</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 of Record</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As of February 23, 2026, there were 10 and 38,165 stockholders of record and beneficial holders, respectively, of our Class A common stock. As of January 8, 2026, there were two and one stockholders of record of our Class B common stock and Class C common stock, respectively.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have historically made a regular quarterly cash dividend of $0.125 per share of Class A common stock. In February 2026, following consideration of forecasted tax distributions, the reduced availability of excess tax distributions to fund dividend payments driven partly by the impact of recent tax law changes, and in consideration of our focus on reducing net debt leverage, our Board of Directors determined to pause our regular cash dividend program. Our Board of Directors will monitor changes in the above factors and plans to re-evaluate the future of our dividend program at a later date.</w:t>
      </w:r>
    </w:p>
    <w:p>
      <w:pPr>
        <w:spacing w:after="0" w:line="18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CWGS, LLC is required to make cash distributions in accordance with the CWGS LLC Agreement in an amount sufficient for us to pay any expenses incurred by us in connection with any regular quarterly cash dividend, along with any of our other operating expenses and other obligations. Holders of our Class B common stock and Class C common stock are not entitled to participate in any dividends declared by our Board of Directors.</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addition, the CWGS LLC Agreement requires pro rata tax distributions to be made by CWGS, LLC to its members, including us. In general, tax distributions are made on a quarterly basis, to each member of CWGS, LLC, including us, based on such member's allocable share of the taxable income of CWGS, LLC (which, in our case, will be determined without regard to any Basis Adjustments described in our Tax Receivable Agreement) and an assumed tax rate based on the highest combined federal, state, and local tax rate that may potentially apply to any one of CWGS, LLC's members (46.70% in 2025, 2024 and 2023), regardless of the actual final tax liability of any such member. Typically, based on the current applicable effective tax rates, we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expect that (i) the assumed tax rate that will be used for purposes of determining tax distributions from CWGS, LLC will exceed our actual combined federal, state and local tax rate (assuming no changes in corporate tax rates) and (ii) the annual amount of tax distributions paid to us will exceed the sum of (A) our actual annual tax liability and (B) the annual amount payable by us under the Tax Receivable Agreement (assuming no early termination of the Tax Receivable Agreement) (such excess in clauses (A) and (B), collectively referred to herein as the "Excess Tax Distribution").</w:t>
      </w:r>
    </w:p>
    <w:p>
      <w:pPr>
        <w:spacing w:after="0" w:line="182" w:lineRule="exact"/>
        <w:rPr>
          <w:sz w:val="20"/>
          <w:szCs w:val="20"/>
          <w:color w:val="auto"/>
        </w:rPr>
      </w:pPr>
    </w:p>
    <w:p>
      <w:pPr>
        <w:jc w:val="both"/>
        <w:ind w:left="60" w:right="59" w:firstLine="648"/>
        <w:spacing w:after="0" w:line="249" w:lineRule="auto"/>
        <w:rPr>
          <w:sz w:val="20"/>
          <w:szCs w:val="20"/>
          <w:color w:val="auto"/>
        </w:rPr>
      </w:pPr>
      <w:r>
        <w:rPr>
          <w:rFonts w:ascii="Arial" w:cs="Arial" w:eastAsia="Arial" w:hAnsi="Arial"/>
          <w:sz w:val="18"/>
          <w:szCs w:val="18"/>
          <w:color w:val="auto"/>
        </w:rPr>
        <w:t>If we determine to resume our regular quarterly cash dividend, our ability to pay cash dividends on our Class A common stock depends on, among other things, our results of operations, financial condition, level of indebtedness, capital requirements, contractual restrictions, restrictions in our debt agreements and in any preferred stock, restrictions under applicable law, any Excess Tax Distributions, the extent to which such distributions would render CWGS, LLC insolvent, our business prospects and other factors that our Board of Directors may deem relevant. Additionally, our ability to distribute any Excess Tax Distribution will also be contingent on no early termination or amendment of the Tax Receivable Agreement, as well as the amount of tax distributions actually paid to us, which will be affected by the LLC Conversion, and our actual tax liability. Furthermore, because we are a holding company, our ability to pay cash dividends on our Class A common stock depends on our receipt of cash distributions from CWGS, LLC and, through CWGS, LLC, cash distributions and dividends from its operating subsidiaries, which may further restrict our ability to pay dividends as a result of the laws of their jurisdiction of organization, agreements of our subsidiaries or covenants under any existing and future outstanding indebtedness we or our subsidiaries incur. In particular, our ability to pay any cash dividends on our Class A common stock is limited by restrictions on the ability of CWGS, LLC and our other subsidiaries and us to pay dividends or make distributions to us under the terms of our Senior Secured Credit Facilities and Floor Plan Facility. We do not currently believe that the restrictions contained in our existing indebtedness would impair our ability to make distributions or pay a dividend. See "Management's Discussion and Analysis of Financial Condition and Results of Operations—Liquidity and Capital Resources" and "Risk Factors—Risks Relating to Ownership of Our Class A Common Stock—Our ability and intention to pay dividends on our Class A common stock is subject to the discretion of our Board of Directors and may be limited by our structure and statutory restrictions” in this Form 10-K.</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following table presents information related to our repurchases of Class A common stock for the periods indicated: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5"/>
              </w:rPr>
              <w:t>Total Number of</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Shares Purchased</w:t>
            </w:r>
          </w:p>
        </w:tc>
        <w:tc>
          <w:tcPr>
            <w:tcW w:w="14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Approximate Dollar</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Total Number of</w:t>
            </w:r>
          </w:p>
        </w:tc>
        <w:tc>
          <w:tcPr>
            <w:tcW w:w="11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5"/>
              </w:rPr>
              <w:t>Average Price Paid</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as Part of Publicly</w:t>
            </w:r>
          </w:p>
        </w:tc>
        <w:tc>
          <w:tcPr>
            <w:tcW w:w="14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Value of Shares that</w:t>
            </w: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6"/>
              </w:rPr>
              <w:t>Announced</w:t>
            </w:r>
          </w:p>
        </w:tc>
        <w:tc>
          <w:tcPr>
            <w:tcW w:w="140" w:type="dxa"/>
            <w:vAlign w:val="bottom"/>
          </w:tcPr>
          <w:p>
            <w:pPr>
              <w:spacing w:after="0"/>
              <w:rPr>
                <w:sz w:val="10"/>
                <w:szCs w:val="10"/>
                <w:color w:val="auto"/>
              </w:rPr>
            </w:pPr>
          </w:p>
        </w:tc>
        <w:tc>
          <w:tcPr>
            <w:tcW w:w="12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6"/>
              </w:rPr>
              <w:t>May Yet Be Purchased</w:t>
            </w:r>
          </w:p>
        </w:tc>
        <w:tc>
          <w:tcPr>
            <w:tcW w:w="0" w:type="dxa"/>
            <w:vAlign w:val="bottom"/>
          </w:tcPr>
          <w:p>
            <w:pPr>
              <w:spacing w:after="0"/>
              <w:rPr>
                <w:sz w:val="1"/>
                <w:szCs w:val="1"/>
                <w:color w:val="auto"/>
              </w:rPr>
            </w:pPr>
          </w:p>
        </w:tc>
      </w:tr>
      <w:tr>
        <w:trPr>
          <w:trHeight w:val="162"/>
        </w:trPr>
        <w:tc>
          <w:tcPr>
            <w:tcW w:w="3540" w:type="dxa"/>
            <w:vAlign w:val="bottom"/>
            <w:gridSpan w:val="2"/>
          </w:tcPr>
          <w:p>
            <w:pPr>
              <w:ind w:left="20"/>
              <w:spacing w:after="0"/>
              <w:rPr>
                <w:sz w:val="20"/>
                <w:szCs w:val="20"/>
                <w:color w:val="auto"/>
              </w:rPr>
            </w:pPr>
            <w:r>
              <w:rPr>
                <w:rFonts w:ascii="Arial" w:cs="Arial" w:eastAsia="Arial" w:hAnsi="Arial"/>
                <w:sz w:val="12"/>
                <w:szCs w:val="12"/>
                <w:b w:val="1"/>
                <w:bCs w:val="1"/>
                <w:color w:val="auto"/>
              </w:rPr>
              <w:t>Period</w:t>
            </w:r>
          </w:p>
        </w:tc>
        <w:tc>
          <w:tcPr>
            <w:tcW w:w="1520" w:type="dxa"/>
            <w:vAlign w:val="bottom"/>
            <w:gridSpan w:val="4"/>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auto"/>
              </w:rPr>
              <w:t>Shares Purchased</w:t>
            </w:r>
            <w:r>
              <w:rPr>
                <w:rFonts w:ascii="Arial" w:cs="Arial" w:eastAsia="Arial" w:hAnsi="Arial"/>
                <w:sz w:val="14"/>
                <w:szCs w:val="14"/>
                <w:color w:val="auto"/>
              </w:rPr>
              <w:t xml:space="preserve">  </w:t>
            </w:r>
            <w:r>
              <w:rPr>
                <w:rFonts w:ascii="Arial" w:cs="Arial" w:eastAsia="Arial" w:hAnsi="Arial"/>
                <w:sz w:val="11"/>
                <w:szCs w:val="11"/>
                <w:color w:val="auto"/>
              </w:rPr>
              <w:t>​​​</w:t>
            </w:r>
          </w:p>
        </w:tc>
        <w:tc>
          <w:tcPr>
            <w:tcW w:w="1120" w:type="dxa"/>
            <w:vAlign w:val="bottom"/>
          </w:tcPr>
          <w:p>
            <w:pPr>
              <w:jc w:val="right"/>
              <w:ind w:right="241"/>
              <w:spacing w:after="0"/>
              <w:rPr>
                <w:sz w:val="20"/>
                <w:szCs w:val="20"/>
                <w:color w:val="auto"/>
              </w:rPr>
            </w:pPr>
            <w:r>
              <w:rPr>
                <w:rFonts w:ascii="Arial" w:cs="Arial" w:eastAsia="Arial" w:hAnsi="Arial"/>
                <w:sz w:val="12"/>
                <w:szCs w:val="12"/>
                <w:b w:val="1"/>
                <w:bCs w:val="1"/>
                <w:color w:val="auto"/>
              </w:rPr>
              <w:t>per Share</w:t>
            </w:r>
          </w:p>
        </w:tc>
        <w:tc>
          <w:tcPr>
            <w:tcW w:w="18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12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1"/>
              </w:rPr>
              <w:t>Programs</w:t>
            </w:r>
            <w:r>
              <w:rPr>
                <w:rFonts w:ascii="Arial" w:cs="Arial" w:eastAsia="Arial" w:hAnsi="Arial"/>
                <w:sz w:val="17"/>
                <w:szCs w:val="17"/>
                <w:b w:val="1"/>
                <w:bCs w:val="1"/>
                <w:color w:val="auto"/>
                <w:w w:val="91"/>
                <w:vertAlign w:val="superscript"/>
              </w:rPr>
              <w:t>(1)</w:t>
            </w:r>
          </w:p>
        </w:tc>
        <w:tc>
          <w:tcPr>
            <w:tcW w:w="1420" w:type="dxa"/>
            <w:vAlign w:val="bottom"/>
            <w:gridSpan w:val="2"/>
          </w:tcPr>
          <w:p>
            <w:pPr>
              <w:jc w:val="right"/>
              <w:spacing w:after="0" w:line="162" w:lineRule="exact"/>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Under the Programs</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1, 2025 to October 31, 2025</w:t>
            </w: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$120,166,000</w:t>
            </w:r>
          </w:p>
        </w:tc>
        <w:tc>
          <w:tcPr>
            <w:tcW w:w="0" w:type="dxa"/>
            <w:vAlign w:val="bottom"/>
          </w:tcPr>
          <w:p>
            <w:pPr>
              <w:spacing w:after="0"/>
              <w:rPr>
                <w:sz w:val="1"/>
                <w:szCs w:val="1"/>
                <w:color w:val="auto"/>
              </w:rPr>
            </w:pPr>
          </w:p>
        </w:tc>
      </w:tr>
      <w:tr>
        <w:trPr>
          <w:trHeight w:val="229"/>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November 1, 2025 to November 30, 2025</w:t>
            </w:r>
          </w:p>
        </w:tc>
        <w:tc>
          <w:tcPr>
            <w:tcW w:w="160" w:type="dxa"/>
            <w:vAlign w:val="bottom"/>
          </w:tcPr>
          <w:p>
            <w:pPr>
              <w:spacing w:after="0"/>
              <w:rPr>
                <w:sz w:val="19"/>
                <w:szCs w:val="19"/>
                <w:color w:val="auto"/>
              </w:rPr>
            </w:pPr>
          </w:p>
        </w:tc>
        <w:tc>
          <w:tcPr>
            <w:tcW w:w="136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120,166,000</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2025 to December 31, 2025</w:t>
            </w: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80" w:right="79" w:hanging="330"/>
        <w:spacing w:after="0" w:line="267"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On October 30, 2020, our Board of Directors authorized a stock repurchase program for the repurchase of up to $100.0 million of the Company’s Class A common stock, expiring on October 31, 2022. In August 2021 and January 2022, our Board of Directors authorized increases to the stock repurchase program for the repurchase of up to an additional $125.0 million and $152.7 million of the Company’s Class A common stock, respectively. Following these extensions, the stock repurchase program expired on December 31, 2025. This program did not obligate the Company to acquire any particular amount of Class A common stock.</w:t>
      </w:r>
    </w:p>
    <w:p>
      <w:pPr>
        <w:spacing w:after="0" w:line="53" w:lineRule="exact"/>
        <w:rPr>
          <w:sz w:val="20"/>
          <w:szCs w:val="20"/>
          <w:color w:val="auto"/>
        </w:rPr>
      </w:pPr>
    </w:p>
    <w:p>
      <w:pPr>
        <w:ind w:left="60" w:right="79"/>
        <w:spacing w:after="0" w:line="287" w:lineRule="auto"/>
        <w:rPr>
          <w:sz w:val="20"/>
          <w:szCs w:val="20"/>
          <w:color w:val="auto"/>
        </w:rPr>
      </w:pPr>
      <w:r>
        <w:rPr>
          <w:rFonts w:ascii="Arial" w:cs="Arial" w:eastAsia="Arial" w:hAnsi="Arial"/>
          <w:sz w:val="18"/>
          <w:szCs w:val="18"/>
          <w:color w:val="auto"/>
        </w:rPr>
        <w:t>The table above excludes shares net settled by the Company in connection with tax withholdings associated with the vesting of restricted stock units as these shares were not issued and outstanding.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Performance Graph</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graph and table illustrate the total return for the five years ended December 31, 2025 for</w:t>
      </w:r>
    </w:p>
    <w:p>
      <w:pPr>
        <w:spacing w:after="0" w:line="27" w:lineRule="exact"/>
        <w:rPr>
          <w:sz w:val="20"/>
          <w:szCs w:val="20"/>
          <w:color w:val="auto"/>
        </w:rPr>
      </w:pPr>
    </w:p>
    <w:p>
      <w:pPr>
        <w:jc w:val="both"/>
        <w:ind w:left="60" w:right="59" w:hanging="10"/>
        <w:spacing w:after="0" w:line="250" w:lineRule="auto"/>
        <w:tabs>
          <w:tab w:leader="none" w:pos="2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Class A common stock, (ii) the Standard and Poor’s (“S&amp;P”) 500 Index, and (iii) the S&amp;P 500 Consumer Discretionary Distribution &amp; Retail Index. The comparisons reflected in the graph and table are not intended to forecast the future performance of our stock and may not be indicative of future performance. The graph and table assume that $100 was invested on December 31, 2020 in each of our Class A common stock, the S&amp;P 500 Index, and S&amp;P 500 Consumer Discretionary Distribution &amp; Retail Index and that any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130810</wp:posOffset>
            </wp:positionV>
            <wp:extent cx="5554980" cy="30086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5498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6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4"/>
          </w:tcPr>
          <w:p>
            <w:pPr>
              <w:ind w:left="100"/>
              <w:spacing w:after="0"/>
              <w:rPr>
                <w:sz w:val="20"/>
                <w:szCs w:val="20"/>
                <w:color w:val="auto"/>
              </w:rPr>
            </w:pPr>
            <w:r>
              <w:rPr>
                <w:rFonts w:ascii="Arial" w:cs="Arial" w:eastAsia="Arial" w:hAnsi="Arial"/>
                <w:sz w:val="13"/>
                <w:szCs w:val="13"/>
                <w:b w:val="1"/>
                <w:bCs w:val="1"/>
                <w:color w:val="auto"/>
              </w:rPr>
              <w:t>As of December 31,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73"/>
        </w:trPr>
        <w:tc>
          <w:tcPr>
            <w:tcW w:w="6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64"/>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44"/>
              <w:spacing w:after="0"/>
              <w:rPr>
                <w:sz w:val="20"/>
                <w:szCs w:val="20"/>
                <w:color w:val="auto"/>
              </w:rPr>
            </w:pPr>
            <w:r>
              <w:rPr>
                <w:rFonts w:ascii="Arial" w:cs="Arial" w:eastAsia="Arial" w:hAnsi="Arial"/>
                <w:sz w:val="13"/>
                <w:szCs w:val="13"/>
                <w:b w:val="1"/>
                <w:bCs w:val="1"/>
                <w:color w:val="auto"/>
              </w:rPr>
              <w:t>2021</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tcPr>
          <w:p>
            <w:pPr>
              <w:ind w:left="100"/>
              <w:spacing w:after="0"/>
              <w:rPr>
                <w:sz w:val="20"/>
                <w:szCs w:val="20"/>
                <w:color w:val="auto"/>
              </w:rPr>
            </w:pPr>
            <w:r>
              <w:rPr>
                <w:rFonts w:ascii="Arial" w:cs="Arial" w:eastAsia="Arial" w:hAnsi="Arial"/>
                <w:sz w:val="13"/>
                <w:szCs w:val="13"/>
                <w:b w:val="1"/>
                <w:bCs w:val="1"/>
                <w:color w:val="auto"/>
              </w:rPr>
              <w:t>2022</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44"/>
              <w:spacing w:after="0"/>
              <w:rPr>
                <w:sz w:val="20"/>
                <w:szCs w:val="20"/>
                <w:color w:val="auto"/>
              </w:rPr>
            </w:pPr>
            <w:r>
              <w:rPr>
                <w:rFonts w:ascii="Arial" w:cs="Arial" w:eastAsia="Arial" w:hAnsi="Arial"/>
                <w:sz w:val="13"/>
                <w:szCs w:val="13"/>
                <w:b w:val="1"/>
                <w:bCs w:val="1"/>
                <w:color w:val="auto"/>
              </w:rPr>
              <w:t>2023</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44"/>
              <w:spacing w:after="0"/>
              <w:rPr>
                <w:sz w:val="20"/>
                <w:szCs w:val="20"/>
                <w:color w:val="auto"/>
              </w:rPr>
            </w:pPr>
            <w:r>
              <w:rPr>
                <w:rFonts w:ascii="Arial" w:cs="Arial" w:eastAsia="Arial" w:hAnsi="Arial"/>
                <w:sz w:val="13"/>
                <w:szCs w:val="13"/>
                <w:b w:val="1"/>
                <w:bCs w:val="1"/>
                <w:color w:val="auto"/>
              </w:rPr>
              <w:t>2024</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44"/>
              <w:spacing w:after="0"/>
              <w:rPr>
                <w:sz w:val="20"/>
                <w:szCs w:val="20"/>
                <w:color w:val="auto"/>
              </w:rPr>
            </w:pPr>
            <w:r>
              <w:rPr>
                <w:rFonts w:ascii="Arial" w:cs="Arial" w:eastAsia="Arial" w:hAnsi="Arial"/>
                <w:sz w:val="13"/>
                <w:szCs w:val="13"/>
                <w:b w:val="1"/>
                <w:bCs w:val="1"/>
                <w:color w:val="auto"/>
              </w:rPr>
              <w:t>2025</w:t>
            </w:r>
          </w:p>
        </w:tc>
      </w:tr>
      <w:tr>
        <w:trPr>
          <w:trHeight w:val="182"/>
        </w:trPr>
        <w:tc>
          <w:tcPr>
            <w:tcW w:w="3560" w:type="dxa"/>
            <w:vAlign w:val="bottom"/>
            <w:tcBorders>
              <w:top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6"/>
                <w:szCs w:val="16"/>
                <w:color w:val="auto"/>
              </w:rPr>
              <w:t>Camping World Holdings, Inc. Class A common</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r>
      <w:tr>
        <w:trPr>
          <w:trHeight w:val="217"/>
        </w:trPr>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w:t>
            </w:r>
          </w:p>
        </w:tc>
        <w:tc>
          <w:tcPr>
            <w:tcW w:w="2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47.75</w:t>
            </w:r>
          </w:p>
        </w:tc>
      </w:tr>
      <w:tr>
        <w:trPr>
          <w:trHeight w:val="203"/>
        </w:trPr>
        <w:tc>
          <w:tcPr>
            <w:tcW w:w="680" w:type="dxa"/>
            <w:vAlign w:val="bottom"/>
          </w:tcPr>
          <w:p>
            <w:pPr>
              <w:ind w:left="20"/>
              <w:spacing w:after="0"/>
              <w:rPr>
                <w:sz w:val="20"/>
                <w:szCs w:val="20"/>
                <w:color w:val="auto"/>
              </w:rPr>
            </w:pPr>
            <w:r>
              <w:rPr>
                <w:rFonts w:ascii="Arial" w:cs="Arial" w:eastAsia="Arial" w:hAnsi="Arial"/>
                <w:sz w:val="16"/>
                <w:szCs w:val="16"/>
                <w:color w:val="auto"/>
              </w:rPr>
              <w:t>S&amp;P 500</w:t>
            </w:r>
          </w:p>
        </w:tc>
        <w:tc>
          <w:tcPr>
            <w:tcW w:w="2880" w:type="dxa"/>
            <w:vAlign w:val="bottom"/>
          </w:tcPr>
          <w:p>
            <w:pPr>
              <w:ind w:left="20"/>
              <w:spacing w:after="0"/>
              <w:rPr>
                <w:sz w:val="20"/>
                <w:szCs w:val="20"/>
                <w:color w:val="auto"/>
              </w:rPr>
            </w:pPr>
            <w:r>
              <w:rPr>
                <w:rFonts w:ascii="Arial" w:cs="Arial" w:eastAsia="Arial" w:hAnsi="Arial"/>
                <w:sz w:val="16"/>
                <w:szCs w:val="16"/>
                <w:color w:val="auto"/>
              </w:rPr>
              <w:t>Index</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128.71</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105.40</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133.10</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166.40</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196.16</w:t>
            </w:r>
          </w:p>
        </w:tc>
      </w:tr>
      <w:tr>
        <w:trPr>
          <w:trHeight w:val="202"/>
        </w:trPr>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S&amp;P 500</w:t>
            </w: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 Discretionary Distribution &amp;</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7"/>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Retail Index</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155.38</w:t>
            </w:r>
          </w:p>
        </w:tc>
      </w:tr>
    </w:tbl>
    <w:p>
      <w:pPr>
        <w:spacing w:after="0" w:line="207" w:lineRule="exact"/>
        <w:rPr>
          <w:sz w:val="20"/>
          <w:szCs w:val="20"/>
          <w:color w:val="auto"/>
        </w:rPr>
      </w:pPr>
    </w:p>
    <w:p>
      <w:pPr>
        <w:ind w:left="700"/>
        <w:spacing w:after="0"/>
        <w:rPr>
          <w:sz w:val="20"/>
          <w:szCs w:val="20"/>
          <w:color w:val="auto"/>
        </w:rPr>
      </w:pPr>
      <w:r>
        <w:rPr>
          <w:rFonts w:ascii="Arial" w:cs="Arial" w:eastAsia="Arial" w:hAnsi="Arial"/>
          <w:sz w:val="14"/>
          <w:szCs w:val="14"/>
          <w:color w:val="auto"/>
        </w:rPr>
        <w:t>Source: Zacks Investment Research, Inc. Used with permission. All rights reserved Copyright 1980-2026.</w:t>
      </w:r>
    </w:p>
    <w:p>
      <w:pPr>
        <w:spacing w:after="0" w:line="2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Index Data: Copyright Standard and Poor’s, Inc. Used with permission. All rights reserved.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59"/>
        <w:spacing w:after="0" w:line="29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39"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Consolidated Financial Statements and related notes included in Part II, Item 8 of this Form 10-K. This discussion contains forward-looking statements based upon current plans, expectations and beliefs involving risks and uncertainties. Our actual results may differ materially from those anticipated in these forward-looking statements as a result of various important factors, including those set forth under “Risk Factors” included in Part I, Item 1A of this Form 10-K, the “Cautionary Note Regarding Forward-Looking Statements” and in other parts of this Form 10-K. Except to the extent that differences among reportable segments are material to an understanding of our business taken as a whole, we present the discussion in Management’s Discussion and Analysis of Financial Condition and Results of Operations on a consolidated basis.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i w:val="1"/>
          <w:iCs w:val="1"/>
          <w:color w:val="auto"/>
        </w:rPr>
        <w:t>In this Item 7, we discuss the results of operations for the years ended December 31, 2025 and 2024 and comparisons of the year ended December 31, 2025 to the year ended December 31, 2024. Discussions of the results of operations for the year ended December 31, 2023 and comparisons of the year ended December 31, 2024 to the year ended December 31, 2023 can be found in “Management’s Discussion and Analysis of Financial Condition and Results of Operations” in Part II, Item 7 of our Annual Report on Form 10-K for the year ended December 31, 2024 filed with the SEC on February 28, 2025.</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Camping World Holdings, Inc. (together with its subsidiaries) is America’s largest retailer of RVs and related products and services. Through our Camping World and Good Sam brands, our vision is to make it easy for everyone to enjoy RVing and empower our customers’ joy of travel. We strive to build long-term value for our customers, employees, and stockholders by combining a comprehensive offering of RV products and services with a national network of RV dealerships, service centers and customer support centers. We also believe that our Good Sam organization and family of highly-specialized services and plans, including roadside assistance, protection plans and insurance, uniquely enable us to protect our customers on the road ahead. On December 31, 2025, we operated a total of 196 store locations, with all of them selling and/or servicing RVs. See Note 1 ─ Summary of Significant Accounting Policies ─ Description of the Business to our consolidated financial statements included in Part II, Item 8 of this Form 10-K.</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changes in quantities and types of retail stores and changes in same stores from</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2024 to December 31, 2025, are in the table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left="62"/>
              <w:spacing w:after="0"/>
              <w:rPr>
                <w:sz w:val="20"/>
                <w:szCs w:val="20"/>
                <w:color w:val="auto"/>
              </w:rPr>
            </w:pPr>
            <w:r>
              <w:rPr>
                <w:rFonts w:ascii="Arial" w:cs="Arial" w:eastAsia="Arial" w:hAnsi="Arial"/>
                <w:sz w:val="12"/>
                <w:szCs w:val="12"/>
                <w:b w:val="1"/>
                <w:bCs w:val="1"/>
                <w:color w:val="auto"/>
                <w:w w:val="95"/>
              </w:rPr>
              <w:t>RV</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left="2"/>
              <w:spacing w:after="0"/>
              <w:rPr>
                <w:sz w:val="20"/>
                <w:szCs w:val="20"/>
                <w:color w:val="auto"/>
              </w:rPr>
            </w:pPr>
            <w:r>
              <w:rPr>
                <w:rFonts w:ascii="Arial" w:cs="Arial" w:eastAsia="Arial" w:hAnsi="Arial"/>
                <w:sz w:val="12"/>
                <w:szCs w:val="12"/>
                <w:b w:val="1"/>
                <w:bCs w:val="1"/>
                <w:color w:val="auto"/>
                <w:w w:val="96"/>
              </w:rPr>
              <w:t>RV Service &amp;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ind w:right="355"/>
              <w:spacing w:after="0"/>
              <w:rPr>
                <w:sz w:val="20"/>
                <w:szCs w:val="20"/>
                <w:color w:val="auto"/>
              </w:rPr>
            </w:pPr>
            <w:r>
              <w:rPr>
                <w:rFonts w:ascii="Arial" w:cs="Arial" w:eastAsia="Arial" w:hAnsi="Arial"/>
                <w:sz w:val="12"/>
                <w:szCs w:val="12"/>
                <w:b w:val="1"/>
                <w:bCs w:val="1"/>
                <w:color w:val="auto"/>
              </w:rPr>
              <w:t>Same</w:t>
            </w:r>
          </w:p>
        </w:tc>
      </w:tr>
      <w:tr>
        <w:trPr>
          <w:trHeight w:val="158"/>
        </w:trPr>
        <w:tc>
          <w:tcPr>
            <w:tcW w:w="37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left="82"/>
              <w:spacing w:after="0"/>
              <w:rPr>
                <w:sz w:val="20"/>
                <w:szCs w:val="20"/>
                <w:color w:val="auto"/>
              </w:rPr>
            </w:pPr>
            <w:r>
              <w:rPr>
                <w:rFonts w:ascii="Arial" w:cs="Arial" w:eastAsia="Arial" w:hAnsi="Arial"/>
                <w:sz w:val="12"/>
                <w:szCs w:val="12"/>
                <w:b w:val="1"/>
                <w:bCs w:val="1"/>
                <w:color w:val="auto"/>
                <w:w w:val="96"/>
              </w:rPr>
              <w:t>Dealerships</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left="2"/>
              <w:spacing w:after="0"/>
              <w:rPr>
                <w:sz w:val="20"/>
                <w:szCs w:val="20"/>
                <w:color w:val="auto"/>
              </w:rPr>
            </w:pPr>
            <w:r>
              <w:rPr>
                <w:rFonts w:ascii="Arial" w:cs="Arial" w:eastAsia="Arial" w:hAnsi="Arial"/>
                <w:sz w:val="12"/>
                <w:szCs w:val="12"/>
                <w:b w:val="1"/>
                <w:bCs w:val="1"/>
                <w:color w:val="auto"/>
                <w:w w:val="99"/>
              </w:rPr>
              <w:t>Retail Centers</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440"/>
              <w:spacing w:after="0"/>
              <w:rPr>
                <w:sz w:val="20"/>
                <w:szCs w:val="20"/>
                <w:color w:val="auto"/>
              </w:rPr>
            </w:pPr>
            <w:r>
              <w:rPr>
                <w:rFonts w:ascii="Arial" w:cs="Arial" w:eastAsia="Arial" w:hAnsi="Arial"/>
                <w:sz w:val="12"/>
                <w:szCs w:val="12"/>
                <w:b w:val="1"/>
                <w:bCs w:val="1"/>
                <w:color w:val="auto"/>
              </w:rPr>
              <w:t>Total</w:t>
            </w:r>
          </w:p>
        </w:tc>
        <w:tc>
          <w:tcPr>
            <w:tcW w:w="1140" w:type="dxa"/>
            <w:vAlign w:val="bottom"/>
            <w:tcBorders>
              <w:bottom w:val="single" w:sz="8" w:color="auto"/>
            </w:tcBorders>
          </w:tcPr>
          <w:p>
            <w:pPr>
              <w:jc w:val="right"/>
              <w:ind w:right="295"/>
              <w:spacing w:after="0" w:line="159" w:lineRule="exact"/>
              <w:rPr>
                <w:sz w:val="20"/>
                <w:szCs w:val="20"/>
                <w:color w:val="auto"/>
              </w:rPr>
            </w:pPr>
            <w:r>
              <w:rPr>
                <w:rFonts w:ascii="Arial" w:cs="Arial" w:eastAsia="Arial" w:hAnsi="Arial"/>
                <w:sz w:val="12"/>
                <w:szCs w:val="12"/>
                <w:b w:val="1"/>
                <w:bCs w:val="1"/>
                <w:color w:val="auto"/>
              </w:rPr>
              <w:t>Store</w:t>
            </w:r>
            <w:r>
              <w:rPr>
                <w:rFonts w:ascii="Arial" w:cs="Arial" w:eastAsia="Arial" w:hAnsi="Arial"/>
                <w:sz w:val="17"/>
                <w:szCs w:val="17"/>
                <w:color w:val="auto"/>
                <w:vertAlign w:val="superscript"/>
              </w:rPr>
              <w:t>(1)</w:t>
            </w:r>
          </w:p>
        </w:tc>
      </w:tr>
      <w:tr>
        <w:trPr>
          <w:trHeight w:val="169"/>
        </w:trPr>
        <w:tc>
          <w:tcPr>
            <w:tcW w:w="3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Number of store locations as of December 31, 2024</w:t>
            </w:r>
          </w:p>
        </w:tc>
        <w:tc>
          <w:tcPr>
            <w:tcW w:w="1000" w:type="dxa"/>
            <w:vAlign w:val="bottom"/>
            <w:gridSpan w:val="2"/>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r>
      <w:tr>
        <w:trPr>
          <w:trHeight w:val="175"/>
        </w:trPr>
        <w:tc>
          <w:tcPr>
            <w:tcW w:w="4740" w:type="dxa"/>
            <w:vAlign w:val="bottom"/>
            <w:gridSpan w:val="3"/>
          </w:tcPr>
          <w:p>
            <w:pPr>
              <w:ind w:left="120"/>
              <w:spacing w:after="0"/>
              <w:rPr>
                <w:sz w:val="20"/>
                <w:szCs w:val="20"/>
                <w:color w:val="auto"/>
              </w:rPr>
            </w:pPr>
            <w:r>
              <w:rPr>
                <w:rFonts w:ascii="Arial" w:cs="Arial" w:eastAsia="Arial" w:hAnsi="Arial"/>
                <w:sz w:val="13"/>
                <w:szCs w:val="13"/>
                <w:color w:val="auto"/>
              </w:rPr>
              <w:t>Opened</w:t>
            </w:r>
          </w:p>
        </w:tc>
        <w:tc>
          <w:tcPr>
            <w:tcW w:w="280" w:type="dxa"/>
            <w:vAlign w:val="bottom"/>
          </w:tcPr>
          <w:p>
            <w:pPr>
              <w:jc w:val="right"/>
              <w:spacing w:after="0"/>
              <w:rPr>
                <w:sz w:val="20"/>
                <w:szCs w:val="20"/>
                <w:color w:val="auto"/>
              </w:rPr>
            </w:pPr>
            <w:r>
              <w:rPr>
                <w:rFonts w:ascii="Arial" w:cs="Arial" w:eastAsia="Arial" w:hAnsi="Arial"/>
                <w:sz w:val="13"/>
                <w:szCs w:val="13"/>
                <w:color w:val="auto"/>
              </w:rPr>
              <w:t>9</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9</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47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Converted</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76"/>
        </w:trPr>
        <w:tc>
          <w:tcPr>
            <w:tcW w:w="4740" w:type="dxa"/>
            <w:vAlign w:val="bottom"/>
            <w:gridSpan w:val="3"/>
          </w:tcPr>
          <w:p>
            <w:pPr>
              <w:ind w:left="120"/>
              <w:spacing w:after="0"/>
              <w:rPr>
                <w:sz w:val="20"/>
                <w:szCs w:val="20"/>
                <w:color w:val="auto"/>
              </w:rPr>
            </w:pPr>
            <w:r>
              <w:rPr>
                <w:rFonts w:ascii="Arial" w:cs="Arial" w:eastAsia="Arial" w:hAnsi="Arial"/>
                <w:sz w:val="13"/>
                <w:szCs w:val="13"/>
                <w:color w:val="auto"/>
              </w:rPr>
              <w:t>Temporarily closed</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(2)</w:t>
            </w:r>
          </w:p>
        </w:tc>
        <w:tc>
          <w:tcPr>
            <w:tcW w:w="90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(2)</w:t>
            </w:r>
          </w:p>
        </w:tc>
        <w:tc>
          <w:tcPr>
            <w:tcW w:w="114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5"/>
        </w:trPr>
        <w:tc>
          <w:tcPr>
            <w:tcW w:w="47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Closed</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w:t>
            </w:r>
          </w:p>
        </w:tc>
        <w:tc>
          <w:tcPr>
            <w:tcW w:w="9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75"/>
        </w:trPr>
        <w:tc>
          <w:tcPr>
            <w:tcW w:w="3900" w:type="dxa"/>
            <w:vAlign w:val="bottom"/>
            <w:tcBorders>
              <w:bottom w:val="single" w:sz="8" w:color="CCEEFF"/>
            </w:tcBorders>
            <w:gridSpan w:val="2"/>
          </w:tcPr>
          <w:p>
            <w:pPr>
              <w:ind w:left="120"/>
              <w:spacing w:after="0" w:line="176" w:lineRule="exact"/>
              <w:rPr>
                <w:sz w:val="20"/>
                <w:szCs w:val="20"/>
                <w:color w:val="auto"/>
              </w:rPr>
            </w:pPr>
            <w:r>
              <w:rPr>
                <w:rFonts w:ascii="Arial" w:cs="Arial" w:eastAsia="Arial" w:hAnsi="Arial"/>
                <w:sz w:val="13"/>
                <w:szCs w:val="13"/>
                <w:color w:val="auto"/>
              </w:rPr>
              <w:t xml:space="preserve">Achieved designation of same store </w:t>
            </w:r>
            <w:r>
              <w:rPr>
                <w:rFonts w:ascii="Arial" w:cs="Arial" w:eastAsia="Arial" w:hAnsi="Arial"/>
                <w:sz w:val="20"/>
                <w:szCs w:val="20"/>
                <w:color w:val="auto"/>
                <w:vertAlign w:val="superscript"/>
              </w:rPr>
              <w:t>(1)</w:t>
            </w:r>
          </w:p>
        </w:tc>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r>
      <w:tr>
        <w:trPr>
          <w:trHeight w:val="169"/>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Number of store locations as of December 31, 2025</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left="380" w:right="79" w:hanging="330"/>
        <w:spacing w:after="0" w:line="231" w:lineRule="auto"/>
        <w:tabs>
          <w:tab w:leader="none" w:pos="380"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Our same store revenue and units calculations for a given period include only those stores that were open both at the end of the corresponding period and at the beginning of the preceding fiscal year. See “Results of Operations” below for same store revenue and unit sales.</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the first quarter of 2026, we have opened two RV dealerships.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operate two reportable segments: (i) Good Sam Services and Plans, and (ii) RV and Outdoor Retail. We identify our reporting segments based on the organizational units used by management to monitor performance and make operating decisions. See Note 1 — Summary of Significant Accounting Policies — Description of the Business and Note 23 — Segment Information to our consolidated financial statements included in Part II, Item 8 of this Form 10-K for further information regarding our reportable segments.</w:t>
      </w:r>
    </w:p>
    <w:p>
      <w:pPr>
        <w:spacing w:after="0" w:line="17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following table presents percentages of total revenue and total Segment Adjusted EBITDA for our two reportable segments:</w:t>
      </w:r>
    </w:p>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4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8"/>
                <w:szCs w:val="18"/>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b w:val="1"/>
                <w:bCs w:val="1"/>
                <w:color w:val="auto"/>
              </w:rPr>
              <w:t>2024</w:t>
            </w:r>
          </w:p>
        </w:tc>
        <w:tc>
          <w:tcPr>
            <w:tcW w:w="48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14"/>
              <w:spacing w:after="0"/>
              <w:rPr>
                <w:sz w:val="20"/>
                <w:szCs w:val="20"/>
                <w:color w:val="auto"/>
              </w:rPr>
            </w:pPr>
            <w:r>
              <w:rPr>
                <w:rFonts w:ascii="Arial" w:cs="Arial" w:eastAsia="Arial" w:hAnsi="Arial"/>
                <w:sz w:val="14"/>
                <w:szCs w:val="14"/>
                <w:b w:val="1"/>
                <w:bCs w:val="1"/>
                <w:color w:val="auto"/>
              </w:rPr>
              <w:t>2023</w:t>
            </w:r>
          </w:p>
        </w:tc>
      </w:tr>
      <w:tr>
        <w:trPr>
          <w:trHeight w:val="251"/>
        </w:trPr>
        <w:tc>
          <w:tcPr>
            <w:tcW w:w="20" w:type="dxa"/>
            <w:vAlign w:val="bottom"/>
          </w:tcPr>
          <w:p>
            <w:pPr>
              <w:spacing w:after="0"/>
              <w:rPr>
                <w:sz w:val="21"/>
                <w:szCs w:val="21"/>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percentage of total revenue:</w:t>
            </w:r>
          </w:p>
        </w:tc>
        <w:tc>
          <w:tcPr>
            <w:tcW w:w="9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Good Sam Services and Plans</w:t>
            </w: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20" w:type="dxa"/>
            <w:vAlign w:val="bottom"/>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RV and Outdoor Retail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24"/>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As percentage of total Segment Adjusted</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5"/>
        </w:trPr>
        <w:tc>
          <w:tcPr>
            <w:tcW w:w="4000" w:type="dxa"/>
            <w:vAlign w:val="bottom"/>
            <w:gridSpan w:val="2"/>
          </w:tcPr>
          <w:p>
            <w:pPr>
              <w:spacing w:after="0"/>
              <w:rPr>
                <w:sz w:val="20"/>
                <w:szCs w:val="20"/>
                <w:color w:val="auto"/>
              </w:rPr>
            </w:pPr>
            <w:r>
              <w:rPr>
                <w:rFonts w:ascii="Arial" w:cs="Arial" w:eastAsia="Arial" w:hAnsi="Arial"/>
                <w:sz w:val="18"/>
                <w:szCs w:val="18"/>
                <w:color w:val="auto"/>
              </w:rPr>
              <w:t>EBITDA:</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 Sam Services and Plans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39"/>
        </w:trPr>
        <w:tc>
          <w:tcPr>
            <w:tcW w:w="20" w:type="dxa"/>
            <w:vAlign w:val="bottom"/>
          </w:tcPr>
          <w:p>
            <w:pPr>
              <w:spacing w:after="0"/>
              <w:rPr>
                <w:sz w:val="20"/>
                <w:szCs w:val="20"/>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RV and Outdoor Retail</w:t>
            </w:r>
          </w:p>
        </w:tc>
        <w:tc>
          <w:tcPr>
            <w:tcW w:w="900" w:type="dxa"/>
            <w:vAlign w:val="bottom"/>
          </w:tcPr>
          <w:p>
            <w:pPr>
              <w:jc w:val="right"/>
              <w:spacing w:after="0"/>
              <w:rPr>
                <w:sz w:val="20"/>
                <w:szCs w:val="20"/>
                <w:color w:val="auto"/>
              </w:rPr>
            </w:pPr>
            <w:r>
              <w:rPr>
                <w:rFonts w:ascii="Arial" w:cs="Arial" w:eastAsia="Arial" w:hAnsi="Arial"/>
                <w:sz w:val="18"/>
                <w:szCs w:val="18"/>
                <w:color w:val="auto"/>
              </w:rPr>
              <w:t>66.5%</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62.9%</w:t>
            </w:r>
          </w:p>
        </w:tc>
      </w:tr>
    </w:tbl>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Performance Indicators</w:t>
      </w:r>
    </w:p>
    <w:p>
      <w:pPr>
        <w:spacing w:after="0" w:line="225" w:lineRule="exact"/>
        <w:rPr>
          <w:sz w:val="20"/>
          <w:szCs w:val="20"/>
          <w:color w:val="auto"/>
        </w:rPr>
      </w:pPr>
    </w:p>
    <w:p>
      <w:pPr>
        <w:jc w:val="both"/>
        <w:ind w:left="60" w:right="79" w:firstLine="648"/>
        <w:spacing w:after="0" w:line="255" w:lineRule="auto"/>
        <w:rPr>
          <w:sz w:val="20"/>
          <w:szCs w:val="20"/>
          <w:color w:val="auto"/>
        </w:rPr>
      </w:pPr>
      <w:r>
        <w:rPr>
          <w:rFonts w:ascii="Arial" w:cs="Arial" w:eastAsia="Arial" w:hAnsi="Arial"/>
          <w:sz w:val="18"/>
          <w:szCs w:val="18"/>
          <w:color w:val="auto"/>
        </w:rPr>
        <w:t>We evaluate the results of our overall business based on a variety of factors, including the number of Active Customers and Good Sam members, revenue and same store revenue, vehicle units, and same store vehicle units, gross profit and gross profit per vehicle sold, gross margin, finance and insurance per vehicle (“PV”), vehicle inventory turnover, Adjusted EBITDA and Adjusted EBITDA margin, and selling, general and administrative expenses (“SG&amp;A”) excluding stock-based compensation (“SBC”).</w:t>
      </w:r>
    </w:p>
    <w:p>
      <w:pPr>
        <w:spacing w:after="0" w:line="183"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i w:val="1"/>
          <w:iCs w:val="1"/>
          <w:u w:val="single" w:color="auto"/>
          <w:color w:val="auto"/>
        </w:rPr>
        <w:t>Same store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Same store revenue measures the performance of a store location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reporting period against the performance of the same store location in the corresponding period of the previous year. Our same store revenue calculations for a given period include only those stores that were open both at the end of the corresponding period and at the beginning of the preceding fiscal year. As of December 31, 2025, we had a base of 175 same stores. For the years ended December 31, 2025 and 2024, our aggregate same store revenue was $5.5 billion and $5.3 billion, respectively. With same store revenue driven by the number of transactions and the average transaction price, changes in our mix of new vehicle sales have in the past negatively impacted, and in the future is likely to negatively impact, our new vehicle same store revenue. Over the past several years, we have seen a shift in our overall mix of new RV sales towards travel trailer vehicles, which tend to carry lower average selling prices than other classes of new RV vehicles. From 2015 to 2025, total new vehicle travel trailer units have increased from 62% to 79% of total new vehicle unit sales. From 2015 to 2025 our average selling price of a new vehicle unit decreased 7.0% from $39,853 to $37,083, as the higher mix of lower priced travel trailers was partially offset by inflation over that period.</w:t>
      </w:r>
    </w:p>
    <w:p>
      <w:pPr>
        <w:spacing w:after="0" w:line="19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i w:val="1"/>
          <w:iCs w:val="1"/>
          <w:u w:val="single" w:color="auto"/>
          <w:color w:val="auto"/>
        </w:rPr>
        <w:t>Gross Profit and Gross Margins</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is our total revenue less our total costs applicable to</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Our total costs applicable to revenue primarily consists of the cost of goods and cost of sales, exclusive of depreciation and amortization. Gross margin is gross profit as a percentage of revenue.</w:t>
      </w:r>
    </w:p>
    <w:p>
      <w:pPr>
        <w:spacing w:after="0" w:line="15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gross profit is variable in nature and generally follows changes in our revenue. Sales of new vehicles generally result in a lower gross margin than other areas of our business, including used vehicles, repair service and installation work, RV equipment and accessories, outdoor equipment and accessories and finance and insurance products. While gross margins for our RV and Outdoor Retail segment are lower than gross margins for our Good Sam Services and Plans, this segment generates significant gross profit and is our primary means of acquiring new customers, to whom we then cross sell our higher margin products and services with recurring revenue. We believe the overall growth of our RV and Outdoor Retail segment will allow us to continue to drive growth in gross profit due to our ability to cross sell our Good Sam Services and Plans to our Active Customer base.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u w:val="single" w:color="auto"/>
          <w:color w:val="auto"/>
        </w:rPr>
        <w:t>Adjusted EBITDA and Adjusted EBITDA Margin.</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EBITDA and Adjusted EBITDA Margin are</w:t>
      </w:r>
      <w:r>
        <w:rPr>
          <w:rFonts w:ascii="Arial" w:cs="Arial" w:eastAsia="Arial" w:hAnsi="Arial"/>
          <w:sz w:val="18"/>
          <w:szCs w:val="18"/>
          <w:i w:val="1"/>
          <w:iCs w:val="1"/>
          <w:color w:val="auto"/>
        </w:rPr>
        <w:t xml:space="preserve"> </w:t>
      </w:r>
      <w:r>
        <w:rPr>
          <w:rFonts w:ascii="Arial" w:cs="Arial" w:eastAsia="Arial" w:hAnsi="Arial"/>
          <w:sz w:val="18"/>
          <w:szCs w:val="18"/>
          <w:color w:val="auto"/>
        </w:rPr>
        <w:t>some of the primary metrics management uses to evaluate the financial performance of our business. Adjusted EBITDA and Adjusted EBITDA Margin are also frequently used by analysts, investors, and other interested parties to evaluate companies in our industry. Adjusted EBITDA and Adjusted EBITDA Margin are non-GAAP metrics. We use Adjusted EBITDA and Adjusted EBITDA Margin to supplement GAAP measures of performance as follows:</w:t>
      </w:r>
    </w:p>
    <w:p>
      <w:pPr>
        <w:spacing w:after="0" w:line="182" w:lineRule="exact"/>
        <w:rPr>
          <w:sz w:val="20"/>
          <w:szCs w:val="20"/>
          <w:color w:val="auto"/>
        </w:rPr>
      </w:pPr>
    </w:p>
    <w:p>
      <w:pPr>
        <w:jc w:val="both"/>
        <w:ind w:left="1040" w:right="79" w:hanging="315"/>
        <w:spacing w:after="0" w:line="260" w:lineRule="auto"/>
        <w:tabs>
          <w:tab w:leader="none" w:pos="10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as a measurement of operating performance to assist us in comparing the operating performance of our business on a consistent basis, and remove the impact of items not directly resulting from our core operations;</w:t>
      </w:r>
    </w:p>
    <w:p>
      <w:pPr>
        <w:spacing w:after="0" w:line="82"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for planning purposes, including the preparation of our internal annual operating budget and financial projections; and</w:t>
      </w:r>
    </w:p>
    <w:p>
      <w:pPr>
        <w:spacing w:after="0" w:line="7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to evaluate the performance and effectiveness of our operational strategies.</w:t>
      </w:r>
    </w:p>
    <w:p>
      <w:pPr>
        <w:spacing w:after="0" w:line="22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For the definitions of Adjusted EBITDA and Adjusted EBITDA Margin, a reconciliation of Adjusted EBITDA to net income, a reconciliation of Adjusted EBITDA Margin to net income margin, and a further discussion of how we utilize these non-GAAP financial measures and their limitations, see “Non-GAAP Financial Measures” below.</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i w:val="1"/>
          <w:iCs w:val="1"/>
          <w:u w:val="single" w:color="auto"/>
          <w:color w:val="auto"/>
        </w:rPr>
        <w:t>SG&amp;A Excluding SBC as a Percentage of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SG&amp;A Excluding SBC is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of our Adjusted EBITDA and Adjusted EBITDA Margin. SBC is excluded from the determination of Adjusted EBITDA and Adjusted EBITDA Margin. Our ability to control costs within SG&amp;A Excluding SBC and the extent to which these expenses are variable with gross profit are a significant focus of our management and we believe they are a focus of analysts, investors, and other interested parties to evaluate companies in our industry.</w:t>
      </w:r>
    </w:p>
    <w:p>
      <w:pPr>
        <w:spacing w:after="0" w:line="184" w:lineRule="exact"/>
        <w:rPr>
          <w:sz w:val="20"/>
          <w:szCs w:val="20"/>
          <w:color w:val="auto"/>
        </w:rPr>
      </w:pPr>
    </w:p>
    <w:p>
      <w:pPr>
        <w:jc w:val="both"/>
        <w:ind w:left="60" w:right="79" w:firstLine="648"/>
        <w:spacing w:after="0" w:line="268" w:lineRule="auto"/>
        <w:rPr>
          <w:sz w:val="20"/>
          <w:szCs w:val="20"/>
          <w:color w:val="auto"/>
        </w:rPr>
      </w:pPr>
      <w:r>
        <w:rPr>
          <w:rFonts w:ascii="Arial" w:cs="Arial" w:eastAsia="Arial" w:hAnsi="Arial"/>
          <w:sz w:val="18"/>
          <w:szCs w:val="18"/>
          <w:color w:val="auto"/>
        </w:rPr>
        <w:t>For a definition of SG&amp;A Excluding SBC, a reconciliation of SG&amp;A Excluding SBC to SG&amp;A, and a further discussion of how we utilize this non-GAAP financial measure and its limitations, see “Non-GAAP Financial Measures” below.</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Trends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According to the RV Industry Association’s survey of manufacturers, which almost entirely focuses on North America, wholesale shipments of new RVs for 2025 were 342,220 units, 2.5% greater than in 2024.</w:t>
      </w:r>
    </w:p>
    <w:p>
      <w:pPr>
        <w:spacing w:after="0" w:line="13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increased mix of lower cost recent model year vehicles during 2025 compared to 2024, as well as a mix shift toward more inexpensive entry level travel trailers, resulted in lower average selling prices and lower average cost per unit of new vehicles, which partially offset each other to reduce gross margins by 120 basis points during 2025. Additionally, residual values of used vehicles declined during 2024 as a result of a decrease in new vehicle costs, which resulted in 2025 having slightly lower average selling prices of used vehicles, slightly lower average cost per unit of used vehicles, and a slight improvement in used vehicle gross margins.</w:t>
      </w:r>
    </w:p>
    <w:p>
      <w:pPr>
        <w:spacing w:after="0" w:line="18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experienced lower used vehicle inventory levels for much of 2024 as we slowed procurement to allow RV owner pricing expectations to adjust as a result of 2024 model year pricing declines. Beginning in the fourth quarter of 2024 after the release of 2025 model year pricing, we took steps to increase used vehicle revenue and unit sales by increasing the procurement of used vehicles. This resulted in a 22.1% increase in used vehicles revenue and 24.6% increase in used vehicles unit sales in 2025. Since used vehicle inventory levels were normalized during 2025, we would expect used vehicles revenue and unit sales in 2026 to grow at a lower rate than what we experienced in 2025.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closely monitoring U.S. trade policy developments with countries from which we source product and equipment, such as China, Mexico, and Canada. There is uncertainty as to the extent and duration of additional tariffs that have or may be imposed on imports from these countries. We made adjustments to our procurement practices to partially mitigate certain of the negative effects that additional tariffs may impose on the sourcing of our inventory and equipment. Additionally, many of our U.S.-based suppliers source some of their components from these countries, which has resulted and may in the future result in higher procurement costs from U.S.-based suppliers. In 2025, our costs applicable to revenue included the costs of directly sourced inventory from China, Mexico, and Canada of approximately $37.6 million, $10.5 million and $2.3 million, respectively.</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Institutions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maintains the majority of its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Restructuring</w:t>
      </w:r>
    </w:p>
    <w:p>
      <w:pPr>
        <w:spacing w:after="0" w:line="212" w:lineRule="exact"/>
        <w:rPr>
          <w:sz w:val="20"/>
          <w:szCs w:val="20"/>
          <w:color w:val="auto"/>
        </w:rPr>
      </w:pPr>
    </w:p>
    <w:p>
      <w:pPr>
        <w:jc w:val="both"/>
        <w:ind w:left="60" w:right="59" w:firstLine="648"/>
        <w:spacing w:after="0" w:line="264" w:lineRule="auto"/>
        <w:rPr>
          <w:sz w:val="20"/>
          <w:szCs w:val="20"/>
          <w:color w:val="auto"/>
        </w:rPr>
      </w:pPr>
      <w:r>
        <w:rPr>
          <w:rFonts w:ascii="Arial" w:cs="Arial" w:eastAsia="Arial" w:hAnsi="Arial"/>
          <w:sz w:val="18"/>
          <w:szCs w:val="18"/>
          <w:color w:val="auto"/>
        </w:rPr>
        <w:t>In 2019, we made a strategic decision to refocus our business around our core RV competencies (the “2019 Strategic Shift”), which was substantially complete by December 31, 2021. On March 1, 2023, our management determined to implement plans to exit and restructure operations of our indirect subsidiary, Active</w:t>
      </w:r>
    </w:p>
    <w:p>
      <w:pPr>
        <w:spacing w:after="0" w:line="1"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color w:val="auto"/>
        </w:rPr>
        <w:t>Sports, LLC, a specialty products retail business (the “Active Sports Restructuring”), which were substantially complete by December 31, 2023. For the 2019 Strategic Shift, the remaining potential ongoing charges relate to lease termination costs and other associated costs relating to the leases of certain previously closed locations and facilities. The timing of sublease and/or termination negotiations will vary as both are contingent on landlord approvals. We expect that the ongoing lease-related costs relating to the 2019 Strategic Shift, net of associated sublease income, will be less than $3.0 million per year. During the year ended December 31, 2024, the Company terminated the final significant lease under the Active Sports Restructuring that included a $ 1.5 million lease termination fee that was paid in October 2024. The Company does not expect any further costs under the Active Sports Restructuring beyond insignificant lease costs of less than $0.8 million per year. See Note 5 — Restructuring and Long-Lived Asset Impairment to our consolidated financial statements included in Part II, Item 8 of this Form 10-K.</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Corporate Structure Impact on Income Taxes</w:t>
      </w:r>
    </w:p>
    <w:p>
      <w:pPr>
        <w:spacing w:after="0" w:line="171" w:lineRule="exact"/>
        <w:rPr>
          <w:sz w:val="20"/>
          <w:szCs w:val="20"/>
          <w:color w:val="auto"/>
        </w:rPr>
      </w:pPr>
    </w:p>
    <w:p>
      <w:pPr>
        <w:jc w:val="both"/>
        <w:ind w:left="60" w:right="59" w:firstLine="401"/>
        <w:spacing w:after="0" w:line="272" w:lineRule="auto"/>
        <w:rPr>
          <w:sz w:val="20"/>
          <w:szCs w:val="20"/>
          <w:color w:val="auto"/>
        </w:rPr>
      </w:pPr>
      <w:r>
        <w:rPr>
          <w:rFonts w:ascii="Arial" w:cs="Arial" w:eastAsia="Arial" w:hAnsi="Arial"/>
          <w:sz w:val="18"/>
          <w:szCs w:val="18"/>
          <w:color w:val="auto"/>
        </w:rPr>
        <w:t>Our corporate structure is commonly referred to as an “Up-C” structure and typically results in a different relationship between income before income taxes and income tax expense than would be experienced by most public companies with a more traditional corporate structure. More traditional structures are typically comprised predominately of Subchapter C corporations (“C-Corps”) and/or lacking significant non-controlling interests with holdings through limited liability companies or partnerships. Typically, most of our income tax expense is recorded at the CWH level, our public holding company, based on its allocation of taxable income from CWGS, LLC.</w:t>
      </w:r>
    </w:p>
    <w:p>
      <w:pPr>
        <w:spacing w:after="0" w:line="113" w:lineRule="exact"/>
        <w:rPr>
          <w:sz w:val="20"/>
          <w:szCs w:val="20"/>
          <w:color w:val="auto"/>
        </w:rPr>
      </w:pPr>
    </w:p>
    <w:p>
      <w:pPr>
        <w:jc w:val="both"/>
        <w:ind w:left="60" w:right="59" w:firstLine="401"/>
        <w:spacing w:after="0" w:line="273" w:lineRule="auto"/>
        <w:rPr>
          <w:sz w:val="20"/>
          <w:szCs w:val="20"/>
          <w:color w:val="auto"/>
        </w:rPr>
      </w:pPr>
      <w:r>
        <w:rPr>
          <w:rFonts w:ascii="Arial" w:cs="Arial" w:eastAsia="Arial" w:hAnsi="Arial"/>
          <w:sz w:val="18"/>
          <w:szCs w:val="18"/>
          <w:color w:val="auto"/>
        </w:rPr>
        <w:t>More specifically, CWH is organized as a C-Corp and, as of December 31, 2025, is a 61.4% owner of CWGS, LLC. CWGS, LLC is organized as a limited liability company and treated as a partnership for U.S. federal and most applicable state and local income tax purposes and, as such is generally not subject to any U.S. federal entity-level income taxes (“Pass-Through”), with the exception of CWFR Capital, LLC, Americas Road and Travel Club, Inc. and FreedomRoads RV, Inc., and their wholly-owned subsidiaries, which are active C-Corps embedded within the CWGS, LLC structure.</w:t>
      </w:r>
    </w:p>
    <w:p>
      <w:pPr>
        <w:spacing w:after="0" w:line="99" w:lineRule="exact"/>
        <w:rPr>
          <w:sz w:val="20"/>
          <w:szCs w:val="20"/>
          <w:color w:val="auto"/>
        </w:rPr>
      </w:pPr>
    </w:p>
    <w:p>
      <w:pPr>
        <w:jc w:val="both"/>
        <w:ind w:left="60" w:right="59" w:firstLine="401"/>
        <w:spacing w:after="0" w:line="255" w:lineRule="auto"/>
        <w:rPr>
          <w:sz w:val="20"/>
          <w:szCs w:val="20"/>
          <w:color w:val="auto"/>
        </w:rPr>
      </w:pPr>
      <w:r>
        <w:rPr>
          <w:rFonts w:ascii="Arial" w:cs="Arial" w:eastAsia="Arial" w:hAnsi="Arial"/>
          <w:sz w:val="18"/>
          <w:szCs w:val="18"/>
          <w:color w:val="auto"/>
        </w:rPr>
        <w:t>CWH receives an allocation of its share of the net income of CWGS, LLC based on CWH’s weighted-average ownership of CWGS, LLC for the period. CWH recognizes income tax expense on its pre-tax income including its portion of this income allocation from CWGS, LLC primarily relating to Pass-Through entities. The income tax relating to the net income of CWGS, LLC allocated to CWH that relates to separately taxed C-Corp entities is recorded within the consolidated results of CWGS, LLC. No income tax expense is recognized by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Company for the portion of net income of CWGS, LLC allocated to non-controlling interests other than income tax expense recorded by CWGS, LLC. Rather, tax distributions are paid to the non-controlling interest holders, which are recorded as distributions to holders of LLC common units in the consolidated statements of cash flows. CWH is subject to U.S. federal, state and local income taxes with respect to its allocable share of any taxable income of CWGS, LLC and is taxed at the prevailing corporate tax rates. For the years ended December 31, 2025, 2024 and 2023, the Company used a blended statutory tax rate assumption between 25.0% and 25.3%, for income adjustments applicable to CWH when calculating the adjusted net income attributable to Camping World Holdings, Inc. — basic and diluted (see “Non-GAAP Financial Measures” in Part II, Item 7 of this Form 10-K). For the year ended December 31, 2025, CWH recorded a full valuation allowance on its CWH net deferred tax assets, which is expected to significantly reduce the income tax expense that CWH will record in periods after 2025 while that full valuation allowance is in place (see Note 12 — Income Taxes to our consolidated financial statements included in Part II, Item 8 of this Form 10-K). CWGS, LLC may be liable for various other state and local taxes.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further information on income tax (expense) benefit:</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7"/>
                <w:szCs w:val="17"/>
                <w:color w:val="auto"/>
              </w:rPr>
            </w:pPr>
          </w:p>
        </w:tc>
      </w:tr>
      <w:tr>
        <w:trPr>
          <w:trHeight w:val="184"/>
        </w:trPr>
        <w:tc>
          <w:tcPr>
            <w:tcW w:w="5360" w:type="dxa"/>
            <w:vAlign w:val="bottom"/>
          </w:tcPr>
          <w:p>
            <w:pPr>
              <w:spacing w:after="0"/>
              <w:rPr>
                <w:sz w:val="20"/>
                <w:szCs w:val="20"/>
                <w:color w:val="auto"/>
              </w:rPr>
            </w:pPr>
            <w:r>
              <w:rPr>
                <w:rFonts w:ascii="Arial" w:cs="Arial" w:eastAsia="Arial" w:hAnsi="Arial"/>
                <w:sz w:val="14"/>
                <w:szCs w:val="14"/>
                <w:color w:val="auto"/>
              </w:rPr>
              <w:t>($ in thousands)</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ind w:right="277"/>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2024</w:t>
            </w:r>
          </w:p>
        </w:tc>
        <w:tc>
          <w:tcPr>
            <w:tcW w:w="440" w:type="dxa"/>
            <w:vAlign w:val="bottom"/>
            <w:gridSpan w:val="2"/>
          </w:tcPr>
          <w:p>
            <w:pPr>
              <w:jc w:val="right"/>
              <w:ind w:right="1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2023</w:t>
            </w:r>
          </w:p>
        </w:tc>
      </w:tr>
      <w:tr>
        <w:trPr>
          <w:trHeight w:val="223"/>
        </w:trPr>
        <w:tc>
          <w:tcPr>
            <w:tcW w:w="536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17"/>
                <w:szCs w:val="17"/>
                <w:color w:val="auto"/>
              </w:rPr>
              <w:t>Income tax (expense) benefit recorded by CWH</w:t>
            </w:r>
            <w:r>
              <w:rPr>
                <w:rFonts w:ascii="Arial" w:cs="Arial" w:eastAsia="Arial" w:hAnsi="Arial"/>
                <w:sz w:val="25"/>
                <w:szCs w:val="25"/>
                <w:color w:val="auto"/>
                <w:vertAlign w:val="superscript"/>
              </w:rPr>
              <w:t>(1)</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(213,922)</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13,533</w:t>
            </w: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8,064</w:t>
            </w:r>
          </w:p>
        </w:tc>
      </w:tr>
      <w:tr>
        <w:trPr>
          <w:trHeight w:val="229"/>
        </w:trPr>
        <w:tc>
          <w:tcPr>
            <w:tcW w:w="536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Income tax expense recorded by CWGS, LLC</w:t>
            </w:r>
            <w:r>
              <w:rPr>
                <w:rFonts w:ascii="Arial" w:cs="Arial" w:eastAsia="Arial" w:hAnsi="Arial"/>
                <w:sz w:val="26"/>
                <w:szCs w:val="26"/>
                <w:color w:val="auto"/>
                <w:vertAlign w:val="superscript"/>
              </w:rPr>
              <w:t>(2)</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(11,875)</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w:t>
            </w:r>
          </w:p>
        </w:tc>
      </w:tr>
      <w:tr>
        <w:trPr>
          <w:trHeight w:val="223"/>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(225,797)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w:t>
            </w:r>
          </w:p>
        </w:tc>
      </w:tr>
      <w:tr>
        <w:trPr>
          <w:trHeight w:val="20"/>
        </w:trPr>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both"/>
        <w:ind w:left="380" w:right="79" w:hanging="330"/>
        <w:spacing w:after="0" w:line="245" w:lineRule="auto"/>
        <w:tabs>
          <w:tab w:leader="none" w:pos="38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During the year ended December 31, 2025, this amount included $182.8 million of income tax expense related to the full valuation allowance recorded on CWH’s net deferred tax assets and $37.3 million of income tax expense for the associated reduction in the Tax Receivable Agreement liability. During the year ended December 31, 2024, this amount included $11.4 million of income tax benefit related to federal net operating losses and $5.5 million related to state net operating losses. During the year ended December 31, 2023, this amount included $3.1 million of net income tax benefit related to the LLC Conversion and the realization of a portion of outside basis in CWGS, LLC, which previously had a valuation allowance. Additionally, the Company recorded an income tax benefit of $4.1 million related to an entity classification election, which was filed in the third quarter of 2023 with an effective date of January 2, 2023. This income tax expense was primarily from the write-off of deferred tax assets, which was partially offset by the release of valuation allowance. During the year ended December 31, 2023, the Company recorded $15.3 million of income tax benefit related to changes in the valuation allowance on the Company’s outside basis difference deferred tax asset in CWGS, LLC. See Note 12 – Income Taxes to our consolidated financial statements included in Part II, Item 8 of this Form 10-K for additional information.</w:t>
      </w:r>
    </w:p>
    <w:p>
      <w:pPr>
        <w:spacing w:after="0" w:line="82" w:lineRule="exact"/>
        <w:rPr>
          <w:rFonts w:ascii="Arial" w:cs="Arial" w:eastAsia="Arial" w:hAnsi="Arial"/>
          <w:sz w:val="22"/>
          <w:szCs w:val="22"/>
          <w:color w:val="auto"/>
          <w:vertAlign w:val="superscript"/>
        </w:rPr>
      </w:pPr>
    </w:p>
    <w:p>
      <w:pPr>
        <w:jc w:val="both"/>
        <w:ind w:left="380" w:right="79" w:hanging="330"/>
        <w:spacing w:after="0" w:line="229" w:lineRule="auto"/>
        <w:tabs>
          <w:tab w:leader="none" w:pos="38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During the year ended December 31, 2023, this amount included $2.9 million of income tax benefit related to CW state unitary net operating losses. This income tax expense was primarily from the write-off of deferred tax assets, which was partially offset by the release of valuation allowance. See Note 12 – Income Taxes to our consolidated financial statements included in Part II, Item 8 of this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Year Ended December 31, 2025 Compared to the Year Ended December 31, 2024</w:t>
      </w:r>
    </w:p>
    <w:p>
      <w:pPr>
        <w:spacing w:after="0" w:line="115"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Unless otherwise indicated, all financial comparisons in this section of Results of Operations compare our financial results for the year ended December 31, 2025 to our financial results from the year ended December 31, 2024. The following table sets forth information comparing the components of net income for the years ended December 31, 2025 and 2024.</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529"/>
              <w:spacing w:after="0"/>
              <w:rPr>
                <w:sz w:val="20"/>
                <w:szCs w:val="20"/>
                <w:color w:val="auto"/>
              </w:rPr>
            </w:pPr>
            <w:r>
              <w:rPr>
                <w:rFonts w:ascii="Arial" w:cs="Arial" w:eastAsia="Arial" w:hAnsi="Arial"/>
                <w:sz w:val="13"/>
                <w:szCs w:val="13"/>
                <w:b w:val="1"/>
                <w:bCs w:val="1"/>
                <w:color w:val="auto"/>
              </w:rPr>
              <w:t>Year Ended</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3"/>
                <w:szCs w:val="13"/>
                <w:b w:val="1"/>
                <w:bCs w:val="1"/>
                <w:color w:val="auto"/>
              </w:rPr>
              <w:t>December 31, 2025</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3"/>
                <w:szCs w:val="13"/>
                <w:b w:val="1"/>
                <w:bCs w:val="1"/>
                <w:color w:val="auto"/>
              </w:rPr>
              <w:t>December 31, 2024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rPr>
              <w:t>Percent of</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Percent of</w:t>
            </w:r>
          </w:p>
        </w:tc>
        <w:tc>
          <w:tcPr>
            <w:tcW w:w="160" w:type="dxa"/>
            <w:vAlign w:val="bottom"/>
          </w:tcPr>
          <w:p>
            <w:pPr>
              <w:spacing w:after="0"/>
              <w:rPr>
                <w:sz w:val="13"/>
                <w:szCs w:val="13"/>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5"/>
              </w:rPr>
              <w:t>Favorable/ (Unfavorable)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20" w:type="dxa"/>
            <w:vAlign w:val="bottom"/>
            <w:gridSpan w:val="2"/>
          </w:tcPr>
          <w:p>
            <w:pPr>
              <w:spacing w:after="0" w:line="146" w:lineRule="exact"/>
              <w:rPr>
                <w:sz w:val="20"/>
                <w:szCs w:val="20"/>
                <w:color w:val="auto"/>
              </w:rPr>
            </w:pPr>
            <w:r>
              <w:rPr>
                <w:rFonts w:ascii="Arial" w:cs="Arial" w:eastAsia="Arial" w:hAnsi="Arial"/>
                <w:sz w:val="13"/>
                <w:szCs w:val="13"/>
                <w:color w:val="auto"/>
              </w:rPr>
              <w:t>($ in thousands)</w:t>
            </w:r>
          </w:p>
        </w:tc>
        <w:tc>
          <w:tcPr>
            <w:tcW w:w="260" w:type="dxa"/>
            <w:vAlign w:val="bottom"/>
            <w:gridSpan w:val="2"/>
          </w:tcPr>
          <w:p>
            <w:pPr>
              <w:jc w:val="right"/>
              <w:ind w:right="29"/>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09"/>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Revenue</w:t>
            </w:r>
          </w:p>
        </w:tc>
        <w:tc>
          <w:tcPr>
            <w:tcW w:w="260" w:type="dxa"/>
            <w:vAlign w:val="bottom"/>
            <w:gridSpan w:val="2"/>
          </w:tcPr>
          <w:p>
            <w:pPr>
              <w:jc w:val="right"/>
              <w:ind w:right="28"/>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29"/>
              <w:spacing w:after="0"/>
              <w:rPr>
                <w:sz w:val="20"/>
                <w:szCs w:val="20"/>
                <w:color w:val="auto"/>
              </w:rPr>
            </w:pPr>
            <w:r>
              <w:rPr>
                <w:rFonts w:ascii="Arial" w:cs="Arial" w:eastAsia="Arial" w:hAnsi="Arial"/>
                <w:sz w:val="13"/>
                <w:szCs w:val="13"/>
                <w:b w:val="1"/>
                <w:bCs w:val="1"/>
                <w:color w:val="auto"/>
              </w:rPr>
              <w:t>Amount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Revenue</w:t>
            </w:r>
          </w:p>
        </w:tc>
        <w:tc>
          <w:tcPr>
            <w:tcW w:w="260" w:type="dxa"/>
            <w:vAlign w:val="bottom"/>
            <w:gridSpan w:val="2"/>
          </w:tcPr>
          <w:p>
            <w:pPr>
              <w:jc w:val="right"/>
              <w:ind w:right="2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288"/>
              <w:spacing w:after="0"/>
              <w:rPr>
                <w:sz w:val="20"/>
                <w:szCs w:val="20"/>
                <w:color w:val="auto"/>
              </w:rPr>
            </w:pPr>
            <w:r>
              <w:rPr>
                <w:rFonts w:ascii="Arial" w:cs="Arial" w:eastAsia="Arial" w:hAnsi="Arial"/>
                <w:sz w:val="13"/>
                <w:szCs w:val="13"/>
                <w:b w:val="1"/>
                <w:bCs w:val="1"/>
                <w:color w:val="auto"/>
              </w:rPr>
              <w:t>$</w:t>
            </w:r>
          </w:p>
        </w:tc>
        <w:tc>
          <w:tcPr>
            <w:tcW w:w="760" w:type="dxa"/>
            <w:vAlign w:val="bottom"/>
            <w:gridSpan w:val="2"/>
          </w:tcPr>
          <w:p>
            <w:pPr>
              <w:jc w:val="right"/>
              <w:ind w:right="188"/>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160" w:type="dxa"/>
            <w:vAlign w:val="bottom"/>
          </w:tcPr>
          <w:p>
            <w:pPr>
              <w:ind w:left="6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Revenue:</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ind w:left="80"/>
              <w:spacing w:after="0"/>
              <w:rPr>
                <w:sz w:val="20"/>
                <w:szCs w:val="20"/>
                <w:color w:val="auto"/>
              </w:rPr>
            </w:pPr>
            <w:r>
              <w:rPr>
                <w:rFonts w:ascii="Arial" w:cs="Arial" w:eastAsia="Arial" w:hAnsi="Arial"/>
                <w:sz w:val="14"/>
                <w:szCs w:val="14"/>
                <w:color w:val="auto"/>
              </w:rPr>
              <w:t>Good Sam Services and Plans</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199,751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194,575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5,176</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RV and Outdoor Retail</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2,761,149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43.4%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2,825,640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46.3%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(64,491)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1,970,224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1,613,849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356,375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756,984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11.9%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820,111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13.4%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(63,127)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Finance and insurance, net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639,544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599,718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39,826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ind w:left="200"/>
              <w:spacing w:after="0"/>
              <w:rPr>
                <w:sz w:val="20"/>
                <w:szCs w:val="20"/>
                <w:color w:val="auto"/>
              </w:rPr>
            </w:pPr>
            <w:r>
              <w:rPr>
                <w:rFonts w:ascii="Arial" w:cs="Arial" w:eastAsia="Arial" w:hAnsi="Arial"/>
                <w:sz w:val="14"/>
                <w:szCs w:val="14"/>
                <w:color w:val="auto"/>
              </w:rPr>
              <w:t>Good Sam Club</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41,497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46,081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(4,584)</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Subtotal</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6,169,398</w:t>
            </w: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5,905,399</w:t>
            </w: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263,999</w:t>
            </w: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20" w:type="dxa"/>
            <w:vAlign w:val="bottom"/>
            <w:gridSpan w:val="2"/>
          </w:tcPr>
          <w:p>
            <w:pPr>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6,369,149</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6,099,974</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269,175</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Gross profit (exclusive of depreciation and amortization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20" w:type="dxa"/>
            <w:vAlign w:val="bottom"/>
            <w:gridSpan w:val="2"/>
          </w:tcPr>
          <w:p>
            <w:pPr>
              <w:spacing w:after="0"/>
              <w:rPr>
                <w:sz w:val="20"/>
                <w:szCs w:val="20"/>
                <w:color w:val="auto"/>
              </w:rPr>
            </w:pPr>
            <w:r>
              <w:rPr>
                <w:rFonts w:ascii="Arial" w:cs="Arial" w:eastAsia="Arial" w:hAnsi="Arial"/>
                <w:sz w:val="14"/>
                <w:szCs w:val="14"/>
                <w:color w:val="auto"/>
              </w:rPr>
              <w:t>shown separately below):</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Good Sam Services and Plans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ind w:left="80"/>
              <w:spacing w:after="0"/>
              <w:rPr>
                <w:sz w:val="20"/>
                <w:szCs w:val="20"/>
                <w:color w:val="auto"/>
              </w:rPr>
            </w:pPr>
            <w:r>
              <w:rPr>
                <w:rFonts w:ascii="Arial" w:cs="Arial" w:eastAsia="Arial" w:hAnsi="Arial"/>
                <w:sz w:val="14"/>
                <w:szCs w:val="14"/>
                <w:color w:val="auto"/>
              </w:rPr>
              <w:t>RV and Outdoor Retail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New vehicles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364,908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407,471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(42,563)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ind w:left="200"/>
              <w:spacing w:after="0"/>
              <w:rPr>
                <w:sz w:val="20"/>
                <w:szCs w:val="20"/>
                <w:color w:val="auto"/>
              </w:rPr>
            </w:pPr>
            <w:r>
              <w:rPr>
                <w:rFonts w:ascii="Arial" w:cs="Arial" w:eastAsia="Arial" w:hAnsi="Arial"/>
                <w:sz w:val="14"/>
                <w:szCs w:val="14"/>
                <w:color w:val="auto"/>
              </w:rPr>
              <w:t>Used vehicles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364,992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296,697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68,295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Products, service and other</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355,386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356,471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ind w:left="200"/>
              <w:spacing w:after="0"/>
              <w:rPr>
                <w:sz w:val="20"/>
                <w:szCs w:val="20"/>
                <w:color w:val="auto"/>
              </w:rPr>
            </w:pPr>
            <w:r>
              <w:rPr>
                <w:rFonts w:ascii="Arial" w:cs="Arial" w:eastAsia="Arial" w:hAnsi="Arial"/>
                <w:sz w:val="14"/>
                <w:szCs w:val="14"/>
                <w:color w:val="auto"/>
              </w:rPr>
              <w:t>Finance and insurance, net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639,544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599,718</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39,826</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Good Sam Club</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36,772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Subtotal</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1,761,602</w:t>
            </w:r>
          </w:p>
        </w:tc>
        <w:tc>
          <w:tcPr>
            <w:tcW w:w="16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1,701,647</w:t>
            </w:r>
          </w:p>
        </w:tc>
        <w:tc>
          <w:tcPr>
            <w:tcW w:w="14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59,955</w:t>
            </w:r>
          </w:p>
        </w:tc>
        <w:tc>
          <w:tcPr>
            <w:tcW w:w="14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Total gross profit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1,877,152</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1,825,496</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51,656</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ind w:left="20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1,603,222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25.2%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1,573,117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25.8%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(30,105)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ind w:left="200"/>
              <w:spacing w:after="0"/>
              <w:rPr>
                <w:sz w:val="20"/>
                <w:szCs w:val="20"/>
                <w:color w:val="auto"/>
              </w:rPr>
            </w:pPr>
            <w:r>
              <w:rPr>
                <w:rFonts w:ascii="Arial" w:cs="Arial" w:eastAsia="Arial" w:hAnsi="Arial"/>
                <w:sz w:val="14"/>
                <w:szCs w:val="14"/>
                <w:color w:val="auto"/>
              </w:rPr>
              <w:t>Long-lived asset impairment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15,061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13,824</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91.8%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Gain on lease termination and/or remeasurement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ind w:left="200"/>
              <w:spacing w:after="0"/>
              <w:rPr>
                <w:sz w:val="20"/>
                <w:szCs w:val="20"/>
                <w:color w:val="auto"/>
              </w:rPr>
            </w:pPr>
            <w:r>
              <w:rPr>
                <w:rFonts w:ascii="Arial" w:cs="Arial" w:eastAsia="Arial" w:hAnsi="Arial"/>
                <w:sz w:val="14"/>
                <w:szCs w:val="14"/>
                <w:color w:val="auto"/>
              </w:rPr>
              <w:t>(Gain) loss on sale or disposal of assets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9,855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10,705</w:t>
            </w:r>
          </w:p>
        </w:tc>
        <w:tc>
          <w:tcPr>
            <w:tcW w:w="1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n/m</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1,696,948</w:t>
            </w: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1,676,926</w:t>
            </w: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(20,022)</w:t>
            </w: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2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180,204</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148,570</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31,634</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Other expense:</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ind w:left="80"/>
              <w:spacing w:after="0"/>
              <w:rPr>
                <w:sz w:val="20"/>
                <w:szCs w:val="20"/>
                <w:color w:val="auto"/>
              </w:rPr>
            </w:pPr>
            <w:r>
              <w:rPr>
                <w:rFonts w:ascii="Arial" w:cs="Arial" w:eastAsia="Arial" w:hAnsi="Arial"/>
                <w:sz w:val="14"/>
                <w:szCs w:val="14"/>
                <w:color w:val="auto"/>
              </w:rPr>
              <w:t>Floor plan interest expense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(76,786)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(95,121)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18,335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19.3%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interest expense, net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(140,444)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ind w:left="80"/>
              <w:spacing w:after="0"/>
              <w:rPr>
                <w:sz w:val="20"/>
                <w:szCs w:val="20"/>
                <w:color w:val="auto"/>
              </w:rPr>
            </w:pPr>
            <w:r>
              <w:rPr>
                <w:rFonts w:ascii="Arial" w:cs="Arial" w:eastAsia="Arial" w:hAnsi="Arial"/>
                <w:sz w:val="14"/>
                <w:szCs w:val="14"/>
                <w:color w:val="auto"/>
              </w:rPr>
              <w:t>Tax Receivable Agreement liability adjustment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148,956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148,956</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n/m</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expense, net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20" w:type="dxa"/>
            <w:vAlign w:val="bottom"/>
            <w:gridSpan w:val="2"/>
          </w:tcPr>
          <w:p>
            <w:pPr>
              <w:spacing w:after="0"/>
              <w:rPr>
                <w:sz w:val="20"/>
                <w:szCs w:val="20"/>
                <w:color w:val="auto"/>
              </w:rPr>
            </w:pPr>
            <w:r>
              <w:rPr>
                <w:rFonts w:ascii="Arial" w:cs="Arial" w:eastAsia="Arial" w:hAnsi="Arial"/>
                <w:sz w:val="14"/>
                <w:szCs w:val="14"/>
                <w:color w:val="auto"/>
              </w:rPr>
              <w:t>Total other expense</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(60,045)</w:t>
            </w:r>
          </w:p>
        </w:tc>
        <w:tc>
          <w:tcPr>
            <w:tcW w:w="16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(238,827)</w:t>
            </w:r>
          </w:p>
        </w:tc>
        <w:tc>
          <w:tcPr>
            <w:tcW w:w="14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178,782</w:t>
            </w:r>
          </w:p>
        </w:tc>
        <w:tc>
          <w:tcPr>
            <w:tcW w:w="14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120,159</w:t>
            </w: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(90,257)</w:t>
            </w: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210,416</w:t>
            </w: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233.1%</w:t>
            </w: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(225,797)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11,377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(237,174)</w:t>
            </w:r>
          </w:p>
        </w:tc>
        <w:tc>
          <w:tcPr>
            <w:tcW w:w="1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n/m</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(105,638)</w:t>
            </w: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(78,880)</w:t>
            </w: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(26,758)</w:t>
            </w: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Less: net (loss) income attributable to non-controlling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20" w:type="dxa"/>
            <w:vAlign w:val="bottom"/>
            <w:gridSpan w:val="2"/>
          </w:tcPr>
          <w:p>
            <w:pPr>
              <w:spacing w:after="0"/>
              <w:rPr>
                <w:sz w:val="20"/>
                <w:szCs w:val="20"/>
                <w:color w:val="auto"/>
              </w:rPr>
            </w:pPr>
            <w:r>
              <w:rPr>
                <w:rFonts w:ascii="Arial" w:cs="Arial" w:eastAsia="Arial" w:hAnsi="Arial"/>
                <w:sz w:val="14"/>
                <w:szCs w:val="14"/>
                <w:color w:val="auto"/>
              </w:rPr>
              <w:t>interests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15,839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40,243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(24,404)</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(60.6%)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 attributable to Camping World Holdings, Inc.</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(89,799)</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(38,637)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(51,162)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(132.4%)</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not meaningful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Supplemental Data</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Increase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040" w:type="dxa"/>
            <w:vAlign w:val="bottom"/>
            <w:gridSpan w:val="3"/>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(decrease)</w:t>
            </w:r>
          </w:p>
        </w:tc>
        <w:tc>
          <w:tcPr>
            <w:tcW w:w="30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00" w:type="dxa"/>
            <w:vAlign w:val="bottom"/>
            <w:gridSpan w:val="16"/>
            <w:shd w:val="clear" w:color="auto" w:fill="CCEEFF"/>
          </w:tcPr>
          <w:p>
            <w:pPr>
              <w:ind w:left="20"/>
              <w:spacing w:after="0" w:line="142" w:lineRule="exact"/>
              <w:rPr>
                <w:sz w:val="20"/>
                <w:szCs w:val="20"/>
                <w:color w:val="auto"/>
              </w:rPr>
            </w:pPr>
            <w:r>
              <w:rPr>
                <w:rFonts w:ascii="Arial" w:cs="Arial" w:eastAsia="Arial" w:hAnsi="Arial"/>
                <w:sz w:val="14"/>
                <w:szCs w:val="14"/>
                <w:color w:val="auto"/>
              </w:rPr>
              <w:t>Unit sales</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gridSpan w:val="15"/>
          </w:tcPr>
          <w:p>
            <w:pPr>
              <w:ind w:left="100"/>
              <w:spacing w:after="0"/>
              <w:rPr>
                <w:sz w:val="20"/>
                <w:szCs w:val="20"/>
                <w:color w:val="auto"/>
              </w:rPr>
            </w:pPr>
            <w:r>
              <w:rPr>
                <w:rFonts w:ascii="Arial" w:cs="Arial" w:eastAsia="Arial" w:hAnsi="Arial"/>
                <w:sz w:val="14"/>
                <w:szCs w:val="14"/>
                <w:color w:val="auto"/>
              </w:rPr>
              <w:t>New vehicles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74,458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70,484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3,974</w:t>
            </w:r>
          </w:p>
        </w:tc>
        <w:tc>
          <w:tcPr>
            <w:tcW w:w="3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63,574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51,032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12,542</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80" w:type="dxa"/>
            <w:vAlign w:val="bottom"/>
            <w:gridSpan w:val="15"/>
          </w:tcPr>
          <w:p>
            <w:pPr>
              <w:ind w:left="10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138,032</w:t>
            </w: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121,516</w:t>
            </w: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16,516</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500" w:type="dxa"/>
            <w:vAlign w:val="bottom"/>
            <w:gridSpan w:val="16"/>
          </w:tcPr>
          <w:p>
            <w:pPr>
              <w:ind w:left="20"/>
              <w:spacing w:after="0" w:line="149" w:lineRule="exact"/>
              <w:rPr>
                <w:sz w:val="20"/>
                <w:szCs w:val="20"/>
                <w:color w:val="auto"/>
              </w:rPr>
            </w:pPr>
            <w:r>
              <w:rPr>
                <w:rFonts w:ascii="Arial" w:cs="Arial" w:eastAsia="Arial" w:hAnsi="Arial"/>
                <w:sz w:val="14"/>
                <w:szCs w:val="14"/>
                <w:color w:val="auto"/>
              </w:rPr>
              <w:t>Average selling price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New vehicles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37,083</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(3,006)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gridSpan w:val="15"/>
          </w:tcPr>
          <w:p>
            <w:pPr>
              <w:ind w:left="100"/>
              <w:spacing w:after="0"/>
              <w:rPr>
                <w:sz w:val="20"/>
                <w:szCs w:val="20"/>
                <w:color w:val="auto"/>
              </w:rPr>
            </w:pPr>
            <w:r>
              <w:rPr>
                <w:rFonts w:ascii="Arial" w:cs="Arial" w:eastAsia="Arial" w:hAnsi="Arial"/>
                <w:sz w:val="14"/>
                <w:szCs w:val="14"/>
                <w:color w:val="auto"/>
              </w:rPr>
              <w:t>Used vehicles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30,991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31,624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color w:val="auto"/>
              </w:rPr>
              <w:t>(633)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500" w:type="dxa"/>
            <w:vAlign w:val="bottom"/>
            <w:gridSpan w:val="16"/>
          </w:tcPr>
          <w:p>
            <w:pPr>
              <w:ind w:left="20"/>
              <w:spacing w:after="0" w:line="149" w:lineRule="exact"/>
              <w:rPr>
                <w:sz w:val="20"/>
                <w:szCs w:val="20"/>
                <w:color w:val="auto"/>
              </w:rPr>
            </w:pPr>
            <w:r>
              <w:rPr>
                <w:rFonts w:ascii="Arial" w:cs="Arial" w:eastAsia="Arial" w:hAnsi="Arial"/>
                <w:sz w:val="12"/>
                <w:szCs w:val="12"/>
                <w:color w:val="auto"/>
              </w:rPr>
              <w:t>Same store unit sales</w:t>
            </w:r>
            <w:r>
              <w:rPr>
                <w:rFonts w:ascii="Arial" w:cs="Arial" w:eastAsia="Arial" w:hAnsi="Arial"/>
                <w:sz w:val="17"/>
                <w:szCs w:val="17"/>
                <w:color w:val="auto"/>
                <w:vertAlign w:val="superscript"/>
              </w:rPr>
              <w:t>(1)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New vehicles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67,984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63,584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4,400</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gridSpan w:val="15"/>
          </w:tcPr>
          <w:p>
            <w:pPr>
              <w:ind w:left="100"/>
              <w:spacing w:after="0"/>
              <w:rPr>
                <w:sz w:val="20"/>
                <w:szCs w:val="20"/>
                <w:color w:val="auto"/>
              </w:rPr>
            </w:pPr>
            <w:r>
              <w:rPr>
                <w:rFonts w:ascii="Arial" w:cs="Arial" w:eastAsia="Arial" w:hAnsi="Arial"/>
                <w:sz w:val="14"/>
                <w:szCs w:val="14"/>
                <w:color w:val="auto"/>
              </w:rPr>
              <w:t>Used vehicles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58,254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46,858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11,396</w:t>
            </w:r>
          </w:p>
        </w:tc>
        <w:tc>
          <w:tcPr>
            <w:tcW w:w="3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480" w:type="dxa"/>
            <w:vAlign w:val="bottom"/>
            <w:tcBorders>
              <w:top w:val="single" w:sz="8" w:color="CCEEFF"/>
            </w:tcBorders>
            <w:gridSpan w:val="15"/>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126,238</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110,442</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15,796</w:t>
            </w: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00" w:type="dxa"/>
            <w:vAlign w:val="bottom"/>
            <w:gridSpan w:val="16"/>
            <w:shd w:val="clear" w:color="auto" w:fill="CCEEFF"/>
          </w:tcPr>
          <w:p>
            <w:pPr>
              <w:ind w:left="20"/>
              <w:spacing w:after="0" w:line="149" w:lineRule="exact"/>
              <w:rPr>
                <w:sz w:val="20"/>
                <w:szCs w:val="20"/>
                <w:color w:val="auto"/>
              </w:rPr>
            </w:pPr>
            <w:r>
              <w:rPr>
                <w:rFonts w:ascii="Arial" w:cs="Arial" w:eastAsia="Arial" w:hAnsi="Arial"/>
                <w:sz w:val="12"/>
                <w:szCs w:val="12"/>
                <w:color w:val="auto"/>
              </w:rPr>
              <w:t>Same store revenue</w:t>
            </w:r>
            <w:r>
              <w:rPr>
                <w:rFonts w:ascii="Arial" w:cs="Arial" w:eastAsia="Arial" w:hAnsi="Arial"/>
                <w:sz w:val="17"/>
                <w:szCs w:val="17"/>
                <w:color w:val="auto"/>
                <w:vertAlign w:val="superscript"/>
              </w:rPr>
              <w:t>(1)</w:t>
            </w:r>
            <w:r>
              <w:rPr>
                <w:rFonts w:ascii="Arial" w:cs="Arial" w:eastAsia="Arial" w:hAnsi="Arial"/>
                <w:sz w:val="12"/>
                <w:szCs w:val="12"/>
                <w:color w:val="auto"/>
              </w:rPr>
              <w:t xml:space="preserve"> </w:t>
            </w:r>
            <w:r>
              <w:rPr>
                <w:rFonts w:ascii="Arial" w:cs="Arial" w:eastAsia="Arial" w:hAnsi="Arial"/>
                <w:sz w:val="12"/>
                <w:szCs w:val="12"/>
                <w:u w:val="single" w:color="auto"/>
                <w:color w:val="auto"/>
              </w:rPr>
              <w:t>(</w:t>
            </w:r>
            <w:r>
              <w:rPr>
                <w:rFonts w:ascii="Arial" w:cs="Arial" w:eastAsia="Arial" w:hAnsi="Arial"/>
                <w:sz w:val="12"/>
                <w:szCs w:val="12"/>
                <w:color w:val="auto"/>
              </w:rPr>
              <w:t>$ in 000s)</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80" w:type="dxa"/>
            <w:vAlign w:val="bottom"/>
            <w:tcBorders>
              <w:top w:val="single" w:sz="8" w:color="auto"/>
            </w:tcBorders>
            <w:gridSpan w:val="5"/>
          </w:tcPr>
          <w:p>
            <w:pPr>
              <w:ind w:left="100"/>
              <w:spacing w:after="0"/>
              <w:rPr>
                <w:sz w:val="20"/>
                <w:szCs w:val="20"/>
                <w:color w:val="auto"/>
              </w:rPr>
            </w:pPr>
            <w:r>
              <w:rPr>
                <w:rFonts w:ascii="Arial" w:cs="Arial" w:eastAsia="Arial" w:hAnsi="Arial"/>
                <w:sz w:val="14"/>
                <w:szCs w:val="14"/>
                <w:color w:val="auto"/>
              </w:rPr>
              <w:t>New vehicles</w:t>
            </w:r>
          </w:p>
        </w:tc>
        <w:tc>
          <w:tcPr>
            <w:tcW w:w="180" w:type="dxa"/>
            <w:vAlign w:val="bottom"/>
            <w:tcBorders>
              <w:top w:val="single" w:sz="8" w:color="CCEEFF"/>
            </w:tcBorders>
            <w:gridSpan w:val="3"/>
          </w:tcPr>
          <w:p>
            <w:pPr>
              <w:spacing w:after="0"/>
              <w:rPr>
                <w:sz w:val="16"/>
                <w:szCs w:val="16"/>
                <w:color w:val="auto"/>
              </w:rPr>
            </w:pPr>
          </w:p>
        </w:tc>
        <w:tc>
          <w:tcPr>
            <w:tcW w:w="680" w:type="dxa"/>
            <w:vAlign w:val="bottom"/>
            <w:tcBorders>
              <w:top w:val="single" w:sz="8" w:color="auto"/>
            </w:tcBorders>
            <w:gridSpan w:val="4"/>
          </w:tcPr>
          <w:p>
            <w:pPr>
              <w:spacing w:after="0"/>
              <w:rPr>
                <w:sz w:val="16"/>
                <w:szCs w:val="16"/>
                <w:color w:val="auto"/>
              </w:rPr>
            </w:pPr>
          </w:p>
        </w:tc>
        <w:tc>
          <w:tcPr>
            <w:tcW w:w="2340" w:type="dxa"/>
            <w:vAlign w:val="bottom"/>
            <w:tcBorders>
              <w:top w:val="single" w:sz="8" w:color="CCEEFF"/>
            </w:tcBorders>
            <w:gridSpan w:val="3"/>
          </w:tcPr>
          <w:p>
            <w:pPr>
              <w:spacing w:after="0"/>
              <w:rPr>
                <w:sz w:val="16"/>
                <w:szCs w:val="16"/>
                <w:color w:val="auto"/>
              </w:rPr>
            </w:pP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2,518,571</w:t>
            </w:r>
          </w:p>
        </w:tc>
        <w:tc>
          <w:tcPr>
            <w:tcW w:w="340" w:type="dxa"/>
            <w:vAlign w:val="bottom"/>
            <w:tcBorders>
              <w:top w:val="single" w:sz="8" w:color="CCEEFF"/>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2,570,225</w:t>
            </w:r>
          </w:p>
        </w:tc>
        <w:tc>
          <w:tcPr>
            <w:tcW w:w="28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CCEEFF"/>
            </w:tcBorders>
            <w:gridSpan w:val="2"/>
          </w:tcPr>
          <w:p>
            <w:pPr>
              <w:jc w:val="right"/>
              <w:ind w:right="228"/>
              <w:spacing w:after="0"/>
              <w:rPr>
                <w:sz w:val="20"/>
                <w:szCs w:val="20"/>
                <w:color w:val="auto"/>
              </w:rPr>
            </w:pPr>
            <w:r>
              <w:rPr>
                <w:rFonts w:ascii="Arial" w:cs="Arial" w:eastAsia="Arial" w:hAnsi="Arial"/>
                <w:sz w:val="14"/>
                <w:szCs w:val="14"/>
                <w:color w:val="auto"/>
              </w:rPr>
              <w:t>(51,654)</w:t>
            </w:r>
          </w:p>
        </w:tc>
        <w:tc>
          <w:tcPr>
            <w:tcW w:w="86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1,798,591</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1,490,114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308,477</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gridSpan w:val="15"/>
          </w:tcPr>
          <w:p>
            <w:pPr>
              <w:ind w:left="100"/>
              <w:spacing w:after="0"/>
              <w:rPr>
                <w:sz w:val="20"/>
                <w:szCs w:val="20"/>
                <w:color w:val="auto"/>
              </w:rPr>
            </w:pPr>
            <w:r>
              <w:rPr>
                <w:rFonts w:ascii="Arial" w:cs="Arial" w:eastAsia="Arial" w:hAnsi="Arial"/>
                <w:sz w:val="14"/>
                <w:szCs w:val="14"/>
                <w:color w:val="auto"/>
              </w:rPr>
              <w:t>Products, service and other</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609,435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652,874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color w:val="auto"/>
              </w:rPr>
              <w:t>(43,439)</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590,295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549,811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40,484</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80" w:type="dxa"/>
            <w:vAlign w:val="bottom"/>
            <w:gridSpan w:val="15"/>
          </w:tcPr>
          <w:p>
            <w:pPr>
              <w:ind w:left="10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5,516,892</w:t>
            </w:r>
          </w:p>
        </w:tc>
        <w:tc>
          <w:tcPr>
            <w:tcW w:w="18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5,263,024</w:t>
            </w:r>
          </w:p>
        </w:tc>
        <w:tc>
          <w:tcPr>
            <w:tcW w:w="1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253,868</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500" w:type="dxa"/>
            <w:vAlign w:val="bottom"/>
            <w:gridSpan w:val="16"/>
          </w:tcPr>
          <w:p>
            <w:pPr>
              <w:ind w:left="20"/>
              <w:spacing w:after="0" w:line="149" w:lineRule="exact"/>
              <w:rPr>
                <w:sz w:val="20"/>
                <w:szCs w:val="20"/>
                <w:color w:val="auto"/>
              </w:rPr>
            </w:pPr>
            <w:r>
              <w:rPr>
                <w:rFonts w:ascii="Arial" w:cs="Arial" w:eastAsia="Arial" w:hAnsi="Arial"/>
                <w:sz w:val="14"/>
                <w:szCs w:val="14"/>
                <w:color w:val="auto"/>
              </w:rPr>
              <w:t>Average gross profit per unit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New vehicles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4,901</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(880)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gridSpan w:val="15"/>
          </w:tcPr>
          <w:p>
            <w:pPr>
              <w:ind w:left="100"/>
              <w:spacing w:after="0"/>
              <w:rPr>
                <w:sz w:val="20"/>
                <w:szCs w:val="20"/>
                <w:color w:val="auto"/>
              </w:rPr>
            </w:pPr>
            <w:r>
              <w:rPr>
                <w:rFonts w:ascii="Arial" w:cs="Arial" w:eastAsia="Arial" w:hAnsi="Arial"/>
                <w:sz w:val="14"/>
                <w:szCs w:val="14"/>
                <w:color w:val="auto"/>
              </w:rPr>
              <w:t>Used vehicles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5,741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5,814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color w:val="auto"/>
              </w:rPr>
              <w:t>(73)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Finance and insurance, net per vehicle unit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4,633</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(302)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gridSpan w:val="15"/>
          </w:tcPr>
          <w:p>
            <w:pPr>
              <w:ind w:left="100"/>
              <w:spacing w:after="0" w:line="189" w:lineRule="exact"/>
              <w:rPr>
                <w:sz w:val="20"/>
                <w:szCs w:val="20"/>
                <w:color w:val="auto"/>
              </w:rPr>
            </w:pPr>
            <w:r>
              <w:rPr>
                <w:rFonts w:ascii="Arial" w:cs="Arial" w:eastAsia="Arial" w:hAnsi="Arial"/>
                <w:sz w:val="14"/>
                <w:szCs w:val="14"/>
                <w:color w:val="auto"/>
              </w:rPr>
              <w:t>Total vehicle front-end yield</w:t>
            </w:r>
            <w:r>
              <w:rPr>
                <w:rFonts w:ascii="Arial" w:cs="Arial" w:eastAsia="Arial" w:hAnsi="Arial"/>
                <w:sz w:val="21"/>
                <w:szCs w:val="21"/>
                <w:color w:val="auto"/>
                <w:vertAlign w:val="superscript"/>
              </w:rPr>
              <w:t>(2)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9,921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10,730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color w:val="auto"/>
              </w:rPr>
              <w:t>(809)</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00" w:type="dxa"/>
            <w:vAlign w:val="bottom"/>
            <w:gridSpan w:val="16"/>
          </w:tcPr>
          <w:p>
            <w:pPr>
              <w:ind w:left="20"/>
              <w:spacing w:after="0" w:line="149" w:lineRule="exact"/>
              <w:rPr>
                <w:sz w:val="20"/>
                <w:szCs w:val="20"/>
                <w:color w:val="auto"/>
              </w:rPr>
            </w:pPr>
            <w:r>
              <w:rPr>
                <w:rFonts w:ascii="Arial" w:cs="Arial" w:eastAsia="Arial" w:hAnsi="Arial"/>
                <w:sz w:val="14"/>
                <w:szCs w:val="14"/>
                <w:color w:val="auto"/>
              </w:rPr>
              <w:t>Gross margin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Good Sam Services and Plans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(580)bps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gridSpan w:val="15"/>
          </w:tcPr>
          <w:p>
            <w:pPr>
              <w:ind w:left="100"/>
              <w:spacing w:after="0"/>
              <w:rPr>
                <w:sz w:val="20"/>
                <w:szCs w:val="20"/>
                <w:color w:val="auto"/>
              </w:rPr>
            </w:pPr>
            <w:r>
              <w:rPr>
                <w:rFonts w:ascii="Arial" w:cs="Arial" w:eastAsia="Arial" w:hAnsi="Arial"/>
                <w:sz w:val="14"/>
                <w:szCs w:val="14"/>
                <w:color w:val="auto"/>
              </w:rPr>
              <w:t>New vehicles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(120)bps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bps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gridSpan w:val="15"/>
          </w:tcPr>
          <w:p>
            <w:pPr>
              <w:ind w:left="100"/>
              <w:spacing w:after="0"/>
              <w:rPr>
                <w:sz w:val="20"/>
                <w:szCs w:val="20"/>
                <w:color w:val="auto"/>
              </w:rPr>
            </w:pPr>
            <w:r>
              <w:rPr>
                <w:rFonts w:ascii="Arial" w:cs="Arial" w:eastAsia="Arial" w:hAnsi="Arial"/>
                <w:sz w:val="14"/>
                <w:szCs w:val="14"/>
                <w:color w:val="auto"/>
              </w:rPr>
              <w:t>Products, service and other</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348</w:t>
            </w:r>
          </w:p>
        </w:tc>
        <w:tc>
          <w:tcPr>
            <w:tcW w:w="300" w:type="dxa"/>
            <w:vAlign w:val="bottom"/>
          </w:tcPr>
          <w:p>
            <w:pPr>
              <w:jc w:val="right"/>
              <w:spacing w:after="0"/>
              <w:rPr>
                <w:sz w:val="20"/>
                <w:szCs w:val="20"/>
                <w:color w:val="auto"/>
              </w:rPr>
            </w:pPr>
            <w:r>
              <w:rPr>
                <w:rFonts w:ascii="Arial" w:cs="Arial" w:eastAsia="Arial" w:hAnsi="Arial"/>
                <w:sz w:val="14"/>
                <w:szCs w:val="14"/>
                <w:color w:val="auto"/>
                <w:w w:val="97"/>
              </w:rPr>
              <w:t>bps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unch</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gridSpan w:val="15"/>
          </w:tcPr>
          <w:p>
            <w:pPr>
              <w:ind w:left="100"/>
              <w:spacing w:after="0"/>
              <w:rPr>
                <w:sz w:val="20"/>
                <w:szCs w:val="20"/>
                <w:color w:val="auto"/>
              </w:rPr>
            </w:pPr>
            <w:r>
              <w:rPr>
                <w:rFonts w:ascii="Arial" w:cs="Arial" w:eastAsia="Arial" w:hAnsi="Arial"/>
                <w:sz w:val="14"/>
                <w:szCs w:val="14"/>
                <w:color w:val="auto"/>
              </w:rPr>
              <w:t>Good Sam Club</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(99)bps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480" w:type="dxa"/>
            <w:vAlign w:val="bottom"/>
            <w:tcBorders>
              <w:top w:val="single" w:sz="8" w:color="CCEEFF"/>
            </w:tcBorders>
            <w:gridSpan w:val="15"/>
            <w:shd w:val="clear" w:color="auto" w:fill="CCEEFF"/>
          </w:tcPr>
          <w:p>
            <w:pPr>
              <w:ind w:left="200"/>
              <w:spacing w:after="0"/>
              <w:rPr>
                <w:sz w:val="20"/>
                <w:szCs w:val="20"/>
                <w:color w:val="auto"/>
              </w:rPr>
            </w:pPr>
            <w:r>
              <w:rPr>
                <w:rFonts w:ascii="Arial" w:cs="Arial" w:eastAsia="Arial" w:hAnsi="Arial"/>
                <w:sz w:val="14"/>
                <w:szCs w:val="14"/>
                <w:color w:val="auto"/>
              </w:rPr>
              <w:t>Subtotal RV and Outdoor Retail</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bps</w:t>
            </w: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gridSpan w:val="15"/>
          </w:tcPr>
          <w:p>
            <w:pPr>
              <w:ind w:left="100"/>
              <w:spacing w:after="0"/>
              <w:rPr>
                <w:sz w:val="20"/>
                <w:szCs w:val="20"/>
                <w:color w:val="auto"/>
              </w:rPr>
            </w:pPr>
            <w:r>
              <w:rPr>
                <w:rFonts w:ascii="Arial" w:cs="Arial" w:eastAsia="Arial" w:hAnsi="Arial"/>
                <w:sz w:val="14"/>
                <w:szCs w:val="14"/>
                <w:color w:val="auto"/>
              </w:rPr>
              <w:t>Total gross margin</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3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7"/>
              </w:rPr>
              <w:t>bps</w:t>
            </w: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gridSpan w:val="16"/>
          </w:tcPr>
          <w:p>
            <w:pPr>
              <w:ind w:left="20"/>
              <w:spacing w:after="0" w:line="149" w:lineRule="exact"/>
              <w:rPr>
                <w:sz w:val="20"/>
                <w:szCs w:val="20"/>
                <w:color w:val="auto"/>
              </w:rPr>
            </w:pPr>
            <w:r>
              <w:rPr>
                <w:rFonts w:ascii="Arial" w:cs="Arial" w:eastAsia="Arial" w:hAnsi="Arial"/>
                <w:sz w:val="14"/>
                <w:szCs w:val="14"/>
                <w:color w:val="auto"/>
              </w:rPr>
              <w:t>Retail locations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RV dealerships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gridSpan w:val="15"/>
          </w:tcPr>
          <w:p>
            <w:pPr>
              <w:ind w:left="100"/>
              <w:spacing w:after="0"/>
              <w:rPr>
                <w:sz w:val="20"/>
                <w:szCs w:val="20"/>
                <w:color w:val="auto"/>
              </w:rPr>
            </w:pPr>
            <w:r>
              <w:rPr>
                <w:rFonts w:ascii="Arial" w:cs="Arial" w:eastAsia="Arial" w:hAnsi="Arial"/>
                <w:sz w:val="14"/>
                <w:szCs w:val="14"/>
                <w:color w:val="auto"/>
              </w:rPr>
              <w:t>RV service &amp; retail centers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color w:val="auto"/>
              </w:rPr>
              <w:t>(1)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480" w:type="dxa"/>
            <w:vAlign w:val="bottom"/>
            <w:tcBorders>
              <w:top w:val="single" w:sz="8" w:color="CCEEFF"/>
              <w:bottom w:val="single" w:sz="8" w:color="CCEEFF"/>
            </w:tcBorders>
            <w:gridSpan w:val="15"/>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00" w:type="dxa"/>
            <w:vAlign w:val="bottom"/>
            <w:gridSpan w:val="16"/>
            <w:shd w:val="clear" w:color="auto" w:fill="CCEEFF"/>
          </w:tcPr>
          <w:p>
            <w:pPr>
              <w:ind w:left="20"/>
              <w:spacing w:after="0" w:line="149" w:lineRule="exact"/>
              <w:rPr>
                <w:sz w:val="20"/>
                <w:szCs w:val="20"/>
                <w:color w:val="auto"/>
              </w:rPr>
            </w:pPr>
            <w:r>
              <w:rPr>
                <w:rFonts w:ascii="Arial" w:cs="Arial" w:eastAsia="Arial" w:hAnsi="Arial"/>
                <w:sz w:val="14"/>
                <w:szCs w:val="14"/>
                <w:color w:val="auto"/>
              </w:rPr>
              <w:t xml:space="preserve">RV and Outdoor Retail inventories </w:t>
            </w:r>
            <w:r>
              <w:rPr>
                <w:rFonts w:ascii="Arial" w:cs="Arial" w:eastAsia="Arial" w:hAnsi="Arial"/>
                <w:sz w:val="14"/>
                <w:szCs w:val="14"/>
                <w:u w:val="single" w:color="auto"/>
                <w:color w:val="auto"/>
              </w:rPr>
              <w:t>(</w:t>
            </w:r>
            <w:r>
              <w:rPr>
                <w:rFonts w:ascii="Arial" w:cs="Arial" w:eastAsia="Arial" w:hAnsi="Arial"/>
                <w:sz w:val="14"/>
                <w:szCs w:val="14"/>
                <w:color w:val="auto"/>
              </w:rPr>
              <w:t>$ in 000s)</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900" w:type="dxa"/>
            <w:vAlign w:val="bottom"/>
            <w:tcBorders>
              <w:top w:val="single" w:sz="8" w:color="auto"/>
            </w:tcBorders>
            <w:gridSpan w:val="14"/>
          </w:tcPr>
          <w:p>
            <w:pPr>
              <w:ind w:left="100"/>
              <w:spacing w:after="0"/>
              <w:rPr>
                <w:sz w:val="20"/>
                <w:szCs w:val="20"/>
                <w:color w:val="auto"/>
              </w:rPr>
            </w:pPr>
            <w:r>
              <w:rPr>
                <w:rFonts w:ascii="Arial" w:cs="Arial" w:eastAsia="Arial" w:hAnsi="Arial"/>
                <w:sz w:val="14"/>
                <w:szCs w:val="14"/>
                <w:color w:val="auto"/>
              </w:rPr>
              <w:t>New vehicles</w:t>
            </w:r>
          </w:p>
        </w:tc>
        <w:tc>
          <w:tcPr>
            <w:tcW w:w="15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1,421,435</w:t>
            </w:r>
          </w:p>
        </w:tc>
        <w:tc>
          <w:tcPr>
            <w:tcW w:w="340" w:type="dxa"/>
            <w:vAlign w:val="bottom"/>
            <w:tcBorders>
              <w:top w:val="single" w:sz="8" w:color="CCEEFF"/>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1,241,533</w:t>
            </w:r>
          </w:p>
        </w:tc>
        <w:tc>
          <w:tcPr>
            <w:tcW w:w="28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179,902</w:t>
            </w:r>
          </w:p>
        </w:tc>
        <w:tc>
          <w:tcPr>
            <w:tcW w:w="30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14.5%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530,861</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413,546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117,315</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gridSpan w:val="15"/>
          </w:tcPr>
          <w:p>
            <w:pPr>
              <w:ind w:left="100"/>
              <w:spacing w:after="0"/>
              <w:rPr>
                <w:sz w:val="20"/>
                <w:szCs w:val="20"/>
                <w:color w:val="auto"/>
              </w:rPr>
            </w:pPr>
            <w:r>
              <w:rPr>
                <w:rFonts w:ascii="Arial" w:cs="Arial" w:eastAsia="Arial" w:hAnsi="Arial"/>
                <w:sz w:val="14"/>
                <w:szCs w:val="14"/>
                <w:color w:val="auto"/>
              </w:rPr>
              <w:t>Products, parts, accessories and misc.</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159,255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166,495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color w:val="auto"/>
              </w:rPr>
              <w:t>(7,240)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4480" w:type="dxa"/>
            <w:vAlign w:val="bottom"/>
            <w:tcBorders>
              <w:top w:val="single" w:sz="8" w:color="CCEEFF"/>
            </w:tcBorders>
            <w:gridSpan w:val="15"/>
            <w:shd w:val="clear" w:color="auto" w:fill="CCEEFF"/>
          </w:tcPr>
          <w:p>
            <w:pPr>
              <w:ind w:left="100"/>
              <w:spacing w:after="0"/>
              <w:rPr>
                <w:sz w:val="20"/>
                <w:szCs w:val="20"/>
                <w:color w:val="auto"/>
              </w:rPr>
            </w:pPr>
            <w:r>
              <w:rPr>
                <w:rFonts w:ascii="Arial" w:cs="Arial" w:eastAsia="Arial" w:hAnsi="Arial"/>
                <w:sz w:val="14"/>
                <w:szCs w:val="14"/>
                <w:color w:val="auto"/>
              </w:rPr>
              <w:t>Total RV and Outdoor Retail inventories</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2,111,551</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1,821,574</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289,977</w:t>
            </w: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00" w:type="dxa"/>
            <w:vAlign w:val="bottom"/>
            <w:gridSpan w:val="16"/>
            <w:shd w:val="clear" w:color="auto" w:fill="CCEEFF"/>
          </w:tcPr>
          <w:p>
            <w:pPr>
              <w:ind w:left="20"/>
              <w:spacing w:after="0" w:line="149" w:lineRule="exact"/>
              <w:rPr>
                <w:sz w:val="20"/>
                <w:szCs w:val="20"/>
                <w:color w:val="auto"/>
              </w:rPr>
            </w:pPr>
            <w:r>
              <w:rPr>
                <w:rFonts w:ascii="Arial" w:cs="Arial" w:eastAsia="Arial" w:hAnsi="Arial"/>
                <w:sz w:val="14"/>
                <w:szCs w:val="14"/>
                <w:color w:val="auto"/>
              </w:rPr>
              <w:t xml:space="preserve">Vehicle inventory per location </w:t>
            </w:r>
            <w:r>
              <w:rPr>
                <w:rFonts w:ascii="Arial" w:cs="Arial" w:eastAsia="Arial" w:hAnsi="Arial"/>
                <w:sz w:val="14"/>
                <w:szCs w:val="14"/>
                <w:u w:val="single" w:color="auto"/>
                <w:color w:val="auto"/>
              </w:rPr>
              <w:t>(</w:t>
            </w:r>
            <w:r>
              <w:rPr>
                <w:rFonts w:ascii="Arial" w:cs="Arial" w:eastAsia="Arial" w:hAnsi="Arial"/>
                <w:sz w:val="14"/>
                <w:szCs w:val="14"/>
                <w:color w:val="auto"/>
              </w:rPr>
              <w:t>$ in 000s)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gridSpan w:val="15"/>
          </w:tcPr>
          <w:p>
            <w:pPr>
              <w:ind w:left="100"/>
              <w:spacing w:after="0"/>
              <w:rPr>
                <w:sz w:val="20"/>
                <w:szCs w:val="20"/>
                <w:color w:val="auto"/>
              </w:rPr>
            </w:pPr>
            <w:r>
              <w:rPr>
                <w:rFonts w:ascii="Arial" w:cs="Arial" w:eastAsia="Arial" w:hAnsi="Arial"/>
                <w:sz w:val="14"/>
                <w:szCs w:val="14"/>
                <w:color w:val="auto"/>
              </w:rPr>
              <w:t>New vehicle inventory per dealer location</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7,289</w:t>
            </w:r>
          </w:p>
        </w:tc>
        <w:tc>
          <w:tcPr>
            <w:tcW w:w="3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6,086</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1,203</w:t>
            </w:r>
          </w:p>
        </w:tc>
        <w:tc>
          <w:tcPr>
            <w:tcW w:w="3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Used vehicle inventory per dealer location</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2,722</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660" w:type="dxa"/>
            <w:vAlign w:val="bottom"/>
            <w:tcBorders>
              <w:bottom w:val="single" w:sz="8" w:color="CCEEFF"/>
            </w:tcBorders>
            <w:gridSpan w:val="10"/>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rPr>
              <w:t>Vehicle inventory turnover</w:t>
            </w:r>
          </w:p>
        </w:tc>
        <w:tc>
          <w:tcPr>
            <w:tcW w:w="140" w:type="dxa"/>
            <w:vAlign w:val="bottom"/>
            <w:tcBorders>
              <w:bottom w:val="single" w:sz="8" w:color="auto"/>
            </w:tcBorders>
            <w:shd w:val="clear" w:color="auto" w:fill="CCEEFF"/>
          </w:tcPr>
          <w:p>
            <w:pPr>
              <w:jc w:val="right"/>
              <w:spacing w:after="0" w:line="75" w:lineRule="exact"/>
              <w:rPr>
                <w:sz w:val="20"/>
                <w:szCs w:val="20"/>
                <w:color w:val="auto"/>
              </w:rPr>
            </w:pPr>
            <w:r>
              <w:rPr>
                <w:rFonts w:ascii="Arial" w:cs="Arial" w:eastAsia="Arial" w:hAnsi="Arial"/>
                <w:sz w:val="8"/>
                <w:szCs w:val="8"/>
                <w:color w:val="auto"/>
              </w:rPr>
              <w:t>(3)</w:t>
            </w:r>
          </w:p>
        </w:tc>
        <w:tc>
          <w:tcPr>
            <w:tcW w:w="2700" w:type="dxa"/>
            <w:vAlign w:val="bottom"/>
            <w:tcBorders>
              <w:bottom w:val="single" w:sz="8" w:color="CCEEFF"/>
            </w:tcBorders>
            <w:gridSpan w:val="5"/>
            <w:vMerge w:val="restart"/>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660" w:type="dxa"/>
            <w:vAlign w:val="bottom"/>
            <w:gridSpan w:val="10"/>
            <w:vMerge w:val="continue"/>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700" w:type="dxa"/>
            <w:vAlign w:val="bottom"/>
            <w:gridSpan w:val="5"/>
            <w:vMerge w:val="continue"/>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gridSpan w:val="15"/>
          </w:tcPr>
          <w:p>
            <w:pPr>
              <w:ind w:left="100"/>
              <w:spacing w:after="0"/>
              <w:rPr>
                <w:sz w:val="20"/>
                <w:szCs w:val="20"/>
                <w:color w:val="auto"/>
              </w:rPr>
            </w:pPr>
            <w:r>
              <w:rPr>
                <w:rFonts w:ascii="Arial" w:cs="Arial" w:eastAsia="Arial" w:hAnsi="Arial"/>
                <w:sz w:val="14"/>
                <w:szCs w:val="14"/>
                <w:color w:val="auto"/>
              </w:rPr>
              <w:t>New vehicle inventory turnover</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color w:val="auto"/>
              </w:rPr>
              <w:t>(0.1)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Used vehicle inventory turnover</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(0.2)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00" w:type="dxa"/>
            <w:vAlign w:val="bottom"/>
            <w:gridSpan w:val="16"/>
            <w:shd w:val="clear" w:color="auto" w:fill="CCEEFF"/>
          </w:tcPr>
          <w:p>
            <w:pPr>
              <w:ind w:left="20"/>
              <w:spacing w:after="0" w:line="149" w:lineRule="exact"/>
              <w:rPr>
                <w:sz w:val="20"/>
                <w:szCs w:val="20"/>
                <w:color w:val="auto"/>
              </w:rPr>
            </w:pPr>
            <w:r>
              <w:rPr>
                <w:rFonts w:ascii="Arial" w:cs="Arial" w:eastAsia="Arial" w:hAnsi="Arial"/>
                <w:sz w:val="14"/>
                <w:szCs w:val="14"/>
                <w:color w:val="auto"/>
              </w:rPr>
              <w:t>Other data</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gridSpan w:val="15"/>
          </w:tcPr>
          <w:p>
            <w:pPr>
              <w:ind w:left="100"/>
              <w:spacing w:after="0" w:line="189" w:lineRule="exact"/>
              <w:rPr>
                <w:sz w:val="20"/>
                <w:szCs w:val="20"/>
                <w:color w:val="auto"/>
              </w:rPr>
            </w:pPr>
            <w:r>
              <w:rPr>
                <w:rFonts w:ascii="Arial" w:cs="Arial" w:eastAsia="Arial" w:hAnsi="Arial"/>
                <w:sz w:val="14"/>
                <w:szCs w:val="14"/>
                <w:color w:val="auto"/>
              </w:rPr>
              <w:t>Active Customers</w:t>
            </w:r>
            <w:r>
              <w:rPr>
                <w:rFonts w:ascii="Arial" w:cs="Arial" w:eastAsia="Arial" w:hAnsi="Arial"/>
                <w:sz w:val="21"/>
                <w:szCs w:val="21"/>
                <w:color w:val="auto"/>
                <w:vertAlign w:val="superscript"/>
              </w:rPr>
              <w:t>(4)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4,207,712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4,487,313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color w:val="auto"/>
              </w:rPr>
              <w:t>(279,601)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15"/>
            <w:shd w:val="clear" w:color="auto" w:fill="CCEEFF"/>
          </w:tcPr>
          <w:p>
            <w:pPr>
              <w:ind w:left="100"/>
              <w:spacing w:after="0" w:line="189" w:lineRule="exact"/>
              <w:rPr>
                <w:sz w:val="20"/>
                <w:szCs w:val="20"/>
                <w:color w:val="auto"/>
              </w:rPr>
            </w:pPr>
            <w:r>
              <w:rPr>
                <w:rFonts w:ascii="Arial" w:cs="Arial" w:eastAsia="Arial" w:hAnsi="Arial"/>
                <w:sz w:val="14"/>
                <w:szCs w:val="14"/>
                <w:color w:val="auto"/>
              </w:rPr>
              <w:t>Good Sam Club members</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1,619,078</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1,753,798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(134,720)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gridSpan w:val="15"/>
          </w:tcPr>
          <w:p>
            <w:pPr>
              <w:ind w:left="100"/>
              <w:spacing w:after="0" w:line="189" w:lineRule="exact"/>
              <w:rPr>
                <w:sz w:val="20"/>
                <w:szCs w:val="20"/>
                <w:color w:val="auto"/>
              </w:rPr>
            </w:pPr>
            <w:r>
              <w:rPr>
                <w:rFonts w:ascii="Arial" w:cs="Arial" w:eastAsia="Arial" w:hAnsi="Arial"/>
                <w:sz w:val="14"/>
                <w:szCs w:val="14"/>
                <w:color w:val="auto"/>
              </w:rPr>
              <w:t>Service bays</w:t>
            </w:r>
            <w:r>
              <w:rPr>
                <w:rFonts w:ascii="Arial" w:cs="Arial" w:eastAsia="Arial" w:hAnsi="Arial"/>
                <w:sz w:val="21"/>
                <w:szCs w:val="21"/>
                <w:color w:val="auto"/>
                <w:vertAlign w:val="superscript"/>
              </w:rPr>
              <w:t>(6)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2,794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2,812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color w:val="auto"/>
              </w:rPr>
              <w:t>(18)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Finance and insurance gross profit as a % of total vehicle revenue</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bps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80" w:type="dxa"/>
            <w:vAlign w:val="bottom"/>
            <w:gridSpan w:val="15"/>
          </w:tcPr>
          <w:p>
            <w:pPr>
              <w:ind w:left="100"/>
              <w:spacing w:after="0"/>
              <w:rPr>
                <w:sz w:val="20"/>
                <w:szCs w:val="20"/>
                <w:color w:val="auto"/>
              </w:rPr>
            </w:pPr>
            <w:r>
              <w:rPr>
                <w:rFonts w:ascii="Arial" w:cs="Arial" w:eastAsia="Arial" w:hAnsi="Arial"/>
                <w:sz w:val="14"/>
                <w:szCs w:val="14"/>
                <w:color w:val="auto"/>
              </w:rPr>
              <w:t>Same store locations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n/a</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Arial" w:cs="Arial" w:eastAsia="Arial" w:hAnsi="Arial"/>
          <w:sz w:val="14"/>
          <w:szCs w:val="14"/>
          <w:color w:val="auto"/>
        </w:rPr>
        <w:t>unch -unchanged</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4"/>
          <w:szCs w:val="14"/>
          <w:color w:val="auto"/>
        </w:rPr>
        <w:t>bps- basis points</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 not applicable</w:t>
      </w:r>
    </w:p>
    <w:p>
      <w:pPr>
        <w:spacing w:after="0" w:line="262" w:lineRule="exact"/>
        <w:rPr>
          <w:sz w:val="20"/>
          <w:szCs w:val="20"/>
          <w:color w:val="auto"/>
        </w:rPr>
      </w:pPr>
    </w:p>
    <w:p>
      <w:pPr>
        <w:ind w:left="380" w:right="79" w:hanging="330"/>
        <w:spacing w:after="0" w:line="264" w:lineRule="auto"/>
        <w:tabs>
          <w:tab w:leader="none" w:pos="380" w:val="left"/>
        </w:tabs>
        <w:numPr>
          <w:ilvl w:val="0"/>
          <w:numId w:val="34"/>
        </w:numPr>
        <w:rPr>
          <w:rFonts w:ascii="Arial" w:cs="Arial" w:eastAsia="Arial" w:hAnsi="Arial"/>
          <w:sz w:val="11"/>
          <w:szCs w:val="11"/>
          <w:color w:val="auto"/>
        </w:rPr>
      </w:pPr>
      <w:r>
        <w:rPr>
          <w:rFonts w:ascii="Arial" w:cs="Arial" w:eastAsia="Arial" w:hAnsi="Arial"/>
          <w:sz w:val="13"/>
          <w:szCs w:val="13"/>
          <w:color w:val="auto"/>
        </w:rPr>
        <w:t>Our same store revenue and units calculations for a given period include only those stores that were open both at the end of the corresponding period and at the beginning of the preceding fiscal year.</w:t>
      </w:r>
    </w:p>
    <w:p>
      <w:pPr>
        <w:spacing w:after="0" w:line="22" w:lineRule="exact"/>
        <w:rPr>
          <w:rFonts w:ascii="Arial" w:cs="Arial" w:eastAsia="Arial" w:hAnsi="Arial"/>
          <w:sz w:val="11"/>
          <w:szCs w:val="11"/>
          <w:color w:val="auto"/>
        </w:rPr>
      </w:pPr>
    </w:p>
    <w:p>
      <w:pPr>
        <w:ind w:left="380" w:right="79" w:hanging="330"/>
        <w:spacing w:after="0" w:line="264" w:lineRule="auto"/>
        <w:tabs>
          <w:tab w:leader="none" w:pos="380" w:val="left"/>
        </w:tabs>
        <w:numPr>
          <w:ilvl w:val="0"/>
          <w:numId w:val="34"/>
        </w:numPr>
        <w:rPr>
          <w:rFonts w:ascii="Arial" w:cs="Arial" w:eastAsia="Arial" w:hAnsi="Arial"/>
          <w:sz w:val="11"/>
          <w:szCs w:val="11"/>
          <w:color w:val="auto"/>
        </w:rPr>
      </w:pPr>
      <w:r>
        <w:rPr>
          <w:rFonts w:ascii="Arial" w:cs="Arial" w:eastAsia="Arial" w:hAnsi="Arial"/>
          <w:sz w:val="13"/>
          <w:szCs w:val="13"/>
          <w:color w:val="auto"/>
        </w:rPr>
        <w:t>Front end yield is calculated as gross profit from new vehicles, used vehicles and finance and insurance (net), divided by combined new and used vehicle unit sales.</w:t>
      </w:r>
    </w:p>
    <w:p>
      <w:pPr>
        <w:spacing w:after="0" w:line="76" w:lineRule="exact"/>
        <w:rPr>
          <w:rFonts w:ascii="Arial" w:cs="Arial" w:eastAsia="Arial" w:hAnsi="Arial"/>
          <w:sz w:val="11"/>
          <w:szCs w:val="11"/>
          <w:color w:val="auto"/>
        </w:rPr>
      </w:pPr>
    </w:p>
    <w:p>
      <w:pPr>
        <w:ind w:left="380" w:right="79" w:hanging="330"/>
        <w:spacing w:after="0" w:line="264" w:lineRule="auto"/>
        <w:tabs>
          <w:tab w:leader="none" w:pos="380" w:val="left"/>
        </w:tabs>
        <w:numPr>
          <w:ilvl w:val="0"/>
          <w:numId w:val="34"/>
        </w:numPr>
        <w:rPr>
          <w:rFonts w:ascii="Arial" w:cs="Arial" w:eastAsia="Arial" w:hAnsi="Arial"/>
          <w:sz w:val="11"/>
          <w:szCs w:val="11"/>
          <w:color w:val="auto"/>
        </w:rPr>
      </w:pPr>
      <w:r>
        <w:rPr>
          <w:rFonts w:ascii="Arial" w:cs="Arial" w:eastAsia="Arial" w:hAnsi="Arial"/>
          <w:sz w:val="13"/>
          <w:szCs w:val="13"/>
          <w:color w:val="auto"/>
        </w:rPr>
        <w:t>Inventory turnover is calculated as vehicle costs applicable to revenue over the last twelve months divided by the average quarterly ending vehicle inventory over the last twelve months.</w:t>
      </w:r>
    </w:p>
    <w:p>
      <w:pPr>
        <w:spacing w:after="0" w:line="22" w:lineRule="exact"/>
        <w:rPr>
          <w:rFonts w:ascii="Arial" w:cs="Arial" w:eastAsia="Arial" w:hAnsi="Arial"/>
          <w:sz w:val="11"/>
          <w:szCs w:val="11"/>
          <w:color w:val="auto"/>
        </w:rPr>
      </w:pPr>
    </w:p>
    <w:p>
      <w:pPr>
        <w:ind w:left="380" w:right="79" w:hanging="330"/>
        <w:spacing w:after="0" w:line="264" w:lineRule="auto"/>
        <w:tabs>
          <w:tab w:leader="none" w:pos="380" w:val="left"/>
        </w:tabs>
        <w:numPr>
          <w:ilvl w:val="0"/>
          <w:numId w:val="34"/>
        </w:numPr>
        <w:rPr>
          <w:rFonts w:ascii="Arial" w:cs="Arial" w:eastAsia="Arial" w:hAnsi="Arial"/>
          <w:sz w:val="11"/>
          <w:szCs w:val="11"/>
          <w:color w:val="auto"/>
        </w:rPr>
      </w:pPr>
      <w:r>
        <w:rPr>
          <w:rFonts w:ascii="Arial" w:cs="Arial" w:eastAsia="Arial" w:hAnsi="Arial"/>
          <w:sz w:val="13"/>
          <w:szCs w:val="13"/>
          <w:color w:val="auto"/>
        </w:rPr>
        <w:t>An Active Customer is a customer who has transacted with us in any of the eight most recently completed fiscal quarters prior to the date of measurement.</w:t>
      </w:r>
    </w:p>
    <w:p>
      <w:pPr>
        <w:spacing w:after="0" w:line="22" w:lineRule="exact"/>
        <w:rPr>
          <w:rFonts w:ascii="Arial" w:cs="Arial" w:eastAsia="Arial" w:hAnsi="Arial"/>
          <w:sz w:val="11"/>
          <w:szCs w:val="11"/>
          <w:color w:val="auto"/>
        </w:rPr>
      </w:pPr>
    </w:p>
    <w:p>
      <w:pPr>
        <w:ind w:left="380" w:right="79" w:hanging="330"/>
        <w:spacing w:after="0" w:line="264" w:lineRule="auto"/>
        <w:tabs>
          <w:tab w:leader="none" w:pos="380" w:val="left"/>
        </w:tabs>
        <w:numPr>
          <w:ilvl w:val="0"/>
          <w:numId w:val="34"/>
        </w:numPr>
        <w:rPr>
          <w:rFonts w:ascii="Arial" w:cs="Arial" w:eastAsia="Arial" w:hAnsi="Arial"/>
          <w:sz w:val="11"/>
          <w:szCs w:val="11"/>
          <w:color w:val="auto"/>
        </w:rPr>
      </w:pPr>
      <w:r>
        <w:rPr>
          <w:rFonts w:ascii="Arial" w:cs="Arial" w:eastAsia="Arial" w:hAnsi="Arial"/>
          <w:sz w:val="13"/>
          <w:szCs w:val="13"/>
          <w:color w:val="auto"/>
        </w:rPr>
        <w:t>Excludes Good Sam Club members under the free basic plan, which was introduced in November 2023 and provides for limited participation in the loyalty point program without access to the remaining member benefits.</w:t>
      </w:r>
    </w:p>
    <w:p>
      <w:pPr>
        <w:spacing w:after="0" w:line="22" w:lineRule="exact"/>
        <w:rPr>
          <w:rFonts w:ascii="Arial" w:cs="Arial" w:eastAsia="Arial" w:hAnsi="Arial"/>
          <w:sz w:val="11"/>
          <w:szCs w:val="11"/>
          <w:color w:val="auto"/>
        </w:rPr>
      </w:pPr>
    </w:p>
    <w:p>
      <w:pPr>
        <w:ind w:left="380" w:hanging="330"/>
        <w:spacing w:after="0"/>
        <w:tabs>
          <w:tab w:leader="none" w:pos="380" w:val="left"/>
        </w:tabs>
        <w:numPr>
          <w:ilvl w:val="0"/>
          <w:numId w:val="34"/>
        </w:numPr>
        <w:rPr>
          <w:rFonts w:ascii="Arial" w:cs="Arial" w:eastAsia="Arial" w:hAnsi="Arial"/>
          <w:sz w:val="11"/>
          <w:szCs w:val="11"/>
          <w:color w:val="auto"/>
        </w:rPr>
      </w:pPr>
      <w:r>
        <w:rPr>
          <w:rFonts w:ascii="Arial" w:cs="Arial" w:eastAsia="Arial" w:hAnsi="Arial"/>
          <w:sz w:val="13"/>
          <w:szCs w:val="13"/>
          <w:color w:val="auto"/>
        </w:rPr>
        <w:t>A service bay is a fully-constructed bay dedicated to service, installation, and/or collision offerings.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Revenue and Gross Profit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 Sam Services and Plans</w:t>
      </w:r>
    </w:p>
    <w:p>
      <w:pPr>
        <w:spacing w:after="0" w:line="237"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8"/>
          <w:szCs w:val="18"/>
          <w:color w:val="auto"/>
        </w:rPr>
        <w:t>Good Sam Services and Plans revenue increased primarily from increased Good Sam branded extended vehicle warranty program sales through retail finance and insurance offerings and increased marketing fee revenue from our Good Sam branded vehicle insurance programs.</w:t>
      </w:r>
    </w:p>
    <w:p>
      <w:pPr>
        <w:spacing w:after="0" w:line="170" w:lineRule="exact"/>
        <w:rPr>
          <w:sz w:val="20"/>
          <w:szCs w:val="20"/>
          <w:color w:val="auto"/>
        </w:rPr>
      </w:pPr>
    </w:p>
    <w:p>
      <w:pPr>
        <w:jc w:val="both"/>
        <w:ind w:left="60" w:right="59" w:firstLine="648"/>
        <w:spacing w:after="0" w:line="278" w:lineRule="auto"/>
        <w:rPr>
          <w:sz w:val="20"/>
          <w:szCs w:val="20"/>
          <w:color w:val="auto"/>
        </w:rPr>
      </w:pPr>
      <w:r>
        <w:rPr>
          <w:rFonts w:ascii="Arial" w:cs="Arial" w:eastAsia="Arial" w:hAnsi="Arial"/>
          <w:sz w:val="18"/>
          <w:szCs w:val="18"/>
          <w:color w:val="auto"/>
        </w:rPr>
        <w:t>Good Sam Services and Plans gross profit and margin decreased primarily due to incremental roadside assistance claims costs in 2025, and incremental costs associated with our tire rescue roadside assistance business purchased in June 2024, partially offset by increased Good Sam branded extended vehicle warranty program sales through retail finance and insurance offerings.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RV and Outdoor Retail</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vehicles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New vehicles revenue decreased primarily due to a 7.5% decrease in the average selling price per new vehicle sold, partially offset by a 5.6% increase in the new vehicles unit sales. On a same store basis, new vehicles revenue decreased 2.0% to $2.5 billion resulting from an 8.4% decrease in the average price per vehicle sold which was impacted by the mix shift toward more inexpensive entry level travel trailers, partially offset by a 6.9% increase in new vehicles units sold.</w:t>
      </w:r>
    </w:p>
    <w:p>
      <w:pPr>
        <w:spacing w:after="0" w:line="196" w:lineRule="exact"/>
        <w:rPr>
          <w:sz w:val="20"/>
          <w:szCs w:val="20"/>
          <w:color w:val="auto"/>
        </w:rPr>
      </w:pPr>
    </w:p>
    <w:p>
      <w:pPr>
        <w:jc w:val="both"/>
        <w:ind w:left="60" w:right="59" w:firstLine="648"/>
        <w:spacing w:after="0" w:line="278" w:lineRule="auto"/>
        <w:rPr>
          <w:sz w:val="20"/>
          <w:szCs w:val="20"/>
          <w:color w:val="auto"/>
        </w:rPr>
      </w:pPr>
      <w:r>
        <w:rPr>
          <w:rFonts w:ascii="Arial" w:cs="Arial" w:eastAsia="Arial" w:hAnsi="Arial"/>
          <w:sz w:val="18"/>
          <w:szCs w:val="18"/>
          <w:color w:val="auto"/>
        </w:rPr>
        <w:t>New vehicles gross profit decreased primarily due to a 120 basis point decrease in new vehicles gross margin, which was partially offset by the 5.6% increase in new vehicles unit sales. The new vehicles gross margin decrease was primarily driven by the 7.5% decrease in the average selling price per new vehicle sold, partially offset by a 6.2% reduction in the average cost per new vehicle sold.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Used vehicles</w:t>
      </w:r>
    </w:p>
    <w:p>
      <w:pPr>
        <w:spacing w:after="0" w:line="239" w:lineRule="exact"/>
        <w:rPr>
          <w:sz w:val="20"/>
          <w:szCs w:val="20"/>
          <w:color w:val="auto"/>
        </w:rPr>
      </w:pPr>
    </w:p>
    <w:p>
      <w:pPr>
        <w:jc w:val="both"/>
        <w:ind w:left="60" w:right="59" w:firstLine="648"/>
        <w:spacing w:after="0" w:line="278" w:lineRule="auto"/>
        <w:rPr>
          <w:sz w:val="20"/>
          <w:szCs w:val="20"/>
          <w:color w:val="auto"/>
        </w:rPr>
      </w:pPr>
      <w:r>
        <w:rPr>
          <w:rFonts w:ascii="Arial" w:cs="Arial" w:eastAsia="Arial" w:hAnsi="Arial"/>
          <w:sz w:val="18"/>
          <w:szCs w:val="18"/>
          <w:color w:val="auto"/>
        </w:rPr>
        <w:t>Used vehicles revenue increased primarily due to a 24.6% increase in used vehicles unit sales, partially offset by a 2.0% decrease in the average selling price per used vehicle sold. On a same store basis, used vehicles revenue increased 20.7% to $1.8 billion resulting from an increase in used vehicles unit sales of 24.3%, partially offset by a 2.9% decrease in average sales price per used vehicle sold.</w:t>
      </w:r>
    </w:p>
    <w:p>
      <w:pPr>
        <w:spacing w:after="0" w:line="175" w:lineRule="exact"/>
        <w:rPr>
          <w:sz w:val="20"/>
          <w:szCs w:val="20"/>
          <w:color w:val="auto"/>
        </w:rPr>
      </w:pPr>
    </w:p>
    <w:p>
      <w:pPr>
        <w:jc w:val="both"/>
        <w:ind w:left="60" w:right="79" w:firstLine="648"/>
        <w:spacing w:after="0" w:line="303" w:lineRule="auto"/>
        <w:rPr>
          <w:sz w:val="20"/>
          <w:szCs w:val="20"/>
          <w:color w:val="auto"/>
        </w:rPr>
      </w:pPr>
      <w:r>
        <w:rPr>
          <w:rFonts w:ascii="Arial" w:cs="Arial" w:eastAsia="Arial" w:hAnsi="Arial"/>
          <w:sz w:val="18"/>
          <w:szCs w:val="18"/>
          <w:color w:val="auto"/>
        </w:rPr>
        <w:t>Used vehicles gross profit increased primarily due to the 24.6% increase in used vehicles unit sales and a 14 basis point increase in used vehicles gross margin. The increase in used vehicles gross margin was</w:t>
      </w:r>
    </w:p>
    <w:p>
      <w:pPr>
        <w:sectPr>
          <w:pgSz w:w="11900" w:h="16838" w:orient="portrait"/>
          <w:cols w:equalWidth="0" w:num="1">
            <w:col w:w="9019"/>
          </w:cols>
          <w:pgMar w:left="1440" w:top="513" w:right="1440"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79"/>
        <w:spacing w:after="0" w:line="318" w:lineRule="auto"/>
        <w:rPr>
          <w:sz w:val="20"/>
          <w:szCs w:val="20"/>
          <w:color w:val="auto"/>
        </w:rPr>
      </w:pPr>
      <w:r>
        <w:rPr>
          <w:rFonts w:ascii="Arial" w:cs="Arial" w:eastAsia="Arial" w:hAnsi="Arial"/>
          <w:sz w:val="18"/>
          <w:szCs w:val="18"/>
          <w:color w:val="auto"/>
        </w:rPr>
        <w:t>primarily due to a 2.2% decrease in the average cost per used vehicle sold which was partially offset by a 2.0% decrease in the average price per used vehicle sold.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Products, service and other</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8"/>
          <w:szCs w:val="18"/>
          <w:color w:val="auto"/>
        </w:rPr>
        <w:t>Products, service and other revenue decreased primarily due to increased mix of labor towards used vehicle reconditioning and away from customer pay and warranty work as used vehicle sales volumes increased, and the divestiture of our RV furniture business in May 2024, which contributed $9.3 million of revenue outside of the RV furniture sold through our store locations in 2024. On a same store basis, products, service and other revenue decreased 6.7% to $609.4 million.</w:t>
      </w:r>
    </w:p>
    <w:p>
      <w:pPr>
        <w:spacing w:after="0" w:line="174" w:lineRule="exact"/>
        <w:rPr>
          <w:sz w:val="20"/>
          <w:szCs w:val="20"/>
          <w:color w:val="auto"/>
        </w:rPr>
      </w:pPr>
    </w:p>
    <w:p>
      <w:pPr>
        <w:jc w:val="both"/>
        <w:ind w:left="60" w:right="59" w:firstLine="648"/>
        <w:spacing w:after="0" w:line="278" w:lineRule="auto"/>
        <w:rPr>
          <w:sz w:val="20"/>
          <w:szCs w:val="20"/>
          <w:color w:val="auto"/>
        </w:rPr>
      </w:pPr>
      <w:r>
        <w:rPr>
          <w:rFonts w:ascii="Arial" w:cs="Arial" w:eastAsia="Arial" w:hAnsi="Arial"/>
          <w:sz w:val="18"/>
          <w:szCs w:val="18"/>
          <w:color w:val="auto"/>
        </w:rPr>
        <w:t>The slight decrease in products, service and other gross profit was due to the lower revenue discussed above, mostly offset by the 348 basis point increase in gross margins. The products, service and other gross margin increase was primarily driven by higher labor billing rates, improved gross margins on our aftermarket parts assortment, and the divestiture of the RV furniture business, which had a negative gross margin for 2024.</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Finance and insurance, net</w:t>
      </w:r>
    </w:p>
    <w:p>
      <w:pPr>
        <w:spacing w:after="0" w:line="23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8"/>
          <w:szCs w:val="18"/>
          <w:color w:val="auto"/>
        </w:rPr>
        <w:t>Finance and insurance revenue and gross profit is recorded net, since the Company is acting as an agent in the transaction, and commission is recognized when a finance and insurance product contract payment has been received or financing has been arranged. The finance and insurance, net revenue increase was primarily a result of an increased number of contracts sold resulting from a 13.6% increase in total vehicle unit sales and incremental revenue from new finance and insurance products, partially offset by a 6.2% decrease in total vehicle average selling price, since certain finance and insurance, net offerings correlate with the selling price of vehicles, and an unfavorable impact of $6.7 million from changes in the estimate of chargebacks based on actuarial analyses. Finance and insurance, net revenue as a percentage of new and used vehicle revenue was 13.5%, unchanged from the prior year. On a same store basis, finance and insurance, net revenue increased 7.4%.</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Sam Club</w:t>
      </w:r>
    </w:p>
    <w:p>
      <w:pPr>
        <w:spacing w:after="0" w:line="23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Good Sam Club revenue and gross profit had a decrease primarily from a 7.7% decrease in Good Sam Club members, excluding free basic plan members, increased club digital marketing expense to attract new members and retain existing members, and increased employee compensation costs. The decline in Good Sam Club members was a result of the availability of the free basic plan that was introduced in late 2023, which provides for limited participation in the loyalty point program without access to the remaining member benefits, price increases introduced by early 2024 that impacted renewal rates, and the discontinuation of a three-year membership that was replaced by a one-year elite tier membership with similar pricing.</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Expenses and Other</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SG&amp;A</w:t>
      </w:r>
    </w:p>
    <w:p>
      <w:pPr>
        <w:spacing w:after="0" w:line="23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8"/>
          <w:szCs w:val="18"/>
          <w:color w:val="auto"/>
        </w:rPr>
        <w:t>Selling, general and administrative expenses increased primarily due to a $22.6 million increase in stock-based compensation expense (“SBC”), a $12.5 million increase in outside service provider fees related primarily to software expenses and related maintenance expense; and an $11.4 million increase in commissions costs; partially offset by a $16.7 million decrease in employee cash compensation costs excluding commissions.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w:t>
      </w:r>
    </w:p>
    <w:p>
      <w:pPr>
        <w:spacing w:after="0" w:line="239" w:lineRule="exact"/>
        <w:rPr>
          <w:sz w:val="20"/>
          <w:szCs w:val="20"/>
          <w:color w:val="auto"/>
        </w:rPr>
      </w:pPr>
    </w:p>
    <w:p>
      <w:pPr>
        <w:jc w:val="both"/>
        <w:ind w:left="60" w:right="79" w:firstLine="648"/>
        <w:spacing w:after="0" w:line="284" w:lineRule="auto"/>
        <w:rPr>
          <w:sz w:val="20"/>
          <w:szCs w:val="20"/>
          <w:color w:val="auto"/>
        </w:rPr>
      </w:pPr>
      <w:r>
        <w:rPr>
          <w:rFonts w:ascii="Arial" w:cs="Arial" w:eastAsia="Arial" w:hAnsi="Arial"/>
          <w:sz w:val="18"/>
          <w:szCs w:val="18"/>
          <w:color w:val="auto"/>
        </w:rPr>
        <w:t>Depreciation and amortization increased primarily from accelerated depreciation on properties no longer in service and additional depreciation associated with incremental capital expenditures for existing dealership locations versus the prior year.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Long-lived asset impairment</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discussed in Note 5 – Restructuring and Long-Lived Asset Impairment to our consolidated financial statements included in Part II, Item 8 of this Form 10-K, we recognized $1.2 million and $15.1 million of long-lived asset impairment charges for the years ended December 31, 2025 and 2024, respectively, relating to decreases in market rental rates or market value of real property for closed locations, or based on the Company’s review of location performance in the normal course of business.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Gain on lease termination and/or remeasurement</w:t>
      </w:r>
    </w:p>
    <w:p>
      <w:pPr>
        <w:spacing w:after="0" w:line="21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recognized a $ 0.3 million decrease in gain on lease termination and/or lease remeasurement in 2025, which represented a decrease of $2.7 million from the derecognition of the operating lease assets and liabilities and other lease costs relating to the terminated leases net of cash payments to terminate those leases, partially offset by a $2.4 million gain on remeasurement of leases in connection with other extensions negotiated in 2025.</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(Gain) loss on sale or disposal of assets</w:t>
      </w:r>
    </w:p>
    <w:p>
      <w:pPr>
        <w:spacing w:after="0" w:line="239" w:lineRule="exact"/>
        <w:rPr>
          <w:sz w:val="20"/>
          <w:szCs w:val="20"/>
          <w:color w:val="auto"/>
        </w:rPr>
      </w:pPr>
    </w:p>
    <w:p>
      <w:pPr>
        <w:jc w:val="both"/>
        <w:ind w:left="60" w:right="59" w:firstLine="648"/>
        <w:spacing w:after="0" w:line="278" w:lineRule="auto"/>
        <w:rPr>
          <w:sz w:val="20"/>
          <w:szCs w:val="20"/>
          <w:color w:val="auto"/>
        </w:rPr>
      </w:pPr>
      <w:r>
        <w:rPr>
          <w:rFonts w:ascii="Arial" w:cs="Arial" w:eastAsia="Arial" w:hAnsi="Arial"/>
          <w:sz w:val="18"/>
          <w:szCs w:val="18"/>
          <w:color w:val="auto"/>
        </w:rPr>
        <w:t>The change in (gain) loss on sale or disposal of assets was driven primarily by the divestiture of our RV furniture business in 2024 that resulted in a loss of $7.1 million (see Note 6 – Assets Held for Sale and Business Divestiture to our consolidated financial statements included in Part II, Item 8 of this Form 10-K), as well as a reduction in loss on sale or disposal of various assets in RV and Outdoor Retail segment.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Floor plan interest expense</w:t>
      </w:r>
    </w:p>
    <w:p>
      <w:pPr>
        <w:spacing w:after="0" w:line="239"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8"/>
          <w:szCs w:val="18"/>
          <w:color w:val="auto"/>
        </w:rPr>
        <w:t>The decrease in floor plan interest expense was primarily due to a 128 basis point decrease in the average floor plan borrowing rate. The average interest rate for the Floor Plan Facility for the years ended December 31, 2025 and 2024 was 6.35% and 7.63%, respectively.</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interest expense, net</w:t>
      </w:r>
    </w:p>
    <w:p>
      <w:pPr>
        <w:spacing w:after="0" w:line="23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8"/>
          <w:szCs w:val="18"/>
          <w:color w:val="auto"/>
        </w:rPr>
        <w:t>Other interest expense, net decreased primarily due to a 93 basis point decrease in the Term Loan Facility average interest rate, and lower average principal balances on the Company’s Term Loan Facility and Real Estate Facilities (see Note 10 – Long-Term Debt to our consolidated financial statements included in Part II, Item 8 of this Form 10-K). The average interest rate for the Term Loan Facility for the years ended December 31, 2025 and 2024 was 6.87% and 7.80%, respectively. The average interest rate on the M&amp;T Real Estate Facility for years ended December 31, 2025 and 2024 was 6.78% and 7.45%, respectively.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Tax Receivable Agreement Liability adjustment</w:t>
      </w:r>
    </w:p>
    <w:p>
      <w:pPr>
        <w:spacing w:after="0" w:line="23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8"/>
          <w:szCs w:val="18"/>
          <w:color w:val="auto"/>
        </w:rPr>
        <w:t>The increase in Tax Receivable Agreement liability adjustment was based on the change in the determination of the realizability of future cash tax benefits underlying the estimate of future payments under the Tax Receivable Agreement during the year ended December 31, 2025, which resulted in a remaining Tax Receivable Agreement liability of $1.4 million as of December 31, 2025. See Note 12 ― Income Taxes to our consolidated financial statements included in Part II, Item 8 of this Form 10-K for further details.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expense, net</w:t>
      </w:r>
    </w:p>
    <w:p>
      <w:pPr>
        <w:spacing w:after="0" w:line="239"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8"/>
          <w:szCs w:val="18"/>
          <w:color w:val="auto"/>
        </w:rPr>
        <w:t>Other expense, net increased primarily due to $3.0 million higher losses recognized on investments in equity securities and an additional credit loss of $4.1 million related to notes receivable associated with those investments in equity securities.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(expense) benefit</w:t>
      </w:r>
    </w:p>
    <w:p>
      <w:pPr>
        <w:spacing w:after="0" w:line="239"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8"/>
          <w:szCs w:val="18"/>
          <w:color w:val="auto"/>
        </w:rPr>
        <w:t>The change in income tax (expense) benefit was primarily due to $182.8 million of income tax expense for establishing a full valuation allowance against the net deferred tax assets of the public holding company, CWH, during the year ended December 31, 2025 and $37.3 million of income tax expense for the remeasurement of deferred tax assets associated with the reduction of the Tax Receivable Agreement liability, as discussed above. See Note 12 ― Income Taxes to our consolidated financial statements included in Part II, Item 8 of this Form 10-K for further details.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Segment Results</w:t>
      </w:r>
    </w:p>
    <w:p>
      <w:pPr>
        <w:spacing w:after="0" w:line="21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 following tables set forth information comparing select components of Segment Adjusted EBITDA for the years ended December 31, 2025 and 2024 (see Note 23 — Segment Information of our consolidated financial statements included in Part II, Item 8 of this Form 10-K for additional information on our segments).</w:t>
      </w: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tcPr>
          <w:p>
            <w:pPr>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2025</w:t>
            </w: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right"/>
              <w:ind w:right="368"/>
              <w:spacing w:after="0"/>
              <w:rPr>
                <w:sz w:val="20"/>
                <w:szCs w:val="20"/>
                <w:color w:val="auto"/>
              </w:rPr>
            </w:pPr>
            <w:r>
              <w:rPr>
                <w:rFonts w:ascii="Arial" w:cs="Arial" w:eastAsia="Arial" w:hAnsi="Arial"/>
                <w:sz w:val="12"/>
                <w:szCs w:val="12"/>
                <w:b w:val="1"/>
                <w:bCs w:val="1"/>
                <w:color w:val="auto"/>
              </w:rPr>
              <w:t>Favorable /</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00" w:type="dxa"/>
            <w:vAlign w:val="bottom"/>
            <w:gridSpan w:val="2"/>
            <w:vMerge w:val="restart"/>
          </w:tcPr>
          <w:p>
            <w:pPr>
              <w:jc w:val="right"/>
              <w:ind w:right="8"/>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b w:val="1"/>
                <w:bCs w:val="1"/>
                <w:color w:val="auto"/>
              </w:rPr>
              <w:t>Percent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b w:val="1"/>
                <w:bCs w:val="1"/>
                <w:color w:val="auto"/>
              </w:rPr>
              <w:t>Percent of</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240"/>
              <w:spacing w:after="0"/>
              <w:rPr>
                <w:sz w:val="20"/>
                <w:szCs w:val="20"/>
                <w:color w:val="auto"/>
              </w:rPr>
            </w:pPr>
            <w:r>
              <w:rPr>
                <w:rFonts w:ascii="Arial" w:cs="Arial" w:eastAsia="Arial" w:hAnsi="Arial"/>
                <w:sz w:val="12"/>
                <w:szCs w:val="12"/>
                <w:b w:val="1"/>
                <w:bCs w:val="1"/>
                <w:color w:val="auto"/>
              </w:rPr>
              <w:t>(Unfavorable)</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60" w:type="dxa"/>
            <w:vAlign w:val="bottom"/>
            <w:gridSpan w:val="2"/>
          </w:tcPr>
          <w:p>
            <w:pPr>
              <w:spacing w:after="0"/>
              <w:rPr>
                <w:sz w:val="20"/>
                <w:szCs w:val="20"/>
                <w:color w:val="auto"/>
              </w:rPr>
            </w:pPr>
            <w:r>
              <w:rPr>
                <w:rFonts w:ascii="Arial" w:cs="Arial" w:eastAsia="Arial" w:hAnsi="Arial"/>
                <w:sz w:val="11"/>
                <w:szCs w:val="11"/>
                <w:color w:val="auto"/>
              </w:rPr>
              <w:t>($ in thousands)</w:t>
            </w:r>
          </w:p>
        </w:tc>
        <w:tc>
          <w:tcPr>
            <w:tcW w:w="300" w:type="dxa"/>
            <w:vAlign w:val="bottom"/>
            <w:gridSpan w:val="2"/>
            <w:vMerge w:val="continue"/>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 Revenue</w:t>
            </w:r>
          </w:p>
        </w:tc>
        <w:tc>
          <w:tcPr>
            <w:tcW w:w="240" w:type="dxa"/>
            <w:vAlign w:val="bottom"/>
            <w:gridSpan w:val="2"/>
          </w:tcPr>
          <w:p>
            <w:pPr>
              <w:jc w:val="right"/>
              <w:ind w:right="28"/>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jc w:val="right"/>
              <w:spacing w:after="0"/>
              <w:rPr>
                <w:sz w:val="20"/>
                <w:szCs w:val="20"/>
                <w:color w:val="auto"/>
              </w:rPr>
            </w:pPr>
            <w:r>
              <w:rPr>
                <w:rFonts w:ascii="Arial" w:cs="Arial" w:eastAsia="Arial" w:hAnsi="Arial"/>
                <w:sz w:val="12"/>
                <w:szCs w:val="12"/>
                <w:b w:val="1"/>
                <w:bCs w:val="1"/>
                <w:color w:val="auto"/>
              </w:rPr>
              <w:t>​​​ Revenue</w:t>
            </w:r>
          </w:p>
        </w:tc>
        <w:tc>
          <w:tcPr>
            <w:tcW w:w="240" w:type="dxa"/>
            <w:vAlign w:val="bottom"/>
            <w:gridSpan w:val="2"/>
          </w:tcPr>
          <w:p>
            <w:pPr>
              <w:jc w:val="right"/>
              <w:ind w:right="28"/>
              <w:spacing w:after="0"/>
              <w:rPr>
                <w:sz w:val="20"/>
                <w:szCs w:val="20"/>
                <w:color w:val="auto"/>
              </w:rPr>
            </w:pPr>
            <w:r>
              <w:rPr>
                <w:rFonts w:ascii="Arial" w:cs="Arial" w:eastAsia="Arial" w:hAnsi="Arial"/>
                <w:sz w:val="12"/>
                <w:szCs w:val="12"/>
                <w:b w:val="1"/>
                <w:bCs w:val="1"/>
                <w:color w:val="auto"/>
              </w:rPr>
              <w:t>​​​</w:t>
            </w:r>
          </w:p>
        </w:tc>
        <w:tc>
          <w:tcPr>
            <w:tcW w:w="660" w:type="dxa"/>
            <w:vAlign w:val="bottom"/>
          </w:tcPr>
          <w:p>
            <w:pPr>
              <w:ind w:left="24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tcPr>
          <w:p>
            <w:pPr>
              <w:jc w:val="right"/>
              <w:ind w:right="168"/>
              <w:spacing w:after="0"/>
              <w:rPr>
                <w:sz w:val="20"/>
                <w:szCs w:val="20"/>
                <w:color w:val="auto"/>
              </w:rPr>
            </w:pPr>
            <w:r>
              <w:rPr>
                <w:rFonts w:ascii="Arial" w:cs="Arial" w:eastAsia="Arial" w:hAnsi="Arial"/>
                <w:sz w:val="12"/>
                <w:szCs w:val="12"/>
                <w:b w:val="1"/>
                <w:bCs w:val="1"/>
                <w:color w:val="auto"/>
              </w:rPr>
              <w:t>​​​   %</w:t>
            </w:r>
          </w:p>
        </w:tc>
        <w:tc>
          <w:tcPr>
            <w:tcW w:w="1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Good Sam Services and Plans:</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tcPr>
          <w:p>
            <w:pPr>
              <w:ind w:left="80"/>
              <w:spacing w:after="0"/>
              <w:rPr>
                <w:sz w:val="20"/>
                <w:szCs w:val="20"/>
                <w:color w:val="auto"/>
              </w:rPr>
            </w:pPr>
            <w:r>
              <w:rPr>
                <w:rFonts w:ascii="Arial" w:cs="Arial" w:eastAsia="Arial" w:hAnsi="Arial"/>
                <w:sz w:val="14"/>
                <w:szCs w:val="14"/>
                <w:color w:val="auto"/>
              </w:rPr>
              <w:t>Revenue: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External 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199,751</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194,575</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tcPr>
          <w:p>
            <w:pPr>
              <w:ind w:left="200"/>
              <w:spacing w:after="0" w:line="189" w:lineRule="exact"/>
              <w:rPr>
                <w:sz w:val="20"/>
                <w:szCs w:val="20"/>
                <w:color w:val="auto"/>
              </w:rPr>
            </w:pPr>
            <w:r>
              <w:rPr>
                <w:rFonts w:ascii="Arial" w:cs="Arial" w:eastAsia="Arial" w:hAnsi="Arial"/>
                <w:sz w:val="14"/>
                <w:szCs w:val="14"/>
                <w:color w:val="auto"/>
              </w:rPr>
              <w:t>Intersegment revenue</w:t>
            </w:r>
            <w:r>
              <w:rPr>
                <w:rFonts w:ascii="Arial" w:cs="Arial" w:eastAsia="Arial" w:hAnsi="Arial"/>
                <w:sz w:val="21"/>
                <w:szCs w:val="21"/>
                <w:color w:val="auto"/>
                <w:vertAlign w:val="superscript"/>
              </w:rPr>
              <w:t>(1)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1,181</w:t>
            </w:r>
          </w:p>
        </w:tc>
        <w:tc>
          <w:tcPr>
            <w:tcW w:w="60" w:type="dxa"/>
            <w:vAlign w:val="bottom"/>
          </w:tcPr>
          <w:p>
            <w:pPr>
              <w:spacing w:after="0"/>
              <w:rPr>
                <w:sz w:val="16"/>
                <w:szCs w:val="16"/>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1,055</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126</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revenue before intersegment eliminations</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200,932</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195,630</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5,302</w:t>
            </w: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Segment expenses: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tcPr>
          <w:p>
            <w:pPr>
              <w:ind w:left="200"/>
              <w:spacing w:after="0" w:line="189" w:lineRule="exact"/>
              <w:rPr>
                <w:sz w:val="20"/>
                <w:szCs w:val="20"/>
                <w:color w:val="auto"/>
              </w:rPr>
            </w:pPr>
            <w:r>
              <w:rPr>
                <w:rFonts w:ascii="Arial" w:cs="Arial" w:eastAsia="Arial" w:hAnsi="Arial"/>
                <w:sz w:val="14"/>
                <w:szCs w:val="14"/>
                <w:color w:val="auto"/>
              </w:rPr>
              <w:t>Adjusted costs applicable to revenue</w:t>
            </w:r>
            <w:r>
              <w:rPr>
                <w:rFonts w:ascii="Arial" w:cs="Arial" w:eastAsia="Arial" w:hAnsi="Arial"/>
                <w:sz w:val="21"/>
                <w:szCs w:val="21"/>
                <w:color w:val="auto"/>
                <w:vertAlign w:val="superscript"/>
              </w:rPr>
              <w:t>(2)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84,082</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70,557</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(13,525)</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(19.2%)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shd w:val="clear" w:color="auto" w:fill="CCEEFF"/>
          </w:tcPr>
          <w:p>
            <w:pPr>
              <w:ind w:left="200"/>
              <w:spacing w:after="0" w:line="189" w:lineRule="exact"/>
              <w:rPr>
                <w:sz w:val="20"/>
                <w:szCs w:val="20"/>
                <w:color w:val="auto"/>
              </w:rPr>
            </w:pPr>
            <w:r>
              <w:rPr>
                <w:rFonts w:ascii="Arial" w:cs="Arial" w:eastAsia="Arial" w:hAnsi="Arial"/>
                <w:sz w:val="14"/>
                <w:szCs w:val="14"/>
                <w:color w:val="auto"/>
              </w:rPr>
              <w:t>Intersegment costs applicable to revenue</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tcPr>
          <w:p>
            <w:pPr>
              <w:ind w:left="200"/>
              <w:spacing w:after="0" w:line="189" w:lineRule="exact"/>
              <w:rPr>
                <w:sz w:val="20"/>
                <w:szCs w:val="20"/>
                <w:color w:val="auto"/>
              </w:rPr>
            </w:pPr>
            <w:r>
              <w:rPr>
                <w:rFonts w:ascii="Arial" w:cs="Arial" w:eastAsia="Arial" w:hAnsi="Arial"/>
                <w:sz w:val="14"/>
                <w:szCs w:val="14"/>
                <w:color w:val="auto"/>
              </w:rPr>
              <w:t>Adjusted selling, general and administrative</w:t>
            </w:r>
            <w:r>
              <w:rPr>
                <w:rFonts w:ascii="Arial" w:cs="Arial" w:eastAsia="Arial" w:hAnsi="Arial"/>
                <w:sz w:val="21"/>
                <w:szCs w:val="21"/>
                <w:color w:val="auto"/>
                <w:vertAlign w:val="superscript"/>
              </w:rPr>
              <w:t>(4)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30,432</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29,774</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4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Segment Adjusted EBITDA</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85,676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94,515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RV and Outdoor Retail:</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tcPr>
          <w:p>
            <w:pPr>
              <w:ind w:left="80"/>
              <w:spacing w:after="0"/>
              <w:rPr>
                <w:sz w:val="20"/>
                <w:szCs w:val="20"/>
                <w:color w:val="auto"/>
              </w:rPr>
            </w:pPr>
            <w:r>
              <w:rPr>
                <w:rFonts w:ascii="Arial" w:cs="Arial" w:eastAsia="Arial" w:hAnsi="Arial"/>
                <w:sz w:val="14"/>
                <w:szCs w:val="14"/>
                <w:color w:val="auto"/>
              </w:rPr>
              <w:t>Revenue: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External 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6,169,398</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5,905,399</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263,999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tcPr>
          <w:p>
            <w:pPr>
              <w:ind w:left="200"/>
              <w:spacing w:after="0" w:line="189" w:lineRule="exact"/>
              <w:rPr>
                <w:sz w:val="20"/>
                <w:szCs w:val="20"/>
                <w:color w:val="auto"/>
              </w:rPr>
            </w:pPr>
            <w:r>
              <w:rPr>
                <w:rFonts w:ascii="Arial" w:cs="Arial" w:eastAsia="Arial" w:hAnsi="Arial"/>
                <w:sz w:val="14"/>
                <w:szCs w:val="14"/>
                <w:color w:val="auto"/>
              </w:rPr>
              <w:t>Intersegment revenue</w:t>
            </w:r>
            <w:r>
              <w:rPr>
                <w:rFonts w:ascii="Arial" w:cs="Arial" w:eastAsia="Arial" w:hAnsi="Arial"/>
                <w:sz w:val="21"/>
                <w:szCs w:val="21"/>
                <w:color w:val="auto"/>
                <w:vertAlign w:val="superscript"/>
              </w:rPr>
              <w:t>(1)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10,932</w:t>
            </w:r>
          </w:p>
        </w:tc>
        <w:tc>
          <w:tcPr>
            <w:tcW w:w="60" w:type="dxa"/>
            <w:vAlign w:val="bottom"/>
          </w:tcPr>
          <w:p>
            <w:pPr>
              <w:spacing w:after="0"/>
              <w:rPr>
                <w:sz w:val="16"/>
                <w:szCs w:val="16"/>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11,358</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(426)</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revenue before intersegment eliminations</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6,180,330</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5,916,757</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263,573</w:t>
            </w: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Segment expenses: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tcPr>
          <w:p>
            <w:pPr>
              <w:ind w:left="200"/>
              <w:spacing w:after="0" w:line="189" w:lineRule="exact"/>
              <w:rPr>
                <w:sz w:val="20"/>
                <w:szCs w:val="20"/>
                <w:color w:val="auto"/>
              </w:rPr>
            </w:pPr>
            <w:r>
              <w:rPr>
                <w:rFonts w:ascii="Arial" w:cs="Arial" w:eastAsia="Arial" w:hAnsi="Arial"/>
                <w:sz w:val="14"/>
                <w:szCs w:val="14"/>
                <w:color w:val="auto"/>
              </w:rPr>
              <w:t>Adjusted costs applicable to revenue</w:t>
            </w:r>
            <w:r>
              <w:rPr>
                <w:rFonts w:ascii="Arial" w:cs="Arial" w:eastAsia="Arial" w:hAnsi="Arial"/>
                <w:sz w:val="21"/>
                <w:szCs w:val="21"/>
                <w:color w:val="auto"/>
                <w:vertAlign w:val="superscript"/>
              </w:rPr>
              <w:t>(2)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4,407,456</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71.3%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4,203,549</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71.0%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(203,907)</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shd w:val="clear" w:color="auto" w:fill="CCEEFF"/>
          </w:tcPr>
          <w:p>
            <w:pPr>
              <w:ind w:left="200"/>
              <w:spacing w:after="0" w:line="189" w:lineRule="exact"/>
              <w:rPr>
                <w:sz w:val="20"/>
                <w:szCs w:val="20"/>
                <w:color w:val="auto"/>
              </w:rPr>
            </w:pPr>
            <w:r>
              <w:rPr>
                <w:rFonts w:ascii="Arial" w:cs="Arial" w:eastAsia="Arial" w:hAnsi="Arial"/>
                <w:sz w:val="14"/>
                <w:szCs w:val="14"/>
                <w:color w:val="auto"/>
              </w:rPr>
              <w:t>Intersegment costs applicable to revenue</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11,615</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9,780</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tcPr>
          <w:p>
            <w:pPr>
              <w:ind w:left="200"/>
              <w:spacing w:after="0" w:line="189" w:lineRule="exact"/>
              <w:rPr>
                <w:sz w:val="20"/>
                <w:szCs w:val="20"/>
                <w:color w:val="auto"/>
              </w:rPr>
            </w:pPr>
            <w:r>
              <w:rPr>
                <w:rFonts w:ascii="Arial" w:cs="Arial" w:eastAsia="Arial" w:hAnsi="Arial"/>
                <w:sz w:val="14"/>
                <w:szCs w:val="14"/>
                <w:color w:val="auto"/>
              </w:rPr>
              <w:t>Adjusted selling, general and administrative</w:t>
            </w:r>
            <w:r>
              <w:rPr>
                <w:rFonts w:ascii="Arial" w:cs="Arial" w:eastAsia="Arial" w:hAnsi="Arial"/>
                <w:sz w:val="21"/>
                <w:szCs w:val="21"/>
                <w:color w:val="auto"/>
                <w:vertAlign w:val="superscript"/>
              </w:rPr>
              <w:t>(4)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1,514,890</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1,509,557</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(5,333)</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Floor plan interest expense</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76,786</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95,121</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tcPr>
          <w:p>
            <w:pPr>
              <w:ind w:left="200"/>
              <w:spacing w:after="0" w:line="189" w:lineRule="exact"/>
              <w:rPr>
                <w:sz w:val="20"/>
                <w:szCs w:val="20"/>
                <w:color w:val="auto"/>
              </w:rPr>
            </w:pPr>
            <w:r>
              <w:rPr>
                <w:rFonts w:ascii="Arial" w:cs="Arial" w:eastAsia="Arial" w:hAnsi="Arial"/>
                <w:sz w:val="14"/>
                <w:szCs w:val="14"/>
                <w:color w:val="auto"/>
              </w:rPr>
              <w:t>Other segment items</w:t>
            </w:r>
            <w:r>
              <w:rPr>
                <w:rFonts w:ascii="Arial" w:cs="Arial" w:eastAsia="Arial" w:hAnsi="Arial"/>
                <w:sz w:val="21"/>
                <w:szCs w:val="21"/>
                <w:color w:val="auto"/>
                <w:vertAlign w:val="superscript"/>
              </w:rPr>
              <w:t>(5)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(155)</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188</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343</w:t>
            </w:r>
          </w:p>
        </w:tc>
        <w:tc>
          <w:tcPr>
            <w:tcW w:w="1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n/m</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4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Segment Adjusted EBITDA</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169,738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98,562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71,176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5" w:lineRule="exact"/>
        <w:rPr>
          <w:sz w:val="20"/>
          <w:szCs w:val="20"/>
          <w:color w:val="auto"/>
        </w:rPr>
      </w:pPr>
    </w:p>
    <w:p>
      <w:pPr>
        <w:ind w:left="60"/>
        <w:spacing w:after="0"/>
        <w:rPr>
          <w:sz w:val="20"/>
          <w:szCs w:val="20"/>
          <w:color w:val="auto"/>
        </w:rPr>
      </w:pPr>
      <w:r>
        <w:rPr>
          <w:rFonts w:ascii="Arial" w:cs="Arial" w:eastAsia="Arial" w:hAnsi="Arial"/>
          <w:sz w:val="13"/>
          <w:szCs w:val="13"/>
          <w:color w:val="auto"/>
        </w:rPr>
        <w:t>n/m – not meaningful</w:t>
      </w:r>
    </w:p>
    <w:p>
      <w:pPr>
        <w:spacing w:after="0" w:line="34" w:lineRule="exact"/>
        <w:rPr>
          <w:sz w:val="20"/>
          <w:szCs w:val="20"/>
          <w:color w:val="auto"/>
        </w:rPr>
      </w:pPr>
    </w:p>
    <w:p>
      <w:pPr>
        <w:ind w:left="380" w:hanging="330"/>
        <w:spacing w:after="0"/>
        <w:tabs>
          <w:tab w:leader="none" w:pos="380"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Intersegment revenue consists of segment revenue that is eliminated in our consolidated statements of operations.</w:t>
      </w:r>
    </w:p>
    <w:p>
      <w:pPr>
        <w:spacing w:after="0" w:line="94" w:lineRule="exact"/>
        <w:rPr>
          <w:rFonts w:ascii="Arial" w:cs="Arial" w:eastAsia="Arial" w:hAnsi="Arial"/>
          <w:sz w:val="22"/>
          <w:szCs w:val="22"/>
          <w:color w:val="auto"/>
          <w:vertAlign w:val="superscript"/>
        </w:rPr>
      </w:pPr>
    </w:p>
    <w:p>
      <w:pPr>
        <w:ind w:left="380" w:hanging="330"/>
        <w:spacing w:after="0" w:line="197" w:lineRule="auto"/>
        <w:tabs>
          <w:tab w:leader="none" w:pos="380" w:val="left"/>
        </w:tabs>
        <w:numPr>
          <w:ilvl w:val="0"/>
          <w:numId w:val="35"/>
        </w:numPr>
        <w:rPr>
          <w:rFonts w:ascii="Arial" w:cs="Arial" w:eastAsia="Arial" w:hAnsi="Arial"/>
          <w:sz w:val="20"/>
          <w:szCs w:val="20"/>
          <w:color w:val="auto"/>
          <w:vertAlign w:val="superscript"/>
        </w:rPr>
      </w:pPr>
      <w:r>
        <w:rPr>
          <w:rFonts w:ascii="Arial" w:cs="Arial" w:eastAsia="Arial" w:hAnsi="Arial"/>
          <w:sz w:val="14"/>
          <w:szCs w:val="14"/>
          <w:color w:val="auto"/>
        </w:rPr>
        <w:t>Adjusted costs applicable to revenue exclude stock-based compensation expense, and intersegment costs applicable to revenue.</w:t>
      </w:r>
    </w:p>
    <w:p>
      <w:pPr>
        <w:spacing w:after="0" w:line="94" w:lineRule="exact"/>
        <w:rPr>
          <w:rFonts w:ascii="Arial" w:cs="Arial" w:eastAsia="Arial" w:hAnsi="Arial"/>
          <w:sz w:val="20"/>
          <w:szCs w:val="20"/>
          <w:color w:val="auto"/>
          <w:vertAlign w:val="superscript"/>
        </w:rPr>
      </w:pPr>
    </w:p>
    <w:p>
      <w:pPr>
        <w:ind w:left="380" w:right="79" w:hanging="330"/>
        <w:spacing w:after="0" w:line="219" w:lineRule="auto"/>
        <w:tabs>
          <w:tab w:leader="none" w:pos="380"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Intersegment costs applicable to revenue consist of segment costs applicable to revenue that are eliminated in our consolidated statements of operations.</w:t>
      </w:r>
    </w:p>
    <w:p>
      <w:pPr>
        <w:spacing w:after="0" w:line="93" w:lineRule="exact"/>
        <w:rPr>
          <w:rFonts w:ascii="Arial" w:cs="Arial" w:eastAsia="Arial" w:hAnsi="Arial"/>
          <w:sz w:val="22"/>
          <w:szCs w:val="22"/>
          <w:color w:val="auto"/>
          <w:vertAlign w:val="superscript"/>
        </w:rPr>
      </w:pPr>
    </w:p>
    <w:p>
      <w:pPr>
        <w:ind w:left="380" w:right="79" w:hanging="330"/>
        <w:spacing w:after="0" w:line="219" w:lineRule="auto"/>
        <w:tabs>
          <w:tab w:leader="none" w:pos="380"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Adjusted selling, general, and administrative expenses excludes stock-based compensation expense, restructuring costs, and intersegment operating expenses.</w:t>
      </w:r>
    </w:p>
    <w:p>
      <w:pPr>
        <w:spacing w:after="0" w:line="94" w:lineRule="exact"/>
        <w:rPr>
          <w:rFonts w:ascii="Arial" w:cs="Arial" w:eastAsia="Arial" w:hAnsi="Arial"/>
          <w:sz w:val="22"/>
          <w:szCs w:val="22"/>
          <w:color w:val="auto"/>
          <w:vertAlign w:val="superscript"/>
        </w:rPr>
      </w:pPr>
    </w:p>
    <w:p>
      <w:pPr>
        <w:ind w:left="380" w:right="79" w:hanging="330"/>
        <w:spacing w:after="0" w:line="219" w:lineRule="auto"/>
        <w:tabs>
          <w:tab w:leader="none" w:pos="380"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Other segment items include (i) intersegment operating expenses, which are eliminated in our consolidated statements of operations, and (ii) other expense, net excluding loss and/or impairment on investments in equity securities.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Good Sam Services and Plans Segment</w:t>
      </w:r>
    </w:p>
    <w:p>
      <w:pPr>
        <w:spacing w:after="0" w:line="11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See the “Revenue and Gross Profit” section above for a discussion of impacts to revenue for Good Sam Services and Plans. Adjusted costs applicable to segment revenues reflected increased roadside assistance claims costs and costs associated with the tire rescue roadside assistance business purchased in June, 2024. The adjusted selling, general and administrative expenses increased primarily from increased employee cash compensation expense. The Good Sam Services and Plans Segment Adjusted EBITDA decrease was driven primarily by the increase to adjusted costs applicable to revenue and additional adjusted selling, general and administrative expenses, partially offset by the increase to external revenue discussed above. Intersegment revenue and intersegment costs applicable to revenue did not have a significant impact on the decrease in Segment Adjusted EBITDA.</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RV and Outdoor Retail Segment</w:t>
      </w:r>
    </w:p>
    <w:p>
      <w:pPr>
        <w:spacing w:after="0" w:line="11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See the “Revenue and Gross Profit” section above for a discussion of impacts to revenue for RV and Outdoor Retail and “Floor plan interest expense” section above for a discussion of the decrease in floor plan interest expense. Adjusted costs applicable to segment revenue increased from (i) higher total vehicle costs driven by 13.6% higher total unit sales, partially offset by the reductions in cost per new and used vehicles discussed above, and (ii) lower products, service and other costs applicable to revenue primarily from the same drivers of the decrease in revenue discussed above. Adjusted selling, general and administrative expense increased primarily due to $12.1 million of increased fees paid to outside services providers primarily relating to software expenses and related maintenance expenses, $ 11.4 million of increased commissions costs, and $3.8 million of additional legal fees and reserves, partially offset by $20.6 million of reduced employee cash compensation expense excluding commissions. The RV and Outdoor Retail Segment Adjusted EBITDA increased from the increases in revenue and reduction in floor plan interest expense, partially offset by the increase in adjusted costs applicable to segment revenue discussed above, and increased adjusted selling, general and administrative expense. Intersegment revenue, intersegment costs applicable to revenue, and intersegment operating expenses did not have a significant impact on the increase in Segment Adjusted EBITDA.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ind w:left="60" w:right="59" w:firstLine="648"/>
        <w:spacing w:after="0" w:line="249"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accounting principles generally accepted in the United States (“GAAP”), we use the following non-GAAP financial measures: EBITDA, Adjusted EBITDA, Adjusted EBITDA Margin, Adjusted Net (Loss) Income Attributable to Camping World Holdings, Inc. – Basic, Adjusted Net (Loss) Income Attributable to Camping World Holdings, Inc. – Diluted, Adjusted (Loss) Earnings Per Share – Basic, Adjusted (Loss) Earnings Per Share – Diluted, and SG&amp;A Excluding SBC (collectively the "Non-GAAP Financial Measures"). We believe that these Non-GAAP Financial Measures, when used in conjunction with GAAP financial measures, provide useful information about operating results, enhance the overall understanding of past financial performance and future prospects, and allow for greater transparency with respect to the key metrics we use in our financial and operational decision making. Certain of these Non-GAAP Financial Measures are also frequently used by analysts, investors and other interested parties to evaluate companies in the Company’s industry and are used by management to evaluate our operating performance, to evaluate the effectiveness of strategic initiatives, and for planning purposes. By providing these Non-GAAP Financial Measures, together with reconciliations, we believe we are enhancing investors’ understanding of our business and our results of operations, as well as assisting investors in evaluating how well we are executing our strategic initiatives. In addition, our Senior Secured Credit Facilities use Adjusted EBITDA, as calculated for our subsidiary CWGS Group, LLC, to measure our compliance with covenants such as the consolidated leverage ratio. The Non-GAAP Financial Measures have limitations as analytical tools, and the presentation of this financial information is not intended to be considered in isolation or as a substitute for, or superior to, the financial information prepared and presented in accordance with GAAP. They should not be construed as an inference that the Company’s future results will be unaffected by any items adjusted for in these Non-GAAP Financial Measures. In evaluating these Non-GAAP Financial Measures, it is reasonable to expect that certain of these items will occur in future periods. However, we believe these adjustments are appropriate because the amounts recognized can vary significantly from period to period, do not directly relate to the ongoing operations of our business and complicate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62" w:lineRule="auto"/>
        <w:rPr>
          <w:sz w:val="20"/>
          <w:szCs w:val="20"/>
          <w:color w:val="auto"/>
        </w:rPr>
      </w:pPr>
      <w:r>
        <w:rPr>
          <w:rFonts w:ascii="Arial" w:cs="Arial" w:eastAsia="Arial" w:hAnsi="Arial"/>
          <w:sz w:val="18"/>
          <w:szCs w:val="18"/>
          <w:color w:val="auto"/>
        </w:rPr>
        <w:t>comparisons of our internal operating results and operating results of other companies over time. Each of the normal recurring adjustments and other adjustments described in this section and in the reconciliation tables below help management with a measure of our core operating performance over time by removing items that are not related to day-to-day operations.</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For periods beginning after December 31, 2022 for the 2019 Strategic Shift and for periods beginning after December 31, 2023 for the Active Sports Restructuring, we are no longer including the other associated costs category of expenses relating to those restructuring activities as restructuring costs for purposes of our Non-GAAP Financial Measures, since these costs are not expected to be significant in future periods. For a discussion of restructuring activities, see Note 5 — Restructuring and Long-Lived Asset Impairment to our consolidated financial statements included in Part II, Item 8 of this Form 10-K.</w:t>
      </w:r>
    </w:p>
    <w:p>
      <w:pPr>
        <w:spacing w:after="0" w:line="184"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The Non-GAAP Financial Measures that we use are not necessarily comparable to similarly titled measures used by other companies due to different methods of calculation.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EBITDA, Adjusted EBITDA, and Adjusted EBITDA Margin</w:t>
      </w:r>
    </w:p>
    <w:p>
      <w:pPr>
        <w:spacing w:after="0" w:line="223" w:lineRule="exact"/>
        <w:rPr>
          <w:sz w:val="20"/>
          <w:szCs w:val="20"/>
          <w:color w:val="auto"/>
        </w:rPr>
      </w:pPr>
    </w:p>
    <w:p>
      <w:pPr>
        <w:jc w:val="both"/>
        <w:ind w:left="60" w:right="59" w:firstLine="648"/>
        <w:spacing w:after="0" w:line="249" w:lineRule="auto"/>
        <w:rPr>
          <w:sz w:val="20"/>
          <w:szCs w:val="20"/>
          <w:color w:val="auto"/>
        </w:rPr>
      </w:pPr>
      <w:r>
        <w:rPr>
          <w:rFonts w:ascii="Arial" w:cs="Arial" w:eastAsia="Arial" w:hAnsi="Arial"/>
          <w:sz w:val="18"/>
          <w:szCs w:val="18"/>
          <w:color w:val="auto"/>
        </w:rPr>
        <w:t>We define “EBITDA” as net (loss) income before other interest expense, net (excluding floor plan interest expense), provision for income tax expense and depreciation and amortization. We define “Adjusted EBITDA” as EBITDA further adjusted for the impact of certain noncash and other items that we do not consider in our evaluation of ongoing operating performance. These items include, among other things, long-lived asset impairment, gains on lease termination and/or remeasurement, gains and losses on sale or disposal of assets, net, SBC, modification expense relating to Marcus A. Lemonis’ second amended and restated employment agreement, Tax Receivable Agreement liability adjustment, restructuring costs, loss and/or impairment on investments in equity securities, and other unusual or one-time items. We define “Adjusted EBITDA Margin” as Adjusted EBITDA as a percentage of total revenue. We caution investors that amounts presented in accordance with our definitions of EBITDA, Adjusted EBITDA, and Adjusted EBITDA Margin may not be comparable to similar measures disclosed by our competitors, because not all companies and analysts calculate EBITDA, Adjusted EBITDA, and Adjusted EBITDA Margin in the same manner. We present EBITDA, Adjusted EBITDA, and Adjusted EBITDA Margin because we consider them to be important supplemental measures of our performance and believe they are frequently used by securities analysts, investors and other interested parties in the evaluation of companies in our industry. Management believes that investors’ understanding of our performance is enhanced by including these Non-GAAP Financial Measures as a reasonable basis for comparing our ongoing results of operations.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reconciles Segment Adjusted EBITDA to consolidated Adjusted EBITDA:</w:t>
      </w: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thousands)</w:t>
            </w:r>
          </w:p>
        </w:tc>
        <w:tc>
          <w:tcPr>
            <w:tcW w:w="2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 Sam Services and Plans Segment Adjusted EBITDA</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85,676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94,515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110,880</w:t>
            </w:r>
          </w:p>
        </w:tc>
        <w:tc>
          <w:tcPr>
            <w:tcW w:w="0" w:type="dxa"/>
            <w:vAlign w:val="bottom"/>
          </w:tcPr>
          <w:p>
            <w:pPr>
              <w:spacing w:after="0"/>
              <w:rPr>
                <w:sz w:val="1"/>
                <w:szCs w:val="1"/>
                <w:color w:val="auto"/>
              </w:rPr>
            </w:pPr>
          </w:p>
        </w:tc>
      </w:tr>
      <w:tr>
        <w:trPr>
          <w:trHeight w:val="20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RV and Outdoor Retail Segment Adjusted EBITDA</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169,738</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98,562</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188,329</w:t>
            </w: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Segment Adjusted EBITDA</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255,414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193,077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299,209</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rPr>
                <w:sz w:val="20"/>
                <w:szCs w:val="20"/>
                <w:color w:val="auto"/>
              </w:rPr>
            </w:pPr>
            <w:r>
              <w:rPr>
                <w:rFonts w:ascii="Arial" w:cs="Arial" w:eastAsia="Arial" w:hAnsi="Arial"/>
                <w:sz w:val="16"/>
                <w:szCs w:val="16"/>
                <w:color w:val="auto"/>
              </w:rPr>
              <w:t>Corporate and Other Adjusted EBITDA</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(12,492)</w:t>
            </w:r>
          </w:p>
        </w:tc>
        <w:tc>
          <w:tcPr>
            <w:tcW w:w="2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(14,234)</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(12,996)</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Adjusted EBITDA</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242,922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178,843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286,213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8"/>
          <w:szCs w:val="18"/>
          <w:color w:val="auto"/>
        </w:rPr>
        <w:t>The following table reconciles EBITDA, Adjusted EBITDA, and Adjusted EBITDA Margin to the most directly comparable GAAP financial performance measures: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10"/>
          </w:tcPr>
          <w:p>
            <w:pPr>
              <w:jc w:val="center"/>
              <w:ind w:left="461"/>
              <w:spacing w:after="0"/>
              <w:rPr>
                <w:sz w:val="20"/>
                <w:szCs w:val="20"/>
                <w:color w:val="auto"/>
              </w:rPr>
            </w:pPr>
            <w:r>
              <w:rPr>
                <w:rFonts w:ascii="Arial" w:cs="Arial" w:eastAsia="Arial" w:hAnsi="Arial"/>
                <w:sz w:val="13"/>
                <w:szCs w:val="13"/>
                <w:b w:val="1"/>
                <w:bCs w:val="1"/>
                <w:color w:val="auto"/>
                <w:w w:val="96"/>
              </w:rPr>
              <w:t>Year Ended December 31,</w:t>
            </w: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62"/>
        </w:trPr>
        <w:tc>
          <w:tcPr>
            <w:tcW w:w="5220" w:type="dxa"/>
            <w:vAlign w:val="bottom"/>
            <w:gridSpan w:val="3"/>
          </w:tcPr>
          <w:p>
            <w:pPr>
              <w:ind w:left="20"/>
              <w:spacing w:after="0"/>
              <w:rPr>
                <w:sz w:val="20"/>
                <w:szCs w:val="20"/>
                <w:color w:val="auto"/>
              </w:rPr>
            </w:pPr>
            <w:r>
              <w:rPr>
                <w:rFonts w:ascii="Arial" w:cs="Arial" w:eastAsia="Arial" w:hAnsi="Arial"/>
                <w:sz w:val="11"/>
                <w:szCs w:val="11"/>
                <w:color w:val="auto"/>
              </w:rPr>
              <w:t>($ in thousands)</w:t>
            </w:r>
          </w:p>
        </w:tc>
        <w:tc>
          <w:tcPr>
            <w:tcW w:w="2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ind w:right="261"/>
              <w:spacing w:after="0"/>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20"/>
              <w:spacing w:after="0"/>
              <w:rPr>
                <w:sz w:val="20"/>
                <w:szCs w:val="20"/>
                <w:color w:val="auto"/>
              </w:rPr>
            </w:pPr>
            <w:r>
              <w:rPr>
                <w:rFonts w:ascii="Arial" w:cs="Arial" w:eastAsia="Arial" w:hAnsi="Arial"/>
                <w:sz w:val="13"/>
                <w:szCs w:val="13"/>
                <w:b w:val="1"/>
                <w:bCs w:val="1"/>
                <w:color w:val="auto"/>
                <w:w w:val="96"/>
              </w:rPr>
              <w:t>2024</w:t>
            </w:r>
          </w:p>
        </w:tc>
        <w:tc>
          <w:tcPr>
            <w:tcW w:w="20" w:type="dxa"/>
            <w:vAlign w:val="bottom"/>
          </w:tcPr>
          <w:p>
            <w:pPr>
              <w:spacing w:after="0"/>
              <w:rPr>
                <w:sz w:val="14"/>
                <w:szCs w:val="14"/>
                <w:color w:val="auto"/>
              </w:rPr>
            </w:pPr>
          </w:p>
        </w:tc>
        <w:tc>
          <w:tcPr>
            <w:tcW w:w="500" w:type="dxa"/>
            <w:vAlign w:val="bottom"/>
            <w:gridSpan w:val="3"/>
          </w:tcPr>
          <w:p>
            <w:pPr>
              <w:jc w:val="right"/>
              <w:ind w:right="23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80"/>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EBITDA and Adjusted EBITDA:</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tcPr>
          <w:p>
            <w:pPr>
              <w:ind w:left="100"/>
              <w:spacing w:after="0"/>
              <w:rPr>
                <w:sz w:val="20"/>
                <w:szCs w:val="20"/>
                <w:color w:val="auto"/>
              </w:rPr>
            </w:pPr>
            <w:r>
              <w:rPr>
                <w:rFonts w:ascii="Arial" w:cs="Arial" w:eastAsia="Arial" w:hAnsi="Arial"/>
                <w:sz w:val="16"/>
                <w:szCs w:val="16"/>
                <w:color w:val="auto"/>
              </w:rPr>
              <w:t>Net (loss) income</w:t>
            </w:r>
          </w:p>
        </w:tc>
        <w:tc>
          <w:tcPr>
            <w:tcW w:w="420" w:type="dxa"/>
            <w:vAlign w:val="bottom"/>
            <w:gridSpan w:val="3"/>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(105,638)</w:t>
            </w:r>
          </w:p>
        </w:tc>
        <w:tc>
          <w:tcPr>
            <w:tcW w:w="440" w:type="dxa"/>
            <w:vAlign w:val="bottom"/>
            <w:gridSpan w:val="3"/>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(78,880)</w:t>
            </w:r>
          </w:p>
        </w:tc>
        <w:tc>
          <w:tcPr>
            <w:tcW w:w="50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52,929</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interest expense, net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121,836</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140,444</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135,270</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tcPr>
          <w:p>
            <w:pPr>
              <w:ind w:left="10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95,335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81,190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68,643</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Income tax expense (benefit)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225,797</w:t>
            </w: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(11,377)</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(3,527)</w:t>
            </w:r>
          </w:p>
        </w:tc>
      </w:tr>
      <w:tr>
        <w:trPr>
          <w:trHeight w:val="196"/>
        </w:trPr>
        <w:tc>
          <w:tcPr>
            <w:tcW w:w="20" w:type="dxa"/>
            <w:vAlign w:val="bottom"/>
          </w:tcPr>
          <w:p>
            <w:pPr>
              <w:spacing w:after="0"/>
              <w:rPr>
                <w:sz w:val="17"/>
                <w:szCs w:val="17"/>
                <w:color w:val="auto"/>
              </w:rPr>
            </w:pPr>
          </w:p>
        </w:tc>
        <w:tc>
          <w:tcPr>
            <w:tcW w:w="5200" w:type="dxa"/>
            <w:vAlign w:val="bottom"/>
            <w:gridSpan w:val="2"/>
          </w:tcPr>
          <w:p>
            <w:pPr>
              <w:ind w:left="220"/>
              <w:spacing w:after="0"/>
              <w:rPr>
                <w:sz w:val="20"/>
                <w:szCs w:val="20"/>
                <w:color w:val="auto"/>
              </w:rPr>
            </w:pPr>
            <w:r>
              <w:rPr>
                <w:rFonts w:ascii="Arial" w:cs="Arial" w:eastAsia="Arial" w:hAnsi="Arial"/>
                <w:sz w:val="16"/>
                <w:szCs w:val="16"/>
                <w:color w:val="auto"/>
              </w:rPr>
              <w:t>Subtotal EBITDA</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337,330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131,377</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253,315</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Long-lived asset impairment (a)</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15,061</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9,269</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tcPr>
          <w:p>
            <w:pPr>
              <w:ind w:left="320"/>
              <w:spacing w:after="0"/>
              <w:rPr>
                <w:sz w:val="20"/>
                <w:szCs w:val="20"/>
                <w:color w:val="auto"/>
              </w:rPr>
            </w:pPr>
            <w:r>
              <w:rPr>
                <w:rFonts w:ascii="Arial" w:cs="Arial" w:eastAsia="Arial" w:hAnsi="Arial"/>
                <w:sz w:val="16"/>
                <w:szCs w:val="16"/>
                <w:color w:val="auto"/>
              </w:rPr>
              <w:t>Gain on lease termination and/or remeasurement (b)</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(1,996)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(2,297)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(103)</w:t>
            </w:r>
          </w:p>
        </w:tc>
      </w:tr>
      <w:tr>
        <w:trPr>
          <w:trHeight w:val="203"/>
        </w:trPr>
        <w:tc>
          <w:tcPr>
            <w:tcW w:w="20" w:type="dxa"/>
            <w:vAlign w:val="bottom"/>
          </w:tcPr>
          <w:p>
            <w:pPr>
              <w:spacing w:after="0"/>
              <w:rPr>
                <w:sz w:val="17"/>
                <w:szCs w:val="17"/>
                <w:color w:val="auto"/>
              </w:rPr>
            </w:pPr>
          </w:p>
        </w:tc>
        <w:tc>
          <w:tcPr>
            <w:tcW w:w="52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(Gain) loss on sale or disposal of assets, net (c)</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(850)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9,855</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(5,222)</w:t>
            </w:r>
          </w:p>
        </w:tc>
      </w:tr>
      <w:tr>
        <w:trPr>
          <w:trHeight w:val="203"/>
        </w:trPr>
        <w:tc>
          <w:tcPr>
            <w:tcW w:w="20" w:type="dxa"/>
            <w:vAlign w:val="bottom"/>
          </w:tcPr>
          <w:p>
            <w:pPr>
              <w:spacing w:after="0"/>
              <w:rPr>
                <w:sz w:val="17"/>
                <w:szCs w:val="17"/>
                <w:color w:val="auto"/>
              </w:rPr>
            </w:pPr>
          </w:p>
        </w:tc>
        <w:tc>
          <w:tcPr>
            <w:tcW w:w="5200" w:type="dxa"/>
            <w:vAlign w:val="bottom"/>
            <w:gridSpan w:val="2"/>
          </w:tcPr>
          <w:p>
            <w:pPr>
              <w:ind w:left="320"/>
              <w:spacing w:after="0"/>
              <w:rPr>
                <w:sz w:val="20"/>
                <w:szCs w:val="20"/>
                <w:color w:val="auto"/>
              </w:rPr>
            </w:pPr>
            <w:r>
              <w:rPr>
                <w:rFonts w:ascii="Arial" w:cs="Arial" w:eastAsia="Arial" w:hAnsi="Arial"/>
                <w:sz w:val="16"/>
                <w:szCs w:val="16"/>
                <w:color w:val="auto"/>
              </w:rPr>
              <w:t>SBC (d)</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44,278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21,585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24,086</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Employment agreement modification expense (e)</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5200" w:type="dxa"/>
            <w:vAlign w:val="bottom"/>
            <w:gridSpan w:val="2"/>
          </w:tcPr>
          <w:p>
            <w:pPr>
              <w:ind w:left="320"/>
              <w:spacing w:after="0"/>
              <w:rPr>
                <w:sz w:val="20"/>
                <w:szCs w:val="20"/>
                <w:color w:val="auto"/>
              </w:rPr>
            </w:pPr>
            <w:r>
              <w:rPr>
                <w:rFonts w:ascii="Arial" w:cs="Arial" w:eastAsia="Arial" w:hAnsi="Arial"/>
                <w:sz w:val="16"/>
                <w:szCs w:val="16"/>
                <w:color w:val="auto"/>
              </w:rPr>
              <w:t>Tax Receivable Agreement liability adjustment (f)</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(148,956)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(2,442)</w:t>
            </w:r>
          </w:p>
        </w:tc>
      </w:tr>
      <w:tr>
        <w:trPr>
          <w:trHeight w:val="203"/>
        </w:trPr>
        <w:tc>
          <w:tcPr>
            <w:tcW w:w="20" w:type="dxa"/>
            <w:vAlign w:val="bottom"/>
          </w:tcPr>
          <w:p>
            <w:pPr>
              <w:spacing w:after="0"/>
              <w:rPr>
                <w:sz w:val="17"/>
                <w:szCs w:val="17"/>
                <w:color w:val="auto"/>
              </w:rPr>
            </w:pPr>
          </w:p>
        </w:tc>
        <w:tc>
          <w:tcPr>
            <w:tcW w:w="52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Restructuring costs (g)</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5,540</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0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Loss and/or impairment on investments in equity securities (h)</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10,379</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3,262</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1,770</w:t>
            </w:r>
          </w:p>
        </w:tc>
        <w:tc>
          <w:tcPr>
            <w:tcW w:w="2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242,922</w:t>
            </w: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178,843</w:t>
            </w: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286,213</w:t>
            </w:r>
          </w:p>
        </w:tc>
        <w:tc>
          <w:tcPr>
            <w:tcW w:w="20" w:type="dxa"/>
            <w:vAlign w:val="bottom"/>
            <w:tcBorders>
              <w:bottom w:val="single" w:sz="8" w:color="auto"/>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0"/>
          </w:tcPr>
          <w:p>
            <w:pPr>
              <w:jc w:val="center"/>
              <w:ind w:left="461"/>
              <w:spacing w:after="0"/>
              <w:rPr>
                <w:sz w:val="20"/>
                <w:szCs w:val="20"/>
                <w:color w:val="auto"/>
              </w:rPr>
            </w:pPr>
            <w:r>
              <w:rPr>
                <w:rFonts w:ascii="Arial" w:cs="Arial" w:eastAsia="Arial" w:hAnsi="Arial"/>
                <w:sz w:val="13"/>
                <w:szCs w:val="13"/>
                <w:b w:val="1"/>
                <w:bCs w:val="1"/>
                <w:color w:val="auto"/>
                <w:w w:val="96"/>
              </w:rPr>
              <w:t>Year Ended December 31,</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5220" w:type="dxa"/>
            <w:vAlign w:val="bottom"/>
            <w:gridSpan w:val="3"/>
          </w:tcPr>
          <w:p>
            <w:pPr>
              <w:ind w:left="20"/>
              <w:spacing w:after="0"/>
              <w:rPr>
                <w:sz w:val="20"/>
                <w:szCs w:val="20"/>
                <w:color w:val="auto"/>
              </w:rPr>
            </w:pPr>
            <w:r>
              <w:rPr>
                <w:rFonts w:ascii="Arial" w:cs="Arial" w:eastAsia="Arial" w:hAnsi="Arial"/>
                <w:sz w:val="11"/>
                <w:szCs w:val="11"/>
                <w:color w:val="auto"/>
              </w:rPr>
              <w:t>(as percentage of total revenue)</w:t>
            </w:r>
          </w:p>
        </w:tc>
        <w:tc>
          <w:tcPr>
            <w:tcW w:w="220" w:type="dxa"/>
            <w:vAlign w:val="bottom"/>
          </w:tcPr>
          <w:p>
            <w:pPr>
              <w:ind w:left="40"/>
              <w:spacing w:after="0" w:line="148" w:lineRule="exact"/>
              <w:rPr>
                <w:sz w:val="20"/>
                <w:szCs w:val="20"/>
                <w:color w:val="auto"/>
              </w:rPr>
            </w:pPr>
            <w:r>
              <w:rPr>
                <w:rFonts w:ascii="Arial" w:cs="Arial" w:eastAsia="Arial" w:hAnsi="Arial"/>
                <w:sz w:val="13"/>
                <w:szCs w:val="13"/>
                <w:color w:val="auto"/>
              </w:rPr>
              <w:t>​​​</w:t>
            </w:r>
          </w:p>
        </w:tc>
        <w:tc>
          <w:tcPr>
            <w:tcW w:w="200" w:type="dxa"/>
            <w:vAlign w:val="bottom"/>
            <w:gridSpan w:val="2"/>
          </w:tcPr>
          <w:p>
            <w:pPr>
              <w:spacing w:after="0"/>
              <w:rPr>
                <w:sz w:val="14"/>
                <w:szCs w:val="14"/>
                <w:color w:val="auto"/>
              </w:rPr>
            </w:pPr>
          </w:p>
        </w:tc>
        <w:tc>
          <w:tcPr>
            <w:tcW w:w="780" w:type="dxa"/>
            <w:vAlign w:val="bottom"/>
          </w:tcPr>
          <w:p>
            <w:pPr>
              <w:jc w:val="right"/>
              <w:ind w:right="261"/>
              <w:spacing w:after="0"/>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20"/>
              <w:spacing w:after="0"/>
              <w:rPr>
                <w:sz w:val="20"/>
                <w:szCs w:val="20"/>
                <w:color w:val="auto"/>
              </w:rPr>
            </w:pPr>
            <w:r>
              <w:rPr>
                <w:rFonts w:ascii="Arial" w:cs="Arial" w:eastAsia="Arial" w:hAnsi="Arial"/>
                <w:sz w:val="13"/>
                <w:szCs w:val="13"/>
                <w:b w:val="1"/>
                <w:bCs w:val="1"/>
                <w:color w:val="auto"/>
                <w:w w:val="96"/>
              </w:rPr>
              <w:t>2024</w:t>
            </w:r>
          </w:p>
        </w:tc>
        <w:tc>
          <w:tcPr>
            <w:tcW w:w="20" w:type="dxa"/>
            <w:vAlign w:val="bottom"/>
          </w:tcPr>
          <w:p>
            <w:pPr>
              <w:spacing w:after="0"/>
              <w:rPr>
                <w:sz w:val="14"/>
                <w:szCs w:val="14"/>
                <w:color w:val="auto"/>
              </w:rPr>
            </w:pPr>
          </w:p>
        </w:tc>
        <w:tc>
          <w:tcPr>
            <w:tcW w:w="500" w:type="dxa"/>
            <w:vAlign w:val="bottom"/>
            <w:gridSpan w:val="3"/>
          </w:tcPr>
          <w:p>
            <w:pPr>
              <w:jc w:val="right"/>
              <w:ind w:right="25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80"/>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4"/>
                <w:szCs w:val="14"/>
                <w:color w:val="auto"/>
              </w:rPr>
            </w:pPr>
          </w:p>
        </w:tc>
      </w:tr>
      <w:tr>
        <w:trPr>
          <w:trHeight w:val="196"/>
        </w:trPr>
        <w:tc>
          <w:tcPr>
            <w:tcW w:w="5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tcPr>
          <w:p>
            <w:pPr>
              <w:ind w:left="100"/>
              <w:spacing w:after="0"/>
              <w:rPr>
                <w:sz w:val="20"/>
                <w:szCs w:val="20"/>
                <w:color w:val="auto"/>
              </w:rPr>
            </w:pPr>
            <w:r>
              <w:rPr>
                <w:rFonts w:ascii="Arial" w:cs="Arial" w:eastAsia="Arial" w:hAnsi="Arial"/>
                <w:sz w:val="16"/>
                <w:szCs w:val="16"/>
                <w:color w:val="auto"/>
              </w:rPr>
              <w:t>Net (loss) income margin</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interest expense, net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tcPr>
          <w:p>
            <w:pPr>
              <w:ind w:left="10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Income tax expense (benefit)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0" w:type="dxa"/>
            <w:vAlign w:val="bottom"/>
            <w:gridSpan w:val="2"/>
          </w:tcPr>
          <w:p>
            <w:pPr>
              <w:ind w:left="200"/>
              <w:spacing w:after="0"/>
              <w:rPr>
                <w:sz w:val="20"/>
                <w:szCs w:val="20"/>
                <w:color w:val="auto"/>
              </w:rPr>
            </w:pPr>
            <w:r>
              <w:rPr>
                <w:rFonts w:ascii="Arial" w:cs="Arial" w:eastAsia="Arial" w:hAnsi="Arial"/>
                <w:sz w:val="16"/>
                <w:szCs w:val="16"/>
                <w:color w:val="auto"/>
              </w:rPr>
              <w:t>Subtotal EBITDA margin</w:t>
            </w:r>
          </w:p>
        </w:tc>
        <w:tc>
          <w:tcPr>
            <w:tcW w:w="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2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Long-lived asset impairment (a)</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tcPr>
          <w:p>
            <w:pPr>
              <w:ind w:left="320"/>
              <w:spacing w:after="0"/>
              <w:rPr>
                <w:sz w:val="20"/>
                <w:szCs w:val="20"/>
                <w:color w:val="auto"/>
              </w:rPr>
            </w:pPr>
            <w:r>
              <w:rPr>
                <w:rFonts w:ascii="Arial" w:cs="Arial" w:eastAsia="Arial" w:hAnsi="Arial"/>
                <w:sz w:val="16"/>
                <w:szCs w:val="16"/>
                <w:color w:val="auto"/>
              </w:rPr>
              <w:t>Gain on lease termination and/or remeasurement (b)</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2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(Gain) loss on sale or disposal of assets, net (c)</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tcPr>
          <w:p>
            <w:pPr>
              <w:ind w:left="320"/>
              <w:spacing w:after="0"/>
              <w:rPr>
                <w:sz w:val="20"/>
                <w:szCs w:val="20"/>
                <w:color w:val="auto"/>
              </w:rPr>
            </w:pPr>
            <w:r>
              <w:rPr>
                <w:rFonts w:ascii="Arial" w:cs="Arial" w:eastAsia="Arial" w:hAnsi="Arial"/>
                <w:sz w:val="16"/>
                <w:szCs w:val="16"/>
                <w:color w:val="auto"/>
              </w:rPr>
              <w:t>SBC (d)</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2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Employment agreement modification expense (e)</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tcPr>
          <w:p>
            <w:pPr>
              <w:ind w:left="320"/>
              <w:spacing w:after="0"/>
              <w:rPr>
                <w:sz w:val="20"/>
                <w:szCs w:val="20"/>
                <w:color w:val="auto"/>
              </w:rPr>
            </w:pPr>
            <w:r>
              <w:rPr>
                <w:rFonts w:ascii="Arial" w:cs="Arial" w:eastAsia="Arial" w:hAnsi="Arial"/>
                <w:sz w:val="16"/>
                <w:szCs w:val="16"/>
                <w:color w:val="auto"/>
              </w:rPr>
              <w:t>Tax Receivable Agreement liability adjustment (f)</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2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Restructuring costs (g)</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7"/>
                <w:szCs w:val="17"/>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520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Loss and/or impairment on investments in equity securities (h)</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2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Adjusted EBITDA margin</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420" w:right="79" w:hanging="370"/>
        <w:spacing w:after="0" w:line="297" w:lineRule="auto"/>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long-lived asset impairment charges related to the RV and Outdoor Retail segment. See Note 5 – Restructuring and Long-Lived Asset Impairment to our consolidated financial statements included in Part II, Item 8 of this Form 10-K for additional information.</w:t>
      </w:r>
    </w:p>
    <w:p>
      <w:pPr>
        <w:spacing w:after="0" w:line="263" w:lineRule="exact"/>
        <w:rPr>
          <w:rFonts w:ascii="Arial" w:cs="Arial" w:eastAsia="Arial" w:hAnsi="Arial"/>
          <w:sz w:val="14"/>
          <w:szCs w:val="14"/>
          <w:color w:val="auto"/>
        </w:rPr>
      </w:pPr>
    </w:p>
    <w:p>
      <w:pPr>
        <w:jc w:val="both"/>
        <w:ind w:left="420" w:right="79" w:hanging="370"/>
        <w:spacing w:after="0" w:line="273" w:lineRule="auto"/>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gains on the termination and/or remeasurement of operating leases resulting from lease termination fees and the derecognition of the operating lease assets and liabilities. See Note 5 – Restructuring and Long-Lived Asset Impairment to our consolidated financial statements included in Part II, Item 8 of this Form 10-K for additional information.</w:t>
      </w:r>
    </w:p>
    <w:p>
      <w:pPr>
        <w:spacing w:after="0" w:line="112" w:lineRule="exact"/>
        <w:rPr>
          <w:rFonts w:ascii="Arial" w:cs="Arial" w:eastAsia="Arial" w:hAnsi="Arial"/>
          <w:sz w:val="14"/>
          <w:szCs w:val="14"/>
          <w:color w:val="auto"/>
        </w:rPr>
      </w:pPr>
    </w:p>
    <w:p>
      <w:pPr>
        <w:ind w:left="420" w:hanging="370"/>
        <w:spacing w:after="0"/>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an adjustment to eliminate the gains and losses on disposals and sales of various assets.</w:t>
      </w:r>
    </w:p>
    <w:p>
      <w:pPr>
        <w:spacing w:after="0" w:line="149" w:lineRule="exact"/>
        <w:rPr>
          <w:rFonts w:ascii="Arial" w:cs="Arial" w:eastAsia="Arial" w:hAnsi="Arial"/>
          <w:sz w:val="14"/>
          <w:szCs w:val="14"/>
          <w:color w:val="auto"/>
        </w:rPr>
      </w:pPr>
    </w:p>
    <w:p>
      <w:pPr>
        <w:ind w:left="420" w:hanging="370"/>
        <w:spacing w:after="0"/>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noncash SBC expense relating to employees, directors, and consultants of the Company.</w:t>
      </w:r>
    </w:p>
    <w:p>
      <w:pPr>
        <w:spacing w:after="0" w:line="163" w:lineRule="exact"/>
        <w:rPr>
          <w:rFonts w:ascii="Arial" w:cs="Arial" w:eastAsia="Arial" w:hAnsi="Arial"/>
          <w:sz w:val="14"/>
          <w:szCs w:val="14"/>
          <w:color w:val="auto"/>
        </w:rPr>
      </w:pPr>
    </w:p>
    <w:p>
      <w:pPr>
        <w:jc w:val="both"/>
        <w:ind w:left="420" w:right="79" w:hanging="370"/>
        <w:spacing w:after="0" w:line="267" w:lineRule="auto"/>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2026 salary under the second amended and restated employment agreement (“Lemonis Second Employment Agreement”) for Marcus A. Lemonis, our former Chairman and Chief Executive Officer. We deemed the 2026 service conditions under the Lemonis Second Employment Agreement to be nonsubstantive for accounting purposes, so we accrued Mr. Lemonis’ 2026 salary of $1.5 million as of December 31, 2025, which was the date that Mr. Lemonis retired from the position of Chairman and Chief Executive Officer. Mr. Lemonis’ SBC and other compensation that may be settled in shares is included in the SBC amount above.</w:t>
      </w:r>
    </w:p>
    <w:p>
      <w:pPr>
        <w:spacing w:after="0" w:line="62" w:lineRule="exact"/>
        <w:rPr>
          <w:rFonts w:ascii="Arial" w:cs="Arial" w:eastAsia="Arial" w:hAnsi="Arial"/>
          <w:sz w:val="14"/>
          <w:szCs w:val="14"/>
          <w:color w:val="auto"/>
        </w:rPr>
      </w:pPr>
    </w:p>
    <w:p>
      <w:pPr>
        <w:jc w:val="both"/>
        <w:ind w:left="420" w:right="79" w:hanging="370"/>
        <w:spacing w:after="0" w:line="293" w:lineRule="auto"/>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an adjustment to eliminate the gains on remeasurement of the Tax Receivable Agreement liability. For the year ended December 31, 2025, this adjustment related to the change in the determination of the realizability of future cash benefits underlying the estimate of future payments under the Tax Receivable Agreement. For the year ended December 31, 2023, this adjustment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right="79"/>
        <w:spacing w:after="0" w:line="345" w:lineRule="auto"/>
        <w:rPr>
          <w:sz w:val="20"/>
          <w:szCs w:val="20"/>
          <w:color w:val="auto"/>
        </w:rPr>
      </w:pPr>
      <w:r>
        <w:rPr>
          <w:rFonts w:ascii="Arial" w:cs="Arial" w:eastAsia="Arial" w:hAnsi="Arial"/>
          <w:sz w:val="14"/>
          <w:szCs w:val="14"/>
          <w:color w:val="auto"/>
        </w:rPr>
        <w:t>related primarily to changes in our blended statutory income tax rate. See Note 12 – Income Taxes to our consolidated financial statements included in Part II, Item 8 of this Form 10-K for additional information.</w:t>
      </w:r>
    </w:p>
    <w:p>
      <w:pPr>
        <w:spacing w:after="0" w:line="91" w:lineRule="exact"/>
        <w:rPr>
          <w:sz w:val="20"/>
          <w:szCs w:val="20"/>
          <w:color w:val="auto"/>
        </w:rPr>
      </w:pPr>
    </w:p>
    <w:p>
      <w:pPr>
        <w:jc w:val="both"/>
        <w:ind w:left="420" w:right="79" w:hanging="370"/>
        <w:spacing w:after="0" w:line="183" w:lineRule="auto"/>
        <w:tabs>
          <w:tab w:leader="none" w:pos="420" w:val="left"/>
        </w:tabs>
        <w:numPr>
          <w:ilvl w:val="0"/>
          <w:numId w:val="37"/>
        </w:numPr>
        <w:rPr>
          <w:rFonts w:ascii="Arial" w:cs="Arial" w:eastAsia="Arial" w:hAnsi="Arial"/>
          <w:sz w:val="29"/>
          <w:szCs w:val="29"/>
          <w:color w:val="auto"/>
          <w:vertAlign w:val="superscript"/>
        </w:rPr>
      </w:pPr>
      <w:r>
        <w:rPr>
          <w:rFonts w:ascii="Arial" w:cs="Arial" w:eastAsia="Arial" w:hAnsi="Arial"/>
          <w:sz w:val="14"/>
          <w:szCs w:val="14"/>
          <w:color w:val="auto"/>
        </w:rPr>
        <w:t>Represents restructuring costs relating to the Active Sports Restructuring during the year ended December 31, 2023 and excludes our 2019 Strategic Shift. These restructuring costs include one-time employee termination benefits, incremental inventory reserve</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charges, and other associated costs. These costs exclude lease termination costs, which are presented separately above. See Note 5</w:t>
      </w:r>
    </w:p>
    <w:p>
      <w:pPr>
        <w:spacing w:after="0" w:line="1" w:lineRule="exact"/>
        <w:rPr>
          <w:sz w:val="20"/>
          <w:szCs w:val="20"/>
          <w:color w:val="auto"/>
        </w:rPr>
      </w:pPr>
    </w:p>
    <w:p>
      <w:pPr>
        <w:ind w:left="420" w:right="79"/>
        <w:spacing w:after="0" w:line="284" w:lineRule="auto"/>
        <w:rPr>
          <w:sz w:val="20"/>
          <w:szCs w:val="20"/>
          <w:color w:val="auto"/>
        </w:rPr>
      </w:pPr>
      <w:r>
        <w:rPr>
          <w:rFonts w:ascii="Arial" w:cs="Arial" w:eastAsia="Arial" w:hAnsi="Arial"/>
          <w:sz w:val="14"/>
          <w:szCs w:val="14"/>
          <w:color w:val="auto"/>
        </w:rPr>
        <w:t>– Restructuring and Long-Lived Asset Impairment to our consolidated financial statements included in Part II, Item 8 of this Form 10-K for additional information.</w:t>
      </w:r>
    </w:p>
    <w:p>
      <w:pPr>
        <w:spacing w:after="0" w:line="104" w:lineRule="exact"/>
        <w:rPr>
          <w:sz w:val="20"/>
          <w:szCs w:val="20"/>
          <w:color w:val="auto"/>
        </w:rPr>
      </w:pPr>
    </w:p>
    <w:p>
      <w:pPr>
        <w:jc w:val="both"/>
        <w:ind w:left="420" w:right="79" w:hanging="370"/>
        <w:spacing w:after="0" w:line="273" w:lineRule="auto"/>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loss and/or impairment on investments in equity securities and interest income and/or provision for credit losses relating to any notes receivables in connection with those investments. These amounts are included in other expense, net in the consolidated statements of operations.</w:t>
      </w:r>
    </w:p>
    <w:p>
      <w:pPr>
        <w:spacing w:after="0" w:line="200" w:lineRule="exact"/>
        <w:rPr>
          <w:sz w:val="20"/>
          <w:szCs w:val="20"/>
          <w:color w:val="auto"/>
        </w:rPr>
      </w:pPr>
    </w:p>
    <w:p>
      <w:pPr>
        <w:spacing w:after="0" w:line="228" w:lineRule="exact"/>
        <w:rPr>
          <w:sz w:val="20"/>
          <w:szCs w:val="20"/>
          <w:color w:val="auto"/>
        </w:rPr>
      </w:pPr>
    </w:p>
    <w:p>
      <w:pPr>
        <w:ind w:left="60" w:right="419"/>
        <w:spacing w:after="0" w:line="285" w:lineRule="auto"/>
        <w:rPr>
          <w:sz w:val="20"/>
          <w:szCs w:val="20"/>
          <w:color w:val="auto"/>
        </w:rPr>
      </w:pPr>
      <w:r>
        <w:rPr>
          <w:rFonts w:ascii="Arial" w:cs="Arial" w:eastAsia="Arial" w:hAnsi="Arial"/>
          <w:sz w:val="18"/>
          <w:szCs w:val="18"/>
          <w:i w:val="1"/>
          <w:iCs w:val="1"/>
          <w:color w:val="auto"/>
        </w:rPr>
        <w:t>Adjusted Net (Loss) Income Attributable to Camping World Holdings, Inc. and Adjusted (Loss) Earnings Per Share</w:t>
      </w:r>
    </w:p>
    <w:p>
      <w:pPr>
        <w:spacing w:after="0" w:line="141"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We define “Adjusted Net (Loss) Income Attributable to Camping World Holdings, Inc. – Basic” as net income attributable to Camping World Holdings, Inc. adjusted for the impact of certain noncash and other items that we do not consider in our evaluation of ongoing operating performance. These items include, among other things, long-lived asset impairment, gains on lease termination and/or remeasurement, gains and losses on sale or disposal of assets, net, SBC, modification expense relating to Marcus A. Lemonis’ second amended and restated employment agreement, Tax Receivable Agreement liability adjustment, restructuring costs, loss and/or impairment on investments in equity securities, other unusual or one-time items, the income tax expense effect of these adjustments, income tax expense impact from the LLC Conversion, income tax expense impact from the significant change in valuation allowance against deferred tax assets, and the effect of net income attributable to non-controlling interests from these adjustments.</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define “Adjusted Net (Loss) Income Attributable to Camping World Holdings, Inc. – Diluted” as Adjusted Net (Loss) Income Attributable to Camping World Holdings, Inc. – Basic adjusted for the reallocation of net income attributable to non-controlling interests from stock options and restricted stock units, if dilutive, or the assumed redemption, if dilutive, of all outstanding common units in CWGS, LLC for shares of newly-issued Class A common stock of Camping World Holdings, Inc.</w:t>
      </w:r>
    </w:p>
    <w:p>
      <w:pPr>
        <w:spacing w:after="0" w:line="183"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We define “Adjusted (Loss) Earnings Per Share – Basic” as Adjusted Net (Loss) Income Attributable to Camping World Holdings, Inc. - Basic divided by the weighted-average shares of Class A common stock outstanding. We define “Adjusted (Loss) Earnings Per Share – Diluted” as Adjusted Net (Loss) Income Attributable to Camping World Holdings, Inc. – Diluted divided by the weighted-average shares of Class A common stock outstanding, assuming (i) the redemption of all outstanding common units in CWGS, LLC for newly-issued shares of Class A common stock of Camping World Holdings, Inc., if dilutive, and (ii) the dilutive effect of stock options and restricted stock units, if any. We present Adjusted Net (Loss) Income Attributable to Camping World Holdings, Inc. – Basic, Adjusted Net (Loss) Income Attributable to Camping World Holdings, Inc. – Diluted, Adjusted (Loss) Earnings Per Share – Basic, and Adjusted (Loss) Earnings Per Share – Diluted because we consider them to be important supplemental measures of our performance and we believe that investors’ understanding of our performance is enhanced by including these Non-GAAP financial measures as a reasonable basis for comparing our ongoing results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reconciles Adjusted Net (Loss) Income Attributable to Camping World Holdings, Inc.</w:t>
      </w:r>
    </w:p>
    <w:p>
      <w:pPr>
        <w:spacing w:after="0" w:line="27" w:lineRule="exact"/>
        <w:rPr>
          <w:sz w:val="20"/>
          <w:szCs w:val="20"/>
          <w:color w:val="auto"/>
        </w:rPr>
      </w:pPr>
    </w:p>
    <w:p>
      <w:pPr>
        <w:jc w:val="both"/>
        <w:ind w:left="60" w:right="59"/>
        <w:spacing w:after="0" w:line="258" w:lineRule="auto"/>
        <w:rPr>
          <w:sz w:val="20"/>
          <w:szCs w:val="20"/>
          <w:color w:val="auto"/>
        </w:rPr>
      </w:pPr>
      <w:r>
        <w:rPr>
          <w:rFonts w:ascii="Arial" w:cs="Arial" w:eastAsia="Arial" w:hAnsi="Arial"/>
          <w:sz w:val="18"/>
          <w:szCs w:val="18"/>
          <w:color w:val="auto"/>
        </w:rPr>
        <w:t>– Basic, Adjusted Net (Loss) Income Attributable to Camping World Holdings, Inc. – Diluted, Adjusted (Loss) Earnings Per Share – Basic, and Adjusted (Loss) Earnings Per Share – Diluted to the most directly comparable GAAP financial performance measure:</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3"/>
                <w:szCs w:val="13"/>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0"/>
              <w:spacing w:after="0"/>
              <w:rPr>
                <w:sz w:val="20"/>
                <w:szCs w:val="20"/>
                <w:color w:val="auto"/>
              </w:rPr>
            </w:pPr>
            <w:r>
              <w:rPr>
                <w:rFonts w:ascii="Arial" w:cs="Arial" w:eastAsia="Arial" w:hAnsi="Arial"/>
                <w:sz w:val="11"/>
                <w:szCs w:val="11"/>
                <w:color w:val="auto"/>
              </w:rPr>
              <w:t>(In thousands except per share amounts)</w:t>
            </w:r>
          </w:p>
        </w:tc>
        <w:tc>
          <w:tcPr>
            <w:tcW w:w="220" w:type="dxa"/>
            <w:vAlign w:val="bottom"/>
          </w:tcPr>
          <w:p>
            <w:pPr>
              <w:ind w:left="60"/>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269"/>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Arial" w:cs="Arial" w:eastAsia="Arial" w:hAnsi="Arial"/>
                <w:sz w:val="13"/>
                <w:szCs w:val="13"/>
                <w:b w:val="1"/>
                <w:bCs w:val="1"/>
                <w:color w:val="auto"/>
              </w:rPr>
              <w:t>2024</w:t>
            </w:r>
          </w:p>
        </w:tc>
        <w:tc>
          <w:tcPr>
            <w:tcW w:w="40" w:type="dxa"/>
            <w:vAlign w:val="bottom"/>
          </w:tcPr>
          <w:p>
            <w:pPr>
              <w:spacing w:after="0"/>
              <w:rPr>
                <w:sz w:val="14"/>
                <w:szCs w:val="14"/>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68"/>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83"/>
        </w:trPr>
        <w:tc>
          <w:tcPr>
            <w:tcW w:w="5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120"/>
              <w:spacing w:after="0"/>
              <w:rPr>
                <w:sz w:val="20"/>
                <w:szCs w:val="20"/>
                <w:color w:val="auto"/>
              </w:rPr>
            </w:pPr>
            <w:r>
              <w:rPr>
                <w:rFonts w:ascii="Arial" w:cs="Arial" w:eastAsia="Arial" w:hAnsi="Arial"/>
                <w:sz w:val="14"/>
                <w:szCs w:val="14"/>
                <w:color w:val="auto"/>
              </w:rPr>
              <w:t>Net (loss) income attributable to Camping World Holdings, Inc.</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(89,799)</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(38,637)</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33,372</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related to basic calculation:</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220"/>
              <w:spacing w:after="0"/>
              <w:rPr>
                <w:sz w:val="20"/>
                <w:szCs w:val="20"/>
                <w:color w:val="auto"/>
              </w:rPr>
            </w:pPr>
            <w:r>
              <w:rPr>
                <w:rFonts w:ascii="Arial" w:cs="Arial" w:eastAsia="Arial" w:hAnsi="Arial"/>
                <w:sz w:val="14"/>
                <w:szCs w:val="14"/>
                <w:color w:val="auto"/>
              </w:rPr>
              <w:t>Long-lived asset impairment (a):</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15,061</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9,269</w:t>
            </w:r>
          </w:p>
        </w:tc>
        <w:tc>
          <w:tcPr>
            <w:tcW w:w="0" w:type="dxa"/>
            <w:vAlign w:val="bottom"/>
          </w:tcPr>
          <w:p>
            <w:pPr>
              <w:spacing w:after="0"/>
              <w:rPr>
                <w:sz w:val="1"/>
                <w:szCs w:val="1"/>
                <w:color w:val="auto"/>
              </w:rPr>
            </w:pPr>
          </w:p>
        </w:tc>
      </w:tr>
      <w:tr>
        <w:trPr>
          <w:trHeight w:val="189"/>
        </w:trPr>
        <w:tc>
          <w:tcPr>
            <w:tcW w:w="5320" w:type="dxa"/>
            <w:vAlign w:val="bottom"/>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(2,033)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(1,233)</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 on lease termination and/or remeasurement (c):</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340"/>
              <w:spacing w:after="0"/>
              <w:rPr>
                <w:sz w:val="20"/>
                <w:szCs w:val="20"/>
                <w:color w:val="auto"/>
              </w:rPr>
            </w:pPr>
            <w:r>
              <w:rPr>
                <w:rFonts w:ascii="Arial" w:cs="Arial" w:eastAsia="Arial" w:hAnsi="Arial"/>
                <w:sz w:val="14"/>
                <w:szCs w:val="14"/>
                <w:color w:val="auto"/>
              </w:rPr>
              <w:t>Gross adjustment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(1,996)</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(2,297)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 benefit for above adjustment (b)</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5320" w:type="dxa"/>
            <w:vAlign w:val="bottom"/>
          </w:tcPr>
          <w:p>
            <w:pPr>
              <w:ind w:left="220"/>
              <w:spacing w:after="0"/>
              <w:rPr>
                <w:sz w:val="20"/>
                <w:szCs w:val="20"/>
                <w:color w:val="auto"/>
              </w:rPr>
            </w:pPr>
            <w:r>
              <w:rPr>
                <w:rFonts w:ascii="Arial" w:cs="Arial" w:eastAsia="Arial" w:hAnsi="Arial"/>
                <w:sz w:val="14"/>
                <w:szCs w:val="14"/>
                <w:color w:val="auto"/>
              </w:rPr>
              <w:t>(Gain) loss on sale or disposal of assets (d):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(850)</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9,855</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(5,222)</w:t>
            </w:r>
          </w:p>
        </w:tc>
        <w:tc>
          <w:tcPr>
            <w:tcW w:w="0" w:type="dxa"/>
            <w:vAlign w:val="bottom"/>
          </w:tcPr>
          <w:p>
            <w:pPr>
              <w:spacing w:after="0"/>
              <w:rPr>
                <w:sz w:val="1"/>
                <w:szCs w:val="1"/>
                <w:color w:val="auto"/>
              </w:rPr>
            </w:pPr>
          </w:p>
        </w:tc>
      </w:tr>
      <w:tr>
        <w:trPr>
          <w:trHeight w:val="189"/>
        </w:trPr>
        <w:tc>
          <w:tcPr>
            <w:tcW w:w="5320" w:type="dxa"/>
            <w:vAlign w:val="bottom"/>
          </w:tcPr>
          <w:p>
            <w:pPr>
              <w:ind w:left="340"/>
              <w:spacing w:after="0"/>
              <w:rPr>
                <w:sz w:val="20"/>
                <w:szCs w:val="20"/>
                <w:color w:val="auto"/>
              </w:rPr>
            </w:pPr>
            <w:r>
              <w:rPr>
                <w:rFonts w:ascii="Arial" w:cs="Arial" w:eastAsia="Arial" w:hAnsi="Arial"/>
                <w:sz w:val="14"/>
                <w:szCs w:val="14"/>
                <w:color w:val="auto"/>
              </w:rPr>
              <w:t>Income tax (expense) benefit for above adjustment (b)</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(1,310)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SBC (e):</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340"/>
              <w:spacing w:after="0"/>
              <w:rPr>
                <w:sz w:val="20"/>
                <w:szCs w:val="20"/>
                <w:color w:val="auto"/>
              </w:rPr>
            </w:pPr>
            <w:r>
              <w:rPr>
                <w:rFonts w:ascii="Arial" w:cs="Arial" w:eastAsia="Arial" w:hAnsi="Arial"/>
                <w:sz w:val="14"/>
                <w:szCs w:val="14"/>
                <w:color w:val="auto"/>
              </w:rPr>
              <w:t>Gross adjustment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44,278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21,585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24,086</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(2,963)</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(3,228)</w:t>
            </w:r>
          </w:p>
        </w:tc>
        <w:tc>
          <w:tcPr>
            <w:tcW w:w="0" w:type="dxa"/>
            <w:vAlign w:val="bottom"/>
          </w:tcPr>
          <w:p>
            <w:pPr>
              <w:spacing w:after="0"/>
              <w:rPr>
                <w:sz w:val="1"/>
                <w:szCs w:val="1"/>
                <w:color w:val="auto"/>
              </w:rPr>
            </w:pPr>
          </w:p>
        </w:tc>
      </w:tr>
      <w:tr>
        <w:trPr>
          <w:trHeight w:val="189"/>
        </w:trPr>
        <w:tc>
          <w:tcPr>
            <w:tcW w:w="5320" w:type="dxa"/>
            <w:vAlign w:val="bottom"/>
          </w:tcPr>
          <w:p>
            <w:pPr>
              <w:ind w:left="220"/>
              <w:spacing w:after="0"/>
              <w:rPr>
                <w:sz w:val="20"/>
                <w:szCs w:val="20"/>
                <w:color w:val="auto"/>
              </w:rPr>
            </w:pPr>
            <w:r>
              <w:rPr>
                <w:rFonts w:ascii="Arial" w:cs="Arial" w:eastAsia="Arial" w:hAnsi="Arial"/>
                <w:sz w:val="14"/>
                <w:szCs w:val="14"/>
                <w:color w:val="auto"/>
              </w:rPr>
              <w:t>Employee agreement modification expense (f):</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320" w:type="dxa"/>
            <w:vAlign w:val="bottom"/>
          </w:tcPr>
          <w:p>
            <w:pPr>
              <w:ind w:left="220"/>
              <w:spacing w:after="0"/>
              <w:rPr>
                <w:sz w:val="20"/>
                <w:szCs w:val="20"/>
                <w:color w:val="auto"/>
              </w:rPr>
            </w:pPr>
            <w:r>
              <w:rPr>
                <w:rFonts w:ascii="Arial" w:cs="Arial" w:eastAsia="Arial" w:hAnsi="Arial"/>
                <w:sz w:val="14"/>
                <w:szCs w:val="14"/>
                <w:color w:val="auto"/>
              </w:rPr>
              <w:t>Tax Receivable Agreement liability adjustment (g):</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(148,956)</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w:t>
            </w:r>
          </w:p>
        </w:tc>
        <w:tc>
          <w:tcPr>
            <w:tcW w:w="0" w:type="dxa"/>
            <w:vAlign w:val="bottom"/>
          </w:tcPr>
          <w:p>
            <w:pPr>
              <w:spacing w:after="0"/>
              <w:rPr>
                <w:sz w:val="1"/>
                <w:szCs w:val="1"/>
                <w:color w:val="auto"/>
              </w:rPr>
            </w:pPr>
          </w:p>
        </w:tc>
      </w:tr>
      <w:tr>
        <w:trPr>
          <w:trHeight w:val="189"/>
        </w:trPr>
        <w:tc>
          <w:tcPr>
            <w:tcW w:w="5320" w:type="dxa"/>
            <w:vAlign w:val="bottom"/>
          </w:tcPr>
          <w:p>
            <w:pPr>
              <w:ind w:left="340"/>
              <w:spacing w:after="0"/>
              <w:rPr>
                <w:sz w:val="20"/>
                <w:szCs w:val="20"/>
                <w:color w:val="auto"/>
              </w:rPr>
            </w:pPr>
            <w:r>
              <w:rPr>
                <w:rFonts w:ascii="Arial" w:cs="Arial" w:eastAsia="Arial" w:hAnsi="Arial"/>
                <w:sz w:val="14"/>
                <w:szCs w:val="14"/>
                <w:color w:val="auto"/>
              </w:rPr>
              <w:t>Income tax benefit for above adjustment (b)</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37,239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costs (h):</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340"/>
              <w:spacing w:after="0"/>
              <w:rPr>
                <w:sz w:val="20"/>
                <w:szCs w:val="20"/>
                <w:color w:val="auto"/>
              </w:rPr>
            </w:pPr>
            <w:r>
              <w:rPr>
                <w:rFonts w:ascii="Arial" w:cs="Arial" w:eastAsia="Arial" w:hAnsi="Arial"/>
                <w:sz w:val="14"/>
                <w:szCs w:val="14"/>
                <w:color w:val="auto"/>
              </w:rPr>
              <w:t>Gross adjustment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5,540</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189"/>
        </w:trPr>
        <w:tc>
          <w:tcPr>
            <w:tcW w:w="5320" w:type="dxa"/>
            <w:vAlign w:val="bottom"/>
          </w:tcPr>
          <w:p>
            <w:pPr>
              <w:ind w:left="220"/>
              <w:spacing w:after="0"/>
              <w:rPr>
                <w:sz w:val="20"/>
                <w:szCs w:val="20"/>
                <w:color w:val="auto"/>
              </w:rPr>
            </w:pPr>
            <w:r>
              <w:rPr>
                <w:rFonts w:ascii="Arial" w:cs="Arial" w:eastAsia="Arial" w:hAnsi="Arial"/>
                <w:sz w:val="14"/>
                <w:szCs w:val="14"/>
                <w:color w:val="auto"/>
              </w:rPr>
              <w:t>Loss and/or impairment on investments in equity securities (i):</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10,379</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3,262</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w:t>
            </w:r>
          </w:p>
        </w:tc>
        <w:tc>
          <w:tcPr>
            <w:tcW w:w="0" w:type="dxa"/>
            <w:vAlign w:val="bottom"/>
          </w:tcPr>
          <w:p>
            <w:pPr>
              <w:spacing w:after="0"/>
              <w:rPr>
                <w:sz w:val="1"/>
                <w:szCs w:val="1"/>
                <w:color w:val="auto"/>
              </w:rPr>
            </w:pPr>
          </w:p>
        </w:tc>
      </w:tr>
      <w:tr>
        <w:trPr>
          <w:trHeight w:val="189"/>
        </w:trPr>
        <w:tc>
          <w:tcPr>
            <w:tcW w:w="5320" w:type="dxa"/>
            <w:vAlign w:val="bottom"/>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(473)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 benefit impact from LLC Conversion (j):</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80"/>
        </w:trPr>
        <w:tc>
          <w:tcPr>
            <w:tcW w:w="5320" w:type="dxa"/>
            <w:vAlign w:val="bottom"/>
          </w:tcPr>
          <w:p>
            <w:pPr>
              <w:ind w:left="220"/>
              <w:spacing w:after="0"/>
              <w:rPr>
                <w:sz w:val="20"/>
                <w:szCs w:val="20"/>
                <w:color w:val="auto"/>
              </w:rPr>
            </w:pPr>
            <w:r>
              <w:rPr>
                <w:rFonts w:ascii="Arial" w:cs="Arial" w:eastAsia="Arial" w:hAnsi="Arial"/>
                <w:sz w:val="14"/>
                <w:szCs w:val="14"/>
                <w:color w:val="auto"/>
              </w:rPr>
              <w:t>Income tax expense impact from significant change in valuation allowance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182,775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320" w:type="dxa"/>
            <w:vAlign w:val="bottom"/>
          </w:tcPr>
          <w:p>
            <w:pPr>
              <w:ind w:left="220"/>
              <w:spacing w:after="0"/>
              <w:rPr>
                <w:sz w:val="20"/>
                <w:szCs w:val="20"/>
                <w:color w:val="auto"/>
              </w:rPr>
            </w:pPr>
            <w:r>
              <w:rPr>
                <w:rFonts w:ascii="Arial" w:cs="Arial" w:eastAsia="Arial" w:hAnsi="Arial"/>
                <w:sz w:val="14"/>
                <w:szCs w:val="14"/>
                <w:color w:val="auto"/>
              </w:rPr>
              <w:t>against deferred tax assets (k):</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 to net (loss) income attributable to non-controlling interests resulting</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(21,177)</w:t>
            </w:r>
          </w:p>
        </w:tc>
        <w:tc>
          <w:tcPr>
            <w:tcW w:w="2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(21,635)</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(16,683)</w:t>
            </w:r>
          </w:p>
        </w:tc>
        <w:tc>
          <w:tcPr>
            <w:tcW w:w="0" w:type="dxa"/>
            <w:vAlign w:val="bottom"/>
          </w:tcPr>
          <w:p>
            <w:pPr>
              <w:spacing w:after="0"/>
              <w:rPr>
                <w:sz w:val="1"/>
                <w:szCs w:val="1"/>
                <w:color w:val="auto"/>
              </w:rPr>
            </w:pPr>
          </w:p>
        </w:tc>
      </w:tr>
      <w:tr>
        <w:trPr>
          <w:trHeight w:val="185"/>
        </w:trPr>
        <w:tc>
          <w:tcPr>
            <w:tcW w:w="5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from the above adjustments (l)</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340"/>
              <w:spacing w:after="0"/>
              <w:rPr>
                <w:sz w:val="20"/>
                <w:szCs w:val="20"/>
                <w:color w:val="auto"/>
              </w:rPr>
            </w:pPr>
            <w:r>
              <w:rPr>
                <w:rFonts w:ascii="Arial" w:cs="Arial" w:eastAsia="Arial" w:hAnsi="Arial"/>
                <w:sz w:val="14"/>
                <w:szCs w:val="14"/>
                <w:color w:val="auto"/>
              </w:rPr>
              <w:t>Adjusted net income (loss) attributable to Camping World Holdings, Inc. –</w:t>
            </w: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3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14,599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(19,284)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43,461</w:t>
            </w:r>
          </w:p>
        </w:tc>
        <w:tc>
          <w:tcPr>
            <w:tcW w:w="0" w:type="dxa"/>
            <w:vAlign w:val="bottom"/>
          </w:tcPr>
          <w:p>
            <w:pPr>
              <w:spacing w:after="0"/>
              <w:rPr>
                <w:sz w:val="1"/>
                <w:szCs w:val="1"/>
                <w:color w:val="auto"/>
              </w:rPr>
            </w:pPr>
          </w:p>
        </w:tc>
      </w:tr>
      <w:tr>
        <w:trPr>
          <w:trHeight w:val="185"/>
        </w:trPr>
        <w:tc>
          <w:tcPr>
            <w:tcW w:w="5320" w:type="dxa"/>
            <w:vAlign w:val="bottom"/>
          </w:tcPr>
          <w:p>
            <w:pPr>
              <w:ind w:left="34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related to diluted calculation:</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320" w:type="dxa"/>
            <w:vAlign w:val="bottom"/>
          </w:tcPr>
          <w:p>
            <w:pPr>
              <w:ind w:left="220"/>
              <w:spacing w:after="0"/>
              <w:rPr>
                <w:sz w:val="20"/>
                <w:szCs w:val="20"/>
                <w:color w:val="auto"/>
              </w:rPr>
            </w:pPr>
            <w:r>
              <w:rPr>
                <w:rFonts w:ascii="Arial" w:cs="Arial" w:eastAsia="Arial" w:hAnsi="Arial"/>
                <w:sz w:val="14"/>
                <w:szCs w:val="14"/>
                <w:color w:val="auto"/>
              </w:rPr>
              <w:t>Reallocation of net income attributable to non-controlling interests from the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5,337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36,240</w:t>
            </w:r>
          </w:p>
        </w:tc>
        <w:tc>
          <w:tcPr>
            <w:tcW w:w="0" w:type="dxa"/>
            <w:vAlign w:val="bottom"/>
          </w:tcPr>
          <w:p>
            <w:pPr>
              <w:spacing w:after="0"/>
              <w:rPr>
                <w:sz w:val="1"/>
                <w:szCs w:val="1"/>
                <w:color w:val="auto"/>
              </w:rPr>
            </w:pPr>
          </w:p>
        </w:tc>
      </w:tr>
      <w:tr>
        <w:trPr>
          <w:trHeight w:val="185"/>
        </w:trPr>
        <w:tc>
          <w:tcPr>
            <w:tcW w:w="5320" w:type="dxa"/>
            <w:vAlign w:val="bottom"/>
          </w:tcPr>
          <w:p>
            <w:pPr>
              <w:ind w:left="220"/>
              <w:spacing w:after="0"/>
              <w:rPr>
                <w:sz w:val="20"/>
                <w:szCs w:val="20"/>
                <w:color w:val="auto"/>
              </w:rPr>
            </w:pPr>
            <w:r>
              <w:rPr>
                <w:rFonts w:ascii="Arial" w:cs="Arial" w:eastAsia="Arial" w:hAnsi="Arial"/>
                <w:sz w:val="14"/>
                <w:szCs w:val="14"/>
                <w:color w:val="auto"/>
              </w:rPr>
              <w:t>dilutive redemption of common units in CWGS, LLC (m)</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 on reallocation of net income attributable to non-controlling interests</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restart"/>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(8,341)</w:t>
            </w:r>
          </w:p>
        </w:tc>
        <w:tc>
          <w:tcPr>
            <w:tcW w:w="0" w:type="dxa"/>
            <w:vAlign w:val="bottom"/>
          </w:tcPr>
          <w:p>
            <w:pPr>
              <w:spacing w:after="0"/>
              <w:rPr>
                <w:sz w:val="1"/>
                <w:szCs w:val="1"/>
                <w:color w:val="auto"/>
              </w:rPr>
            </w:pPr>
          </w:p>
        </w:tc>
      </w:tr>
      <w:tr>
        <w:trPr>
          <w:trHeight w:val="185"/>
        </w:trPr>
        <w:tc>
          <w:tcPr>
            <w:tcW w:w="5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from the dilutive redemption of common units in CWGS, LLC (n)</w:t>
            </w:r>
          </w:p>
        </w:tc>
        <w:tc>
          <w:tcPr>
            <w:tcW w:w="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320" w:type="dxa"/>
            <w:vAlign w:val="bottom"/>
          </w:tcPr>
          <w:p>
            <w:pPr>
              <w:ind w:left="340"/>
              <w:spacing w:after="0" w:line="160" w:lineRule="exact"/>
              <w:rPr>
                <w:sz w:val="20"/>
                <w:szCs w:val="20"/>
                <w:color w:val="auto"/>
              </w:rPr>
            </w:pPr>
            <w:r>
              <w:rPr>
                <w:rFonts w:ascii="Arial" w:cs="Arial" w:eastAsia="Arial" w:hAnsi="Arial"/>
                <w:sz w:val="14"/>
                <w:szCs w:val="14"/>
                <w:color w:val="auto"/>
              </w:rPr>
              <w:t>Adjusted net income (loss) attributable to Camping World Holdings, Inc. –</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19,936</w:t>
            </w:r>
          </w:p>
        </w:tc>
        <w:tc>
          <w:tcPr>
            <w:tcW w:w="240" w:type="dxa"/>
            <w:vAlign w:val="bottom"/>
          </w:tcPr>
          <w:p>
            <w:pPr>
              <w:spacing w:after="0"/>
              <w:rPr>
                <w:sz w:val="13"/>
                <w:szCs w:val="13"/>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(19,284)</w:t>
            </w: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71,360</w:t>
            </w:r>
          </w:p>
        </w:tc>
        <w:tc>
          <w:tcPr>
            <w:tcW w:w="0" w:type="dxa"/>
            <w:vAlign w:val="bottom"/>
          </w:tcPr>
          <w:p>
            <w:pPr>
              <w:spacing w:after="0"/>
              <w:rPr>
                <w:sz w:val="1"/>
                <w:szCs w:val="1"/>
                <w:color w:val="auto"/>
              </w:rPr>
            </w:pPr>
          </w:p>
        </w:tc>
      </w:tr>
      <w:tr>
        <w:trPr>
          <w:trHeight w:val="185"/>
        </w:trPr>
        <w:tc>
          <w:tcPr>
            <w:tcW w:w="5320" w:type="dxa"/>
            <w:vAlign w:val="bottom"/>
          </w:tcPr>
          <w:p>
            <w:pPr>
              <w:ind w:left="340"/>
              <w:spacing w:after="0"/>
              <w:rPr>
                <w:sz w:val="20"/>
                <w:szCs w:val="20"/>
                <w:color w:val="auto"/>
              </w:rPr>
            </w:pPr>
            <w:r>
              <w:rPr>
                <w:rFonts w:ascii="Arial" w:cs="Arial" w:eastAsia="Arial" w:hAnsi="Arial"/>
                <w:sz w:val="14"/>
                <w:szCs w:val="14"/>
                <w:color w:val="auto"/>
              </w:rPr>
              <w:t>diluted</w:t>
            </w:r>
          </w:p>
        </w:tc>
        <w:tc>
          <w:tcPr>
            <w:tcW w:w="4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120"/>
              <w:spacing w:after="0"/>
              <w:rPr>
                <w:sz w:val="20"/>
                <w:szCs w:val="20"/>
                <w:color w:val="auto"/>
              </w:rPr>
            </w:pPr>
            <w:r>
              <w:rPr>
                <w:rFonts w:ascii="Arial" w:cs="Arial" w:eastAsia="Arial" w:hAnsi="Arial"/>
                <w:sz w:val="14"/>
                <w:szCs w:val="14"/>
                <w:color w:val="auto"/>
              </w:rPr>
              <w:t>Weighted-average Class A common shares outstanding – basic</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62,724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48,005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44,626</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related to diluted calculation:</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320" w:type="dxa"/>
            <w:vAlign w:val="bottom"/>
          </w:tcPr>
          <w:p>
            <w:pPr>
              <w:ind w:left="220"/>
              <w:spacing w:after="0"/>
              <w:rPr>
                <w:sz w:val="20"/>
                <w:szCs w:val="20"/>
                <w:color w:val="auto"/>
              </w:rPr>
            </w:pPr>
            <w:r>
              <w:rPr>
                <w:rFonts w:ascii="Arial" w:cs="Arial" w:eastAsia="Arial" w:hAnsi="Arial"/>
                <w:sz w:val="14"/>
                <w:szCs w:val="14"/>
                <w:color w:val="auto"/>
              </w:rPr>
              <w:t>Dilutive redemption of common units in CWGS, LLC for shares of Class A</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39,895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40,045</w:t>
            </w:r>
          </w:p>
        </w:tc>
        <w:tc>
          <w:tcPr>
            <w:tcW w:w="0" w:type="dxa"/>
            <w:vAlign w:val="bottom"/>
          </w:tcPr>
          <w:p>
            <w:pPr>
              <w:spacing w:after="0"/>
              <w:rPr>
                <w:sz w:val="1"/>
                <w:szCs w:val="1"/>
                <w:color w:val="auto"/>
              </w:rPr>
            </w:pPr>
          </w:p>
        </w:tc>
      </w:tr>
      <w:tr>
        <w:trPr>
          <w:trHeight w:val="185"/>
        </w:trPr>
        <w:tc>
          <w:tcPr>
            <w:tcW w:w="5320" w:type="dxa"/>
            <w:vAlign w:val="bottom"/>
          </w:tcPr>
          <w:p>
            <w:pPr>
              <w:ind w:left="220"/>
              <w:spacing w:after="0"/>
              <w:rPr>
                <w:sz w:val="20"/>
                <w:szCs w:val="20"/>
                <w:color w:val="auto"/>
              </w:rPr>
            </w:pPr>
            <w:r>
              <w:rPr>
                <w:rFonts w:ascii="Arial" w:cs="Arial" w:eastAsia="Arial" w:hAnsi="Arial"/>
                <w:sz w:val="14"/>
                <w:szCs w:val="14"/>
                <w:color w:val="auto"/>
              </w:rPr>
              <w:t>common stock (o)</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Dilutive options to purchase Class A common stock (o)</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9"/>
        </w:trPr>
        <w:tc>
          <w:tcPr>
            <w:tcW w:w="5320" w:type="dxa"/>
            <w:vAlign w:val="bottom"/>
          </w:tcPr>
          <w:p>
            <w:pPr>
              <w:ind w:left="220"/>
              <w:spacing w:after="0"/>
              <w:rPr>
                <w:sz w:val="20"/>
                <w:szCs w:val="20"/>
                <w:color w:val="auto"/>
              </w:rPr>
            </w:pPr>
            <w:r>
              <w:rPr>
                <w:rFonts w:ascii="Arial" w:cs="Arial" w:eastAsia="Arial" w:hAnsi="Arial"/>
                <w:sz w:val="14"/>
                <w:szCs w:val="14"/>
                <w:color w:val="auto"/>
              </w:rPr>
              <w:t>Dilutive liability-classified awards (o)</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Dilutive restricted stock units (o)</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83"/>
        </w:trPr>
        <w:tc>
          <w:tcPr>
            <w:tcW w:w="5320" w:type="dxa"/>
            <w:vAlign w:val="bottom"/>
          </w:tcPr>
          <w:p>
            <w:pPr>
              <w:ind w:left="340"/>
              <w:spacing w:after="0"/>
              <w:rPr>
                <w:sz w:val="20"/>
                <w:szCs w:val="20"/>
                <w:color w:val="auto"/>
              </w:rPr>
            </w:pPr>
            <w:r>
              <w:rPr>
                <w:rFonts w:ascii="Arial" w:cs="Arial" w:eastAsia="Arial" w:hAnsi="Arial"/>
                <w:sz w:val="14"/>
                <w:szCs w:val="14"/>
                <w:color w:val="auto"/>
              </w:rPr>
              <w:t>Adjusted weighted average Class A common shares outstanding – diluted</w:t>
            </w: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102,807</w:t>
            </w: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48,005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84,972</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20"/>
              <w:spacing w:after="0"/>
              <w:rPr>
                <w:sz w:val="20"/>
                <w:szCs w:val="20"/>
                <w:color w:val="auto"/>
              </w:rPr>
            </w:pPr>
            <w:r>
              <w:rPr>
                <w:rFonts w:ascii="Arial" w:cs="Arial" w:eastAsia="Arial" w:hAnsi="Arial"/>
                <w:sz w:val="14"/>
                <w:szCs w:val="14"/>
                <w:color w:val="auto"/>
              </w:rPr>
              <w:t>Adjusted earnings (loss) per share - basic</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0.23</w:t>
            </w:r>
          </w:p>
        </w:tc>
        <w:tc>
          <w:tcPr>
            <w:tcW w:w="24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(0.40)</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0.97</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earnings (loss) per share - diluted</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(0.40)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500"/>
        <w:spacing w:after="0"/>
        <w:rPr>
          <w:sz w:val="20"/>
          <w:szCs w:val="20"/>
          <w:color w:val="auto"/>
        </w:rPr>
      </w:pPr>
      <w:r>
        <w:rPr>
          <w:rFonts w:ascii="Arial" w:cs="Arial" w:eastAsia="Arial" w:hAnsi="Arial"/>
          <w:sz w:val="13"/>
          <w:szCs w:val="13"/>
          <w:b w:val="1"/>
          <w:bCs w:val="1"/>
          <w:color w:val="auto"/>
        </w:rPr>
        <w:t>Year Ended December 31,</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5320" w:type="dxa"/>
            <w:vAlign w:val="bottom"/>
          </w:tcPr>
          <w:p>
            <w:pPr>
              <w:ind w:left="20"/>
              <w:spacing w:after="0"/>
              <w:rPr>
                <w:sz w:val="20"/>
                <w:szCs w:val="20"/>
                <w:color w:val="auto"/>
              </w:rPr>
            </w:pPr>
            <w:r>
              <w:rPr>
                <w:rFonts w:ascii="Arial" w:cs="Arial" w:eastAsia="Arial" w:hAnsi="Arial"/>
                <w:sz w:val="11"/>
                <w:szCs w:val="11"/>
                <w:color w:val="auto"/>
              </w:rPr>
              <w:t>(In thousands except per share amounts)</w:t>
            </w:r>
          </w:p>
        </w:tc>
        <w:tc>
          <w:tcPr>
            <w:tcW w:w="220" w:type="dxa"/>
            <w:vAlign w:val="bottom"/>
          </w:tcPr>
          <w:p>
            <w:pPr>
              <w:ind w:left="60"/>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2025</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gridSpan w:val="2"/>
          </w:tcPr>
          <w:p>
            <w:pPr>
              <w:jc w:val="right"/>
              <w:ind w:right="188"/>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83"/>
        </w:trPr>
        <w:tc>
          <w:tcPr>
            <w:tcW w:w="5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Anti-dilutive amounts (p):</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120"/>
              <w:spacing w:after="0"/>
              <w:rPr>
                <w:sz w:val="20"/>
                <w:szCs w:val="20"/>
                <w:color w:val="auto"/>
              </w:rPr>
            </w:pPr>
            <w:r>
              <w:rPr>
                <w:rFonts w:ascii="Arial" w:cs="Arial" w:eastAsia="Arial" w:hAnsi="Arial"/>
                <w:sz w:val="14"/>
                <w:szCs w:val="14"/>
                <w:b w:val="1"/>
                <w:bCs w:val="1"/>
                <w:color w:val="auto"/>
              </w:rPr>
              <w:t>Numerator:</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Reallocation of net income attributable to non-controlling interests from the anti-</w:t>
            </w:r>
          </w:p>
        </w:tc>
        <w:tc>
          <w:tcPr>
            <w:tcW w:w="4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(18,608)</w:t>
            </w:r>
          </w:p>
        </w:tc>
        <w:tc>
          <w:tcPr>
            <w:tcW w:w="4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dilutive redemption of common units in CWGS, LLC (m)</w:t>
            </w:r>
          </w:p>
        </w:tc>
        <w:tc>
          <w:tcPr>
            <w:tcW w:w="44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320" w:type="dxa"/>
            <w:vAlign w:val="bottom"/>
          </w:tcPr>
          <w:p>
            <w:pPr>
              <w:ind w:left="220"/>
              <w:spacing w:after="0"/>
              <w:rPr>
                <w:sz w:val="20"/>
                <w:szCs w:val="20"/>
                <w:color w:val="auto"/>
              </w:rPr>
            </w:pPr>
            <w:r>
              <w:rPr>
                <w:rFonts w:ascii="Arial" w:cs="Arial" w:eastAsia="Arial" w:hAnsi="Arial"/>
                <w:sz w:val="14"/>
                <w:szCs w:val="14"/>
                <w:color w:val="auto"/>
              </w:rPr>
              <w:t>Income tax on reallocation of net (loss) income attributable to non-controlling</w:t>
            </w:r>
          </w:p>
        </w:tc>
        <w:tc>
          <w:tcPr>
            <w:tcW w:w="4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5,323</w:t>
            </w:r>
          </w:p>
        </w:tc>
        <w:tc>
          <w:tcPr>
            <w:tcW w:w="40" w:type="dxa"/>
            <w:vAlign w:val="bottom"/>
          </w:tcPr>
          <w:p>
            <w:pPr>
              <w:spacing w:after="0"/>
              <w:rPr>
                <w:sz w:val="15"/>
                <w:szCs w:val="15"/>
                <w:color w:val="auto"/>
              </w:rPr>
            </w:pPr>
          </w:p>
        </w:tc>
        <w:tc>
          <w:tcPr>
            <w:tcW w:w="40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320" w:type="dxa"/>
            <w:vAlign w:val="bottom"/>
          </w:tcPr>
          <w:p>
            <w:pPr>
              <w:ind w:left="220"/>
              <w:spacing w:after="0"/>
              <w:rPr>
                <w:sz w:val="20"/>
                <w:szCs w:val="20"/>
                <w:color w:val="auto"/>
              </w:rPr>
            </w:pPr>
            <w:r>
              <w:rPr>
                <w:rFonts w:ascii="Arial" w:cs="Arial" w:eastAsia="Arial" w:hAnsi="Arial"/>
                <w:sz w:val="14"/>
                <w:szCs w:val="14"/>
                <w:color w:val="auto"/>
              </w:rPr>
              <w:t>interests from the anti-dilutive redemption of common units in CWGS, LLC (n)</w:t>
            </w:r>
          </w:p>
        </w:tc>
        <w:tc>
          <w:tcPr>
            <w:tcW w:w="4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Denominator:</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320" w:type="dxa"/>
            <w:vAlign w:val="bottom"/>
          </w:tcPr>
          <w:p>
            <w:pPr>
              <w:ind w:left="220"/>
              <w:spacing w:after="0"/>
              <w:rPr>
                <w:sz w:val="20"/>
                <w:szCs w:val="20"/>
                <w:color w:val="auto"/>
              </w:rPr>
            </w:pPr>
            <w:r>
              <w:rPr>
                <w:rFonts w:ascii="Arial" w:cs="Arial" w:eastAsia="Arial" w:hAnsi="Arial"/>
                <w:sz w:val="14"/>
                <w:szCs w:val="14"/>
                <w:color w:val="auto"/>
              </w:rPr>
              <w:t>Anti-dilutive redemption of common units in CWGS, LLC for shares of Class A</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40,007</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320" w:type="dxa"/>
            <w:vAlign w:val="bottom"/>
          </w:tcPr>
          <w:p>
            <w:pPr>
              <w:ind w:left="220"/>
              <w:spacing w:after="0"/>
              <w:rPr>
                <w:sz w:val="20"/>
                <w:szCs w:val="20"/>
                <w:color w:val="auto"/>
              </w:rPr>
            </w:pPr>
            <w:r>
              <w:rPr>
                <w:rFonts w:ascii="Arial" w:cs="Arial" w:eastAsia="Arial" w:hAnsi="Arial"/>
                <w:sz w:val="14"/>
                <w:szCs w:val="14"/>
                <w:color w:val="auto"/>
              </w:rPr>
              <w:t>common stock (o)</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Anti-dilutive options to purchase Class A common stock (o)</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320" w:type="dxa"/>
            <w:vAlign w:val="bottom"/>
          </w:tcPr>
          <w:p>
            <w:pPr>
              <w:ind w:left="220"/>
              <w:spacing w:after="0"/>
              <w:rPr>
                <w:sz w:val="20"/>
                <w:szCs w:val="20"/>
                <w:color w:val="auto"/>
              </w:rPr>
            </w:pPr>
            <w:r>
              <w:rPr>
                <w:rFonts w:ascii="Arial" w:cs="Arial" w:eastAsia="Arial" w:hAnsi="Arial"/>
                <w:sz w:val="14"/>
                <w:szCs w:val="14"/>
                <w:color w:val="auto"/>
              </w:rPr>
              <w:t>Anti-dilutive restricted stock units (o)</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268</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Reconciliation of per share amounts: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earnings per share of Class A common stock — basic</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(1.43)</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(0.80)</w:t>
            </w:r>
          </w:p>
        </w:tc>
        <w:tc>
          <w:tcPr>
            <w:tcW w:w="4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Non-GAAP Adjustments (q)</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0.40</w:t>
            </w: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83"/>
        </w:trPr>
        <w:tc>
          <w:tcPr>
            <w:tcW w:w="5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Adjusted earnings (loss) per share - basic</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0.97</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earnings per share of Class A common stock — diluted</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(1.43)</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(0.80)</w:t>
            </w:r>
          </w:p>
        </w:tc>
        <w:tc>
          <w:tcPr>
            <w:tcW w:w="4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89"/>
        </w:trPr>
        <w:tc>
          <w:tcPr>
            <w:tcW w:w="5320" w:type="dxa"/>
            <w:vAlign w:val="bottom"/>
          </w:tcPr>
          <w:p>
            <w:pPr>
              <w:ind w:left="220"/>
              <w:spacing w:after="0"/>
              <w:rPr>
                <w:sz w:val="20"/>
                <w:szCs w:val="20"/>
                <w:color w:val="auto"/>
              </w:rPr>
            </w:pPr>
            <w:r>
              <w:rPr>
                <w:rFonts w:ascii="Arial" w:cs="Arial" w:eastAsia="Arial" w:hAnsi="Arial"/>
                <w:sz w:val="14"/>
                <w:szCs w:val="14"/>
                <w:color w:val="auto"/>
              </w:rPr>
              <w:t>Non-GAAP Adjustments (q)</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0.40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Dilutive redemption of common units in CWGS, LLC for shares of Class A</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(0.03)</w:t>
            </w:r>
          </w:p>
        </w:tc>
        <w:tc>
          <w:tcPr>
            <w:tcW w:w="2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85"/>
        </w:trPr>
        <w:tc>
          <w:tcPr>
            <w:tcW w:w="5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common stock (r)</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20" w:type="dxa"/>
            <w:vAlign w:val="bottom"/>
          </w:tcPr>
          <w:p>
            <w:pPr>
              <w:ind w:left="340"/>
              <w:spacing w:after="0"/>
              <w:rPr>
                <w:sz w:val="20"/>
                <w:szCs w:val="20"/>
                <w:color w:val="auto"/>
              </w:rPr>
            </w:pPr>
            <w:r>
              <w:rPr>
                <w:rFonts w:ascii="Arial" w:cs="Arial" w:eastAsia="Arial" w:hAnsi="Arial"/>
                <w:sz w:val="14"/>
                <w:szCs w:val="14"/>
                <w:color w:val="auto"/>
              </w:rPr>
              <w:t>Adjusted earnings (loss) per share - diluted</w:t>
            </w:r>
          </w:p>
        </w:tc>
        <w:tc>
          <w:tcPr>
            <w:tcW w:w="22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0.19</w:t>
            </w:r>
          </w:p>
        </w:tc>
        <w:tc>
          <w:tcPr>
            <w:tcW w:w="24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(0.40)</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380" w:right="79" w:hanging="330"/>
        <w:spacing w:after="0" w:line="285"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long-lived asset impairment charges related to the RV and Outdoor Retail segment. See Note 5 – Restructuring and Long-Lived Asset Impairment to our consolidated financial statements included in Part II, Item 8 of this Form 10-K for additional information.</w:t>
      </w:r>
    </w:p>
    <w:p>
      <w:pPr>
        <w:spacing w:after="0" w:line="63" w:lineRule="exact"/>
        <w:rPr>
          <w:rFonts w:ascii="Arial" w:cs="Arial" w:eastAsia="Arial" w:hAnsi="Arial"/>
          <w:sz w:val="14"/>
          <w:szCs w:val="14"/>
          <w:color w:val="auto"/>
        </w:rPr>
      </w:pPr>
    </w:p>
    <w:p>
      <w:pPr>
        <w:jc w:val="both"/>
        <w:ind w:left="380" w:right="79" w:hanging="330"/>
        <w:spacing w:after="0" w:line="262"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current and deferred income tax expense or benefit effect of the above adjustments. For the year ended December 31, 2025, the income tax impact for many of the adjustments related to the public holding company, CWH, which had a full valuation allowance against its net deferred tax assets, for which no income tax benefit or expense could be recognized. This assumption used a blended statutory tax rate between 25.0% and 25.3% for the adjustments for the 2025, 2024 and 2023 periods, which represent the estimated tax rates that would apply had the above adjustments been included in the determination of our non-GAAP metric.</w:t>
      </w:r>
    </w:p>
    <w:p>
      <w:pPr>
        <w:spacing w:after="0" w:line="79" w:lineRule="exact"/>
        <w:rPr>
          <w:rFonts w:ascii="Arial" w:cs="Arial" w:eastAsia="Arial" w:hAnsi="Arial"/>
          <w:sz w:val="14"/>
          <w:szCs w:val="14"/>
          <w:color w:val="auto"/>
        </w:rPr>
      </w:pPr>
    </w:p>
    <w:p>
      <w:pPr>
        <w:jc w:val="both"/>
        <w:ind w:left="380" w:right="79" w:hanging="330"/>
        <w:spacing w:after="0" w:line="273"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gains on the termination and/or remeasurement of operating leases resulting from lease termination fees and the derecognition of the operating lease assets and liabilities. See Note 5 – Restructuring and Long-Lived Asset Impairment to our consolidated financial statements included in Part II, Item 8 of this Form 10-K for additional information.</w:t>
      </w:r>
    </w:p>
    <w:p>
      <w:pPr>
        <w:spacing w:after="0" w:line="71" w:lineRule="exact"/>
        <w:rPr>
          <w:rFonts w:ascii="Arial" w:cs="Arial" w:eastAsia="Arial" w:hAnsi="Arial"/>
          <w:sz w:val="14"/>
          <w:szCs w:val="14"/>
          <w:color w:val="auto"/>
        </w:rPr>
      </w:pPr>
    </w:p>
    <w:p>
      <w:pPr>
        <w:ind w:left="380" w:hanging="330"/>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an adjustment to eliminate the gains and losses on disposal and sales of various assets.</w:t>
      </w:r>
    </w:p>
    <w:p>
      <w:pPr>
        <w:spacing w:after="0" w:line="163" w:lineRule="exact"/>
        <w:rPr>
          <w:rFonts w:ascii="Arial" w:cs="Arial" w:eastAsia="Arial" w:hAnsi="Arial"/>
          <w:sz w:val="14"/>
          <w:szCs w:val="14"/>
          <w:color w:val="auto"/>
        </w:rPr>
      </w:pPr>
    </w:p>
    <w:p>
      <w:pPr>
        <w:ind w:left="380" w:hanging="330"/>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noncash SBC expense relating to employees, directors, and consultants of the Company.</w:t>
      </w:r>
    </w:p>
    <w:p>
      <w:pPr>
        <w:spacing w:after="0" w:line="122" w:lineRule="exact"/>
        <w:rPr>
          <w:rFonts w:ascii="Arial" w:cs="Arial" w:eastAsia="Arial" w:hAnsi="Arial"/>
          <w:sz w:val="14"/>
          <w:szCs w:val="14"/>
          <w:color w:val="auto"/>
        </w:rPr>
      </w:pPr>
    </w:p>
    <w:p>
      <w:pPr>
        <w:jc w:val="both"/>
        <w:ind w:left="380" w:right="79" w:hanging="330"/>
        <w:spacing w:after="0" w:line="282"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2026 salary under the second amended and restated employment agreement (“Lemonis Second Employment Agreement”) for Marcus A. Lemonis, our former Chairman and Chief Executive Officer. We deemed the 2026 service conditions under the Lemonis Second Employment Agreement to be nonsubstantive for accounting purposes, so we accrued Mr. Lemonis’ 2026 salary of $1.5 million as of December 31, 2025, which was the date that Mr. Lemonis retired from the position of Chairman and Chief Executive Officer. Mr. Lemonis’ SBC and other compensation that may be settled in shares is included in the SBC amount above.</w:t>
      </w:r>
    </w:p>
    <w:p>
      <w:pPr>
        <w:spacing w:after="0" w:line="66" w:lineRule="exact"/>
        <w:rPr>
          <w:rFonts w:ascii="Arial" w:cs="Arial" w:eastAsia="Arial" w:hAnsi="Arial"/>
          <w:sz w:val="14"/>
          <w:szCs w:val="14"/>
          <w:color w:val="auto"/>
        </w:rPr>
      </w:pPr>
    </w:p>
    <w:p>
      <w:pPr>
        <w:jc w:val="both"/>
        <w:ind w:left="380" w:right="79" w:hanging="330"/>
        <w:spacing w:after="0" w:line="267"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an adjustment to eliminate the gains on remeasurement of the Tax Receivable Agreement liability. For the year ended December 31, 2025, this adjustment related to the change in the determination of the realizability of future cash benefits underlying the estimate of future payments under the Tax Receivable Agreement. For the year ended December 31, 2023, this adjustment related primarily to changes in our blended statutory income tax rate. See Note 12 – Income Taxes to our consolidated financial statements included in Part II, Item 8 of this Form 10-K for additional information.</w:t>
      </w:r>
    </w:p>
    <w:p>
      <w:pPr>
        <w:spacing w:after="0" w:line="35" w:lineRule="exact"/>
        <w:rPr>
          <w:rFonts w:ascii="Arial" w:cs="Arial" w:eastAsia="Arial" w:hAnsi="Arial"/>
          <w:sz w:val="14"/>
          <w:szCs w:val="14"/>
          <w:color w:val="auto"/>
        </w:rPr>
      </w:pPr>
    </w:p>
    <w:p>
      <w:pPr>
        <w:jc w:val="both"/>
        <w:ind w:left="380" w:right="79" w:hanging="330"/>
        <w:spacing w:after="0" w:line="277"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restructuring costs relating to Active Sports Restructuring during the year ended December 31, 2023 and excludes our 2019 Strategic Shift. These restructuring costs include one-time employee termination benefits, incremental inventory reserve charges, and other associated costs. These costs exclude lease termination costs, which are presented separately above. See Note 5 – Restructuring and Long-Lived Asset Impairment to our consolidated financial statements included in Part II, Item 8 of this Form 10-K for additional information.</w:t>
      </w:r>
    </w:p>
    <w:p>
      <w:pPr>
        <w:spacing w:after="0" w:line="69" w:lineRule="exact"/>
        <w:rPr>
          <w:rFonts w:ascii="Arial" w:cs="Arial" w:eastAsia="Arial" w:hAnsi="Arial"/>
          <w:sz w:val="14"/>
          <w:szCs w:val="14"/>
          <w:color w:val="auto"/>
        </w:rPr>
      </w:pPr>
    </w:p>
    <w:p>
      <w:pPr>
        <w:jc w:val="both"/>
        <w:ind w:left="380" w:right="79" w:hanging="330"/>
        <w:spacing w:after="0" w:line="198" w:lineRule="auto"/>
        <w:tabs>
          <w:tab w:leader="none" w:pos="380" w:val="left"/>
        </w:tabs>
        <w:numPr>
          <w:ilvl w:val="0"/>
          <w:numId w:val="40"/>
        </w:numPr>
        <w:rPr>
          <w:rFonts w:ascii="Arial" w:cs="Arial" w:eastAsia="Arial" w:hAnsi="Arial"/>
          <w:sz w:val="29"/>
          <w:szCs w:val="29"/>
          <w:color w:val="auto"/>
          <w:vertAlign w:val="superscript"/>
        </w:rPr>
      </w:pPr>
      <w:r>
        <w:rPr>
          <w:rFonts w:ascii="Arial" w:cs="Arial" w:eastAsia="Arial" w:hAnsi="Arial"/>
          <w:sz w:val="14"/>
          <w:szCs w:val="14"/>
          <w:color w:val="auto"/>
        </w:rPr>
        <w:t>Represents loss and/or impairment on investments in equity securities and interest income and/or provision for credit losses relating to any notes receivables in connection with those investments for periods beginning after December 31, 2022. These amounts are included in other expense, net in the consolidated statements of operations.</w:t>
      </w:r>
    </w:p>
    <w:p>
      <w:pPr>
        <w:spacing w:after="0" w:line="53" w:lineRule="exact"/>
        <w:rPr>
          <w:rFonts w:ascii="Arial" w:cs="Arial" w:eastAsia="Arial" w:hAnsi="Arial"/>
          <w:sz w:val="29"/>
          <w:szCs w:val="29"/>
          <w:color w:val="auto"/>
          <w:vertAlign w:val="superscript"/>
        </w:rPr>
      </w:pPr>
    </w:p>
    <w:p>
      <w:pPr>
        <w:jc w:val="both"/>
        <w:ind w:left="380" w:right="79" w:hanging="330"/>
        <w:spacing w:after="0" w:line="283"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income tax benefit relating to the LLC Conversion, which was primarily from adjustments for certain deferred tax assets that were written off or had changes in their valuation allowance. See Note 12 – Income Taxes to our consolidated financial statements included in Part II, Item 8 of this Form 10-K for additional information.</w:t>
      </w:r>
    </w:p>
    <w:p>
      <w:pPr>
        <w:spacing w:after="0" w:line="51" w:lineRule="exact"/>
        <w:rPr>
          <w:rFonts w:ascii="Arial" w:cs="Arial" w:eastAsia="Arial" w:hAnsi="Arial"/>
          <w:sz w:val="14"/>
          <w:szCs w:val="14"/>
          <w:color w:val="auto"/>
        </w:rPr>
      </w:pPr>
    </w:p>
    <w:p>
      <w:pPr>
        <w:ind w:left="380" w:right="79" w:hanging="330"/>
        <w:spacing w:after="0" w:line="305"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income tax expense relating to the significant change in the valuation allowance for deferred tax assets for CWH, the public holding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380" w:right="79" w:hanging="330"/>
        <w:spacing w:after="0" w:line="283"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adjustment to net (loss) income attributable to non-controlling interests resulting from the above adjustments that impact the net (loss) income of CWGS, LLC. This adjustment uses the non-controlling interest’s weighted average ownership of CWGS, LLC of 38.9%, 45.5% and 47.3% for the years ended December 31, 2025, 2024 and 2023, respectively.</w:t>
      </w:r>
    </w:p>
    <w:p>
      <w:pPr>
        <w:spacing w:after="0" w:line="51" w:lineRule="exact"/>
        <w:rPr>
          <w:rFonts w:ascii="Arial" w:cs="Arial" w:eastAsia="Arial" w:hAnsi="Arial"/>
          <w:sz w:val="14"/>
          <w:szCs w:val="14"/>
          <w:color w:val="auto"/>
        </w:rPr>
      </w:pPr>
    </w:p>
    <w:p>
      <w:pPr>
        <w:ind w:left="380" w:right="79" w:hanging="330"/>
        <w:spacing w:after="0" w:line="305"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reallocation of net (loss) income attributable to non-controlling interests from the impact of the assumed change in ownership of CWGS, LLC from stock options, restricted stock units, and/or common units of CWGS, LLC.</w:t>
      </w:r>
    </w:p>
    <w:p>
      <w:pPr>
        <w:spacing w:after="0" w:line="36" w:lineRule="exact"/>
        <w:rPr>
          <w:rFonts w:ascii="Arial" w:cs="Arial" w:eastAsia="Arial" w:hAnsi="Arial"/>
          <w:sz w:val="14"/>
          <w:szCs w:val="14"/>
          <w:color w:val="auto"/>
        </w:rPr>
      </w:pPr>
    </w:p>
    <w:p>
      <w:pPr>
        <w:jc w:val="both"/>
        <w:ind w:left="380" w:right="79" w:hanging="330"/>
        <w:spacing w:after="0" w:line="267"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income tax expense effect of the above adjustment for reallocation of net (loss) income attributable to non-controlling interests. For the year ended December 31, 2025, the income tax impact of this reallocation adjustment related to the public holding company, CWH, which had a full valuation allowance against its net deferred tax assets, for which no income tax benefit or expense could be recognized. This assumption used a blended statutory tax rate between 25.0% and 25.3% for the adjustments for the 2025, 2024 and 2023 periods.</w:t>
      </w:r>
    </w:p>
    <w:p>
      <w:pPr>
        <w:spacing w:after="0" w:line="62" w:lineRule="exact"/>
        <w:rPr>
          <w:rFonts w:ascii="Arial" w:cs="Arial" w:eastAsia="Arial" w:hAnsi="Arial"/>
          <w:sz w:val="14"/>
          <w:szCs w:val="14"/>
          <w:color w:val="auto"/>
        </w:rPr>
      </w:pPr>
    </w:p>
    <w:p>
      <w:pPr>
        <w:ind w:left="380" w:right="79" w:hanging="330"/>
        <w:spacing w:after="0" w:line="305"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impact to the denominator for stock options, liability-classified awards, restricted stock units, and/or common units of CWGS, LLC.</w:t>
      </w:r>
    </w:p>
    <w:p>
      <w:pPr>
        <w:spacing w:after="0" w:line="36" w:lineRule="exact"/>
        <w:rPr>
          <w:rFonts w:ascii="Arial" w:cs="Arial" w:eastAsia="Arial" w:hAnsi="Arial"/>
          <w:sz w:val="14"/>
          <w:szCs w:val="14"/>
          <w:color w:val="auto"/>
        </w:rPr>
      </w:pPr>
    </w:p>
    <w:p>
      <w:pPr>
        <w:jc w:val="both"/>
        <w:ind w:left="380" w:right="79" w:hanging="330"/>
        <w:spacing w:after="0" w:line="267"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below amounts have not been considered in our adjusted earnings per share – diluted amounts as the effect of these items are anti-dilutive. Additionally, 750,000 performance stock units granted in January 2025 were excluded from the calculation of our adjusted earnings per share – diluted, since they represent contingently issuable shares for which all of the necessary conditions had not been satisfied (see Note 21 — Stock-Based Compensation Plans to our consolidated financial statements included in Part II, Item 8 of this Form 10-K).</w:t>
      </w:r>
    </w:p>
    <w:p>
      <w:pPr>
        <w:spacing w:after="0" w:line="62" w:lineRule="exact"/>
        <w:rPr>
          <w:rFonts w:ascii="Arial" w:cs="Arial" w:eastAsia="Arial" w:hAnsi="Arial"/>
          <w:sz w:val="14"/>
          <w:szCs w:val="14"/>
          <w:color w:val="auto"/>
        </w:rPr>
      </w:pPr>
    </w:p>
    <w:p>
      <w:pPr>
        <w:ind w:left="380" w:hanging="330"/>
        <w:spacing w:after="0"/>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per share impact of the Non-GAAP adjustments to net income detailed above (see (a) through (l) above).</w:t>
      </w:r>
    </w:p>
    <w:p>
      <w:pPr>
        <w:spacing w:after="0" w:line="122" w:lineRule="exact"/>
        <w:rPr>
          <w:rFonts w:ascii="Arial" w:cs="Arial" w:eastAsia="Arial" w:hAnsi="Arial"/>
          <w:sz w:val="14"/>
          <w:szCs w:val="14"/>
          <w:color w:val="auto"/>
        </w:rPr>
      </w:pPr>
    </w:p>
    <w:p>
      <w:pPr>
        <w:ind w:left="380" w:right="79" w:hanging="330"/>
        <w:spacing w:after="0" w:line="305"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per share impact of stock options, liability-classified awards, restricted stock units, and/or common units of CWGS, LLC from the difference in their dilutive impact between the GAAP and Non-GAAP (loss) earnings per share calculations.</w:t>
      </w:r>
    </w:p>
    <w:p>
      <w:pPr>
        <w:spacing w:after="0" w:line="324" w:lineRule="exact"/>
        <w:rPr>
          <w:sz w:val="20"/>
          <w:szCs w:val="20"/>
          <w:color w:val="auto"/>
        </w:rPr>
      </w:pPr>
    </w:p>
    <w:p>
      <w:pPr>
        <w:jc w:val="both"/>
        <w:ind w:left="60" w:right="59" w:firstLine="401"/>
        <w:spacing w:after="0" w:line="253" w:lineRule="auto"/>
        <w:rPr>
          <w:sz w:val="20"/>
          <w:szCs w:val="20"/>
          <w:color w:val="auto"/>
        </w:rPr>
      </w:pPr>
      <w:r>
        <w:rPr>
          <w:rFonts w:ascii="Arial" w:cs="Arial" w:eastAsia="Arial" w:hAnsi="Arial"/>
          <w:sz w:val="18"/>
          <w:szCs w:val="18"/>
          <w:color w:val="auto"/>
        </w:rPr>
        <w:t>As discussed under “Our Corporate Structure Impact on Income Taxes” in Part II, Item 7 of this Form 10-K, our “Up-C” corporate structure may make it difficult to compare our results with those of companies with a more traditional corporate structure. There can be a significant fluctuation in the numerator and denominator for the calculation of our adjusted earnings per share – diluted depending on if the common units in CWGS, LLC are considered dilutive or anti-dilutive for a given period. To improve comparability of our financial results, users of our financial statements may find it useful to review our (loss) earnings per share assuming the full redemption of common units in CWGS, LLC for all periods, even when those common units would be anti-dilutive. The relevant numerator and denominator adjustments have been provided under “Anti-dilutive amounts” in the table above (see (p) above).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SG&amp;A Excluding SBC</w:t>
      </w:r>
    </w:p>
    <w:p>
      <w:pPr>
        <w:spacing w:after="0" w:line="22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define “SG&amp;A Excluding SBC” as SG&amp;A before SBC relating to SG&amp;A. We caution investors that amounts presented in accordance with our definition of SG&amp;A Excluding SBC may not be comparable to similar measures disclosed by our competitors, because not all companies and analysts calculate SG&amp;A Excluding SBC in the same manner. We present SG&amp;A Excluding SBC because we believe that investors’ understanding of our performance and drivers of our other Non-GAAP Financial Measures, such as Adjusted EBITDA, is enhanced by including this Non-GAAP Financial Measure. We believe it provides a reasonable basis for comparing our ongoing results of operations.</w:t>
      </w:r>
    </w:p>
    <w:p>
      <w:pPr>
        <w:spacing w:after="0" w:line="18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The following table reconciles SG&amp;A Excluding SBC to the most directly comparable GAAP financial performance measure:</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6"/>
              </w:rPr>
              <w:t>Year Ended December 31,</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60"/>
        </w:trPr>
        <w:tc>
          <w:tcPr>
            <w:tcW w:w="522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80" w:type="dxa"/>
            <w:vAlign w:val="bottom"/>
          </w:tcPr>
          <w:p>
            <w:pPr>
              <w:spacing w:after="0"/>
              <w:rPr>
                <w:sz w:val="13"/>
                <w:szCs w:val="13"/>
                <w:color w:val="auto"/>
              </w:rPr>
            </w:pPr>
          </w:p>
        </w:tc>
        <w:tc>
          <w:tcPr>
            <w:tcW w:w="880" w:type="dxa"/>
            <w:vAlign w:val="bottom"/>
          </w:tcPr>
          <w:p>
            <w:pPr>
              <w:jc w:val="right"/>
              <w:ind w:right="323"/>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303"/>
              <w:spacing w:after="0"/>
              <w:rPr>
                <w:sz w:val="20"/>
                <w:szCs w:val="20"/>
                <w:color w:val="auto"/>
              </w:rPr>
            </w:pPr>
            <w:r>
              <w:rPr>
                <w:rFonts w:ascii="Arial" w:cs="Arial" w:eastAsia="Arial" w:hAnsi="Arial"/>
                <w:sz w:val="13"/>
                <w:szCs w:val="13"/>
                <w:b w:val="1"/>
                <w:bCs w:val="1"/>
                <w:color w:val="auto"/>
              </w:rPr>
              <w:t>2024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03"/>
              <w:spacing w:after="0"/>
              <w:rPr>
                <w:sz w:val="20"/>
                <w:szCs w:val="20"/>
                <w:color w:val="auto"/>
              </w:rPr>
            </w:pPr>
            <w:r>
              <w:rPr>
                <w:rFonts w:ascii="Arial" w:cs="Arial" w:eastAsia="Arial" w:hAnsi="Arial"/>
                <w:sz w:val="13"/>
                <w:szCs w:val="13"/>
                <w:b w:val="1"/>
                <w:bCs w:val="1"/>
                <w:color w:val="auto"/>
              </w:rPr>
              <w:t>2023</w:t>
            </w:r>
          </w:p>
        </w:tc>
      </w:tr>
      <w:tr>
        <w:trPr>
          <w:trHeight w:val="196"/>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SG&amp;A Excluding SBC:</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03"/>
        </w:trPr>
        <w:tc>
          <w:tcPr>
            <w:tcW w:w="5220" w:type="dxa"/>
            <w:vAlign w:val="bottom"/>
            <w:gridSpan w:val="2"/>
          </w:tcPr>
          <w:p>
            <w:pPr>
              <w:ind w:left="120"/>
              <w:spacing w:after="0"/>
              <w:rPr>
                <w:sz w:val="20"/>
                <w:szCs w:val="20"/>
                <w:color w:val="auto"/>
              </w:rPr>
            </w:pPr>
            <w:r>
              <w:rPr>
                <w:rFonts w:ascii="Arial" w:cs="Arial" w:eastAsia="Arial" w:hAnsi="Arial"/>
                <w:sz w:val="16"/>
                <w:szCs w:val="16"/>
                <w:color w:val="auto"/>
              </w:rPr>
              <w:t>SG&amp;A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1,603,222</w:t>
            </w:r>
          </w:p>
        </w:tc>
        <w:tc>
          <w:tcPr>
            <w:tcW w:w="4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1,573,117</w:t>
            </w:r>
          </w:p>
        </w:tc>
        <w:tc>
          <w:tcPr>
            <w:tcW w:w="2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1,538,988</w:t>
            </w:r>
          </w:p>
        </w:tc>
      </w:tr>
      <w:tr>
        <w:trPr>
          <w:trHeight w:val="203"/>
        </w:trPr>
        <w:tc>
          <w:tcPr>
            <w:tcW w:w="5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SBC - SG&amp;A</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(43,819)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(21,213)</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(23,191)</w:t>
            </w:r>
          </w:p>
        </w:tc>
      </w:tr>
      <w:tr>
        <w:trPr>
          <w:trHeight w:val="236"/>
        </w:trPr>
        <w:tc>
          <w:tcPr>
            <w:tcW w:w="522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SG&amp;A Excluding SBC: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1,559,403</w:t>
            </w:r>
          </w:p>
        </w:tc>
        <w:tc>
          <w:tcPr>
            <w:tcW w:w="2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1,551,904</w:t>
            </w:r>
          </w:p>
        </w:tc>
        <w:tc>
          <w:tcPr>
            <w:tcW w:w="2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1,515,797</w:t>
            </w:r>
          </w:p>
        </w:tc>
      </w:tr>
      <w:tr>
        <w:trPr>
          <w:trHeight w:val="183"/>
        </w:trPr>
        <w:tc>
          <w:tcPr>
            <w:tcW w:w="5220" w:type="dxa"/>
            <w:vAlign w:val="bottom"/>
            <w:gridSpan w:val="2"/>
            <w:shd w:val="clear" w:color="auto" w:fill="CCEEFF"/>
          </w:tcPr>
          <w:p>
            <w:pPr>
              <w:ind w:left="340"/>
              <w:spacing w:after="0" w:line="181" w:lineRule="exact"/>
              <w:rPr>
                <w:sz w:val="20"/>
                <w:szCs w:val="20"/>
                <w:color w:val="auto"/>
              </w:rPr>
            </w:pPr>
            <w:r>
              <w:rPr>
                <w:rFonts w:ascii="Arial" w:cs="Arial" w:eastAsia="Arial" w:hAnsi="Arial"/>
                <w:sz w:val="16"/>
                <w:szCs w:val="16"/>
                <w:color w:val="auto"/>
              </w:rPr>
              <w:t>As a percentage of gross profit</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w:t>
      </w:r>
    </w:p>
    <w:p>
      <w:pPr>
        <w:spacing w:after="0" w:line="22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primary requirements for liquidity and capital have been working capital, inventory management, acquiring and building new store locations, the improvement and expansion of existing store locations, debt service, distributions/dividends to holders of equity interests in CWGS, LLC and our Class A common stock, and general corporate needs. These cash requirements have historically been met through cash provided by operating activities, cash and cash equivalents, proceeds from registered offerings of our Class A common stock, borrowings under our Senior Secured Credit Facilities (as defined in Part II, Item 8 of this Form 10-K), borrowings under our Floor Plan Facility (as defined in Part II, Item 8 of this Form 10-K), and borrowings under our Real Estate Facilities (as defined in Part II, Item 8 of this Form 10-K).</w:t>
      </w:r>
    </w:p>
    <w:p>
      <w:pPr>
        <w:spacing w:after="0" w:line="18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Our additional liquidity needs are expected to include public company costs; payment of cash dividends, if any; any exercise of the redemption right by the Continuing Equity Owners from time to time (should we elect to redeem common units for a cash payment); payments under the Tax Receivable Agreement to the extent that tax benefits underlying the Tax Receivable Agreement are realizable; and state and federal taxes to the extent not reduced as a result of the tax deductions generated by (i) payments under the Tax Receivable Agreement and (ii) redemptions of common units by the Continuing Equity Owners. The Continuing Equity Owners may exercise such redemption right for as long as their common units remain outstanding. Although the actual timing and amount of any payments that may be made under the Tax Receivable Agreement will vary, we expect that the payments that we will be required to make to the Continuing Equity Owners, Former Profits Unit Holders, and Crestview Partners II GP, L.P. may be significant if the tax benefits underlying the Tax Receivable Agreement are realizable. Any payments made by us to Continuing Equity Owners, Former Profits Unit Holders, and Crestview Partners II GP, L.P. under the Tax Receivable Agreement will generally reduce the amount of overall cash flow that might have otherwise been available to us or to CWGS, LLC and, to the extent that we are unable to make payments under the Tax Receivable Agreement for any reason, the unpaid amounts generally will be deferred and will accrue interest until paid by us; provided, however, that nonpayment for a specified period may constitute a material breach of a material obligation under the Tax Receivable Agreement and therefore may accelerate payments due under the Tax Receivable Agreement. For a discussion of the Tax Receivable Agreement, see Note 12 — Income Taxes to our consolidated financial statements included in Part II, Item 8 of this Form 10-K.</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November 2024 Public Offering</w:t>
      </w:r>
    </w:p>
    <w:p>
      <w:pPr>
        <w:spacing w:after="0" w:line="223"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In November 2024, we completed a public offering (the “November 2024 Public Offering”) in which the Company sold 16,829,267 shares of our Class A common stock, including 2,195,121 under the exercised underwriter’s option, at a public offering price of $ 20.50 per share (or $19.81 per share after underwriting discounts and commissions). We received $333.4 million in proceeds, net of underwriting discounts and commissions, which were used to purchase 16,829,267 common units from CWGS, LLC at a price per unit equal to the public offering price per share of Class A common stock in the November 2024 Public Offering, less underwriting discounts and commissions. We incurred approximately $1.0 million of offering costs related to the November 2024 Public Offering and have used the net proceeds from the sale of common units to CWH for general corporate purposes, including strengthening the balance sheet, working capital for growth, acquisitions, and pay down of debt.</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Repurchase Program</w:t>
      </w:r>
    </w:p>
    <w:p>
      <w:pPr>
        <w:spacing w:after="0" w:line="16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October 2020, our Board of Directors initially authorized a stock repurchase program for the repurchase of up to $100.0 million of our Class A common stock, expiring on October 31, 2022. In August 2021 and January 2022, our Board of Directors authorized increases to the stock repurchase program for the repurchase of up to an additional $125.0 million and $152.7 million, respectively, of our Class A common stock. Following these extensions, the stock repurchase program expired on December 31, 2025. During the years ended December 31, 2025 and 2024, we did not repurchase shares of Class A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16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historically paid a quarterly cash dividend to holders of Class A common stock. In February 2026, following consideration of forecasted tax distributions, the reduced availability of excess tax distributions to fund dividend payments driven partly by the impact of recent tax law changes, and in consideration of our focus on reducing net debt leverage, our Board of Directors determined to pause our regular cash dividend program. Our Board of Directors will monitor changes in the above factors and plans to re-evaluate the future of our dividend program at a later date.</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If we determine to reinstate our regular quarterly cash dividend, our ability to pay cash dividends on our Class A common stock depends on, among other things, our results of operations, financial condition, level of indebtedness, capital requirements, contractual restrictions, restrictions in our debt agreements and in any preferred stock, restrictions under applicable law, the extent to which such distributions would render CWGS, LLC insolvent, our business prospects and other factors that our Board of Directors may deem relevant. See “Dividend Policy” included in Part II, Item 5 of this Form 10-K and “Risk Factors ─ Risks Relating to Ownership of Our Class A Common Stock ─ “Our ability and intention to pay dividends on our Class A common stock is subject to the discretion of our Board of Directors and may be limited by our structure and statutory restrictions” included in Part I, Item 1A of this Form 10-K.</w:t>
      </w:r>
    </w:p>
    <w:p>
      <w:pPr>
        <w:spacing w:after="0" w:line="18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In the year ended December 31, 2025, we paid an aggregate of $31.4 million in dividends. During the first half of 2025, the quarterly dividends were funded entirely from the Excess Tax Distribution (as defined under “Dividend Policy” included in Part II, Item 5 of this Form 10-K), with no portion funded by other common unit cash distributions from CWGS, LLC. The quarterly dividend for the third quarter of 2025, was funded with a $0.060 per common unit cash distribution from CWGS, LLC and the remaining $0.065 per share of Class A common stock funded with all or a portion of the Excess Tax Distribution. The quarterly dividend for the fourth quarter of 2025 was entirely funded with a $0.125 per common unit cash distribution from CWGS, LLC. In aggregate, $11.7 million and $ 19.7 million of the 2025 cash dividends were funded by the cash distribution from CWGS, LLC and the Excess Tax Distribution, respectively. Additionally, in 2025, the non-controlling interest received its share of the $0.185 per common unit distribution from CWGS, LLC for an aggregate $7.4 million, which was presented in distributions to holders of LLC common units in our consolidated statements of cash flows included in Part II, Item 8 of this Form 10-K. During the year ended December 31, 2024, the dividends were funded entirely from the Excess Tax, with no portion funded by other cash distributions from CWGS, LLC.</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Acquisitions and Capital Expenditures</w:t>
      </w:r>
    </w:p>
    <w:p>
      <w:pPr>
        <w:spacing w:after="0" w:line="16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During the year ended December 31, 2025, the RV and Outdoor Retail segment purchased real property for an aggregate purchase price of $ 123.9 million, inclusive of a $1.1 million note receivable that was forgiven as partial consideration for one of the properties.</w:t>
      </w:r>
    </w:p>
    <w:p>
      <w:pPr>
        <w:spacing w:after="0" w:line="171"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Over the next twelve months, our expansion of existing and new dealerships through construction and acquisition is expected to cost between $39.0 million and $49.0 million from a combination of capital expenditures relating to land, buildings, and improvements and, to a lesser extent, business acquisitions. These cost estimates exclude amounts for acquired inventories, which are primarily financed through our Floor Plan Facility. Additionally, the cost estimates do not consider potential funding received through sale leaseback transactions or other means for real estate and construction activities. Factors that could impact the quantity of future locations or the cost to acquire or open those locations include, but are not limited to, our ability to locate potential acquisition targets or greenfield locations in a geographic area and at a cost that meets our success criteria; continued strong cash flow generation to fund these acquisitions and new locations; and availability of financing.</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Tax Receivable Agreement Liability</w:t>
      </w:r>
    </w:p>
    <w:p>
      <w:pPr>
        <w:spacing w:after="0" w:line="16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We expect to pay $1.4 million under the Tax Receivable Agreement during the year ending December 31, 2026 and do not currently estimate that future cash tax benefits underlying the estimate of further future payments under the Tax Receivable Agreement are realizable.</w:t>
      </w:r>
    </w:p>
    <w:p>
      <w:pPr>
        <w:spacing w:after="0" w:line="184" w:lineRule="exact"/>
        <w:rPr>
          <w:sz w:val="20"/>
          <w:szCs w:val="20"/>
          <w:color w:val="auto"/>
        </w:rPr>
      </w:pPr>
    </w:p>
    <w:p>
      <w:pPr>
        <w:jc w:val="both"/>
        <w:ind w:left="60" w:right="59" w:firstLine="648"/>
        <w:spacing w:after="0" w:line="303" w:lineRule="auto"/>
        <w:rPr>
          <w:sz w:val="20"/>
          <w:szCs w:val="20"/>
          <w:color w:val="auto"/>
        </w:rPr>
      </w:pPr>
      <w:r>
        <w:rPr>
          <w:rFonts w:ascii="Arial" w:cs="Arial" w:eastAsia="Arial" w:hAnsi="Arial"/>
          <w:sz w:val="18"/>
          <w:szCs w:val="18"/>
          <w:color w:val="auto"/>
        </w:rPr>
        <w:t>See Note 12 — Income Taxes to our consolidated financial statements included in Part II, Item 8 of this Form 10-K for additional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Strategic Shift and Active Sports Restructuring</w:t>
      </w:r>
    </w:p>
    <w:p>
      <w:pPr>
        <w:spacing w:after="0" w:line="169"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See “Restructuring” above for a summary of the ongoing cash requirements related to our restructuring activities.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Supplier Agreement</w:t>
      </w:r>
    </w:p>
    <w:p>
      <w:pPr>
        <w:spacing w:after="0" w:line="223"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connection with the divestiture of its RV furniture business (“CWDS”), we entered into a supplier agreement (“Supplier Agreement”) with the buyer that requires us to purchase an aggregate $250.0 million of product over the approximately 10-year term of the Supplier Agreement. See Note 6 — Assets Held for Sale and Business Divestiture to our consolidated financial statements included in Part II, Item 8 of this Form 10-K for a discussion of the divestiture of CWDS.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Cash Requirements or Commitments</w:t>
      </w:r>
    </w:p>
    <w:p>
      <w:pPr>
        <w:spacing w:after="0" w:line="16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Substantially all of our new RV inventory and, at times, certain of our used RV inventory is financed under our Floor Plan Facility (defined in Note 4 – Inventories and Floor Plan Payables to our consolidated financial statements included in Part II, Item 8 of this Form 10-K). See “Summary of Credit Facilities, Other Long-Term Debt, and Finance Lease Arrangements” for a summary of the cash requirements related to our indebtedness.</w:t>
      </w:r>
    </w:p>
    <w:p>
      <w:pPr>
        <w:spacing w:after="0" w:line="183"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See Note 11 ─ Lease Obligations to our consolidated financial statements included in Part II, Item 8 of this Form 10-K for a discussion of cash requirements relating to operating and finance lease obligations.</w:t>
      </w:r>
    </w:p>
    <w:p>
      <w:pPr>
        <w:spacing w:after="0" w:line="15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See Note 14 — Commitments and Contingencies to our consolidated financial statements included in Part II, Item 8 of this Form 10-K for a discussion of cash requirements relating to service and marketing sponsorship agreements, a supplier agreement and other contractual arrangements.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Sources of Liquidity and Capital</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believe that our sources of liquidity and capital including cash provided by operating activities, equity offerings and borrowings under our various credit facilities, other long-term debt, and finance lease arrangements (see Liquidity and Capital Resources — Summary of Credit Facilities, Other Long-Term Debt, and Finance Lease Arrangements in Part II, Item 7 of this Form 10-K), including additional borrowing capacity where applicable, will be sufficient to finance our continued operations, growth strategy, including the opening of any additional store locations, quarterly cash dividends (as described above), required payments for our obligations under the Tax Receivable Agreement to the extent that tax benefits underlying the Tax Receivable Agreement are realizable, and additional expenses we expect to incur for at least the next twelve months.</w:t>
      </w:r>
    </w:p>
    <w:p>
      <w:pPr>
        <w:spacing w:after="0" w:line="171"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However, we cannot assure you that our cash provided by operating activities, cash and cash equivalents, registered offerings of equity under our Registration Statement on Form S-3, or cash available under our Revolving Credit Facility, our Floor Plan Facility, and our Real Estate Facilities, will be sufficient to meet our future needs. If we are unable to generate sufficient cash flows from operations in the future and if availability under our Revolving Credit Facility, our Floor Plan Facility, and our Real Estate Facilities is not sufficient, we may have to obtain additional financing. If we obtain additional capital by issuing equity, the interests of our existing stockholders will be diluted. If we incur additional indebtedness, that indebtedness may impose significant financial and other covenants that may significantly restrict our operations. We cannot assure you that we could obtain refinancing or additional financing on favorable terms or at all, including the expected additional borrowings noted above and particularly in light of the current macroeconomic uncertainty. See “Risk Factors — Risks Related to our Business — Our ability to operate and expand our business and to respond to changing business and economic conditions will depend on the availability of adequate capital” included in Part I, Item 1A of this Form 10-K.</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As of December 31, 2025 and 2024, we had working capital of $435.1 million and $590.3 million, respectively, including $215.0 million and $208.4 million, respectively, of cash and cash equivalents. The decrease in working capital was primarily due to the increase in the notes payable — floor plan, net, which outpaced the increase in inventories as we increased the proportion of notes payable — floor plan that were associated with used vehicles. Within current liabilities, which are deducted from current assets to calculate our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working capital, we had deferred revenues of $90.5 million and $92.1 million as of December 31, 2025 and 2024, respectively. Deferred revenues primarily consists of cash collected for club memberships and roadside assistance contracts in advance of services to be provided, which is deferred and recognized as revenue over the life of the membership, deferred revenues for the annual campground guide, and our Good Sam Club loyalty points liability. We use net proceeds from this deferred membership revenue to lower our long-term borrowings and finance our working capital needs. Our Floor Plan Facility includes a flooring line aggregate interest reduction (“FLAIR”) offset account that allows us to transfer cash as an offset to the payables under the Floor Plan Facility. As of December 31, 2025, and 2024, the FLAIR offset account was $25.1 million and $79.5 million, respectively, of which $25.1 million and $79.5 million, respectively, could have been withdrawn while remaining in compliance with the financial covenants of the Floor Plan Facility. Cash may be transferred from the FLAIR offset account to cash and cash equivalents at our discretion.</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Seasonality</w:t>
      </w:r>
    </w:p>
    <w:p>
      <w:pPr>
        <w:spacing w:after="0" w:line="16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have experienced, and expect to continue to experience, variability in revenue, net income, and cash flows as a result of annual seasonality in our business. See Note 1 ─ Summary of Significant Accounting Policies — Seasonality to our consolidated financial statements included in Part II, Item 8 of this Form 10-K, Part I, Item 1 of this Form 10-K and “Risk Factors — Risks Related to our Business — Our business is seasonal and this leads to fluctuations in revenues” included in Part I, Item 1A of this Form 10-K.</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summary cash flow information:</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554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8"/>
          </w:tcPr>
          <w:p>
            <w:pPr>
              <w:jc w:val="right"/>
              <w:ind w:right="63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5540" w:type="dxa"/>
            <w:vAlign w:val="bottom"/>
            <w:vMerge w:val="continue"/>
          </w:tcPr>
          <w:p>
            <w:pPr>
              <w:spacing w:after="0"/>
              <w:rPr>
                <w:sz w:val="15"/>
                <w:szCs w:val="15"/>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56"/>
              <w:spacing w:after="0"/>
              <w:rPr>
                <w:sz w:val="20"/>
                <w:szCs w:val="20"/>
                <w:color w:val="auto"/>
              </w:rPr>
            </w:pPr>
            <w:r>
              <w:rPr>
                <w:rFonts w:ascii="Arial" w:cs="Arial" w:eastAsia="Arial" w:hAnsi="Arial"/>
                <w:sz w:val="14"/>
                <w:szCs w:val="14"/>
                <w:b w:val="1"/>
                <w:bCs w:val="1"/>
                <w:color w:val="auto"/>
              </w:rPr>
              <w:t>2025</w:t>
            </w:r>
          </w:p>
        </w:tc>
        <w:tc>
          <w:tcPr>
            <w:tcW w:w="300" w:type="dxa"/>
            <w:vAlign w:val="bottom"/>
            <w:gridSpan w:val="2"/>
          </w:tcPr>
          <w:p>
            <w:pPr>
              <w:jc w:val="right"/>
              <w:ind w:right="47"/>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2024</w:t>
            </w:r>
          </w:p>
        </w:tc>
        <w:tc>
          <w:tcPr>
            <w:tcW w:w="320" w:type="dxa"/>
            <w:vAlign w:val="bottom"/>
            <w:gridSpan w:val="3"/>
          </w:tcPr>
          <w:p>
            <w:pPr>
              <w:jc w:val="right"/>
              <w:ind w:right="47"/>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3"/>
        </w:trPr>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(131,985)</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245,159</w:t>
            </w:r>
          </w:p>
        </w:tc>
        <w:tc>
          <w:tcPr>
            <w:tcW w:w="18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310,807</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(201,162)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(88,175)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(369,406)</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339,768</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11,791</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(31,885)</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6,621</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168,775</w:t>
            </w:r>
          </w:p>
        </w:tc>
        <w:tc>
          <w:tcPr>
            <w:tcW w:w="18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(90,484)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flows from operating activities are primarily collections from contracts in</w:t>
      </w:r>
      <w:r>
        <w:rPr>
          <w:rFonts w:ascii="Arial" w:cs="Arial" w:eastAsia="Arial" w:hAnsi="Arial"/>
          <w:sz w:val="18"/>
          <w:szCs w:val="18"/>
          <w:i w:val="1"/>
          <w:iCs w:val="1"/>
          <w:color w:val="auto"/>
        </w:rPr>
        <w:t xml:space="preserve"> </w:t>
      </w:r>
      <w:r>
        <w:rPr>
          <w:rFonts w:ascii="Arial" w:cs="Arial" w:eastAsia="Arial" w:hAnsi="Arial"/>
          <w:sz w:val="18"/>
          <w:szCs w:val="18"/>
          <w:color w:val="auto"/>
        </w:rPr>
        <w:t>transit and customers following the sale of new and used vehicles, as well as from the sale of retail products and services and Good Sam services and plans. Contracts in transit represent amounts due from third -party lenders from whom pre-arranged agreements have been determined, and to whom the retail installment sales contracts have been assigned. Our primary uses of cash from operating activities are repayments of vehicle floor plan payables, payments to retail product suppliers, personnel-related expenditures, payments related to leased property, advertising, and various services and program costs.</w:t>
      </w:r>
    </w:p>
    <w:p>
      <w:pPr>
        <w:spacing w:after="0" w:line="114"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Net cash used in operating activities was $132.0 million for the year ended December 31, 2025, a decrease of $377.1 million from net cash provided by operating activities of $245.2 million for the year ended December 31, 2024. The decrease was primarily due to a $450.9 million decrease in the working capital adjustment for inventory, a $149.0 million change in the Tax Receivable Agreement liability adjustment, a $26.8 million reduction in net income, a $13.8 million decrease in long-lived asset impairment, a $13.6 million decrease in the working capital adjustment for accounts receivable and contracts in transit, a $10.7 million increase in gain on sale or disposal of assets, and a $5.2 million decrease in working capital adjustment for deferred revenues, partially offset by a $ 226.7 million increase in deferred income taxes, a $22.7 million increase in stock-based compensation, a $14.1 million increase in depreciation and amortization, a $13.8 million increase in the working capital adjustment for accounts payable and accrued expenses, and a $13.4 million increase in the working capital adjustment for payment pursuant to the Tax Receivable Agreement.</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Net cash provided by operating activities was $245.2 million for the year ended December 31, 2024, a decrease of $65.6 million from $310.8 million of net cash provided by operating activities for the year ended December 31, 2023. The decrease was primarily due to a $131.8 million reduction in net income, a $25.9 million decrease in the working capital adjustment for prepaid expenses and other assets, a $9.2 million decrease in the working capital adjustment for accounts payable and accrued expenses, a $ 6.7 million increase in gain on lease termination, a $4.4 million decrease in noncash lease expense, and a $2.5 million decrease in stock-</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based compensation, partially offset by a $34.1 million increase in the working capital adjustment for accounts receivable and contracts in transit, a $27.1 million increase in the working capital adjustment for inventory, a $15.1 million increase in loss on sale or disposal of assets, a $12.5 million increase in depreciation and amortization, a $12.5 million increase in the working capital adjustment for other, net, a $5.8 million increase in long-lived asset impairment, and a $3.4 million increase in deferred revenues.</w:t>
      </w:r>
    </w:p>
    <w:p>
      <w:pPr>
        <w:spacing w:after="0" w:line="17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investment in business activities primarily consists of expanding our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organic growth and the acquisition of RV dealership locations. Substantially all of our new RV dealership locations and capital expenditures have been financed using cash provided by operating activities and borrowings under our various credit facilities, other long-term debt, proceeds from registered offerings of our Class A common stock, and finance lease arrangements, as applicable (see Liquidity and Capital Resources — Summary of Credit Facilities, Other Long-Term Debt, and Finance Lease Arrangements in Item 7 of Part II of this Form 10-K).</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summarizes our capital expenditures:</w:t>
      </w:r>
    </w:p>
    <w:p>
      <w:pPr>
        <w:spacing w:after="0" w:line="140" w:lineRule="exact"/>
        <w:rPr>
          <w:sz w:val="20"/>
          <w:szCs w:val="20"/>
          <w:color w:val="auto"/>
        </w:rPr>
      </w:pPr>
    </w:p>
    <w:tbl>
      <w:tblPr>
        <w:tblLayout w:type="fixed"/>
        <w:tblInd w:w="640" w:type="dxa"/>
        <w:tblCellMar>
          <w:top w:w="0" w:type="dxa"/>
          <w:left w:w="0" w:type="dxa"/>
          <w:bottom w:w="0" w:type="dxa"/>
          <w:right w:w="0" w:type="dxa"/>
        </w:tblCellMar>
      </w:tblPr>
      <w:tr>
        <w:trPr>
          <w:trHeight w:val="197"/>
        </w:trPr>
        <w:tc>
          <w:tcPr>
            <w:tcW w:w="462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7"/>
          </w:tcPr>
          <w:p>
            <w:pPr>
              <w:jc w:val="right"/>
              <w:ind w:right="51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4620" w:type="dxa"/>
            <w:vAlign w:val="bottom"/>
            <w:vMerge w:val="continue"/>
          </w:tcPr>
          <w:p>
            <w:pPr>
              <w:spacing w:after="0"/>
              <w:rPr>
                <w:sz w:val="15"/>
                <w:szCs w:val="15"/>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2025</w:t>
            </w:r>
          </w:p>
        </w:tc>
        <w:tc>
          <w:tcPr>
            <w:tcW w:w="32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2024</w:t>
            </w:r>
          </w:p>
        </w:tc>
        <w:tc>
          <w:tcPr>
            <w:tcW w:w="32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IT hardware and software</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27,448</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20,414</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14,889</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Greenfield and acquired dealership locations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25,798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41,968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Existing store locations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57,591</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16,632</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129,442</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90,837</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131,080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capital expenditures consist primarily of investing in acquired and greenfield retail and RV dealership locations, existing retail locations, information technology, hardware and software. The expected minimum capital expenditures relating to new dealerships and real estate purchases for the year ending December 31, 2025 are discussed above. As of December 31, 2025, we had entered into contracts for construction of new and existing dealership buildings for an aggregate future commitment of capital expenditures of $1.7 million. There were no other material commitments for capital expenditures as of December 31, 2025.</w:t>
      </w:r>
    </w:p>
    <w:p>
      <w:pPr>
        <w:spacing w:after="0" w:line="18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Net cash used in investing activities was $ 201.2 million for the year ended December 31, 2025. The $201.2 million of cash used in investing activities was comprised of $129.4 million of capital expenditures primarily related to store locations, $122.8 million for the purchase of real property, $81.2 million for the acquisition of RV dealerships, net of cash acquired, and $16.9 million for purchases of other investments, partially offset by $130.6 million of proceeds from the sale or disposal of real property, $11.0 million in proceeds from the divestiture of a business, and $7.2 million of proceeds from the sale or disposal of property and equipment. See Note 16 – Acquisitions to our consolidated financial statements included in Part II, Item 8 of this Form 10-K.</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Net cash used in investing activities was $ 88.2 million for the year ended December 31, 2024. The $88.2 million of cash used in investing activities was comprised of $90.8 million of capital expenditures primarily related to retail locations, $72.3 million for the acquisition of RV dealerships and a tire delivery service business, net of cash acquired, $9.6 million for the purchase of real property, and $0.2 million for the purchase of intangible assets, partially offset by $58.2 million of proceeds from the sale of real property, $20.0 million in proceeds from the divestiture of a business, $4.0 million of proceeds from the sale of property and equipment and $2.6 million of proceeds from the sale of intangible assets. See Note 16 – Acquisitions to our consolidated financial statements included in Part II, Item 8 of this Form 10-K.</w:t>
      </w:r>
    </w:p>
    <w:p>
      <w:pPr>
        <w:spacing w:after="0" w:line="17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Our financing activities primarily consist of proceeds from the offering of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issuance of debt, and the repayment of principal and debt issuance costs.</w:t>
      </w:r>
    </w:p>
    <w:p>
      <w:pPr>
        <w:spacing w:after="0" w:line="153"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7"/>
          <w:szCs w:val="17"/>
          <w:color w:val="auto"/>
        </w:rPr>
        <w:t>Our net cash provided by financing activities was $ 339.8 million for the year ended December 31, 2025. The $339.8 million of cash provided by financing activities was primarily due to $444.8 million of net proceeds on borrowings under the Floor Plan Facility, partially offset by $49.9 million of payments on long-term debt,</w:t>
      </w:r>
    </w:p>
    <w:p>
      <w:pPr>
        <w:sectPr>
          <w:pgSz w:w="11900" w:h="16838" w:orient="portrait"/>
          <w:cols w:equalWidth="0" w:num="1">
            <w:col w:w="9019"/>
          </w:cols>
          <w:pgMar w:left="1440" w:top="513" w:right="1440"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8"/>
          <w:szCs w:val="18"/>
          <w:color w:val="auto"/>
        </w:rPr>
        <w:t>$31.4 million of dividends paid on Class A common stock, $8.4 million of payments on finance leases, $7.5 million of member distributions, and $6.0 million of withholding taxes paid upon the vesting of restricted stock units,</w:t>
      </w:r>
    </w:p>
    <w:p>
      <w:pPr>
        <w:spacing w:after="0" w:line="17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net cash provided by financing activities was $11.8 million for the year ended December 31, 2024. The $11.8 million of cash provided by financing activities was primarily due to $332.9 million of proceeds from issuance of Class A common stock sold in a public offering, net of underwriter discount and commissions, $55.6 million of proceeds from long-term debt, $43.0 million from borrowings on our revolving line of credit under the Floor Plan Facility and $0.5 million of proceeds from exercise of stock options, partially offset by $217.9 million of net payments on borrowings under the Floor Plan Facility, $80.9 million of payments on long-term debt, $63.9 million of payments on the revolving line of credit, $24.7 million of dividends paid on Class A common stock, $18.7 million of member distributions, $7.5 million of payments on finance leases, $5.4 million of withholding taxes paid upon the vesting of restricted stock units and $1.1 million for debt issuance costs payments.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Credit Facilities, Other Long-Term Debt, and Finance Lease Arrangements</w:t>
      </w:r>
    </w:p>
    <w:p>
      <w:pPr>
        <w:spacing w:after="0" w:line="22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of December 31, 2025 and 2024, we had outstanding debt in the form of our Senior Secured Credit Facilities, our Floor Plan Facility, our Real Estate Facilities, other long-term debt, and finance lease obligations. We may from time to time seek to refinance, retire or exchange our outstanding debt. Such refinancings, repayments or exchanges, if any, will depend on prevailing market conditions, our liquidity requirements, contractual restrictions and other factors. The amounts involved may be material. For additional information regarding our interest rate risk and interest rate hedging instruments, see “Quantitative and Qualitative Disclosures About Market Risk” in Part II, Item 7A of this Form 10-K.</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following table shows a summary of the outstanding balances, current portion, and remaining available borrowings under our credit facilities, other long-term debt and finance lease arrangements. See definitions and further details in Note 4 – Inventories and Floor Plan Payables, Note 10 – Long-Term Debt, and Note 11 – Lease Obligations to our consolidated financial statements included in Part II, Item 8 of this Form 10-K) as of December 31, 2025:</w:t>
      </w: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161"/>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Remaining</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4880" w:type="dxa"/>
            <w:vAlign w:val="bottom"/>
            <w:gridSpan w:val="2"/>
          </w:tcPr>
          <w:p>
            <w:pPr>
              <w:spacing w:after="0"/>
              <w:rPr>
                <w:sz w:val="20"/>
                <w:szCs w:val="20"/>
                <w:color w:val="auto"/>
              </w:rPr>
            </w:pPr>
            <w:r>
              <w:rPr>
                <w:rFonts w:ascii="Arial" w:cs="Arial" w:eastAsia="Arial" w:hAnsi="Arial"/>
                <w:sz w:val="11"/>
                <w:szCs w:val="11"/>
                <w:color w:val="auto"/>
              </w:rPr>
              <w:t>($ in thousands)</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Outstanding</w:t>
            </w:r>
          </w:p>
        </w:tc>
        <w:tc>
          <w:tcPr>
            <w:tcW w:w="40" w:type="dxa"/>
            <w:vAlign w:val="bottom"/>
          </w:tcPr>
          <w:p>
            <w:pPr>
              <w:spacing w:after="0"/>
              <w:rPr>
                <w:sz w:val="17"/>
                <w:szCs w:val="17"/>
                <w:color w:val="auto"/>
              </w:rPr>
            </w:pPr>
          </w:p>
        </w:tc>
        <w:tc>
          <w:tcPr>
            <w:tcW w:w="280" w:type="dxa"/>
            <w:vAlign w:val="bottom"/>
            <w:gridSpan w:val="2"/>
          </w:tcPr>
          <w:p>
            <w:pPr>
              <w:jc w:val="right"/>
              <w:ind w:right="24"/>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1"/>
              <w:spacing w:after="0"/>
              <w:rPr>
                <w:sz w:val="20"/>
                <w:szCs w:val="20"/>
                <w:color w:val="auto"/>
              </w:rPr>
            </w:pPr>
            <w:r>
              <w:rPr>
                <w:rFonts w:ascii="Arial" w:cs="Arial" w:eastAsia="Arial" w:hAnsi="Arial"/>
                <w:sz w:val="14"/>
                <w:szCs w:val="14"/>
                <w:b w:val="1"/>
                <w:bCs w:val="1"/>
                <w:color w:val="auto"/>
              </w:rPr>
              <w:t>Portion</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Available</w:t>
            </w:r>
          </w:p>
        </w:tc>
        <w:tc>
          <w:tcPr>
            <w:tcW w:w="20" w:type="dxa"/>
            <w:vAlign w:val="bottom"/>
          </w:tcPr>
          <w:p>
            <w:pPr>
              <w:spacing w:after="0"/>
              <w:rPr>
                <w:sz w:val="17"/>
                <w:szCs w:val="17"/>
                <w:color w:val="auto"/>
              </w:rPr>
            </w:pP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Floor Plan Facility:</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100"/>
              <w:spacing w:after="0"/>
              <w:rPr>
                <w:sz w:val="20"/>
                <w:szCs w:val="20"/>
                <w:color w:val="auto"/>
              </w:rPr>
            </w:pPr>
            <w:r>
              <w:rPr>
                <w:rFonts w:ascii="Arial" w:cs="Arial" w:eastAsia="Arial" w:hAnsi="Arial"/>
                <w:sz w:val="16"/>
                <w:szCs w:val="16"/>
                <w:color w:val="auto"/>
              </w:rPr>
              <w:t>Notes payable - floor plan</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1,603,645</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1,603,645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458,416</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Revolving line of credit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Senior Secured Credit Facilities: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Term Loan Facility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1,308,832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100"/>
              <w:spacing w:after="0"/>
              <w:rPr>
                <w:sz w:val="20"/>
                <w:szCs w:val="20"/>
                <w:color w:val="auto"/>
              </w:rPr>
            </w:pPr>
            <w:r>
              <w:rPr>
                <w:rFonts w:ascii="Arial" w:cs="Arial" w:eastAsia="Arial" w:hAnsi="Arial"/>
                <w:sz w:val="16"/>
                <w:szCs w:val="16"/>
                <w:color w:val="auto"/>
              </w:rPr>
              <w:t>Revolving Credit Facility</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22,750</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(3)</w:t>
            </w:r>
          </w:p>
        </w:tc>
        <w:tc>
          <w:tcPr>
            <w:tcW w:w="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100"/>
              <w:spacing w:after="0"/>
              <w:rPr>
                <w:sz w:val="20"/>
                <w:szCs w:val="20"/>
                <w:color w:val="auto"/>
              </w:rPr>
            </w:pPr>
            <w:r>
              <w:rPr>
                <w:rFonts w:ascii="Arial" w:cs="Arial" w:eastAsia="Arial" w:hAnsi="Arial"/>
                <w:sz w:val="16"/>
                <w:szCs w:val="16"/>
                <w:color w:val="auto"/>
              </w:rPr>
              <w:t>Real Estate Facilities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155,137</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40,814</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(5)</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57,390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long-term debt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Finance lease obligations</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134,204</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3,209,406</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1,670,404</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608,556</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8" w:lineRule="exact"/>
        <w:rPr>
          <w:sz w:val="20"/>
          <w:szCs w:val="20"/>
          <w:color w:val="auto"/>
        </w:rPr>
      </w:pPr>
    </w:p>
    <w:p>
      <w:pPr>
        <w:jc w:val="both"/>
        <w:ind w:left="380" w:right="79" w:hanging="330"/>
        <w:spacing w:after="0" w:line="245" w:lineRule="auto"/>
        <w:tabs>
          <w:tab w:leader="none" w:pos="38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The unencumbered borrowing capacity for the Floor Plan Facility represents the additional borrowing capacity less any accounts payable for sold inventory and less any purchase commitments. Additional borrowings are subject to the vehicle collateral requirements under the Floor Plan Facility. The Floor Plan Facility also includes an accordion feature allowing us, at our option, to request to increase the aggregate amount of the floor plan notes payable in $50.0 million increments up to a maximum amount of $300.0 million. The Floor Plan Lenders are not under any obligation to provide commitments in respect of any future increase under the accordion feature. In February 2025, FreedomRoads, LLC entered into an amendment to the Floor Plan Facility, which (a) increased the commitment for floor plan borrowings by $300.0 million to $2.15 billion, (b) increased the commitment for the letter of credit facility by $15.0 million to $45.0 million, and (c) extended the maturity date from September 30, 2026 to the earlier of, if applicable, (i) February 18, 2030 or (ii) March 5, 2028, if the Company’s Term Loan Facility (as defined and discussed in Note 10 – Long-Term Debt to our consolidated financial statements included in Part II, Item 8 of this Form 10-K) has not been repaid, refinanced, or defeased and the maturity has not been extended by at least 180 days after February 18, 2030.</w:t>
      </w:r>
    </w:p>
    <w:p>
      <w:pPr>
        <w:spacing w:after="0" w:line="20" w:lineRule="exact"/>
        <w:rPr>
          <w:rFonts w:ascii="Arial" w:cs="Arial" w:eastAsia="Arial" w:hAnsi="Arial"/>
          <w:sz w:val="22"/>
          <w:szCs w:val="22"/>
          <w:color w:val="auto"/>
          <w:vertAlign w:val="superscript"/>
        </w:rPr>
      </w:pPr>
    </w:p>
    <w:p>
      <w:pPr>
        <w:ind w:left="380" w:hanging="330"/>
        <w:spacing w:after="0"/>
        <w:tabs>
          <w:tab w:leader="none" w:pos="38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The revolving line of credit borrowings are subject to a borrowing base calculation but were not limited as of December 31, 2025.</w:t>
      </w:r>
    </w:p>
    <w:p>
      <w:pPr>
        <w:spacing w:after="0" w:line="106" w:lineRule="exact"/>
        <w:rPr>
          <w:rFonts w:ascii="Arial" w:cs="Arial" w:eastAsia="Arial" w:hAnsi="Arial"/>
          <w:sz w:val="22"/>
          <w:szCs w:val="22"/>
          <w:color w:val="auto"/>
          <w:vertAlign w:val="superscript"/>
        </w:rPr>
      </w:pPr>
    </w:p>
    <w:p>
      <w:pPr>
        <w:jc w:val="both"/>
        <w:ind w:left="380" w:right="79" w:hanging="330"/>
        <w:spacing w:after="0" w:line="264" w:lineRule="auto"/>
        <w:tabs>
          <w:tab w:leader="none" w:pos="380" w:val="left"/>
        </w:tabs>
        <w:numPr>
          <w:ilvl w:val="0"/>
          <w:numId w:val="42"/>
        </w:numPr>
        <w:rPr>
          <w:rFonts w:ascii="Arial" w:cs="Arial" w:eastAsia="Arial" w:hAnsi="Arial"/>
          <w:sz w:val="19"/>
          <w:szCs w:val="19"/>
          <w:color w:val="auto"/>
          <w:vertAlign w:val="superscript"/>
        </w:rPr>
      </w:pPr>
      <w:r>
        <w:rPr>
          <w:rFonts w:ascii="Arial" w:cs="Arial" w:eastAsia="Arial" w:hAnsi="Arial"/>
          <w:sz w:val="13"/>
          <w:szCs w:val="13"/>
          <w:color w:val="auto"/>
        </w:rPr>
        <w:t>The Revolving Credit Facility remaining available balance was reduced by outstanding undrawn letters of credit. The Credit Agreement requires compliance with a Total Net Leverage Ratio covenant when borrowings on the Revolving Credit Facility (excluding certain amounts relating to letters of credit) is over a 35%, or $22.8 million, threshold (Note 10 – Long-Term Debt to our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0" w:right="79"/>
        <w:spacing w:after="0" w:line="325" w:lineRule="auto"/>
        <w:rPr>
          <w:sz w:val="20"/>
          <w:szCs w:val="20"/>
          <w:color w:val="auto"/>
        </w:rPr>
      </w:pPr>
      <w:r>
        <w:rPr>
          <w:rFonts w:ascii="Arial" w:cs="Arial" w:eastAsia="Arial" w:hAnsi="Arial"/>
          <w:sz w:val="14"/>
          <w:szCs w:val="14"/>
          <w:color w:val="auto"/>
        </w:rPr>
        <w:t>included in Part II, Item 8 of this Form 10-K). The otherwise remaining available borrowings of $60.1 million were reduced by $37.3 million to $22.8 million in light of this financial covenant as of December 31, 2025.</w:t>
      </w:r>
    </w:p>
    <w:p>
      <w:pPr>
        <w:spacing w:after="0" w:line="36" w:lineRule="exact"/>
        <w:rPr>
          <w:sz w:val="20"/>
          <w:szCs w:val="20"/>
          <w:color w:val="auto"/>
        </w:rPr>
      </w:pPr>
    </w:p>
    <w:p>
      <w:pPr>
        <w:jc w:val="both"/>
        <w:ind w:left="380" w:right="79" w:hanging="330"/>
        <w:spacing w:after="0" w:line="243" w:lineRule="auto"/>
        <w:tabs>
          <w:tab w:leader="none" w:pos="38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Additional borrowings on the Real Estate Facilities are subject to a debt service coverage ratio covenant and to the property collateral requirements under the Real Estate Facilities. In August 2024, we amended the M&amp;T Real Estate Facility to increase the borrowing capacity by $50.0 million, which was not deducted from our option to request an additional $100.0 million of principal capacity. The lenders under the M&amp;T Real Estate Facility are not under any obligation to provide commitments in respect of any such increase.</w:t>
      </w:r>
    </w:p>
    <w:p>
      <w:pPr>
        <w:spacing w:after="0" w:line="91" w:lineRule="exact"/>
        <w:rPr>
          <w:rFonts w:ascii="Arial" w:cs="Arial" w:eastAsia="Arial" w:hAnsi="Arial"/>
          <w:sz w:val="22"/>
          <w:szCs w:val="22"/>
          <w:color w:val="auto"/>
          <w:vertAlign w:val="superscript"/>
        </w:rPr>
      </w:pPr>
    </w:p>
    <w:p>
      <w:pPr>
        <w:ind w:left="380" w:right="79" w:hanging="330"/>
        <w:spacing w:after="0" w:line="219" w:lineRule="auto"/>
        <w:tabs>
          <w:tab w:leader="none" w:pos="38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The current portion of the Real Estate Facilities includes $30.1 million relating to the principal balances associated with real property sold on December 31, 2025, where the funds were not released from escrow until January 2, 2026.</w:t>
      </w:r>
    </w:p>
    <w:p>
      <w:pPr>
        <w:spacing w:after="0" w:line="15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of December 31, 2025 and 2024, the applicable interest rate for the floor plan notes payable under the Floor Plan Facility was 5.89% and 6.72%, respectively. As of December 31, 2025 and 2024, the average interest rate for the Term Loan Facility was 6.33% and 6.97%, respectively. The decrease in interest rates in addition to lower average principal balances for our Term Loan Facility, our Floor Plan Facility, our Real Estate Facilities, and revolving line of credit have resulted in a combined year-over-year decrease of our floor plan interest expense and other interest expense, net of $36.9 million for 2025 compared to 2024.</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Long-Term Debt</w:t>
      </w:r>
    </w:p>
    <w:p>
      <w:pPr>
        <w:spacing w:after="0" w:line="22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Other long-term debt is comprised of a mortgage on a property, which matures in December 2026, and a promissory note assumed as part of a real estate purchase. See Note 10 – Long-Term Debt to our consolidated financial statements included in Part II, Item 8 of this Form 10-K.</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Finance Lease Obligation</w:t>
      </w:r>
    </w:p>
    <w:p>
      <w:pPr>
        <w:spacing w:after="0" w:line="223"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From time to time, we enter into finance leases typically for real estate and/or information technology equipment. See Note 11 – Leases to our consolidated financial statements included in Part II, Item 8 of this Form 10-K.</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Sale/Leaseback Arrangements</w:t>
      </w:r>
    </w:p>
    <w:p>
      <w:pPr>
        <w:spacing w:after="0" w:line="223"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We have in the past and may in the future enter into sale-leaseback transactions to finance certain property acquisitions, capital expenditures, or other uses of funds, pursuant to which we sell property and/or leasehold improvements to third parties and agree to lease those assets back for a certain period of time. Such sales generate proceeds which vary from period to period.</w:t>
      </w:r>
    </w:p>
    <w:p>
      <w:pPr>
        <w:spacing w:after="0" w:line="16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the years ended December 31, 2025 and 2024, we entered into sale-leaseback transactions for fourteen and three properties, respectively, associated with store locations in the RV and Outdoor Retail segment and received consideration of $122.4 million and $37.7 million of cash, respectively. However, $45.2 million of the $ 122.4 million of consideration for 2025 was not distributed through escrow until January 2, 2026. The Company recorded a gain of $0.3 million and $ 0.4 million for the years ended December 31, 2025 and 2024, respectively, that was included in (gain) loss on sale or disposal of assets in the consolidated statements of operations. We entered into lease agreements for the properties as the lessee with each of the buyers with lease terms ranging from 17 to 20 years.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Revenues</w:t>
      </w:r>
    </w:p>
    <w:p>
      <w:pPr>
        <w:spacing w:after="0" w:line="22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Deferred revenues consist of our sales for products and services not yet recognized as revenue at the end of a given period. Our deferred revenues as of December 31, 2025 were $147.2 million. Deferred revenues are expected to be recognized as revenue as set forth in the following table (in thousands):</w:t>
      </w:r>
    </w:p>
    <w:p>
      <w:pPr>
        <w:spacing w:after="0" w:line="207" w:lineRule="exact"/>
        <w:rPr>
          <w:sz w:val="20"/>
          <w:szCs w:val="20"/>
          <w:color w:val="auto"/>
        </w:rPr>
      </w:pPr>
    </w:p>
    <w:tbl>
      <w:tblPr>
        <w:tblLayout w:type="fixed"/>
        <w:tblInd w:w="9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740" w:type="dxa"/>
            <w:vAlign w:val="bottom"/>
            <w:gridSpan w:val="2"/>
          </w:tcPr>
          <w:p>
            <w:pPr>
              <w:ind w:left="22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12"/>
              <w:spacing w:after="0"/>
              <w:rPr>
                <w:sz w:val="20"/>
                <w:szCs w:val="20"/>
                <w:color w:val="auto"/>
              </w:rPr>
            </w:pPr>
            <w:r>
              <w:rPr>
                <w:rFonts w:ascii="Arial" w:cs="Arial" w:eastAsia="Arial" w:hAnsi="Arial"/>
                <w:sz w:val="14"/>
                <w:szCs w:val="14"/>
                <w:b w:val="1"/>
                <w:bCs w:val="1"/>
                <w:color w:val="auto"/>
              </w:rPr>
              <w:t>As of</w:t>
            </w:r>
          </w:p>
        </w:tc>
      </w:tr>
      <w:tr>
        <w:trPr>
          <w:trHeight w:val="197"/>
        </w:trPr>
        <w:tc>
          <w:tcPr>
            <w:tcW w:w="332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3800" w:type="dxa"/>
            <w:vAlign w:val="bottom"/>
            <w:gridSpan w:val="3"/>
          </w:tcPr>
          <w:p>
            <w:pPr>
              <w:ind w:left="22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December 31, 2025</w:t>
            </w:r>
          </w:p>
        </w:tc>
      </w:tr>
      <w:tr>
        <w:trPr>
          <w:trHeight w:val="224"/>
        </w:trPr>
        <w:tc>
          <w:tcPr>
            <w:tcW w:w="20" w:type="dxa"/>
            <w:vAlign w:val="bottom"/>
          </w:tcPr>
          <w:p>
            <w:pPr>
              <w:spacing w:after="0"/>
              <w:rPr>
                <w:sz w:val="19"/>
                <w:szCs w:val="19"/>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w:t>
            </w:r>
          </w:p>
        </w:tc>
        <w:tc>
          <w:tcPr>
            <w:tcW w:w="2440" w:type="dxa"/>
            <w:vAlign w:val="bottom"/>
            <w:tcBorders>
              <w:top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90,456</w:t>
            </w:r>
          </w:p>
        </w:tc>
      </w:tr>
      <w:tr>
        <w:trPr>
          <w:trHeight w:val="229"/>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2027</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28,867</w:t>
            </w:r>
          </w:p>
        </w:tc>
      </w:tr>
      <w:tr>
        <w:trPr>
          <w:trHeight w:val="230"/>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2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14,199</w:t>
            </w:r>
          </w:p>
        </w:tc>
      </w:tr>
      <w:tr>
        <w:trPr>
          <w:trHeight w:val="229"/>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2029</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7,942</w:t>
            </w:r>
          </w:p>
        </w:tc>
      </w:tr>
      <w:tr>
        <w:trPr>
          <w:trHeight w:val="229"/>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2030</w:t>
            </w:r>
          </w:p>
        </w:tc>
        <w:tc>
          <w:tcPr>
            <w:tcW w:w="2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r>
      <w:tr>
        <w:trPr>
          <w:trHeight w:val="230"/>
        </w:trPr>
        <w:tc>
          <w:tcPr>
            <w:tcW w:w="20" w:type="dxa"/>
            <w:vAlign w:val="bottom"/>
          </w:tcPr>
          <w:p>
            <w:pPr>
              <w:spacing w:after="0"/>
              <w:rPr>
                <w:sz w:val="19"/>
                <w:szCs w:val="19"/>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tcBorders>
            <w:shd w:val="clear" w:color="auto" w:fill="CCEEFF"/>
          </w:tcPr>
          <w:p>
            <w:pPr>
              <w:spacing w:after="0"/>
              <w:rPr>
                <w:sz w:val="19"/>
                <w:szCs w:val="19"/>
                <w:color w:val="auto"/>
              </w:rPr>
            </w:pPr>
          </w:p>
        </w:tc>
        <w:tc>
          <w:tcPr>
            <w:tcW w:w="24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147,229</w:t>
            </w: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See discussion of recently adopted and recently issued accounting pronouncements in Note 1 — Summary of Significant Accounting Policies to our consolidated financial statements in Part II, Item 8 of this Form 10-K.</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We prepare our consolidated financial statements in conformity with GAAP. The preparation of these financial statements requires us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We base our estimates on historical experience,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Judgments and uncertainties affecting the application of those policies may result in materially different amounts being reported under different conditions or using different assumptions. Our significant accounting policies can be found in Note 1 — Summary of Significant Accounting Policies to our consolidated financial statements included in Part II, Item 8 of this Form 10-K.</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 — Finance and Insurance Chargebacks</w:t>
      </w:r>
    </w:p>
    <w:p>
      <w:pPr>
        <w:spacing w:after="0" w:line="22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Finance and insurance revenue is recorded net, since we are acting as an agent in the transaction, and is recognized when a finance and insurance product contract payment has been received or financing has been arranged. The proceeds that the Company receives for arranging financing contracts, selling extended service contracts, and selling other insurance products, are subject to chargebacks if the customer terminates the respective contract earlier than a stated period. In the case of insurance products and extended service contracts, the stated period typically extends from one to seven years with the refundable revenue declining over the contract term. These proceeds are recorded as variable consideration, net of estimated chargebacks. Chargebacks are estimated based on ultimate future cancellation rates by product type and year sold using a combination of actuarial methods and leveraging our historical experience using data extending back to 2014, adjusted for new consumer trends. The chargeback liabilities included in the estimate of variable consideration totaled $70.4 million and $65.4 million as of December 31, 2025 and December 31, 2024, respectively, which are recorded as part of other current liabilities and other long-term liabilities on our consolidated balance sheets. If cancellation rates on products sold during 2025 and 2024 were to increase by 100 basis points, our chargeback liabilities would have increased by $6.2 million as of December 31, 2025 and Finance and Insurance, net revenue for the year ended December 31, 2025, would have decreased by the same amount.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 — Impairment</w:t>
      </w:r>
    </w:p>
    <w:p>
      <w:pPr>
        <w:spacing w:after="0" w:line="22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Our long-lived assets are reviewed for impairment whenever events or changes in circumstances indicate that the carrying amount of an asset may not be recoverable. The evaluation of potential impairment triggering events requires judgment and we consider factors such as a change in the use of the assets, changes in overall business strategy, significant negative industry or economic trends, and/or a greater than expected loss generated by our store locations. Our long-lived asset groups exist predominantly at the individual store location level and the associated impairment analysis involves the comparison of an asset group’s estimated future undiscounted cash flows over its remaining useful life to its respective carrying value, which primarily includes furniture, equipment, leasehold improvements, and operating lease assets for leased properties or furniture, equipment, land, and buildings for owned properties. For long-lived asset groups identified with carrying values not recoverable by future undiscounted cash flows, impairment charges are recognized to the extent the sum of the discounted future cash flows from the use of the asset group is less than the carrying value. The impairment charge is allocated to the individual long-lived assets within an asset group; however, an individual long-lived asset is not impaired below its individual fair value, if readily determinable. The measurement of any impairment loss includes estimation of the fair value of the asset group’s respective operating lease assets, which includes estimates of market rental rates based on comparable lease transactions. The estimated future cash flows require judgment and include significant assumptions for revenue growth, gross margin, and SG&amp;A as a percentage of gross profit. If estimated cash flows or market rental rates significantly differ in the future, we may be required to record additional asset impairments. For the years ended December 31, 2025, 2024, and 2023, we recorded long-lived asset impairment of $1.2 million, $15.1 million, and $9.3 million, respectively (see Note 5 – Restructuring and Long-lived Asset Impairment to our consolidated financial statements included in Part II, Item 8 of this Form 10-K).</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 Impairment</w:t>
      </w:r>
    </w:p>
    <w:p>
      <w:pPr>
        <w:spacing w:after="0" w:line="22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Goodwill is reviewed at least annually for impairment on October 1 and we evaluate our reporting units for potential triggering events on a quarterly basis. For the annual goodwill impairment test or when we determine there has been a triggering event for a reporting unit, we have the option to first assess qualitative factors to determine whether it is more likely than not that the fair value of a reporting unit is less than its carrying value. If the qualitative assessment leads to a determination that the fair value of a reporting unit may be less than its carrying value, or if we elect to bypass the qualitative assessment altogether, we perform a quantitative impairment test by calculating the fair value of the reporting unit and comparing the fair value with its associated carrying value. When we perform the quantitative test for goodwill, we establish the fair value for the reporting unit based on a combination of the income approach, in which a discounted cash flow model is utilized, and the market approach, in which market multiples of comparable companies are utilized. The income approach requires the use of significant estimates and assumptions, including forecasted revenue growth, EBITDA projections, and discount rates and changes in these assumptions may adversely impact the fair value assessments. The market approach requires significant assumptions related to the selection of comparable publicly traded companies and the market multiples. Significant negative industry or macroeconomic trends, disruptions to our business, changes in customer behavior, inability to effectively integrate acquired businesses, unexpected significant changes or planned changes in use of the assets or in entity structure, and divestitures may adversely impact the assumptions used in the valuations. In the event the fair value of a reporting unit is less than the carrying value, we would recognize an impairment charge for the amount by which the carrying amount of the reporting unit exceeds the fair value.</w:t>
      </w:r>
    </w:p>
    <w:p>
      <w:pPr>
        <w:spacing w:after="0" w:line="19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When we evaluate our reporting units for potential triggering events on a quarterly basis, we consider multiple internal and external factors, including, but not limited to, (i) macroeconomic conditions, (ii) industry and market factors such as competition and changes in the market for the reporting unit's products, (iii) changes in costs for the reporting unit’s products, (iv) overall financial performance of the reporting unit, and (v) if there has been a sustained decrease in our stock price since the most recent annual goodwill impairment test.</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On October 1, 2025, we performed the quantitative assessment for all of our reporting units with goodwill balances and determined that their fair values exceeded the carrying value for each reporting unit, and as such, goodwill was not considered impaired. As of December 31, 2025, the RV and Outdoor Retail reporting unit was allocated $723.5 million of our goodwill, which represents 96.6% of our total goodwill. The RV and Outdoor Retail reporting unit’s fair value exceeded its carrying value by 11% and the remaining reporting units’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18"/>
          <w:szCs w:val="18"/>
          <w:color w:val="auto"/>
        </w:rPr>
        <w:t>fair values exceeded their carrying values by a significant amount. Of the key assumptions to the determination of fair value discussed above for the RV and Outdoor Retail reporting unit, (i) revenue and EBITDA projections,</w:t>
      </w:r>
    </w:p>
    <w:p>
      <w:pPr>
        <w:spacing w:after="0" w:line="2" w:lineRule="exact"/>
        <w:rPr>
          <w:sz w:val="20"/>
          <w:szCs w:val="20"/>
          <w:color w:val="auto"/>
        </w:rPr>
      </w:pPr>
    </w:p>
    <w:p>
      <w:pPr>
        <w:jc w:val="both"/>
        <w:ind w:left="60" w:right="79" w:hanging="10"/>
        <w:spacing w:after="0" w:line="258" w:lineRule="auto"/>
        <w:tabs>
          <w:tab w:leader="none" w:pos="318"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discount rate, and (iii) market multiples of comparable public companies are subject to the most uncertainty and could negatively impact the fair value of the RV and Outdoor Retail reporting unit. For instance, uncertainties associated with these key assumptions include:</w:t>
      </w:r>
    </w:p>
    <w:p>
      <w:pPr>
        <w:spacing w:after="0" w:line="178" w:lineRule="exact"/>
        <w:rPr>
          <w:rFonts w:ascii="Arial" w:cs="Arial" w:eastAsia="Arial" w:hAnsi="Arial"/>
          <w:sz w:val="18"/>
          <w:szCs w:val="18"/>
          <w:color w:val="auto"/>
        </w:rPr>
      </w:pPr>
    </w:p>
    <w:p>
      <w:pPr>
        <w:jc w:val="both"/>
        <w:ind w:left="1420" w:right="79" w:hanging="406"/>
        <w:spacing w:after="0" w:line="253" w:lineRule="auto"/>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Projections: the expected timing of the next upswing for the RV industry and the impact to RV gross margins from variations in average selling prices and related cost of RVs, which could be negatively impacted by an extended delay in the growth of the RV industry, our inability to gain market share, customer demand or competition pressure on average selling prices of RVs, and/or increased procurement costs of inventory. As of the October 1, 2025 test date, a 100-basis point decrease in the terminal growth rate would not have resulted in an impairment of goodwill being recognized when estimating the fair value of the RV and Outdoor Retail reporting unit.</w:t>
      </w:r>
    </w:p>
    <w:p>
      <w:pPr>
        <w:spacing w:after="0" w:line="184" w:lineRule="exact"/>
        <w:rPr>
          <w:rFonts w:ascii="Arial" w:cs="Arial" w:eastAsia="Arial" w:hAnsi="Arial"/>
          <w:sz w:val="18"/>
          <w:szCs w:val="18"/>
          <w:color w:val="auto"/>
        </w:rPr>
      </w:pPr>
    </w:p>
    <w:p>
      <w:pPr>
        <w:jc w:val="both"/>
        <w:ind w:left="1420" w:right="79" w:hanging="446"/>
        <w:spacing w:after="0" w:line="254" w:lineRule="auto"/>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Discount Rate: the general and industry-specific macroeconomic environment, which could be negatively impacted by higher inflation, higher unemployment, higher interest rates and/or a reduction in consumer spending, particularly within our industry. As of the October 1, 2025 test date, a 100-basis point increase in the discount rate would not have resulted in an impairment of goodwill being recognized when estimating the fair value of the RV and Outdoor Retail reporting unit.</w:t>
      </w:r>
    </w:p>
    <w:p>
      <w:pPr>
        <w:spacing w:after="0" w:line="184" w:lineRule="exact"/>
        <w:rPr>
          <w:rFonts w:ascii="Arial" w:cs="Arial" w:eastAsia="Arial" w:hAnsi="Arial"/>
          <w:sz w:val="18"/>
          <w:szCs w:val="18"/>
          <w:color w:val="auto"/>
        </w:rPr>
      </w:pPr>
    </w:p>
    <w:p>
      <w:pPr>
        <w:jc w:val="both"/>
        <w:ind w:left="1420" w:right="79" w:hanging="486"/>
        <w:spacing w:after="0" w:line="255" w:lineRule="auto"/>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Market Multiples: the industry-specific macroeconomic environment, which could be negatively impacted by downward stock market trends that, in turn, can be driven by similar factors as the discount rate, as discussed above. As of the October 1, 2025 test date, a 1.0 decrease in the EBITDA multiple assumption would not have resulted in an impairment of goodwill being recognized when estimating the fair value of the RV and Outdoor Retail reporting unit</w:t>
      </w:r>
    </w:p>
    <w:p>
      <w:pPr>
        <w:spacing w:after="0" w:line="183"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See Note 8 — Goodwill and Intangible Assets to our consolidated financial statements included in Part II, Item 8 of this Form 10-K.</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Tax Assets and Tax Receivable Agreement Liability — Valuation</w:t>
      </w:r>
    </w:p>
    <w:p>
      <w:pPr>
        <w:spacing w:after="0" w:line="22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When Continuing Equity Owners redeemed common units in CWGS, LLC for Class A common stock, CWH received an equal number of common units to the quantity of shares of Class A common stock issued to the Continuing Equity Owners. When CWH acquired this additional ownership in CWGS, LLC in the form of common units, it received a significant step-up in outside tax basis on the underlying assets held by CWGS, LLC. The step-up was principally equivalent to the difference between (1) the fair value of the underlying assets on the date of the redemption and (2) the tax basis in the underlying assets, multiplied by the percentage of common units acquired. The majority of the step-up in basis was related to intangible assets, primarily goodwill, and is included within deferred tax assets on our consolidated balance sheets. The computation of the step-up required valuations of the intangible assets of CWGS, LLC and has the same complexities and estimates as our purchase accounting on acquisitions (see Note 16 – Acquisitions to our consolidated financial statements included in Part II, Item 8 of this Form 10-K). In addition, the step-up is governed by complex IRS rules that limit which class and amount of step-up is deductible. Given the magnitude of the deferred tax assets and complexity of the calculations, small adjustments to our model used to calculate these deferred tax assets can result in material changes to the amounts recognized, especially in years that include redemptions by Continuing Equity Owners. If more common units of CWGS, LLC are redeemed by Continuing Equity Owners, the percentage of CWH’s ownership of CWGS, LLC will increase, and additional deferred tax assets will be created as additional tax basis step-ups occur and such amounts are likely to be material.</w:t>
      </w:r>
    </w:p>
    <w:p>
      <w:pPr>
        <w:spacing w:after="0" w:line="196"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Pursuant to the Tax Receivable Agreement, CWH makes annual payments to the Original Equity Owners that had previously redeemed common units in CWGS, LLC equivalent to 85% of any tax benefits CWH realizes on each year’s tax return from the additional tax deductions arising from the step-up in tax basis. The calculation of this liability is a function of the step-up described above and, therefore, has the same</w:t>
      </w:r>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8"/>
          <w:szCs w:val="18"/>
          <w:color w:val="auto"/>
        </w:rPr>
        <w:t>complexities and estimates. Similar to the deferred tax assets, these liabilities would likely increase materially if Continuing Equity Owners redeem additional common units of CWGS, LLC.</w:t>
      </w:r>
    </w:p>
    <w:p>
      <w:pPr>
        <w:spacing w:after="0" w:line="15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record a valuation allowance to reduce our deferred tax assets to the amount that is more likely than not to be realized. In evaluating our ability to recover our deferred tax assets, we consider all available positive and negative evidence, including our operating results, ongoing tax planning and forecasts of future taxable income on a jurisdiction-by-jurisdiction basis. During the year ended December 31, 2025, management evaluated both positive and negative evidence and concluded that a full valuation allowance was necessary to be recorded against net deferred tax assets of the public holding company, CWH, due to its actual cumulative historical operating results for income tax purposes over the past several years in each of the tax jurisdictions where it operates. This valuation allowance will be maintained until sufficient positive evidence exists to justify its reversal. In addition, because of the full valuation allowance recorded against CWH’s investment in CWGS, LLC net deferred tax asset and certain other tax attribute carryforward deferred tax assets, the Company considers most of the amount calculated related to the remaining Tax Receivable Agreement liability not probable.</w:t>
      </w:r>
    </w:p>
    <w:p>
      <w:pPr>
        <w:spacing w:after="0" w:line="19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of December 31, 2025 and 2024, we had recorded Tax Receivable Agreement liabilities of $1.4 million and $150.4 million, respectively, for the future cash obligations expected to be paid under the Tax Receivable Agreement, which were not discounted. As of December 31, 2025, if there was a 100 basis point increase or decrease in the estimated income tax rate, there would be an immaterial increase or decrease in the Tax Receivable Agreement liability.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OF MARKET RISK</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We are exposed to market risk from changes in interest rates. This market risk arises in the normal course of business, as we do not engage in speculative trading activities. The following analysis provides quantitative information regarding this risk.</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Risk</w:t>
      </w:r>
    </w:p>
    <w:p>
      <w:pPr>
        <w:spacing w:after="0" w:line="22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operating results are subject to risk from interest rate fluctuations on our Senior Secured Credit Facilities, our Floor Plan Facility, and our Real Estate Facilities, which carry variable interest rates. Interest rate risk is the exposure to loss resulting from changes in the level of interest rates and the spread between different interest rates. Because our Senior Secured Credit Facilities, Floor Plan Facility, and Real Estate Facilities bear interest at variable rates, we are exposed to market risks relating to changes in interest rates. Interest rate risk is highly sensitive due to many factors, including U.S. monetary and tax policies, U.S. and international economic factors and other factors beyond our control.</w:t>
      </w:r>
    </w:p>
    <w:p>
      <w:pPr>
        <w:spacing w:after="0" w:line="18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Based on December 31, 2025 debt levels (see Liquidity and Capital Resources — Summary of Credit Facilities, Other Long-Term Debt, and Finance Lease Arrangements in Part II, Item 7 of this Form 10-K), an increase or decrease of 100 basis points in the effective interest rate would cause an increase or decrease in interest expense:</w:t>
      </w:r>
    </w:p>
    <w:p>
      <w:pPr>
        <w:spacing w:after="0" w:line="180" w:lineRule="exact"/>
        <w:rPr>
          <w:sz w:val="20"/>
          <w:szCs w:val="20"/>
          <w:color w:val="auto"/>
        </w:rPr>
      </w:pPr>
    </w:p>
    <w:p>
      <w:pPr>
        <w:ind w:left="1340" w:hanging="642"/>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 our Floor Plan Facility of approximately $16.3 million over the next 12 months;</w:t>
      </w:r>
    </w:p>
    <w:p>
      <w:pPr>
        <w:spacing w:after="0" w:line="225" w:lineRule="exact"/>
        <w:rPr>
          <w:rFonts w:ascii="Arial" w:cs="Arial" w:eastAsia="Arial" w:hAnsi="Arial"/>
          <w:sz w:val="18"/>
          <w:szCs w:val="18"/>
          <w:color w:val="auto"/>
        </w:rPr>
      </w:pPr>
    </w:p>
    <w:p>
      <w:pPr>
        <w:ind w:left="1340" w:hanging="642"/>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 our Term Loan Facility of $13.1 million over the next 12 months;</w:t>
      </w:r>
    </w:p>
    <w:p>
      <w:pPr>
        <w:spacing w:after="0" w:line="225" w:lineRule="exact"/>
        <w:rPr>
          <w:rFonts w:ascii="Arial" w:cs="Arial" w:eastAsia="Arial" w:hAnsi="Arial"/>
          <w:sz w:val="18"/>
          <w:szCs w:val="18"/>
          <w:color w:val="auto"/>
        </w:rPr>
      </w:pPr>
    </w:p>
    <w:p>
      <w:pPr>
        <w:ind w:left="1340" w:hanging="642"/>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 our Real Estate Facilities of approximately $1.6 million over the next 12 months; and</w:t>
      </w:r>
    </w:p>
    <w:p>
      <w:pPr>
        <w:spacing w:after="0" w:line="225" w:lineRule="exact"/>
        <w:rPr>
          <w:rFonts w:ascii="Arial" w:cs="Arial" w:eastAsia="Arial" w:hAnsi="Arial"/>
          <w:sz w:val="18"/>
          <w:szCs w:val="18"/>
          <w:color w:val="auto"/>
        </w:rPr>
      </w:pPr>
    </w:p>
    <w:p>
      <w:pPr>
        <w:ind w:left="1340" w:hanging="642"/>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 our Other Long-Term Debt would be immaterial.</w:t>
      </w:r>
    </w:p>
    <w:p>
      <w:pPr>
        <w:spacing w:after="0" w:line="225"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8"/>
          <w:szCs w:val="18"/>
          <w:color w:val="auto"/>
        </w:rPr>
        <w:t>The interest rate exposure on the Floor Plan Facility was the only significant change from the quantitative analysis performed as of December 31, 2024, since the outstanding balance of the notes payable</w:t>
      </w:r>
    </w:p>
    <w:p>
      <w:pPr>
        <w:ind w:left="60"/>
        <w:spacing w:after="0"/>
        <w:rPr>
          <w:sz w:val="20"/>
          <w:szCs w:val="20"/>
          <w:color w:val="auto"/>
        </w:rPr>
      </w:pPr>
      <w:r>
        <w:rPr>
          <w:rFonts w:ascii="Arial" w:cs="Arial" w:eastAsia="Arial" w:hAnsi="Arial"/>
          <w:sz w:val="18"/>
          <w:szCs w:val="18"/>
          <w:color w:val="auto"/>
        </w:rPr>
        <w:t>— Floor plan, net increased $441.9 million during the year ended December 31,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See “Results of Operations” and “Summary of Credit Facilities, Other Long-Term Debt, and Finance Lease Arrangements” in Part II, Item 7 of this Form 10-K for a discussion of interest expense for the year ended December 31, 2025 compared to the year ended December 31, 2024.</w:t>
      </w:r>
    </w:p>
    <w:p>
      <w:pPr>
        <w:spacing w:after="0" w:line="171"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We do not use derivative financial instruments for speculative or trading purposes. We may adopt specific hedging strategies, such as interest rate hedges,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760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300" w:type="dxa"/>
            <w:vAlign w:val="bottom"/>
          </w:tcPr>
          <w:p>
            <w:pPr>
              <w:spacing w:after="0"/>
              <w:rPr>
                <w:sz w:val="21"/>
                <w:szCs w:val="21"/>
                <w:color w:val="auto"/>
              </w:rPr>
            </w:pPr>
          </w:p>
        </w:tc>
      </w:tr>
      <w:tr>
        <w:trPr>
          <w:trHeight w:val="401"/>
        </w:trPr>
        <w:tc>
          <w:tcPr>
            <w:tcW w:w="520" w:type="dxa"/>
            <w:vAlign w:val="bottom"/>
          </w:tcPr>
          <w:p>
            <w:pPr>
              <w:spacing w:after="0"/>
              <w:rPr>
                <w:sz w:val="24"/>
                <w:szCs w:val="24"/>
                <w:color w:val="auto"/>
              </w:rPr>
            </w:pPr>
          </w:p>
        </w:tc>
        <w:tc>
          <w:tcPr>
            <w:tcW w:w="7080" w:type="dxa"/>
            <w:vAlign w:val="bottom"/>
            <w:gridSpan w:val="7"/>
          </w:tcPr>
          <w:p>
            <w:pPr>
              <w:jc w:val="center"/>
              <w:ind w:left="670"/>
              <w:spacing w:after="0"/>
              <w:rPr>
                <w:sz w:val="20"/>
                <w:szCs w:val="20"/>
                <w:color w:val="auto"/>
              </w:rPr>
            </w:pPr>
            <w:r>
              <w:rPr>
                <w:rFonts w:ascii="Arial" w:cs="Arial" w:eastAsia="Arial" w:hAnsi="Arial"/>
                <w:sz w:val="18"/>
                <w:szCs w:val="18"/>
                <w:b w:val="1"/>
                <w:bCs w:val="1"/>
                <w:color w:val="auto"/>
                <w:w w:val="99"/>
              </w:rPr>
              <w:t>Camping World Holdings, Inc. and Subsidiaries</w:t>
            </w:r>
          </w:p>
        </w:tc>
        <w:tc>
          <w:tcPr>
            <w:tcW w:w="1300" w:type="dxa"/>
            <w:vAlign w:val="bottom"/>
          </w:tcPr>
          <w:p>
            <w:pPr>
              <w:spacing w:after="0"/>
              <w:rPr>
                <w:sz w:val="24"/>
                <w:szCs w:val="24"/>
                <w:color w:val="auto"/>
              </w:rPr>
            </w:pPr>
          </w:p>
        </w:tc>
      </w:tr>
      <w:tr>
        <w:trPr>
          <w:trHeight w:val="247"/>
        </w:trPr>
        <w:tc>
          <w:tcPr>
            <w:tcW w:w="5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4720" w:type="dxa"/>
            <w:vAlign w:val="bottom"/>
            <w:gridSpan w:val="6"/>
          </w:tcPr>
          <w:p>
            <w:pPr>
              <w:jc w:val="center"/>
              <w:ind w:right="1600"/>
              <w:spacing w:after="0"/>
              <w:rPr>
                <w:sz w:val="20"/>
                <w:szCs w:val="20"/>
                <w:color w:val="auto"/>
              </w:rPr>
            </w:pPr>
            <w:r>
              <w:rPr>
                <w:rFonts w:ascii="Arial" w:cs="Arial" w:eastAsia="Arial" w:hAnsi="Arial"/>
                <w:sz w:val="18"/>
                <w:szCs w:val="18"/>
                <w:b w:val="1"/>
                <w:bCs w:val="1"/>
                <w:color w:val="auto"/>
              </w:rPr>
              <w:t>Consolidated Financial Statements</w:t>
            </w:r>
          </w:p>
        </w:tc>
        <w:tc>
          <w:tcPr>
            <w:tcW w:w="1300" w:type="dxa"/>
            <w:vAlign w:val="bottom"/>
          </w:tcPr>
          <w:p>
            <w:pPr>
              <w:spacing w:after="0"/>
              <w:rPr>
                <w:sz w:val="21"/>
                <w:szCs w:val="21"/>
                <w:color w:val="auto"/>
              </w:rPr>
            </w:pPr>
          </w:p>
        </w:tc>
      </w:tr>
      <w:tr>
        <w:trPr>
          <w:trHeight w:val="432"/>
        </w:trPr>
        <w:tc>
          <w:tcPr>
            <w:tcW w:w="520" w:type="dxa"/>
            <w:vAlign w:val="bottom"/>
          </w:tcPr>
          <w:p>
            <w:pPr>
              <w:spacing w:after="0"/>
              <w:rPr>
                <w:sz w:val="24"/>
                <w:szCs w:val="24"/>
                <w:color w:val="auto"/>
              </w:rPr>
            </w:pPr>
          </w:p>
        </w:tc>
        <w:tc>
          <w:tcPr>
            <w:tcW w:w="7080" w:type="dxa"/>
            <w:vAlign w:val="bottom"/>
            <w:gridSpan w:val="7"/>
          </w:tcPr>
          <w:p>
            <w:pPr>
              <w:jc w:val="center"/>
              <w:ind w:left="670"/>
              <w:spacing w:after="0"/>
              <w:rPr>
                <w:sz w:val="20"/>
                <w:szCs w:val="20"/>
                <w:color w:val="auto"/>
              </w:rPr>
            </w:pPr>
            <w:r>
              <w:rPr>
                <w:rFonts w:ascii="Arial" w:cs="Arial" w:eastAsia="Arial" w:hAnsi="Arial"/>
                <w:sz w:val="18"/>
                <w:szCs w:val="18"/>
                <w:b w:val="1"/>
                <w:bCs w:val="1"/>
                <w:color w:val="auto"/>
                <w:w w:val="99"/>
              </w:rPr>
              <w:t>Years Ended December 31, 2025, 2024, and 2023</w:t>
            </w:r>
          </w:p>
        </w:tc>
        <w:tc>
          <w:tcPr>
            <w:tcW w:w="130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80" w:type="dxa"/>
            <w:vAlign w:val="bottom"/>
            <w:gridSpan w:val="3"/>
          </w:tcPr>
          <w:p>
            <w:pPr>
              <w:jc w:val="center"/>
              <w:ind w:right="2720"/>
              <w:spacing w:after="0"/>
              <w:rPr>
                <w:sz w:val="20"/>
                <w:szCs w:val="20"/>
                <w:color w:val="auto"/>
              </w:rPr>
            </w:pPr>
            <w:r>
              <w:rPr>
                <w:rFonts w:ascii="Arial" w:cs="Arial" w:eastAsia="Arial" w:hAnsi="Arial"/>
                <w:sz w:val="18"/>
                <w:szCs w:val="18"/>
                <w:b w:val="1"/>
                <w:bCs w:val="1"/>
                <w:color w:val="auto"/>
                <w:w w:val="99"/>
              </w:rPr>
              <w:t>Contents</w:t>
            </w:r>
          </w:p>
        </w:tc>
        <w:tc>
          <w:tcPr>
            <w:tcW w:w="1300" w:type="dxa"/>
            <w:vAlign w:val="bottom"/>
          </w:tcPr>
          <w:p>
            <w:pPr>
              <w:spacing w:after="0"/>
              <w:rPr>
                <w:sz w:val="24"/>
                <w:szCs w:val="24"/>
                <w:color w:val="auto"/>
              </w:rPr>
            </w:pPr>
          </w:p>
        </w:tc>
      </w:tr>
      <w:tr>
        <w:trPr>
          <w:trHeight w:val="380"/>
        </w:trPr>
        <w:tc>
          <w:tcPr>
            <w:tcW w:w="7600" w:type="dxa"/>
            <w:vAlign w:val="bottom"/>
            <w:gridSpan w:val="8"/>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No. 34)</w:t>
            </w: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4"/>
        </w:trPr>
        <w:tc>
          <w:tcPr>
            <w:tcW w:w="46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Consolidated Financial Statements</w:t>
            </w:r>
          </w:p>
        </w:tc>
        <w:tc>
          <w:tcPr>
            <w:tcW w:w="3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4"/>
        </w:trPr>
        <w:tc>
          <w:tcPr>
            <w:tcW w:w="520" w:type="dxa"/>
            <w:vAlign w:val="bottom"/>
          </w:tcPr>
          <w:p>
            <w:pPr>
              <w:spacing w:after="0"/>
              <w:rPr>
                <w:sz w:val="16"/>
                <w:szCs w:val="16"/>
                <w:color w:val="auto"/>
              </w:rPr>
            </w:pPr>
          </w:p>
        </w:tc>
        <w:tc>
          <w:tcPr>
            <w:tcW w:w="2360" w:type="dxa"/>
            <w:vAlign w:val="bottom"/>
            <w:tcBorders>
              <w:bottom w:val="single" w:sz="8" w:color="0000EE"/>
            </w:tcBorders>
          </w:tcPr>
          <w:p>
            <w:pPr>
              <w:spacing w:after="0" w:line="195" w:lineRule="exact"/>
              <w:rPr>
                <w:sz w:val="20"/>
                <w:szCs w:val="20"/>
                <w:color w:val="auto"/>
              </w:rPr>
            </w:pPr>
            <w:r>
              <w:rPr>
                <w:rFonts w:ascii="Arial" w:cs="Arial" w:eastAsia="Arial" w:hAnsi="Arial"/>
                <w:sz w:val="18"/>
                <w:szCs w:val="18"/>
                <w:color w:val="0000EE"/>
                <w:w w:val="99"/>
              </w:rPr>
              <w:t>Consolidated Balance Sheets</w:t>
            </w:r>
          </w:p>
        </w:tc>
        <w:tc>
          <w:tcPr>
            <w:tcW w:w="4720" w:type="dxa"/>
            <w:vAlign w:val="bottom"/>
            <w:gridSpan w:val="6"/>
          </w:tcPr>
          <w:p>
            <w:pPr>
              <w:spacing w:after="0"/>
              <w:rPr>
                <w:sz w:val="16"/>
                <w:szCs w:val="16"/>
                <w:color w:val="auto"/>
              </w:rPr>
            </w:pP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91</w:t>
            </w:r>
          </w:p>
        </w:tc>
      </w:tr>
      <w:tr>
        <w:trPr>
          <w:trHeight w:val="196"/>
        </w:trPr>
        <w:tc>
          <w:tcPr>
            <w:tcW w:w="520" w:type="dxa"/>
            <w:vAlign w:val="bottom"/>
          </w:tcPr>
          <w:p>
            <w:pPr>
              <w:spacing w:after="0"/>
              <w:rPr>
                <w:sz w:val="17"/>
                <w:szCs w:val="17"/>
                <w:color w:val="auto"/>
              </w:rPr>
            </w:pPr>
          </w:p>
        </w:tc>
        <w:tc>
          <w:tcPr>
            <w:tcW w:w="31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9"/>
              </w:rPr>
              <w:t>Consolidated Statements of Operations</w:t>
            </w:r>
          </w:p>
        </w:tc>
        <w:tc>
          <w:tcPr>
            <w:tcW w:w="3940" w:type="dxa"/>
            <w:vAlign w:val="bottom"/>
            <w:gridSpan w:val="5"/>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520" w:type="dxa"/>
            <w:vAlign w:val="bottom"/>
          </w:tcPr>
          <w:p>
            <w:pPr>
              <w:spacing w:after="0"/>
              <w:rPr>
                <w:sz w:val="17"/>
                <w:szCs w:val="17"/>
                <w:color w:val="auto"/>
              </w:rPr>
            </w:pPr>
          </w:p>
        </w:tc>
        <w:tc>
          <w:tcPr>
            <w:tcW w:w="7080" w:type="dxa"/>
            <w:vAlign w:val="bottom"/>
            <w:gridSpan w:val="7"/>
          </w:tcPr>
          <w:p>
            <w:pPr>
              <w:spacing w:after="0" w:line="196" w:lineRule="exact"/>
              <w:rPr>
                <w:sz w:val="20"/>
                <w:szCs w:val="20"/>
                <w:color w:val="auto"/>
              </w:rPr>
            </w:pPr>
            <w:r>
              <w:rPr>
                <w:rFonts w:ascii="Arial" w:cs="Arial" w:eastAsia="Arial" w:hAnsi="Arial"/>
                <w:sz w:val="18"/>
                <w:szCs w:val="18"/>
                <w:color w:val="0000EE"/>
              </w:rPr>
              <w:t>Consolidated Statements of Stockholders’ Equity</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52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9"/>
              </w:rPr>
              <w:t>Consolidated Statements of Cash Flows</w:t>
            </w:r>
          </w:p>
        </w:tc>
        <w:tc>
          <w:tcPr>
            <w:tcW w:w="680" w:type="dxa"/>
            <w:vAlign w:val="bottom"/>
            <w:tcBorders>
              <w:top w:val="single" w:sz="8" w:color="0000EE"/>
            </w:tcBorders>
            <w:gridSpan w:val="2"/>
          </w:tcPr>
          <w:p>
            <w:pPr>
              <w:spacing w:after="0"/>
              <w:rPr>
                <w:sz w:val="17"/>
                <w:szCs w:val="17"/>
                <w:color w:val="auto"/>
              </w:rPr>
            </w:pPr>
          </w:p>
        </w:tc>
        <w:tc>
          <w:tcPr>
            <w:tcW w:w="3200" w:type="dxa"/>
            <w:vAlign w:val="bottom"/>
            <w:gridSpan w:val="2"/>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520" w:type="dxa"/>
            <w:vAlign w:val="bottom"/>
          </w:tcPr>
          <w:p>
            <w:pPr>
              <w:spacing w:after="0"/>
              <w:rPr>
                <w:sz w:val="17"/>
                <w:szCs w:val="17"/>
                <w:color w:val="auto"/>
              </w:rPr>
            </w:pPr>
          </w:p>
        </w:tc>
        <w:tc>
          <w:tcPr>
            <w:tcW w:w="35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9"/>
              </w:rPr>
              <w:t>Notes to Consolidated Financial Statements</w:t>
            </w:r>
          </w:p>
        </w:tc>
        <w:tc>
          <w:tcPr>
            <w:tcW w:w="3580" w:type="dxa"/>
            <w:vAlign w:val="bottom"/>
            <w:gridSpan w:val="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Camping World Holdings, Inc. and subsidiaries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We have audited the accompanying consolidated balance sheets of Camping World Holdings, Inc. and subsidiaries (the "Company") as of December 31, 2025 and 2024, the related consolidated statements of operations, stockholders' equity, and cash flows, for each of the three years in the period ended December 31, 2025, and the related notes and the schedules listed in the Index at Item 15(a)(1)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27, 2026, expressed an unqualified opinion on the Company's internal control over financial reporting.</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Matters</w:t>
      </w:r>
    </w:p>
    <w:p>
      <w:pPr>
        <w:spacing w:after="0" w:line="23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619"/>
        <w:spacing w:after="0" w:line="325" w:lineRule="auto"/>
        <w:rPr>
          <w:sz w:val="20"/>
          <w:szCs w:val="20"/>
          <w:color w:val="auto"/>
        </w:rPr>
      </w:pPr>
      <w:r>
        <w:rPr>
          <w:rFonts w:ascii="Arial" w:cs="Arial" w:eastAsia="Arial" w:hAnsi="Arial"/>
          <w:sz w:val="18"/>
          <w:szCs w:val="18"/>
          <w:b w:val="1"/>
          <w:bCs w:val="1"/>
          <w:i w:val="1"/>
          <w:iCs w:val="1"/>
          <w:color w:val="auto"/>
        </w:rPr>
        <w:t>Revenue Recognition — Chargebacks related to Extended Service Contracts and Other Insurance Products - Refer to Note 1 to the consolidated financial statements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Critical Audit Matter Description</w:t>
      </w:r>
    </w:p>
    <w:p>
      <w:pPr>
        <w:spacing w:after="0" w:line="23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color w:val="auto"/>
        </w:rPr>
        <w:t>The Company acts as an agent in selling certain extended service contracts and other insurance products (“insurance product contracts”) with multi-year terms to customers on behalf of third-party insurance providers. The proceeds the Company receives for selling insurance product contracts are subject to chargebacks if the customer terminates the respective contract earlier than a stated period. The proceeds are therefore considered variable consideration and recorded net of estimated chargebacks. The Company estimates chargebacks by developing an estimate of ultimate future cancellation rates using a combination of actuarial methods which leverage the Company’s historical chargeback experience.</w:t>
      </w:r>
    </w:p>
    <w:p>
      <w:pPr>
        <w:spacing w:after="0" w:line="180"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color w:val="auto"/>
        </w:rPr>
        <w:t>Given the judgment involved in developing an estimate of ultimate future cancellation rates used to estimate the amount of chargebacks, auditing this assumption required a high degree of auditor judgment, including the use of our actuarial specialists, in performing audit procedures to evaluate the reasonableness of management’s estimate. Therefore, we identified this as a critical audit matter.</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7" w:lineRule="exact"/>
        <w:rPr>
          <w:sz w:val="20"/>
          <w:szCs w:val="20"/>
          <w:color w:val="auto"/>
        </w:rPr>
      </w:pPr>
    </w:p>
    <w:p>
      <w:pPr>
        <w:jc w:val="both"/>
        <w:ind w:left="60" w:right="59"/>
        <w:spacing w:after="0" w:line="303" w:lineRule="auto"/>
        <w:rPr>
          <w:sz w:val="20"/>
          <w:szCs w:val="20"/>
          <w:color w:val="auto"/>
        </w:rPr>
      </w:pPr>
      <w:r>
        <w:rPr>
          <w:rFonts w:ascii="Arial" w:cs="Arial" w:eastAsia="Arial" w:hAnsi="Arial"/>
          <w:sz w:val="18"/>
          <w:szCs w:val="18"/>
          <w:color w:val="auto"/>
        </w:rPr>
        <w:t>Our audit procedures related to the ultimate future cancellation rates used to estimate the chargebacks included the following, among others:</w:t>
      </w:r>
    </w:p>
    <w:p>
      <w:pPr>
        <w:spacing w:after="0" w:line="152" w:lineRule="exact"/>
        <w:rPr>
          <w:sz w:val="20"/>
          <w:szCs w:val="20"/>
          <w:color w:val="auto"/>
        </w:rPr>
      </w:pPr>
    </w:p>
    <w:p>
      <w:pPr>
        <w:ind w:left="600" w:right="79" w:hanging="10"/>
        <w:spacing w:after="0" w:line="303" w:lineRule="auto"/>
        <w:tabs>
          <w:tab w:leader="none" w:pos="7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Testing the design, implementation and operating effectiveness of controls over the calculation of the chargebacks, which includes the estimation of future cancellation rates.</w:t>
      </w:r>
    </w:p>
    <w:p>
      <w:pPr>
        <w:spacing w:after="0" w:line="152" w:lineRule="exact"/>
        <w:rPr>
          <w:rFonts w:ascii="Arial" w:cs="Arial" w:eastAsia="Arial" w:hAnsi="Arial"/>
          <w:sz w:val="18"/>
          <w:szCs w:val="18"/>
          <w:color w:val="auto"/>
        </w:rPr>
      </w:pPr>
    </w:p>
    <w:p>
      <w:pPr>
        <w:ind w:left="600" w:right="59" w:hanging="10"/>
        <w:spacing w:after="0" w:line="303" w:lineRule="auto"/>
        <w:tabs>
          <w:tab w:leader="none" w:pos="7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Inspecting standard insurance product contracts for each contract type to evaluate whether the arrangements in effect were consistent with the assumptions used to calculate the chargebacks.</w:t>
      </w:r>
    </w:p>
    <w:p>
      <w:pPr>
        <w:spacing w:after="0" w:line="152" w:lineRule="exact"/>
        <w:rPr>
          <w:rFonts w:ascii="Arial" w:cs="Arial" w:eastAsia="Arial" w:hAnsi="Arial"/>
          <w:sz w:val="18"/>
          <w:szCs w:val="18"/>
          <w:color w:val="auto"/>
        </w:rPr>
      </w:pPr>
    </w:p>
    <w:p>
      <w:pPr>
        <w:ind w:left="600" w:right="79" w:hanging="10"/>
        <w:spacing w:after="0" w:line="303" w:lineRule="auto"/>
        <w:tabs>
          <w:tab w:leader="none" w:pos="7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Testing the underlying data that served as the basis for the actuarial analyses, to evaluate whether the inputs to the actuarial estimate were accurate and complete.</w:t>
      </w:r>
    </w:p>
    <w:p>
      <w:pPr>
        <w:spacing w:after="0" w:line="165" w:lineRule="exact"/>
        <w:rPr>
          <w:rFonts w:ascii="Arial" w:cs="Arial" w:eastAsia="Arial" w:hAnsi="Arial"/>
          <w:sz w:val="18"/>
          <w:szCs w:val="18"/>
          <w:color w:val="auto"/>
        </w:rPr>
      </w:pPr>
    </w:p>
    <w:p>
      <w:pPr>
        <w:ind w:left="700" w:hanging="110"/>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used the assistance of our actuarial specialists in:</w:t>
      </w:r>
    </w:p>
    <w:p>
      <w:pPr>
        <w:spacing w:after="0" w:line="238" w:lineRule="exact"/>
        <w:rPr>
          <w:rFonts w:ascii="Arial" w:cs="Arial" w:eastAsia="Arial" w:hAnsi="Arial"/>
          <w:sz w:val="18"/>
          <w:szCs w:val="18"/>
          <w:color w:val="auto"/>
        </w:rPr>
      </w:pPr>
    </w:p>
    <w:p>
      <w:pPr>
        <w:ind w:left="1140" w:right="79" w:hanging="10"/>
        <w:spacing w:after="0" w:line="303" w:lineRule="auto"/>
        <w:tabs>
          <w:tab w:leader="none" w:pos="1291"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Developing a range of the chargebacks based on independently estimated ultimate future cancellation rates, which we compared to the chargebacks estimated by management.</w:t>
      </w:r>
    </w:p>
    <w:p>
      <w:pPr>
        <w:spacing w:after="0" w:line="152" w:lineRule="exact"/>
        <w:rPr>
          <w:rFonts w:ascii="Arial" w:cs="Arial" w:eastAsia="Arial" w:hAnsi="Arial"/>
          <w:sz w:val="18"/>
          <w:szCs w:val="18"/>
          <w:color w:val="auto"/>
        </w:rPr>
      </w:pPr>
    </w:p>
    <w:p>
      <w:pPr>
        <w:ind w:left="1140" w:right="79" w:hanging="10"/>
        <w:spacing w:after="0" w:line="303" w:lineRule="auto"/>
        <w:tabs>
          <w:tab w:leader="none" w:pos="1249"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Evaluating the Company’s ability to estimate the ultimate future cancellation rates by comparing its historical estimates to actual chargeback payments.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 Impairment — Refer to Notes 1 and 5 to the consolidated financial statements</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Critical </w:t>
      </w:r>
      <w:r>
        <w:rPr>
          <w:rFonts w:ascii="Arial" w:cs="Arial" w:eastAsia="Arial" w:hAnsi="Arial"/>
          <w:sz w:val="18"/>
          <w:szCs w:val="18"/>
          <w:color w:val="auto"/>
        </w:rPr>
        <w:t>Audit Matter Description</w:t>
      </w:r>
    </w:p>
    <w:p>
      <w:pPr>
        <w:spacing w:after="0" w:line="23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Its long-lived asset groups exist predominantly at the individual location level and the associated impairment analysis involves the comparison of an asset group’s estimated future undiscounted cash flows over its remaining useful life to its respective carrying value, which primarily includes furniture, equipment, leasehold improvements, and operating lease assets for leased properties or furniture, equipment, land, and buildings for owned properties.</w:t>
      </w:r>
    </w:p>
    <w:p>
      <w:pPr>
        <w:spacing w:after="0" w:line="180"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8"/>
          <w:szCs w:val="18"/>
          <w:color w:val="auto"/>
        </w:rPr>
        <w:t>Management exercises significant judgment in identifying whether events or changes in circumstances indicate that an asset group’s long-lived asset carrying amount may not be recoverable and in the estimation of an asset group’s future cash flows. As a result, a high degree of auditor judgment and an increased extent of effort is</w:t>
      </w:r>
    </w:p>
    <w:p>
      <w:pPr>
        <w:sectPr>
          <w:pgSz w:w="11900" w:h="16838" w:orient="portrait"/>
          <w:cols w:equalWidth="0" w:num="1">
            <w:col w:w="9019"/>
          </w:cols>
          <w:pgMar w:left="1440" w:top="513" w:right="1440"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59"/>
        <w:spacing w:after="0" w:line="318" w:lineRule="auto"/>
        <w:rPr>
          <w:sz w:val="20"/>
          <w:szCs w:val="20"/>
          <w:color w:val="auto"/>
        </w:rPr>
      </w:pPr>
      <w:r>
        <w:rPr>
          <w:rFonts w:ascii="Arial" w:cs="Arial" w:eastAsia="Arial" w:hAnsi="Arial"/>
          <w:sz w:val="18"/>
          <w:szCs w:val="18"/>
          <w:color w:val="auto"/>
        </w:rPr>
        <w:t>required in performing audit procedures to evaluate the reasonableness of management’s judgements and estimates. Therefore, we have identified this as a critical audit matter.</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7" w:lineRule="exact"/>
        <w:rPr>
          <w:sz w:val="20"/>
          <w:szCs w:val="20"/>
          <w:color w:val="auto"/>
        </w:rPr>
      </w:pPr>
    </w:p>
    <w:p>
      <w:pPr>
        <w:ind w:left="60" w:right="59"/>
        <w:spacing w:after="0" w:line="303" w:lineRule="auto"/>
        <w:rPr>
          <w:sz w:val="20"/>
          <w:szCs w:val="20"/>
          <w:color w:val="auto"/>
        </w:rPr>
      </w:pPr>
      <w:r>
        <w:rPr>
          <w:rFonts w:ascii="Arial" w:cs="Arial" w:eastAsia="Arial" w:hAnsi="Arial"/>
          <w:sz w:val="18"/>
          <w:szCs w:val="18"/>
          <w:color w:val="auto"/>
        </w:rPr>
        <w:t>Our audit procedures related to management’s identification of impairment indicators and estimation of an asset group’s future cash flows included the following, among others:</w:t>
      </w:r>
    </w:p>
    <w:p>
      <w:pPr>
        <w:spacing w:after="0" w:line="152" w:lineRule="exact"/>
        <w:rPr>
          <w:sz w:val="20"/>
          <w:szCs w:val="20"/>
          <w:color w:val="auto"/>
        </w:rPr>
      </w:pPr>
    </w:p>
    <w:p>
      <w:pPr>
        <w:jc w:val="both"/>
        <w:ind w:left="600" w:right="59" w:hanging="10"/>
        <w:spacing w:after="0" w:line="284" w:lineRule="auto"/>
        <w:tabs>
          <w:tab w:leader="none" w:pos="71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Testing the design, implementation and operating effectiveness of controls over i) the identification of impairment indicators of long-lived asset groups and ii) the estimation of future cash flows for asset groups that had impairment indicators.</w:t>
      </w:r>
    </w:p>
    <w:p>
      <w:pPr>
        <w:spacing w:after="0" w:line="169" w:lineRule="exact"/>
        <w:rPr>
          <w:rFonts w:ascii="Arial" w:cs="Arial" w:eastAsia="Arial" w:hAnsi="Arial"/>
          <w:sz w:val="18"/>
          <w:szCs w:val="18"/>
          <w:color w:val="auto"/>
        </w:rPr>
      </w:pPr>
    </w:p>
    <w:p>
      <w:pPr>
        <w:ind w:left="600" w:right="59" w:hanging="10"/>
        <w:spacing w:after="0" w:line="303" w:lineRule="auto"/>
        <w:tabs>
          <w:tab w:leader="none" w:pos="723"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Evaluating the methodology and assumptions used by management to identify impairment indicators by:</w:t>
      </w:r>
    </w:p>
    <w:p>
      <w:pPr>
        <w:spacing w:after="0" w:line="152" w:lineRule="exact"/>
        <w:rPr>
          <w:rFonts w:ascii="Arial" w:cs="Arial" w:eastAsia="Arial" w:hAnsi="Arial"/>
          <w:sz w:val="18"/>
          <w:szCs w:val="18"/>
          <w:color w:val="auto"/>
        </w:rPr>
      </w:pPr>
    </w:p>
    <w:p>
      <w:pPr>
        <w:ind w:left="1140" w:right="59" w:hanging="10"/>
        <w:spacing w:after="0" w:line="303" w:lineRule="auto"/>
        <w:tabs>
          <w:tab w:leader="none" w:pos="1262"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Inspecting the Company’s impairment indicator analysis to determine if contradictory evidence existed as to the completeness of the population of potentially impaired individual locations.</w:t>
      </w:r>
    </w:p>
    <w:p>
      <w:pPr>
        <w:spacing w:after="0" w:line="152" w:lineRule="exact"/>
        <w:rPr>
          <w:rFonts w:ascii="Arial" w:cs="Arial" w:eastAsia="Arial" w:hAnsi="Arial"/>
          <w:sz w:val="18"/>
          <w:szCs w:val="18"/>
          <w:color w:val="auto"/>
        </w:rPr>
      </w:pPr>
    </w:p>
    <w:p>
      <w:pPr>
        <w:jc w:val="both"/>
        <w:ind w:left="1140" w:right="59" w:hanging="10"/>
        <w:spacing w:after="0" w:line="284" w:lineRule="auto"/>
        <w:tabs>
          <w:tab w:leader="none" w:pos="1264"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Evaluating the completeness and accuracy of long-lived assets attributable to individual asset groups, as well as the identification of individual location level cash flows attributable to each asset group.</w:t>
      </w:r>
    </w:p>
    <w:p>
      <w:pPr>
        <w:spacing w:after="0" w:line="169" w:lineRule="exact"/>
        <w:rPr>
          <w:rFonts w:ascii="Arial" w:cs="Arial" w:eastAsia="Arial" w:hAnsi="Arial"/>
          <w:sz w:val="18"/>
          <w:szCs w:val="18"/>
          <w:color w:val="auto"/>
        </w:rPr>
      </w:pPr>
    </w:p>
    <w:p>
      <w:pPr>
        <w:ind w:left="1140" w:right="79" w:hanging="10"/>
        <w:spacing w:after="0" w:line="303" w:lineRule="auto"/>
        <w:tabs>
          <w:tab w:leader="none" w:pos="1251"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Comparing individual location-level current and historical operating results to the general ledger to assess the accuracy and completeness of information used.</w:t>
      </w:r>
    </w:p>
    <w:p>
      <w:pPr>
        <w:spacing w:after="0" w:line="152" w:lineRule="exact"/>
        <w:rPr>
          <w:rFonts w:ascii="Arial" w:cs="Arial" w:eastAsia="Arial" w:hAnsi="Arial"/>
          <w:sz w:val="18"/>
          <w:szCs w:val="18"/>
          <w:color w:val="auto"/>
        </w:rPr>
      </w:pPr>
    </w:p>
    <w:p>
      <w:pPr>
        <w:ind w:left="1140" w:right="79" w:hanging="10"/>
        <w:spacing w:after="0" w:line="303" w:lineRule="auto"/>
        <w:tabs>
          <w:tab w:leader="none" w:pos="1249"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Reading board of director meeting minutes, while considering available industry information and macroeconomic trends.</w:t>
      </w:r>
    </w:p>
    <w:p>
      <w:pPr>
        <w:spacing w:after="0" w:line="152" w:lineRule="exact"/>
        <w:rPr>
          <w:rFonts w:ascii="Arial" w:cs="Arial" w:eastAsia="Arial" w:hAnsi="Arial"/>
          <w:sz w:val="18"/>
          <w:szCs w:val="18"/>
          <w:color w:val="auto"/>
        </w:rPr>
      </w:pPr>
    </w:p>
    <w:p>
      <w:pPr>
        <w:jc w:val="both"/>
        <w:ind w:left="600" w:right="59" w:hanging="10"/>
        <w:spacing w:after="0" w:line="284" w:lineRule="auto"/>
        <w:tabs>
          <w:tab w:leader="none" w:pos="707"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Evaluating the reasonableness of the methodology used by management and the assumptions used in the estimation of future cash flows by performing the following procedures for selected individual locations:</w:t>
      </w:r>
    </w:p>
    <w:p>
      <w:pPr>
        <w:spacing w:after="0" w:line="169" w:lineRule="exact"/>
        <w:rPr>
          <w:rFonts w:ascii="Arial" w:cs="Arial" w:eastAsia="Arial" w:hAnsi="Arial"/>
          <w:sz w:val="18"/>
          <w:szCs w:val="18"/>
          <w:color w:val="auto"/>
        </w:rPr>
      </w:pPr>
    </w:p>
    <w:p>
      <w:pPr>
        <w:jc w:val="both"/>
        <w:ind w:left="1140" w:right="79" w:hanging="10"/>
        <w:spacing w:after="0" w:line="292" w:lineRule="auto"/>
        <w:tabs>
          <w:tab w:leader="none" w:pos="1251"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Evaluating management’s ability to accurately forecast revenue and EBITDAR (Earnings before Interest, Taxes, Depreciation, Amortization, and Rent) by comparing actual results to management’s historical forecasts.</w:t>
      </w:r>
    </w:p>
    <w:p>
      <w:pPr>
        <w:spacing w:after="0" w:line="162" w:lineRule="exact"/>
        <w:rPr>
          <w:rFonts w:ascii="Arial" w:cs="Arial" w:eastAsia="Arial" w:hAnsi="Arial"/>
          <w:sz w:val="18"/>
          <w:szCs w:val="18"/>
          <w:color w:val="auto"/>
        </w:rPr>
      </w:pPr>
    </w:p>
    <w:p>
      <w:pPr>
        <w:jc w:val="both"/>
        <w:ind w:left="1140" w:right="79" w:hanging="10"/>
        <w:spacing w:after="0" w:line="284" w:lineRule="auto"/>
        <w:tabs>
          <w:tab w:leader="none" w:pos="1267"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Comparing the minimum projected cash flows required to recover the carrying amount of the individual location level to historical chain-wide average cash flows for comparable locations with similar economic circumstances and relevant location characteristics.</w:t>
      </w:r>
    </w:p>
    <w:p>
      <w:pPr>
        <w:spacing w:after="0" w:line="169" w:lineRule="exact"/>
        <w:rPr>
          <w:rFonts w:ascii="Arial" w:cs="Arial" w:eastAsia="Arial" w:hAnsi="Arial"/>
          <w:sz w:val="18"/>
          <w:szCs w:val="18"/>
          <w:color w:val="auto"/>
        </w:rPr>
      </w:pPr>
    </w:p>
    <w:p>
      <w:pPr>
        <w:ind w:left="1140" w:right="79" w:hanging="10"/>
        <w:spacing w:after="0" w:line="303" w:lineRule="auto"/>
        <w:tabs>
          <w:tab w:leader="none" w:pos="1315"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Analyzing the duration of projected cash flows used to assess individual location-level recoverability.</w:t>
      </w:r>
    </w:p>
    <w:p>
      <w:pPr>
        <w:spacing w:after="0" w:line="152" w:lineRule="exact"/>
        <w:rPr>
          <w:rFonts w:ascii="Arial" w:cs="Arial" w:eastAsia="Arial" w:hAnsi="Arial"/>
          <w:sz w:val="18"/>
          <w:szCs w:val="18"/>
          <w:color w:val="auto"/>
        </w:rPr>
      </w:pPr>
    </w:p>
    <w:p>
      <w:pPr>
        <w:jc w:val="both"/>
        <w:ind w:left="1140" w:right="59" w:hanging="10"/>
        <w:spacing w:after="0" w:line="284" w:lineRule="auto"/>
        <w:tabs>
          <w:tab w:leader="none" w:pos="1265"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Evaluating and auditing the projected cash flows by comparing projections to actual historical performance and industry information and evaluating the consistency of the projected cash flows with other relevant forecast information obtained in our audit, such as internal forecasts.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Impairment — Refer to Notes 1 and 8 to the consolidated financial statements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Critical Audit Matter Description</w:t>
      </w:r>
    </w:p>
    <w:p>
      <w:pPr>
        <w:spacing w:after="0" w:line="237"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8"/>
          <w:szCs w:val="18"/>
          <w:color w:val="auto"/>
        </w:rPr>
        <w:t>The Company measures the fair value of the Recreational Vehicle “RV” and Outdoor Retail reporting unit (“Reporting Unit”) and compares it to the Reporting Unit’s carrying value to assess goodwill for impairment. The Reporting Unit fair value calculation requires significant management judgment and estimation utilizing both</w:t>
      </w:r>
    </w:p>
    <w:p>
      <w:pPr>
        <w:sectPr>
          <w:pgSz w:w="11900" w:h="16838" w:orient="portrait"/>
          <w:cols w:equalWidth="0" w:num="1">
            <w:col w:w="9019"/>
          </w:cols>
          <w:pgMar w:left="1440" w:top="513" w:right="1440"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8"/>
          <w:szCs w:val="18"/>
          <w:color w:val="auto"/>
        </w:rPr>
        <w:t>the income and market approaches. The income approach requires the use of significant estimates and assumptions, including forecasted revenue and earnings before interest, taxes, depreciation, and amortization (“EBITDA”) projections and discount rates. The market approach requires significant assumptions related to the selection of comparable publicly traded companies (“peer group companies”) and the market multiples.</w:t>
      </w:r>
    </w:p>
    <w:p>
      <w:pPr>
        <w:spacing w:after="0" w:line="17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8"/>
          <w:szCs w:val="18"/>
          <w:color w:val="auto"/>
        </w:rPr>
        <w:t>We identified the valuation of goodwill at the Reporting Unit as a critical audit matter because the Company’s estimate of the fair value of the Reporting Unit involved complex and subjective judgments. This required a high degree of auditor judgement and an increased extent of effort, including the need to involve our fair value specialists, when auditing management’s judgements related to (1) forecasts of revenue and EBITDA, (2) the selection of the market multiples related to peer group companies, and (3) the selection of the discount rates.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7" w:lineRule="exact"/>
        <w:rPr>
          <w:sz w:val="20"/>
          <w:szCs w:val="20"/>
          <w:color w:val="auto"/>
        </w:rPr>
      </w:pPr>
    </w:p>
    <w:p>
      <w:pPr>
        <w:jc w:val="both"/>
        <w:ind w:left="60" w:right="79"/>
        <w:spacing w:after="0" w:line="335" w:lineRule="auto"/>
        <w:rPr>
          <w:sz w:val="20"/>
          <w:szCs w:val="20"/>
          <w:color w:val="auto"/>
        </w:rPr>
      </w:pPr>
      <w:r>
        <w:rPr>
          <w:rFonts w:ascii="Arial" w:cs="Arial" w:eastAsia="Arial" w:hAnsi="Arial"/>
          <w:sz w:val="17"/>
          <w:szCs w:val="17"/>
          <w:color w:val="auto"/>
        </w:rPr>
        <w:t>Our audit procedures related to the Company’s forecasts of revenue and EBITDA, the selected market multiples related to peer group companies, and the selected discount rates, included the following, among others:</w:t>
      </w:r>
    </w:p>
    <w:p>
      <w:pPr>
        <w:spacing w:after="0" w:line="129" w:lineRule="exact"/>
        <w:rPr>
          <w:sz w:val="20"/>
          <w:szCs w:val="20"/>
          <w:color w:val="auto"/>
        </w:rPr>
      </w:pPr>
    </w:p>
    <w:p>
      <w:pPr>
        <w:jc w:val="both"/>
        <w:ind w:left="600" w:right="59" w:hanging="10"/>
        <w:spacing w:after="0" w:line="278" w:lineRule="auto"/>
        <w:tabs>
          <w:tab w:leader="none" w:pos="7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Testing the design, implementation and operating effectiveness of controls over the review of the goodwill impairment analysis, including those over the development of forecasts of the revenue and EBITDA business assumptions, the selected market multiples related to peer group companies, and the selected discount rates.</w:t>
      </w:r>
    </w:p>
    <w:p>
      <w:pPr>
        <w:spacing w:after="0" w:line="174" w:lineRule="exact"/>
        <w:rPr>
          <w:rFonts w:ascii="Arial" w:cs="Arial" w:eastAsia="Arial" w:hAnsi="Arial"/>
          <w:sz w:val="18"/>
          <w:szCs w:val="18"/>
          <w:color w:val="auto"/>
        </w:rPr>
      </w:pPr>
    </w:p>
    <w:p>
      <w:pPr>
        <w:ind w:left="600" w:right="59" w:hanging="10"/>
        <w:spacing w:after="0" w:line="303" w:lineRule="auto"/>
        <w:tabs>
          <w:tab w:leader="none" w:pos="743"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Evaluating management’s ability to accurately forecast revenue and EBITDA by comparing actual results to management’s historical forecasts.</w:t>
      </w:r>
    </w:p>
    <w:p>
      <w:pPr>
        <w:spacing w:after="0" w:line="152" w:lineRule="exact"/>
        <w:rPr>
          <w:rFonts w:ascii="Arial" w:cs="Arial" w:eastAsia="Arial" w:hAnsi="Arial"/>
          <w:sz w:val="18"/>
          <w:szCs w:val="18"/>
          <w:color w:val="auto"/>
        </w:rPr>
      </w:pPr>
    </w:p>
    <w:p>
      <w:pPr>
        <w:jc w:val="both"/>
        <w:ind w:left="600" w:right="59" w:hanging="10"/>
        <w:spacing w:after="0" w:line="284" w:lineRule="auto"/>
        <w:tabs>
          <w:tab w:leader="none" w:pos="76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Testing management’s forecasted revenue and EBITDA and evaluating the reasonableness by comparing the forecasts to historical results, third-party economic research, industry performance, and peer company performance.</w:t>
      </w:r>
    </w:p>
    <w:p>
      <w:pPr>
        <w:spacing w:after="0" w:line="169" w:lineRule="exact"/>
        <w:rPr>
          <w:rFonts w:ascii="Arial" w:cs="Arial" w:eastAsia="Arial" w:hAnsi="Arial"/>
          <w:sz w:val="18"/>
          <w:szCs w:val="18"/>
          <w:color w:val="auto"/>
        </w:rPr>
      </w:pPr>
    </w:p>
    <w:p>
      <w:pPr>
        <w:ind w:left="700" w:hanging="110"/>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evaluated, with the assistance of our fair value specialists, the (1) selection of market multiples and</w:t>
      </w:r>
    </w:p>
    <w:p>
      <w:pPr>
        <w:spacing w:after="0" w:line="31"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(2) discount rates utilized, by performing certain procedures, including:</w:t>
      </w:r>
    </w:p>
    <w:p>
      <w:pPr>
        <w:spacing w:after="0" w:line="242" w:lineRule="exact"/>
        <w:rPr>
          <w:rFonts w:ascii="Arial" w:cs="Arial" w:eastAsia="Arial" w:hAnsi="Arial"/>
          <w:sz w:val="18"/>
          <w:szCs w:val="18"/>
          <w:color w:val="auto"/>
        </w:rPr>
      </w:pPr>
    </w:p>
    <w:p>
      <w:pPr>
        <w:ind w:left="1140" w:right="79" w:hanging="10"/>
        <w:spacing w:after="0" w:line="303" w:lineRule="auto"/>
        <w:tabs>
          <w:tab w:leader="none" w:pos="1264" w:val="left"/>
        </w:tabs>
        <w:numPr>
          <w:ilvl w:val="1"/>
          <w:numId w:val="48"/>
        </w:numPr>
        <w:rPr>
          <w:rFonts w:ascii="Arial" w:cs="Arial" w:eastAsia="Arial" w:hAnsi="Arial"/>
          <w:sz w:val="18"/>
          <w:szCs w:val="18"/>
          <w:color w:val="auto"/>
        </w:rPr>
      </w:pPr>
      <w:r>
        <w:rPr>
          <w:rFonts w:ascii="Arial" w:cs="Arial" w:eastAsia="Arial" w:hAnsi="Arial"/>
          <w:sz w:val="18"/>
          <w:szCs w:val="18"/>
          <w:color w:val="auto"/>
        </w:rPr>
        <w:t>Testing the appropriateness of the Company’s selection of peer group companies and market multiples for comparability to the Reporting Unit.</w:t>
      </w:r>
    </w:p>
    <w:p>
      <w:pPr>
        <w:spacing w:after="0" w:line="152" w:lineRule="exact"/>
        <w:rPr>
          <w:rFonts w:ascii="Arial" w:cs="Arial" w:eastAsia="Arial" w:hAnsi="Arial"/>
          <w:sz w:val="18"/>
          <w:szCs w:val="18"/>
          <w:color w:val="auto"/>
        </w:rPr>
      </w:pPr>
    </w:p>
    <w:p>
      <w:pPr>
        <w:ind w:left="1140" w:right="79" w:hanging="10"/>
        <w:spacing w:after="0" w:line="303" w:lineRule="auto"/>
        <w:tabs>
          <w:tab w:leader="none" w:pos="12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Testing the source information underlying the determination of the discount rates and the mathematical accuracy of the calculation.</w:t>
      </w:r>
    </w:p>
    <w:p>
      <w:pPr>
        <w:spacing w:after="0" w:line="152" w:lineRule="exact"/>
        <w:rPr>
          <w:rFonts w:ascii="Arial" w:cs="Arial" w:eastAsia="Arial" w:hAnsi="Arial"/>
          <w:sz w:val="18"/>
          <w:szCs w:val="18"/>
          <w:color w:val="auto"/>
        </w:rPr>
      </w:pPr>
    </w:p>
    <w:p>
      <w:pPr>
        <w:ind w:left="1140" w:right="79" w:hanging="10"/>
        <w:spacing w:after="0" w:line="303" w:lineRule="auto"/>
        <w:tabs>
          <w:tab w:leader="none" w:pos="125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Developing independent ranges of discount rates and comparing the discount rates selected by management to these ranges.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Chicago, Illinois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27, 2026</w:t>
      </w:r>
    </w:p>
    <w:p>
      <w:pPr>
        <w:spacing w:after="0" w:line="3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2018.</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Camping World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 Except Per Share Amounts)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540" w:type="dxa"/>
            <w:vAlign w:val="bottom"/>
            <w:vMerge w:val="restart"/>
          </w:tcPr>
          <w:p>
            <w:pPr>
              <w:ind w:left="6420"/>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3"/>
          </w:tcPr>
          <w:p>
            <w:pPr>
              <w:ind w:left="6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6"/>
                <w:szCs w:val="16"/>
                <w:color w:val="auto"/>
              </w:rPr>
            </w:pPr>
          </w:p>
        </w:tc>
        <w:tc>
          <w:tcPr>
            <w:tcW w:w="104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92"/>
        </w:trPr>
        <w:tc>
          <w:tcPr>
            <w:tcW w:w="65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2025</w:t>
            </w: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353"/>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83"/>
        </w:trPr>
        <w:tc>
          <w:tcPr>
            <w:tcW w:w="6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215,043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208,422</w:t>
            </w:r>
          </w:p>
        </w:tc>
        <w:tc>
          <w:tcPr>
            <w:tcW w:w="0" w:type="dxa"/>
            <w:vAlign w:val="bottom"/>
          </w:tcPr>
          <w:p>
            <w:pPr>
              <w:spacing w:after="0"/>
              <w:rPr>
                <w:sz w:val="1"/>
                <w:szCs w:val="1"/>
                <w:color w:val="auto"/>
              </w:rPr>
            </w:pPr>
          </w:p>
        </w:tc>
      </w:tr>
      <w:tr>
        <w:trPr>
          <w:trHeight w:val="183"/>
        </w:trPr>
        <w:tc>
          <w:tcPr>
            <w:tcW w:w="6540" w:type="dxa"/>
            <w:vAlign w:val="bottom"/>
          </w:tcPr>
          <w:p>
            <w:pPr>
              <w:ind w:left="100"/>
              <w:spacing w:after="0"/>
              <w:rPr>
                <w:sz w:val="20"/>
                <w:szCs w:val="20"/>
                <w:color w:val="auto"/>
              </w:rPr>
            </w:pPr>
            <w:r>
              <w:rPr>
                <w:rFonts w:ascii="Arial" w:cs="Arial" w:eastAsia="Arial" w:hAnsi="Arial"/>
                <w:sz w:val="13"/>
                <w:szCs w:val="13"/>
                <w:color w:val="auto"/>
              </w:rPr>
              <w:t>Contracts in transit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53,327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61,222</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receivable, net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170,498</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120,412</w:t>
            </w:r>
          </w:p>
        </w:tc>
        <w:tc>
          <w:tcPr>
            <w:tcW w:w="0" w:type="dxa"/>
            <w:vAlign w:val="bottom"/>
          </w:tcPr>
          <w:p>
            <w:pPr>
              <w:spacing w:after="0"/>
              <w:rPr>
                <w:sz w:val="1"/>
                <w:szCs w:val="1"/>
                <w:color w:val="auto"/>
              </w:rPr>
            </w:pPr>
          </w:p>
        </w:tc>
      </w:tr>
      <w:tr>
        <w:trPr>
          <w:trHeight w:val="183"/>
        </w:trPr>
        <w:tc>
          <w:tcPr>
            <w:tcW w:w="6540" w:type="dxa"/>
            <w:vAlign w:val="bottom"/>
          </w:tcPr>
          <w:p>
            <w:pPr>
              <w:ind w:left="100"/>
              <w:spacing w:after="0"/>
              <w:rPr>
                <w:sz w:val="20"/>
                <w:szCs w:val="20"/>
                <w:color w:val="auto"/>
              </w:rPr>
            </w:pPr>
            <w:r>
              <w:rPr>
                <w:rFonts w:ascii="Arial" w:cs="Arial" w:eastAsia="Arial" w:hAnsi="Arial"/>
                <w:sz w:val="13"/>
                <w:szCs w:val="13"/>
                <w:color w:val="auto"/>
              </w:rPr>
              <w:t>Inventories</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2,111,900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1,821,837</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Prepaid expenses and other assets</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67,338</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58,045</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Assets held for sale</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1,350</w:t>
            </w:r>
          </w:p>
        </w:tc>
        <w:tc>
          <w:tcPr>
            <w:tcW w:w="0" w:type="dxa"/>
            <w:vAlign w:val="bottom"/>
          </w:tcPr>
          <w:p>
            <w:pPr>
              <w:spacing w:after="0"/>
              <w:rPr>
                <w:sz w:val="1"/>
                <w:szCs w:val="1"/>
                <w:color w:val="auto"/>
              </w:rPr>
            </w:pPr>
          </w:p>
        </w:tc>
      </w:tr>
      <w:tr>
        <w:trPr>
          <w:trHeight w:val="175"/>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2,618,281</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2,271,288</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832,062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846,760</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Arial" w:cs="Arial" w:eastAsia="Arial" w:hAnsi="Arial"/>
                <w:sz w:val="13"/>
                <w:szCs w:val="13"/>
                <w:color w:val="auto"/>
              </w:rPr>
              <w:t>Operating lease assets</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790,974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739,352</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 net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1,426</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215,140</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Arial" w:cs="Arial" w:eastAsia="Arial" w:hAnsi="Arial"/>
                <w:sz w:val="13"/>
                <w:szCs w:val="13"/>
                <w:color w:val="auto"/>
              </w:rPr>
              <w:t>Intangible assets, net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15,824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19,469</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749,321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734,023</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36,446</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37,245</w:t>
            </w:r>
          </w:p>
        </w:tc>
        <w:tc>
          <w:tcPr>
            <w:tcW w:w="0" w:type="dxa"/>
            <w:vAlign w:val="bottom"/>
          </w:tcPr>
          <w:p>
            <w:pPr>
              <w:spacing w:after="0"/>
              <w:rPr>
                <w:sz w:val="1"/>
                <w:szCs w:val="1"/>
                <w:color w:val="auto"/>
              </w:rPr>
            </w:pPr>
          </w:p>
        </w:tc>
      </w:tr>
      <w:tr>
        <w:trPr>
          <w:trHeight w:val="175"/>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5,044,334</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4,863,277</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540" w:type="dxa"/>
            <w:vAlign w:val="bottom"/>
          </w:tcPr>
          <w:p>
            <w:pPr>
              <w:ind w:left="100"/>
              <w:spacing w:after="0"/>
              <w:rPr>
                <w:sz w:val="20"/>
                <w:szCs w:val="20"/>
                <w:color w:val="auto"/>
              </w:rPr>
            </w:pPr>
            <w:r>
              <w:rPr>
                <w:rFonts w:ascii="Arial" w:cs="Arial" w:eastAsia="Arial" w:hAnsi="Arial"/>
                <w:sz w:val="13"/>
                <w:szCs w:val="13"/>
                <w:color w:val="auto"/>
              </w:rPr>
              <w:t>Accounts payable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147,707</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145,346</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liabilities</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128,399</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118,557</w:t>
            </w:r>
          </w:p>
        </w:tc>
        <w:tc>
          <w:tcPr>
            <w:tcW w:w="0" w:type="dxa"/>
            <w:vAlign w:val="bottom"/>
          </w:tcPr>
          <w:p>
            <w:pPr>
              <w:spacing w:after="0"/>
              <w:rPr>
                <w:sz w:val="1"/>
                <w:szCs w:val="1"/>
                <w:color w:val="auto"/>
              </w:rPr>
            </w:pPr>
          </w:p>
        </w:tc>
      </w:tr>
      <w:tr>
        <w:trPr>
          <w:trHeight w:val="183"/>
        </w:trPr>
        <w:tc>
          <w:tcPr>
            <w:tcW w:w="6540" w:type="dxa"/>
            <w:vAlign w:val="bottom"/>
          </w:tcPr>
          <w:p>
            <w:pPr>
              <w:ind w:left="100"/>
              <w:spacing w:after="0"/>
              <w:rPr>
                <w:sz w:val="20"/>
                <w:szCs w:val="20"/>
                <w:color w:val="auto"/>
              </w:rPr>
            </w:pPr>
            <w:r>
              <w:rPr>
                <w:rFonts w:ascii="Arial" w:cs="Arial" w:eastAsia="Arial" w:hAnsi="Arial"/>
                <w:sz w:val="13"/>
                <w:szCs w:val="13"/>
                <w:color w:val="auto"/>
              </w:rPr>
              <w:t>Deferred revenues</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90,456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92,124</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Current portion of operating lease liabilities</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65,365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61,993</w:t>
            </w:r>
          </w:p>
        </w:tc>
        <w:tc>
          <w:tcPr>
            <w:tcW w:w="0" w:type="dxa"/>
            <w:vAlign w:val="bottom"/>
          </w:tcPr>
          <w:p>
            <w:pPr>
              <w:spacing w:after="0"/>
              <w:rPr>
                <w:sz w:val="1"/>
                <w:szCs w:val="1"/>
                <w:color w:val="auto"/>
              </w:rPr>
            </w:pPr>
          </w:p>
        </w:tc>
      </w:tr>
      <w:tr>
        <w:trPr>
          <w:trHeight w:val="183"/>
        </w:trPr>
        <w:tc>
          <w:tcPr>
            <w:tcW w:w="6540" w:type="dxa"/>
            <w:vAlign w:val="bottom"/>
          </w:tcPr>
          <w:p>
            <w:pPr>
              <w:ind w:left="100"/>
              <w:spacing w:after="0"/>
              <w:rPr>
                <w:sz w:val="20"/>
                <w:szCs w:val="20"/>
                <w:color w:val="auto"/>
              </w:rPr>
            </w:pPr>
            <w:r>
              <w:rPr>
                <w:rFonts w:ascii="Arial" w:cs="Arial" w:eastAsia="Arial" w:hAnsi="Arial"/>
                <w:sz w:val="13"/>
                <w:szCs w:val="13"/>
                <w:color w:val="auto"/>
              </w:rPr>
              <w:t>Current portion of finance lease liabilities</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8,820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7,044</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Current portion of Tax Receivable Agreement liability</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6540" w:type="dxa"/>
            <w:vAlign w:val="bottom"/>
          </w:tcPr>
          <w:p>
            <w:pPr>
              <w:ind w:left="100"/>
              <w:spacing w:after="0"/>
              <w:rPr>
                <w:sz w:val="20"/>
                <w:szCs w:val="20"/>
                <w:color w:val="auto"/>
              </w:rPr>
            </w:pPr>
            <w:r>
              <w:rPr>
                <w:rFonts w:ascii="Arial" w:cs="Arial" w:eastAsia="Arial" w:hAnsi="Arial"/>
                <w:sz w:val="13"/>
                <w:szCs w:val="13"/>
                <w:color w:val="auto"/>
              </w:rPr>
              <w:t>Current portion of long-term debt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57,939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23,275</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Notes payable – floor plan, net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1,603,645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1,161,713</w:t>
            </w:r>
          </w:p>
        </w:tc>
        <w:tc>
          <w:tcPr>
            <w:tcW w:w="0" w:type="dxa"/>
            <w:vAlign w:val="bottom"/>
          </w:tcPr>
          <w:p>
            <w:pPr>
              <w:spacing w:after="0"/>
              <w:rPr>
                <w:sz w:val="1"/>
                <w:szCs w:val="1"/>
                <w:color w:val="auto"/>
              </w:rPr>
            </w:pPr>
          </w:p>
        </w:tc>
      </w:tr>
      <w:tr>
        <w:trPr>
          <w:trHeight w:val="183"/>
        </w:trPr>
        <w:tc>
          <w:tcPr>
            <w:tcW w:w="6540" w:type="dxa"/>
            <w:vAlign w:val="bottom"/>
          </w:tcPr>
          <w:p>
            <w:pPr>
              <w:ind w:left="100"/>
              <w:spacing w:after="0"/>
              <w:rPr>
                <w:sz w:val="20"/>
                <w:szCs w:val="20"/>
                <w:color w:val="auto"/>
              </w:rPr>
            </w:pPr>
            <w:r>
              <w:rPr>
                <w:rFonts w:ascii="Arial" w:cs="Arial" w:eastAsia="Arial" w:hAnsi="Arial"/>
                <w:sz w:val="13"/>
                <w:szCs w:val="13"/>
                <w:color w:val="auto"/>
              </w:rPr>
              <w:t>Other current liabilities</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79,391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70,900</w:t>
            </w:r>
          </w:p>
        </w:tc>
        <w:tc>
          <w:tcPr>
            <w:tcW w:w="0" w:type="dxa"/>
            <w:vAlign w:val="bottom"/>
          </w:tcPr>
          <w:p>
            <w:pPr>
              <w:spacing w:after="0"/>
              <w:rPr>
                <w:sz w:val="1"/>
                <w:szCs w:val="1"/>
                <w:color w:val="auto"/>
              </w:rPr>
            </w:pPr>
          </w:p>
        </w:tc>
      </w:tr>
      <w:tr>
        <w:trPr>
          <w:trHeight w:val="175"/>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current liabilities</w:t>
            </w: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2,183,138</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1,680,952</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liabilities, net of current portion</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804,167</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764,113</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Arial" w:cs="Arial" w:eastAsia="Arial" w:hAnsi="Arial"/>
                <w:sz w:val="13"/>
                <w:szCs w:val="13"/>
                <w:color w:val="auto"/>
              </w:rPr>
              <w:t>Finance lease liabilities, net of current portion</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125,384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131,004</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Tax Receivable Agreement liability, net of current portion</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150,372</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Arial" w:cs="Arial" w:eastAsia="Arial" w:hAnsi="Arial"/>
                <w:sz w:val="13"/>
                <w:szCs w:val="13"/>
                <w:color w:val="auto"/>
              </w:rPr>
              <w:t>Long-term debt, net of current portion</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1,413,618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1,493,318</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revenues</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56,773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63,642</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long-term liabilities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89,455</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94,927</w:t>
            </w:r>
          </w:p>
        </w:tc>
        <w:tc>
          <w:tcPr>
            <w:tcW w:w="0" w:type="dxa"/>
            <w:vAlign w:val="bottom"/>
          </w:tcPr>
          <w:p>
            <w:pPr>
              <w:spacing w:after="0"/>
              <w:rPr>
                <w:sz w:val="1"/>
                <w:szCs w:val="1"/>
                <w:color w:val="auto"/>
              </w:rPr>
            </w:pPr>
          </w:p>
        </w:tc>
      </w:tr>
      <w:tr>
        <w:trPr>
          <w:trHeight w:val="175"/>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4,672,535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4,378,328</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Arial" w:cs="Arial" w:eastAsia="Arial" w:hAnsi="Arial"/>
                <w:sz w:val="13"/>
                <w:szCs w:val="13"/>
                <w:color w:val="auto"/>
              </w:rPr>
              <w:t>Commitments and contingencies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40" w:type="dxa"/>
            <w:vAlign w:val="bottom"/>
          </w:tcPr>
          <w:p>
            <w:pPr>
              <w:ind w:left="100"/>
              <w:spacing w:after="0"/>
              <w:rPr>
                <w:sz w:val="20"/>
                <w:szCs w:val="20"/>
                <w:color w:val="auto"/>
              </w:rPr>
            </w:pPr>
            <w:r>
              <w:rPr>
                <w:rFonts w:ascii="Arial" w:cs="Arial" w:eastAsia="Arial" w:hAnsi="Arial"/>
                <w:sz w:val="13"/>
                <w:szCs w:val="13"/>
                <w:color w:val="auto"/>
              </w:rPr>
              <w:t>Preferred stock, par value $0.01 per share – 20,000 shares authorized; none issued and outstanding</w:t>
            </w:r>
          </w:p>
        </w:tc>
        <w:tc>
          <w:tcPr>
            <w:tcW w:w="14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Class A common stock, par value $0.01 per share – 250,000 shares authorized; 63,437 and 62,502</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shares issued and outstanding, respectively</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625</w:t>
            </w:r>
          </w:p>
        </w:tc>
        <w:tc>
          <w:tcPr>
            <w:tcW w:w="0" w:type="dxa"/>
            <w:vAlign w:val="bottom"/>
          </w:tcPr>
          <w:p>
            <w:pPr>
              <w:spacing w:after="0"/>
              <w:rPr>
                <w:sz w:val="1"/>
                <w:szCs w:val="1"/>
                <w:color w:val="auto"/>
              </w:rPr>
            </w:pPr>
          </w:p>
        </w:tc>
      </w:tr>
      <w:tr>
        <w:trPr>
          <w:trHeight w:val="163"/>
        </w:trPr>
        <w:tc>
          <w:tcPr>
            <w:tcW w:w="6540" w:type="dxa"/>
            <w:vAlign w:val="bottom"/>
          </w:tcPr>
          <w:p>
            <w:pPr>
              <w:ind w:left="100"/>
              <w:spacing w:after="0"/>
              <w:rPr>
                <w:sz w:val="20"/>
                <w:szCs w:val="20"/>
                <w:color w:val="auto"/>
              </w:rPr>
            </w:pPr>
            <w:r>
              <w:rPr>
                <w:rFonts w:ascii="Arial" w:cs="Arial" w:eastAsia="Arial" w:hAnsi="Arial"/>
                <w:sz w:val="13"/>
                <w:szCs w:val="13"/>
                <w:color w:val="auto"/>
              </w:rPr>
              <w:t>Class B common stock, par value $0.0001 per share – 75,000 shares authorized; 39,466 shares issued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40" w:type="dxa"/>
            <w:vAlign w:val="bottom"/>
          </w:tcPr>
          <w:p>
            <w:pPr>
              <w:ind w:left="100"/>
              <w:spacing w:after="0"/>
              <w:rPr>
                <w:sz w:val="20"/>
                <w:szCs w:val="20"/>
                <w:color w:val="auto"/>
              </w:rPr>
            </w:pPr>
            <w:r>
              <w:rPr>
                <w:rFonts w:ascii="Arial" w:cs="Arial" w:eastAsia="Arial" w:hAnsi="Arial"/>
                <w:sz w:val="13"/>
                <w:szCs w:val="13"/>
                <w:color w:val="auto"/>
              </w:rPr>
              <w:t>and outstanding</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Class C common stock, par value $0.0001 per share – 0.001 share authorized, issued and outstanding</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6540" w:type="dxa"/>
            <w:vAlign w:val="bottom"/>
          </w:tcPr>
          <w:p>
            <w:pPr>
              <w:ind w:left="100"/>
              <w:spacing w:after="0"/>
              <w:rPr>
                <w:sz w:val="20"/>
                <w:szCs w:val="20"/>
                <w:color w:val="auto"/>
              </w:rPr>
            </w:pPr>
            <w:r>
              <w:rPr>
                <w:rFonts w:ascii="Arial" w:cs="Arial" w:eastAsia="Arial" w:hAnsi="Arial"/>
                <w:sz w:val="13"/>
                <w:szCs w:val="13"/>
                <w:color w:val="auto"/>
              </w:rPr>
              <w:t>Additional paid-in capital</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216,944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193,692</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Retained earnings</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11,008</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132,241</w:t>
            </w:r>
          </w:p>
        </w:tc>
        <w:tc>
          <w:tcPr>
            <w:tcW w:w="0" w:type="dxa"/>
            <w:vAlign w:val="bottom"/>
          </w:tcPr>
          <w:p>
            <w:pPr>
              <w:spacing w:after="0"/>
              <w:rPr>
                <w:sz w:val="1"/>
                <w:szCs w:val="1"/>
                <w:color w:val="auto"/>
              </w:rPr>
            </w:pPr>
          </w:p>
        </w:tc>
      </w:tr>
      <w:tr>
        <w:trPr>
          <w:trHeight w:val="169"/>
        </w:trPr>
        <w:tc>
          <w:tcPr>
            <w:tcW w:w="6540" w:type="dxa"/>
            <w:vAlign w:val="bottom"/>
          </w:tcPr>
          <w:p>
            <w:pPr>
              <w:spacing w:after="0"/>
              <w:rPr>
                <w:sz w:val="20"/>
                <w:szCs w:val="20"/>
                <w:color w:val="auto"/>
              </w:rPr>
            </w:pPr>
            <w:r>
              <w:rPr>
                <w:rFonts w:ascii="Arial" w:cs="Arial" w:eastAsia="Arial" w:hAnsi="Arial"/>
                <w:sz w:val="13"/>
                <w:szCs w:val="13"/>
                <w:color w:val="auto"/>
              </w:rPr>
              <w:t>Total stockholders' equity attributable to Camping World Holdings, Inc.</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228,590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326,562</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143,209</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158,387</w:t>
            </w:r>
          </w:p>
        </w:tc>
        <w:tc>
          <w:tcPr>
            <w:tcW w:w="0" w:type="dxa"/>
            <w:vAlign w:val="bottom"/>
          </w:tcPr>
          <w:p>
            <w:pPr>
              <w:spacing w:after="0"/>
              <w:rPr>
                <w:sz w:val="1"/>
                <w:szCs w:val="1"/>
                <w:color w:val="auto"/>
              </w:rPr>
            </w:pPr>
          </w:p>
        </w:tc>
      </w:tr>
      <w:tr>
        <w:trPr>
          <w:trHeight w:val="169"/>
        </w:trPr>
        <w:tc>
          <w:tcPr>
            <w:tcW w:w="65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Total stockholders' equity</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371,799</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484,949</w:t>
            </w:r>
          </w:p>
        </w:tc>
        <w:tc>
          <w:tcPr>
            <w:tcW w:w="0" w:type="dxa"/>
            <w:vAlign w:val="bottom"/>
          </w:tcPr>
          <w:p>
            <w:pPr>
              <w:spacing w:after="0"/>
              <w:rPr>
                <w:sz w:val="1"/>
                <w:szCs w:val="1"/>
                <w:color w:val="auto"/>
              </w:rPr>
            </w:pPr>
          </w:p>
        </w:tc>
      </w:tr>
      <w:tr>
        <w:trPr>
          <w:trHeight w:val="169"/>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5,044,334</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4,863,277</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-128905</wp:posOffset>
            </wp:positionV>
            <wp:extent cx="14916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1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940" w:type="dxa"/>
            <w:vAlign w:val="bottom"/>
          </w:tcPr>
          <w:p>
            <w:pPr>
              <w:ind w:left="3060"/>
              <w:spacing w:after="0"/>
              <w:rPr>
                <w:sz w:val="20"/>
                <w:szCs w:val="20"/>
                <w:color w:val="auto"/>
              </w:rPr>
            </w:pPr>
            <w:r>
              <w:rPr>
                <w:rFonts w:ascii="Arial" w:cs="Arial" w:eastAsia="Arial" w:hAnsi="Arial"/>
                <w:sz w:val="14"/>
                <w:szCs w:val="14"/>
                <w:color w:val="auto"/>
              </w:rPr>
              <w:t>(In Thousands Except Per Share Amounts)</w:t>
            </w:r>
          </w:p>
        </w:tc>
        <w:tc>
          <w:tcPr>
            <w:tcW w:w="120" w:type="dxa"/>
            <w:vAlign w:val="bottom"/>
          </w:tcPr>
          <w:p>
            <w:pPr>
              <w:spacing w:after="0"/>
              <w:rPr>
                <w:sz w:val="16"/>
                <w:szCs w:val="16"/>
                <w:color w:val="auto"/>
              </w:rPr>
            </w:pPr>
          </w:p>
        </w:tc>
        <w:tc>
          <w:tcPr>
            <w:tcW w:w="2820" w:type="dxa"/>
            <w:vAlign w:val="bottom"/>
            <w:gridSpan w:val="7"/>
            <w:vMerge w:val="restart"/>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940" w:type="dxa"/>
            <w:vAlign w:val="bottom"/>
          </w:tcPr>
          <w:p>
            <w:pPr>
              <w:ind w:left="58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28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w:t>
            </w: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80"/>
              <w:spacing w:after="0"/>
              <w:rPr>
                <w:sz w:val="20"/>
                <w:szCs w:val="20"/>
                <w:color w:val="auto"/>
              </w:rPr>
            </w:pPr>
            <w:r>
              <w:rPr>
                <w:rFonts w:ascii="Arial" w:cs="Arial" w:eastAsia="Arial" w:hAnsi="Arial"/>
                <w:sz w:val="14"/>
                <w:szCs w:val="14"/>
                <w:color w:val="auto"/>
              </w:rPr>
              <w:t>Good Sam Services and Plans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199,751</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194,575</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193,827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RV and Outdoor Retail</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2,761,149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2,825,640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2,576,278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1,970,224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1,613,849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1,979,632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756,984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820,111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870,038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Finance and insurance, net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639,544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599,718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562,256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Good Sam Club</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41,497</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46,081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Subtotal</w:t>
            </w: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6,169,398</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5,905,399</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6,032,720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4"/>
                <w:szCs w:val="14"/>
                <w:color w:val="auto"/>
              </w:rPr>
              <w:t>Total revenue</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6,369,149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6,099,974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6,226,547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Costs applicable to revenue (exclusive of depreciation and amortization shown separately</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below):</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80"/>
              <w:spacing w:after="0"/>
              <w:rPr>
                <w:sz w:val="20"/>
                <w:szCs w:val="20"/>
                <w:color w:val="auto"/>
              </w:rPr>
            </w:pPr>
            <w:r>
              <w:rPr>
                <w:rFonts w:ascii="Arial" w:cs="Arial" w:eastAsia="Arial" w:hAnsi="Arial"/>
                <w:sz w:val="14"/>
                <w:szCs w:val="14"/>
                <w:color w:val="auto"/>
              </w:rPr>
              <w:t>Good Sam Services and Plans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84,201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70,726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59,391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RV and Outdoor Retail</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2,396,241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2,418,169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2,175,819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1,605,232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1,317,152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1,574,238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401,598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463,640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533,625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Good Sam Club</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4,725</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4,791</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Subtotal</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4,407,796</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4,203,752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4,288,507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Total costs applicable to revenue</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4,491,997</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4,274,478</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4,347,898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1,603,222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1,573,117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1,538,988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8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95,335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81,190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68,643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Long-lived asset impairment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80"/>
              <w:spacing w:after="0"/>
              <w:rPr>
                <w:sz w:val="20"/>
                <w:szCs w:val="20"/>
                <w:color w:val="auto"/>
              </w:rPr>
            </w:pPr>
            <w:r>
              <w:rPr>
                <w:rFonts w:ascii="Arial" w:cs="Arial" w:eastAsia="Arial" w:hAnsi="Arial"/>
                <w:sz w:val="14"/>
                <w:szCs w:val="14"/>
                <w:color w:val="auto"/>
              </w:rPr>
              <w:t>Gain on lease termination and/or remeasurement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(1,996)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(2,297)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(Gain) loss on sale or disposal of assets</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9,855</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1,696,948</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1,676,926</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1,611,575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Income from operations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180,204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148,570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4"/>
                <w:szCs w:val="14"/>
                <w:color w:val="auto"/>
              </w:rPr>
              <w:t>Other expense: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Floor plan interest expense</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(76,786)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(95,121)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80"/>
              <w:spacing w:after="0"/>
              <w:rPr>
                <w:sz w:val="20"/>
                <w:szCs w:val="20"/>
                <w:color w:val="auto"/>
              </w:rPr>
            </w:pPr>
            <w:r>
              <w:rPr>
                <w:rFonts w:ascii="Arial" w:cs="Arial" w:eastAsia="Arial" w:hAnsi="Arial"/>
                <w:sz w:val="14"/>
                <w:szCs w:val="14"/>
                <w:color w:val="auto"/>
              </w:rPr>
              <w:t>Other interest expense, net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(121,836)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(140,444)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(135,270)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Tax Receivable Agreement liability adjustment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148,956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Other expense, net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(10,379)</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(3,262)</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Total other expense</w:t>
            </w: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(60,045)</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(238,827)</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(217,672)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120,159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(90,257)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49,402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 benefit</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(225,797)</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11,377</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4"/>
                <w:szCs w:val="14"/>
                <w:color w:val="auto"/>
              </w:rPr>
              <w:t>Net (loss) income</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(105,638)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(78,880)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52,929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Less: net (loss) income attributable to non-controlling interests</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15,839</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40,243</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 income attributable to Camping World Holdings, Inc.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(89,799)</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(38,637)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33,372</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5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4"/>
                <w:szCs w:val="14"/>
                <w:color w:val="auto"/>
              </w:rPr>
              <w:t>(Loss) earnings per share of Class A common stock:</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80"/>
              <w:spacing w:after="0"/>
              <w:rPr>
                <w:sz w:val="20"/>
                <w:szCs w:val="20"/>
                <w:color w:val="auto"/>
              </w:rPr>
            </w:pPr>
            <w:r>
              <w:rPr>
                <w:rFonts w:ascii="Arial" w:cs="Arial" w:eastAsia="Arial" w:hAnsi="Arial"/>
                <w:sz w:val="14"/>
                <w:szCs w:val="14"/>
                <w:color w:val="auto"/>
              </w:rPr>
              <w:t>Diluted</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(1.43)</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(0.80)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of Class A common stock outstanding:</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80"/>
              <w:spacing w:after="0"/>
              <w:rPr>
                <w:sz w:val="20"/>
                <w:szCs w:val="20"/>
                <w:color w:val="auto"/>
              </w:rPr>
            </w:pPr>
            <w:r>
              <w:rPr>
                <w:rFonts w:ascii="Arial" w:cs="Arial" w:eastAsia="Arial" w:hAnsi="Arial"/>
                <w:sz w:val="14"/>
                <w:szCs w:val="14"/>
                <w:color w:val="auto"/>
              </w:rPr>
              <w:t>Basic</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62,724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48,005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44,626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62,724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48,005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84,972</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8"/>
              </w:rPr>
              <w:t>Additional</w:t>
            </w: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6"/>
              </w:rPr>
              <w:t>Non-</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40" w:type="dxa"/>
            <w:vAlign w:val="bottom"/>
            <w:gridSpan w:val="18"/>
          </w:tcPr>
          <w:p>
            <w:pPr>
              <w:spacing w:after="0"/>
              <w:rPr>
                <w:sz w:val="20"/>
                <w:szCs w:val="20"/>
                <w:color w:val="auto"/>
              </w:rPr>
            </w:pPr>
            <w:r>
              <w:rPr>
                <w:rFonts w:ascii="Arial" w:cs="Arial" w:eastAsia="Arial" w:hAnsi="Arial"/>
                <w:sz w:val="10"/>
                <w:szCs w:val="10"/>
                <w:b w:val="1"/>
                <w:bCs w:val="1"/>
                <w:color w:val="auto"/>
                <w:w w:val="99"/>
              </w:rPr>
              <w:t>Class A Common Stock Class B Common Stock Class C Common Stock</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Paid-In</w:t>
            </w:r>
          </w:p>
        </w:tc>
        <w:tc>
          <w:tcPr>
            <w:tcW w:w="40" w:type="dxa"/>
            <w:vAlign w:val="bottom"/>
          </w:tcPr>
          <w:p>
            <w:pPr>
              <w:spacing w:after="0"/>
              <w:rPr>
                <w:sz w:val="11"/>
                <w:szCs w:val="11"/>
                <w:color w:val="auto"/>
              </w:rPr>
            </w:pPr>
          </w:p>
        </w:tc>
        <w:tc>
          <w:tcPr>
            <w:tcW w:w="1140" w:type="dxa"/>
            <w:vAlign w:val="bottom"/>
            <w:gridSpan w:val="6"/>
          </w:tcPr>
          <w:p>
            <w:pPr>
              <w:jc w:val="center"/>
              <w:ind w:right="60"/>
              <w:spacing w:after="0"/>
              <w:rPr>
                <w:sz w:val="20"/>
                <w:szCs w:val="20"/>
                <w:color w:val="auto"/>
              </w:rPr>
            </w:pPr>
            <w:r>
              <w:rPr>
                <w:rFonts w:ascii="Arial" w:cs="Arial" w:eastAsia="Arial" w:hAnsi="Arial"/>
                <w:sz w:val="10"/>
                <w:szCs w:val="10"/>
                <w:b w:val="1"/>
                <w:bCs w:val="1"/>
                <w:color w:val="auto"/>
                <w:w w:val="99"/>
              </w:rPr>
              <w:t>Treasury Stock</w:t>
            </w:r>
          </w:p>
        </w:tc>
        <w:tc>
          <w:tcPr>
            <w:tcW w:w="600" w:type="dxa"/>
            <w:vAlign w:val="bottom"/>
            <w:gridSpan w:val="3"/>
          </w:tcPr>
          <w:p>
            <w:pPr>
              <w:ind w:left="80"/>
              <w:spacing w:after="0"/>
              <w:rPr>
                <w:sz w:val="20"/>
                <w:szCs w:val="20"/>
                <w:color w:val="auto"/>
              </w:rPr>
            </w:pPr>
            <w:r>
              <w:rPr>
                <w:rFonts w:ascii="Arial" w:cs="Arial" w:eastAsia="Arial" w:hAnsi="Arial"/>
                <w:sz w:val="10"/>
                <w:szCs w:val="10"/>
                <w:b w:val="1"/>
                <w:bCs w:val="1"/>
                <w:color w:val="auto"/>
              </w:rPr>
              <w:t>Retained</w:t>
            </w:r>
          </w:p>
        </w:tc>
        <w:tc>
          <w:tcPr>
            <w:tcW w:w="40" w:type="dxa"/>
            <w:vAlign w:val="bottom"/>
          </w:tcPr>
          <w:p>
            <w:pPr>
              <w:spacing w:after="0"/>
              <w:rPr>
                <w:sz w:val="11"/>
                <w:szCs w:val="11"/>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97"/>
              </w:rPr>
              <w:t>Controlling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gridSpan w:val="2"/>
            <w:vMerge w:val="restart"/>
          </w:tcPr>
          <w:p>
            <w:pPr>
              <w:ind w:left="20"/>
              <w:spacing w:after="0"/>
              <w:rPr>
                <w:sz w:val="20"/>
                <w:szCs w:val="20"/>
                <w:color w:val="auto"/>
              </w:rPr>
            </w:pPr>
            <w:r>
              <w:rPr>
                <w:rFonts w:ascii="Arial" w:cs="Arial" w:eastAsia="Arial" w:hAnsi="Arial"/>
                <w:sz w:val="10"/>
                <w:szCs w:val="10"/>
                <w:color w:val="auto"/>
              </w:rPr>
              <w:t>​</w:t>
            </w:r>
          </w:p>
        </w:tc>
        <w:tc>
          <w:tcPr>
            <w:tcW w:w="52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rPr>
              <w:t>Capital</w:t>
            </w:r>
          </w:p>
        </w:tc>
        <w:tc>
          <w:tcPr>
            <w:tcW w:w="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rPr>
              <w:t>Earnings</w:t>
            </w:r>
          </w:p>
        </w:tc>
        <w:tc>
          <w:tcPr>
            <w:tcW w:w="140" w:type="dxa"/>
            <w:vAlign w:val="bottom"/>
            <w:gridSpan w:val="2"/>
            <w:vMerge w:val="restart"/>
          </w:tcPr>
          <w:p>
            <w:pPr>
              <w:ind w:left="40"/>
              <w:spacing w:after="0"/>
              <w:rPr>
                <w:sz w:val="20"/>
                <w:szCs w:val="20"/>
                <w:color w:val="auto"/>
              </w:rPr>
            </w:pPr>
            <w:r>
              <w:rPr>
                <w:rFonts w:ascii="Arial" w:cs="Arial" w:eastAsia="Arial" w:hAnsi="Arial"/>
                <w:sz w:val="10"/>
                <w:szCs w:val="10"/>
                <w:color w:val="auto"/>
              </w:rPr>
              <w:t>​</w:t>
            </w:r>
          </w:p>
        </w:tc>
        <w:tc>
          <w:tcPr>
            <w:tcW w:w="52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9"/>
              </w:rPr>
              <w:t>Interest</w:t>
            </w:r>
          </w:p>
        </w:tc>
        <w:tc>
          <w:tcPr>
            <w:tcW w:w="140" w:type="dxa"/>
            <w:vAlign w:val="bottom"/>
            <w:gridSpan w:val="2"/>
            <w:vMerge w:val="restart"/>
          </w:tcPr>
          <w:p>
            <w:pPr>
              <w:ind w:left="20"/>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jc w:val="right"/>
              <w:ind w:right="13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line="20" w:lineRule="exact"/>
              <w:rPr>
                <w:sz w:val="1"/>
                <w:szCs w:val="1"/>
                <w:color w:val="auto"/>
              </w:rPr>
            </w:pPr>
          </w:p>
        </w:tc>
      </w:tr>
      <w:tr>
        <w:trPr>
          <w:trHeight w:val="115"/>
        </w:trPr>
        <w:tc>
          <w:tcPr>
            <w:tcW w:w="2220" w:type="dxa"/>
            <w:vAlign w:val="bottom"/>
          </w:tcPr>
          <w:p>
            <w:pPr>
              <w:spacing w:after="0"/>
              <w:rPr>
                <w:sz w:val="10"/>
                <w:szCs w:val="10"/>
                <w:color w:val="auto"/>
              </w:rPr>
            </w:pPr>
          </w:p>
        </w:tc>
        <w:tc>
          <w:tcPr>
            <w:tcW w:w="540" w:type="dxa"/>
            <w:vAlign w:val="bottom"/>
            <w:gridSpan w:val="3"/>
          </w:tcPr>
          <w:p>
            <w:pPr>
              <w:ind w:left="40"/>
              <w:spacing w:after="0"/>
              <w:rPr>
                <w:sz w:val="20"/>
                <w:szCs w:val="20"/>
                <w:color w:val="auto"/>
              </w:rPr>
            </w:pPr>
            <w:r>
              <w:rPr>
                <w:rFonts w:ascii="Arial" w:cs="Arial" w:eastAsia="Arial" w:hAnsi="Arial"/>
                <w:sz w:val="10"/>
                <w:szCs w:val="10"/>
                <w:color w:val="auto"/>
              </w:rPr>
              <w:t xml:space="preserve">​ </w:t>
            </w:r>
            <w:r>
              <w:rPr>
                <w:rFonts w:ascii="Arial" w:cs="Arial" w:eastAsia="Arial" w:hAnsi="Arial"/>
                <w:sz w:val="10"/>
                <w:szCs w:val="10"/>
                <w:b w:val="1"/>
                <w:bCs w:val="1"/>
                <w:color w:val="auto"/>
              </w:rPr>
              <w:t>Shares</w:t>
            </w:r>
          </w:p>
        </w:tc>
        <w:tc>
          <w:tcPr>
            <w:tcW w:w="10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1"/>
              <w:spacing w:after="0"/>
              <w:rPr>
                <w:sz w:val="20"/>
                <w:szCs w:val="20"/>
                <w:color w:val="auto"/>
              </w:rPr>
            </w:pPr>
            <w:r>
              <w:rPr>
                <w:rFonts w:ascii="Arial" w:cs="Arial" w:eastAsia="Arial" w:hAnsi="Arial"/>
                <w:sz w:val="10"/>
                <w:szCs w:val="10"/>
                <w:b w:val="1"/>
                <w:bCs w:val="1"/>
                <w:color w:val="auto"/>
                <w:w w:val="96"/>
              </w:rPr>
              <w:t>Amounts</w:t>
            </w:r>
          </w:p>
        </w:tc>
        <w:tc>
          <w:tcPr>
            <w:tcW w:w="40" w:type="dxa"/>
            <w:vAlign w:val="bottom"/>
            <w:vMerge w:val="continue"/>
          </w:tcPr>
          <w:p>
            <w:pPr>
              <w:spacing w:after="0"/>
              <w:rPr>
                <w:sz w:val="10"/>
                <w:szCs w:val="10"/>
                <w:color w:val="auto"/>
              </w:rPr>
            </w:pPr>
          </w:p>
        </w:tc>
        <w:tc>
          <w:tcPr>
            <w:tcW w:w="520" w:type="dxa"/>
            <w:vAlign w:val="bottom"/>
            <w:gridSpan w:val="3"/>
          </w:tcPr>
          <w:p>
            <w:pPr>
              <w:ind w:left="20"/>
              <w:spacing w:after="0"/>
              <w:rPr>
                <w:sz w:val="20"/>
                <w:szCs w:val="20"/>
                <w:color w:val="auto"/>
              </w:rPr>
            </w:pPr>
            <w:r>
              <w:rPr>
                <w:rFonts w:ascii="Arial" w:cs="Arial" w:eastAsia="Arial" w:hAnsi="Arial"/>
                <w:sz w:val="10"/>
                <w:szCs w:val="10"/>
                <w:color w:val="auto"/>
              </w:rPr>
              <w:t xml:space="preserve">​ </w:t>
            </w:r>
            <w:r>
              <w:rPr>
                <w:rFonts w:ascii="Arial" w:cs="Arial" w:eastAsia="Arial" w:hAnsi="Arial"/>
                <w:sz w:val="10"/>
                <w:szCs w:val="10"/>
                <w:b w:val="1"/>
                <w:bCs w:val="1"/>
                <w:color w:val="auto"/>
              </w:rPr>
              <w:t>Shares</w:t>
            </w:r>
          </w:p>
        </w:tc>
        <w:tc>
          <w:tcPr>
            <w:tcW w:w="10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1"/>
              <w:spacing w:after="0"/>
              <w:rPr>
                <w:sz w:val="20"/>
                <w:szCs w:val="20"/>
                <w:color w:val="auto"/>
              </w:rPr>
            </w:pPr>
            <w:r>
              <w:rPr>
                <w:rFonts w:ascii="Arial" w:cs="Arial" w:eastAsia="Arial" w:hAnsi="Arial"/>
                <w:sz w:val="10"/>
                <w:szCs w:val="10"/>
                <w:b w:val="1"/>
                <w:bCs w:val="1"/>
                <w:color w:val="auto"/>
                <w:w w:val="96"/>
              </w:rPr>
              <w:t>Amounts</w:t>
            </w:r>
          </w:p>
        </w:tc>
        <w:tc>
          <w:tcPr>
            <w:tcW w:w="540" w:type="dxa"/>
            <w:vAlign w:val="bottom"/>
            <w:gridSpan w:val="2"/>
          </w:tcPr>
          <w:p>
            <w:pPr>
              <w:ind w:left="60"/>
              <w:spacing w:after="0"/>
              <w:rPr>
                <w:sz w:val="20"/>
                <w:szCs w:val="20"/>
                <w:color w:val="auto"/>
              </w:rPr>
            </w:pPr>
            <w:r>
              <w:rPr>
                <w:rFonts w:ascii="Arial" w:cs="Arial" w:eastAsia="Arial" w:hAnsi="Arial"/>
                <w:sz w:val="10"/>
                <w:szCs w:val="10"/>
                <w:color w:val="auto"/>
              </w:rPr>
              <w:t xml:space="preserve">​ </w:t>
            </w:r>
            <w:r>
              <w:rPr>
                <w:rFonts w:ascii="Arial" w:cs="Arial" w:eastAsia="Arial" w:hAnsi="Arial"/>
                <w:sz w:val="10"/>
                <w:szCs w:val="10"/>
                <w:b w:val="1"/>
                <w:bCs w:val="1"/>
                <w:color w:val="auto"/>
              </w:rPr>
              <w:t>Shares</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500" w:type="dxa"/>
            <w:vAlign w:val="bottom"/>
          </w:tcPr>
          <w:p>
            <w:pPr>
              <w:ind w:left="20"/>
              <w:spacing w:after="0"/>
              <w:rPr>
                <w:sz w:val="20"/>
                <w:szCs w:val="20"/>
                <w:color w:val="auto"/>
              </w:rPr>
            </w:pPr>
            <w:r>
              <w:rPr>
                <w:rFonts w:ascii="Arial" w:cs="Arial" w:eastAsia="Arial" w:hAnsi="Arial"/>
                <w:sz w:val="10"/>
                <w:szCs w:val="10"/>
                <w:b w:val="1"/>
                <w:bCs w:val="1"/>
                <w:color w:val="auto"/>
              </w:rPr>
              <w:t>Amounts</w:t>
            </w:r>
          </w:p>
        </w:tc>
        <w:tc>
          <w:tcPr>
            <w:tcW w:w="40" w:type="dxa"/>
            <w:vAlign w:val="bottom"/>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0"/>
                <w:szCs w:val="10"/>
                <w:color w:val="auto"/>
              </w:rPr>
              <w:t xml:space="preserve">​ </w:t>
            </w:r>
            <w:r>
              <w:rPr>
                <w:rFonts w:ascii="Arial" w:cs="Arial" w:eastAsia="Arial" w:hAnsi="Arial"/>
                <w:sz w:val="10"/>
                <w:szCs w:val="10"/>
                <w:b w:val="1"/>
                <w:bCs w:val="1"/>
                <w:color w:val="auto"/>
              </w:rPr>
              <w:t>Shares</w:t>
            </w:r>
          </w:p>
        </w:tc>
        <w:tc>
          <w:tcPr>
            <w:tcW w:w="60" w:type="dxa"/>
            <w:vAlign w:val="bottom"/>
          </w:tcPr>
          <w:p>
            <w:pPr>
              <w:spacing w:after="0"/>
              <w:rPr>
                <w:sz w:val="10"/>
                <w:szCs w:val="10"/>
                <w:color w:val="auto"/>
              </w:rPr>
            </w:pPr>
          </w:p>
        </w:tc>
        <w:tc>
          <w:tcPr>
            <w:tcW w:w="520" w:type="dxa"/>
            <w:vAlign w:val="bottom"/>
            <w:gridSpan w:val="2"/>
          </w:tcPr>
          <w:p>
            <w:pPr>
              <w:jc w:val="right"/>
              <w:ind w:right="31"/>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vMerge w:val="continue"/>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2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0"/>
                <w:szCs w:val="10"/>
                <w:color w:val="auto"/>
              </w:rPr>
              <w:t>Balance at January 1, 2023</w:t>
            </w:r>
          </w:p>
        </w:tc>
        <w:tc>
          <w:tcPr>
            <w:tcW w:w="6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47,571</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476</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41,466</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0"/>
                <w:szCs w:val="10"/>
                <w:color w:val="auto"/>
                <w:w w:val="99"/>
              </w:rPr>
              <w:t>—</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146,920</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(5,130)</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(179,732)</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229,086</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99,856</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296,610</w:t>
            </w:r>
          </w:p>
        </w:tc>
        <w:tc>
          <w:tcPr>
            <w:tcW w:w="0" w:type="dxa"/>
            <w:vAlign w:val="bottom"/>
          </w:tcPr>
          <w:p>
            <w:pPr>
              <w:spacing w:after="0"/>
              <w:rPr>
                <w:sz w:val="1"/>
                <w:szCs w:val="1"/>
                <w:color w:val="auto"/>
              </w:rPr>
            </w:pPr>
          </w:p>
        </w:tc>
      </w:tr>
      <w:tr>
        <w:trPr>
          <w:trHeight w:val="121"/>
        </w:trPr>
        <w:tc>
          <w:tcPr>
            <w:tcW w:w="2220" w:type="dxa"/>
            <w:vAlign w:val="bottom"/>
          </w:tcPr>
          <w:p>
            <w:pPr>
              <w:ind w:left="100"/>
              <w:spacing w:after="0"/>
              <w:rPr>
                <w:sz w:val="20"/>
                <w:szCs w:val="20"/>
                <w:color w:val="auto"/>
              </w:rPr>
            </w:pPr>
            <w:r>
              <w:rPr>
                <w:rFonts w:ascii="Arial" w:cs="Arial" w:eastAsia="Arial" w:hAnsi="Arial"/>
                <w:sz w:val="10"/>
                <w:szCs w:val="10"/>
                <w:color w:val="auto"/>
              </w:rPr>
              <w:t>Stock-based compensation</w:t>
            </w:r>
          </w:p>
        </w:tc>
        <w:tc>
          <w:tcPr>
            <w:tcW w:w="6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9,458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11,391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20,849</w:t>
            </w:r>
          </w:p>
        </w:tc>
        <w:tc>
          <w:tcPr>
            <w:tcW w:w="0" w:type="dxa"/>
            <w:vAlign w:val="bottom"/>
          </w:tcPr>
          <w:p>
            <w:pPr>
              <w:spacing w:after="0"/>
              <w:rPr>
                <w:sz w:val="1"/>
                <w:szCs w:val="1"/>
                <w:color w:val="auto"/>
              </w:rPr>
            </w:pPr>
          </w:p>
        </w:tc>
      </w:tr>
      <w:tr>
        <w:trPr>
          <w:trHeight w:val="122"/>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Exercise of stock options</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(238)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627</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389</w:t>
            </w:r>
          </w:p>
        </w:tc>
        <w:tc>
          <w:tcPr>
            <w:tcW w:w="0" w:type="dxa"/>
            <w:vAlign w:val="bottom"/>
          </w:tcPr>
          <w:p>
            <w:pPr>
              <w:spacing w:after="0"/>
              <w:rPr>
                <w:sz w:val="1"/>
                <w:szCs w:val="1"/>
                <w:color w:val="auto"/>
              </w:rPr>
            </w:pPr>
          </w:p>
        </w:tc>
      </w:tr>
      <w:tr>
        <w:trPr>
          <w:trHeight w:val="130"/>
        </w:trPr>
        <w:tc>
          <w:tcPr>
            <w:tcW w:w="2220" w:type="dxa"/>
            <w:vAlign w:val="bottom"/>
          </w:tcPr>
          <w:p>
            <w:pPr>
              <w:ind w:left="100"/>
              <w:spacing w:after="0"/>
              <w:rPr>
                <w:sz w:val="20"/>
                <w:szCs w:val="20"/>
                <w:color w:val="auto"/>
              </w:rPr>
            </w:pPr>
            <w:r>
              <w:rPr>
                <w:rFonts w:ascii="Arial" w:cs="Arial" w:eastAsia="Arial" w:hAnsi="Arial"/>
                <w:sz w:val="10"/>
                <w:szCs w:val="10"/>
                <w:color w:val="auto"/>
              </w:rPr>
              <w:t>Non-controlling interest adjustment for capital</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220" w:type="dxa"/>
            <w:vAlign w:val="bottom"/>
          </w:tcPr>
          <w:p>
            <w:pPr>
              <w:ind w:left="100"/>
              <w:spacing w:after="0"/>
              <w:rPr>
                <w:sz w:val="20"/>
                <w:szCs w:val="20"/>
                <w:color w:val="auto"/>
              </w:rPr>
            </w:pPr>
            <w:r>
              <w:rPr>
                <w:rFonts w:ascii="Arial" w:cs="Arial" w:eastAsia="Arial" w:hAnsi="Arial"/>
                <w:sz w:val="10"/>
                <w:szCs w:val="10"/>
                <w:color w:val="auto"/>
              </w:rPr>
              <w:t>contribution of proceeds from the exercise of</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220" w:type="dxa"/>
            <w:vAlign w:val="bottom"/>
          </w:tcPr>
          <w:p>
            <w:pPr>
              <w:ind w:left="100"/>
              <w:spacing w:after="0"/>
              <w:rPr>
                <w:sz w:val="20"/>
                <w:szCs w:val="20"/>
                <w:color w:val="auto"/>
              </w:rPr>
            </w:pPr>
            <w:r>
              <w:rPr>
                <w:rFonts w:ascii="Arial" w:cs="Arial" w:eastAsia="Arial" w:hAnsi="Arial"/>
                <w:sz w:val="10"/>
                <w:szCs w:val="10"/>
                <w:color w:val="auto"/>
              </w:rPr>
              <w:t>stock options</w:t>
            </w:r>
          </w:p>
        </w:tc>
        <w:tc>
          <w:tcPr>
            <w:tcW w:w="6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0"/>
                <w:szCs w:val="10"/>
                <w:color w:val="auto"/>
              </w:rPr>
              <w:t>(485)</w:t>
            </w:r>
          </w:p>
        </w:tc>
        <w:tc>
          <w:tcPr>
            <w:tcW w:w="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161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(324)</w:t>
            </w:r>
          </w:p>
        </w:tc>
        <w:tc>
          <w:tcPr>
            <w:tcW w:w="0" w:type="dxa"/>
            <w:vAlign w:val="bottom"/>
          </w:tcPr>
          <w:p>
            <w:pPr>
              <w:spacing w:after="0"/>
              <w:rPr>
                <w:sz w:val="1"/>
                <w:szCs w:val="1"/>
                <w:color w:val="auto"/>
              </w:rPr>
            </w:pPr>
          </w:p>
        </w:tc>
      </w:tr>
      <w:tr>
        <w:trPr>
          <w:trHeight w:val="122"/>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Vesting of restricted stock units</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(25,080)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844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29,542</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(4,024)</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438</w:t>
            </w:r>
          </w:p>
        </w:tc>
        <w:tc>
          <w:tcPr>
            <w:tcW w:w="0" w:type="dxa"/>
            <w:vAlign w:val="bottom"/>
          </w:tcPr>
          <w:p>
            <w:pPr>
              <w:spacing w:after="0"/>
              <w:rPr>
                <w:sz w:val="1"/>
                <w:szCs w:val="1"/>
                <w:color w:val="auto"/>
              </w:rPr>
            </w:pPr>
          </w:p>
        </w:tc>
      </w:tr>
      <w:tr>
        <w:trPr>
          <w:trHeight w:val="130"/>
        </w:trPr>
        <w:tc>
          <w:tcPr>
            <w:tcW w:w="2220" w:type="dxa"/>
            <w:vAlign w:val="bottom"/>
          </w:tcPr>
          <w:p>
            <w:pPr>
              <w:ind w:left="100"/>
              <w:spacing w:after="0"/>
              <w:rPr>
                <w:sz w:val="20"/>
                <w:szCs w:val="20"/>
                <w:color w:val="auto"/>
              </w:rPr>
            </w:pPr>
            <w:r>
              <w:rPr>
                <w:rFonts w:ascii="Arial" w:cs="Arial" w:eastAsia="Arial" w:hAnsi="Arial"/>
                <w:sz w:val="10"/>
                <w:szCs w:val="10"/>
                <w:color w:val="auto"/>
              </w:rPr>
              <w:t>Repurchases of Class A common stock for</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20" w:type="dxa"/>
            <w:vAlign w:val="bottom"/>
          </w:tcPr>
          <w:p>
            <w:pPr>
              <w:ind w:left="100"/>
              <w:spacing w:after="0"/>
              <w:rPr>
                <w:sz w:val="20"/>
                <w:szCs w:val="20"/>
                <w:color w:val="auto"/>
              </w:rPr>
            </w:pPr>
            <w:r>
              <w:rPr>
                <w:rFonts w:ascii="Arial" w:cs="Arial" w:eastAsia="Arial" w:hAnsi="Arial"/>
                <w:sz w:val="10"/>
                <w:szCs w:val="10"/>
                <w:color w:val="auto"/>
              </w:rPr>
              <w:t>withholding taxes on vested RSUs</w:t>
            </w:r>
          </w:p>
        </w:tc>
        <w:tc>
          <w:tcPr>
            <w:tcW w:w="6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60" w:type="dxa"/>
            <w:vAlign w:val="bottom"/>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3,016</w:t>
            </w:r>
          </w:p>
        </w:tc>
        <w:tc>
          <w:tcPr>
            <w:tcW w:w="20" w:type="dxa"/>
            <w:vAlign w:val="bottom"/>
          </w:tcPr>
          <w:p>
            <w:pPr>
              <w:spacing w:after="0"/>
              <w:rPr>
                <w:sz w:val="11"/>
                <w:szCs w:val="11"/>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0"/>
                <w:szCs w:val="10"/>
                <w:color w:val="auto"/>
              </w:rPr>
              <w:t>(283)</w:t>
            </w:r>
          </w:p>
        </w:tc>
        <w:tc>
          <w:tcPr>
            <w:tcW w:w="60" w:type="dxa"/>
            <w:vAlign w:val="bottom"/>
          </w:tcPr>
          <w:p>
            <w:pPr>
              <w:spacing w:after="0"/>
              <w:rPr>
                <w:sz w:val="11"/>
                <w:szCs w:val="11"/>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0"/>
                <w:szCs w:val="10"/>
                <w:color w:val="auto"/>
              </w:rPr>
              <w:t>(9,877)</w:t>
            </w:r>
          </w:p>
        </w:tc>
        <w:tc>
          <w:tcPr>
            <w:tcW w:w="14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(6,861)</w:t>
            </w:r>
          </w:p>
        </w:tc>
        <w:tc>
          <w:tcPr>
            <w:tcW w:w="0" w:type="dxa"/>
            <w:vAlign w:val="bottom"/>
          </w:tcPr>
          <w:p>
            <w:pPr>
              <w:spacing w:after="0"/>
              <w:rPr>
                <w:sz w:val="1"/>
                <w:szCs w:val="1"/>
                <w:color w:val="auto"/>
              </w:rPr>
            </w:pPr>
          </w:p>
        </w:tc>
      </w:tr>
      <w:tr>
        <w:trPr>
          <w:trHeight w:val="130"/>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Redemption of LLC common units for Class A</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common stock</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2,000</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(2,000)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1,169</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(4,739)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(3,550)</w:t>
            </w:r>
          </w:p>
        </w:tc>
        <w:tc>
          <w:tcPr>
            <w:tcW w:w="0" w:type="dxa"/>
            <w:vAlign w:val="bottom"/>
          </w:tcPr>
          <w:p>
            <w:pPr>
              <w:spacing w:after="0"/>
              <w:rPr>
                <w:sz w:val="1"/>
                <w:szCs w:val="1"/>
                <w:color w:val="auto"/>
              </w:rPr>
            </w:pPr>
          </w:p>
        </w:tc>
      </w:tr>
      <w:tr>
        <w:trPr>
          <w:trHeight w:val="122"/>
        </w:trPr>
        <w:tc>
          <w:tcPr>
            <w:tcW w:w="2220" w:type="dxa"/>
            <w:vAlign w:val="bottom"/>
          </w:tcPr>
          <w:p>
            <w:pPr>
              <w:ind w:left="100"/>
              <w:spacing w:after="0"/>
              <w:rPr>
                <w:sz w:val="20"/>
                <w:szCs w:val="20"/>
                <w:color w:val="auto"/>
              </w:rPr>
            </w:pPr>
            <w:r>
              <w:rPr>
                <w:rFonts w:ascii="Arial" w:cs="Arial" w:eastAsia="Arial" w:hAnsi="Arial"/>
                <w:sz w:val="10"/>
                <w:szCs w:val="10"/>
                <w:color w:val="auto"/>
              </w:rPr>
              <w:t>Distributions to holders of LLC common units</w:t>
            </w:r>
          </w:p>
        </w:tc>
        <w:tc>
          <w:tcPr>
            <w:tcW w:w="6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0"/>
                <w:szCs w:val="10"/>
                <w:color w:val="auto"/>
              </w:rPr>
              <w:t>(31,510)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(31,510)</w:t>
            </w:r>
          </w:p>
        </w:tc>
        <w:tc>
          <w:tcPr>
            <w:tcW w:w="0" w:type="dxa"/>
            <w:vAlign w:val="bottom"/>
          </w:tcPr>
          <w:p>
            <w:pPr>
              <w:spacing w:after="0"/>
              <w:rPr>
                <w:sz w:val="1"/>
                <w:szCs w:val="1"/>
                <w:color w:val="auto"/>
              </w:rPr>
            </w:pPr>
          </w:p>
        </w:tc>
      </w:tr>
      <w:tr>
        <w:trPr>
          <w:trHeight w:val="122"/>
        </w:trPr>
        <w:tc>
          <w:tcPr>
            <w:tcW w:w="2220" w:type="dxa"/>
            <w:vAlign w:val="bottom"/>
            <w:shd w:val="clear" w:color="auto" w:fill="CCEEFF"/>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(66,831)</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(66,831)</w:t>
            </w:r>
          </w:p>
        </w:tc>
        <w:tc>
          <w:tcPr>
            <w:tcW w:w="0" w:type="dxa"/>
            <w:vAlign w:val="bottom"/>
          </w:tcPr>
          <w:p>
            <w:pPr>
              <w:spacing w:after="0"/>
              <w:rPr>
                <w:sz w:val="1"/>
                <w:szCs w:val="1"/>
                <w:color w:val="auto"/>
              </w:rPr>
            </w:pPr>
          </w:p>
        </w:tc>
      </w:tr>
      <w:tr>
        <w:trPr>
          <w:trHeight w:val="130"/>
        </w:trPr>
        <w:tc>
          <w:tcPr>
            <w:tcW w:w="2220" w:type="dxa"/>
            <w:vAlign w:val="bottom"/>
          </w:tcPr>
          <w:p>
            <w:pPr>
              <w:ind w:left="100"/>
              <w:spacing w:after="0"/>
              <w:rPr>
                <w:sz w:val="20"/>
                <w:szCs w:val="20"/>
                <w:color w:val="auto"/>
              </w:rPr>
            </w:pPr>
            <w:r>
              <w:rPr>
                <w:rFonts w:ascii="Arial" w:cs="Arial" w:eastAsia="Arial" w:hAnsi="Arial"/>
                <w:sz w:val="10"/>
                <w:szCs w:val="10"/>
                <w:color w:val="auto"/>
              </w:rPr>
              <w:t>Establishment of liabilities under the Tax</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220" w:type="dxa"/>
            <w:vAlign w:val="bottom"/>
          </w:tcPr>
          <w:p>
            <w:pPr>
              <w:ind w:left="100"/>
              <w:spacing w:after="0"/>
              <w:rPr>
                <w:sz w:val="20"/>
                <w:szCs w:val="20"/>
                <w:color w:val="auto"/>
              </w:rPr>
            </w:pPr>
            <w:r>
              <w:rPr>
                <w:rFonts w:ascii="Arial" w:cs="Arial" w:eastAsia="Arial" w:hAnsi="Arial"/>
                <w:sz w:val="10"/>
                <w:szCs w:val="10"/>
                <w:color w:val="auto"/>
              </w:rPr>
              <w:t>Receivable Agreement and related changes to</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220" w:type="dxa"/>
            <w:vAlign w:val="bottom"/>
          </w:tcPr>
          <w:p>
            <w:pPr>
              <w:ind w:left="100"/>
              <w:spacing w:after="0"/>
              <w:rPr>
                <w:sz w:val="20"/>
                <w:szCs w:val="20"/>
                <w:color w:val="auto"/>
              </w:rPr>
            </w:pPr>
            <w:r>
              <w:rPr>
                <w:rFonts w:ascii="Arial" w:cs="Arial" w:eastAsia="Arial" w:hAnsi="Arial"/>
                <w:sz w:val="10"/>
                <w:szCs w:val="10"/>
                <w:color w:val="auto"/>
              </w:rPr>
              <w:t>deferred tax assets associated with that liability</w:t>
            </w:r>
          </w:p>
        </w:tc>
        <w:tc>
          <w:tcPr>
            <w:tcW w:w="6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0"/>
                <w:szCs w:val="10"/>
                <w:color w:val="auto"/>
              </w:rPr>
              <w:t>(4,164)</w:t>
            </w:r>
          </w:p>
        </w:tc>
        <w:tc>
          <w:tcPr>
            <w:tcW w:w="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(4,164)</w:t>
            </w:r>
          </w:p>
        </w:tc>
        <w:tc>
          <w:tcPr>
            <w:tcW w:w="0" w:type="dxa"/>
            <w:vAlign w:val="bottom"/>
          </w:tcPr>
          <w:p>
            <w:pPr>
              <w:spacing w:after="0"/>
              <w:rPr>
                <w:sz w:val="1"/>
                <w:szCs w:val="1"/>
                <w:color w:val="auto"/>
              </w:rPr>
            </w:pPr>
          </w:p>
        </w:tc>
      </w:tr>
      <w:tr>
        <w:trPr>
          <w:trHeight w:val="122"/>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Non-controlling interest adjustment</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1,069</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(1,069)</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2220" w:type="dxa"/>
            <w:vAlign w:val="bottom"/>
          </w:tcPr>
          <w:p>
            <w:pPr>
              <w:ind w:left="100"/>
              <w:spacing w:after="0"/>
              <w:rPr>
                <w:sz w:val="20"/>
                <w:szCs w:val="20"/>
                <w:color w:val="auto"/>
              </w:rPr>
            </w:pPr>
            <w:r>
              <w:rPr>
                <w:rFonts w:ascii="Arial" w:cs="Arial" w:eastAsia="Arial" w:hAnsi="Arial"/>
                <w:sz w:val="10"/>
                <w:szCs w:val="10"/>
                <w:color w:val="auto"/>
              </w:rPr>
              <w:t>Net income</w:t>
            </w:r>
          </w:p>
        </w:tc>
        <w:tc>
          <w:tcPr>
            <w:tcW w:w="6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33,372</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19,557</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52,929</w:t>
            </w:r>
          </w:p>
        </w:tc>
        <w:tc>
          <w:tcPr>
            <w:tcW w:w="0" w:type="dxa"/>
            <w:vAlign w:val="bottom"/>
          </w:tcPr>
          <w:p>
            <w:pPr>
              <w:spacing w:after="0"/>
              <w:rPr>
                <w:sz w:val="1"/>
                <w:szCs w:val="1"/>
                <w:color w:val="auto"/>
              </w:rPr>
            </w:pPr>
          </w:p>
        </w:tc>
      </w:tr>
      <w:tr>
        <w:trPr>
          <w:trHeight w:val="115"/>
        </w:trPr>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color w:val="auto"/>
              </w:rPr>
              <w:t>Balance at December 31, 2023</w:t>
            </w:r>
          </w:p>
        </w:tc>
        <w:tc>
          <w:tcPr>
            <w:tcW w:w="6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49,571</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496</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39,466</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0"/>
                <w:szCs w:val="10"/>
                <w:color w:val="auto"/>
                <w:w w:val="99"/>
              </w:rPr>
              <w:t>—</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131,665</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(4,551)</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(159,440)</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195,627</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89,623</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257,975</w:t>
            </w:r>
          </w:p>
        </w:tc>
        <w:tc>
          <w:tcPr>
            <w:tcW w:w="0" w:type="dxa"/>
            <w:vAlign w:val="bottom"/>
          </w:tcPr>
          <w:p>
            <w:pPr>
              <w:spacing w:after="0"/>
              <w:rPr>
                <w:sz w:val="1"/>
                <w:szCs w:val="1"/>
                <w:color w:val="auto"/>
              </w:rPr>
            </w:pPr>
          </w:p>
        </w:tc>
      </w:tr>
      <w:tr>
        <w:trPr>
          <w:trHeight w:val="130"/>
        </w:trPr>
        <w:tc>
          <w:tcPr>
            <w:tcW w:w="2220" w:type="dxa"/>
            <w:vAlign w:val="bottom"/>
          </w:tcPr>
          <w:p>
            <w:pPr>
              <w:ind w:left="100"/>
              <w:spacing w:after="0"/>
              <w:rPr>
                <w:sz w:val="20"/>
                <w:szCs w:val="20"/>
                <w:color w:val="auto"/>
              </w:rPr>
            </w:pPr>
            <w:r>
              <w:rPr>
                <w:rFonts w:ascii="Arial" w:cs="Arial" w:eastAsia="Arial" w:hAnsi="Arial"/>
                <w:sz w:val="10"/>
                <w:szCs w:val="10"/>
                <w:color w:val="auto"/>
              </w:rPr>
              <w:t>Public offering of Class A common stock, net of</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20" w:type="dxa"/>
            <w:vAlign w:val="bottom"/>
          </w:tcPr>
          <w:p>
            <w:pPr>
              <w:ind w:left="100"/>
              <w:spacing w:after="0"/>
              <w:rPr>
                <w:sz w:val="20"/>
                <w:szCs w:val="20"/>
                <w:color w:val="auto"/>
              </w:rPr>
            </w:pPr>
            <w:r>
              <w:rPr>
                <w:rFonts w:ascii="Arial" w:cs="Arial" w:eastAsia="Arial" w:hAnsi="Arial"/>
                <w:sz w:val="10"/>
                <w:szCs w:val="10"/>
                <w:color w:val="auto"/>
              </w:rPr>
              <w:t>underwriting discounts and commissions</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12,601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126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60" w:type="dxa"/>
            <w:vAlign w:val="bottom"/>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185,080</w:t>
            </w:r>
          </w:p>
        </w:tc>
        <w:tc>
          <w:tcPr>
            <w:tcW w:w="20" w:type="dxa"/>
            <w:vAlign w:val="bottom"/>
          </w:tcPr>
          <w:p>
            <w:pPr>
              <w:spacing w:after="0"/>
              <w:rPr>
                <w:sz w:val="11"/>
                <w:szCs w:val="11"/>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4,229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148,150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333,356</w:t>
            </w:r>
          </w:p>
        </w:tc>
        <w:tc>
          <w:tcPr>
            <w:tcW w:w="0" w:type="dxa"/>
            <w:vAlign w:val="bottom"/>
          </w:tcPr>
          <w:p>
            <w:pPr>
              <w:spacing w:after="0"/>
              <w:rPr>
                <w:sz w:val="1"/>
                <w:szCs w:val="1"/>
                <w:color w:val="auto"/>
              </w:rPr>
            </w:pPr>
          </w:p>
        </w:tc>
      </w:tr>
      <w:tr>
        <w:trPr>
          <w:trHeight w:val="130"/>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w w:val="99"/>
              </w:rPr>
              <w:t>Offering costs related to public offering of Class</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 common stock</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(980)</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(980)</w:t>
            </w:r>
          </w:p>
        </w:tc>
        <w:tc>
          <w:tcPr>
            <w:tcW w:w="0" w:type="dxa"/>
            <w:vAlign w:val="bottom"/>
          </w:tcPr>
          <w:p>
            <w:pPr>
              <w:spacing w:after="0"/>
              <w:rPr>
                <w:sz w:val="1"/>
                <w:szCs w:val="1"/>
                <w:color w:val="auto"/>
              </w:rPr>
            </w:pPr>
          </w:p>
        </w:tc>
      </w:tr>
      <w:tr>
        <w:trPr>
          <w:trHeight w:val="130"/>
        </w:trPr>
        <w:tc>
          <w:tcPr>
            <w:tcW w:w="2220" w:type="dxa"/>
            <w:vAlign w:val="bottom"/>
          </w:tcPr>
          <w:p>
            <w:pPr>
              <w:ind w:left="100"/>
              <w:spacing w:after="0"/>
              <w:rPr>
                <w:sz w:val="20"/>
                <w:szCs w:val="20"/>
                <w:color w:val="auto"/>
              </w:rPr>
            </w:pPr>
            <w:r>
              <w:rPr>
                <w:rFonts w:ascii="Arial" w:cs="Arial" w:eastAsia="Arial" w:hAnsi="Arial"/>
                <w:sz w:val="10"/>
                <w:szCs w:val="10"/>
                <w:color w:val="auto"/>
              </w:rPr>
              <w:t>Non-controlling interest adjustment for capital</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220" w:type="dxa"/>
            <w:vAlign w:val="bottom"/>
          </w:tcPr>
          <w:p>
            <w:pPr>
              <w:ind w:left="100"/>
              <w:spacing w:after="0"/>
              <w:rPr>
                <w:sz w:val="20"/>
                <w:szCs w:val="20"/>
                <w:color w:val="auto"/>
              </w:rPr>
            </w:pPr>
            <w:r>
              <w:rPr>
                <w:rFonts w:ascii="Arial" w:cs="Arial" w:eastAsia="Arial" w:hAnsi="Arial"/>
                <w:sz w:val="10"/>
                <w:szCs w:val="10"/>
                <w:color w:val="auto"/>
                <w:w w:val="99"/>
              </w:rPr>
              <w:t>contribution of proceeds from the public offering</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220" w:type="dxa"/>
            <w:vAlign w:val="bottom"/>
          </w:tcPr>
          <w:p>
            <w:pPr>
              <w:ind w:left="100"/>
              <w:spacing w:after="0"/>
              <w:rPr>
                <w:sz w:val="20"/>
                <w:szCs w:val="20"/>
                <w:color w:val="auto"/>
              </w:rPr>
            </w:pPr>
            <w:r>
              <w:rPr>
                <w:rFonts w:ascii="Arial" w:cs="Arial" w:eastAsia="Arial" w:hAnsi="Arial"/>
                <w:sz w:val="10"/>
                <w:szCs w:val="10"/>
                <w:color w:val="auto"/>
              </w:rPr>
              <w:t>of Class A common stock</w:t>
            </w:r>
          </w:p>
        </w:tc>
        <w:tc>
          <w:tcPr>
            <w:tcW w:w="6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0"/>
                <w:szCs w:val="10"/>
                <w:color w:val="auto"/>
              </w:rPr>
              <w:t>(118,798)</w:t>
            </w:r>
          </w:p>
        </w:tc>
        <w:tc>
          <w:tcPr>
            <w:tcW w:w="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118,798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Stock-based compensation</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11,764</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9,842</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21,606</w:t>
            </w:r>
          </w:p>
        </w:tc>
        <w:tc>
          <w:tcPr>
            <w:tcW w:w="0" w:type="dxa"/>
            <w:vAlign w:val="bottom"/>
          </w:tcPr>
          <w:p>
            <w:pPr>
              <w:spacing w:after="0"/>
              <w:rPr>
                <w:sz w:val="1"/>
                <w:szCs w:val="1"/>
                <w:color w:val="auto"/>
              </w:rPr>
            </w:pPr>
          </w:p>
        </w:tc>
      </w:tr>
      <w:tr>
        <w:trPr>
          <w:trHeight w:val="122"/>
        </w:trPr>
        <w:tc>
          <w:tcPr>
            <w:tcW w:w="2220" w:type="dxa"/>
            <w:vAlign w:val="bottom"/>
          </w:tcPr>
          <w:p>
            <w:pPr>
              <w:ind w:left="100"/>
              <w:spacing w:after="0"/>
              <w:rPr>
                <w:sz w:val="20"/>
                <w:szCs w:val="20"/>
                <w:color w:val="auto"/>
              </w:rPr>
            </w:pPr>
            <w:r>
              <w:rPr>
                <w:rFonts w:ascii="Arial" w:cs="Arial" w:eastAsia="Arial" w:hAnsi="Arial"/>
                <w:sz w:val="10"/>
                <w:szCs w:val="10"/>
                <w:color w:val="auto"/>
              </w:rPr>
              <w:t>Exercise of stock options</w:t>
            </w:r>
          </w:p>
        </w:tc>
        <w:tc>
          <w:tcPr>
            <w:tcW w:w="6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0"/>
                <w:szCs w:val="10"/>
                <w:color w:val="auto"/>
              </w:rPr>
              <w:t>(345)</w:t>
            </w: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25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894</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549</w:t>
            </w:r>
          </w:p>
        </w:tc>
        <w:tc>
          <w:tcPr>
            <w:tcW w:w="0" w:type="dxa"/>
            <w:vAlign w:val="bottom"/>
          </w:tcPr>
          <w:p>
            <w:pPr>
              <w:spacing w:after="0"/>
              <w:rPr>
                <w:sz w:val="1"/>
                <w:szCs w:val="1"/>
                <w:color w:val="auto"/>
              </w:rPr>
            </w:pPr>
          </w:p>
        </w:tc>
      </w:tr>
      <w:tr>
        <w:trPr>
          <w:trHeight w:val="130"/>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Non-controlling interest adjustment for capital</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contribution of proceeds from the exercise of</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stock options</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(239)</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239</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2220" w:type="dxa"/>
            <w:vAlign w:val="bottom"/>
          </w:tcPr>
          <w:p>
            <w:pPr>
              <w:ind w:left="100"/>
              <w:spacing w:after="0"/>
              <w:rPr>
                <w:sz w:val="20"/>
                <w:szCs w:val="20"/>
                <w:color w:val="auto"/>
              </w:rPr>
            </w:pPr>
            <w:r>
              <w:rPr>
                <w:rFonts w:ascii="Arial" w:cs="Arial" w:eastAsia="Arial" w:hAnsi="Arial"/>
                <w:sz w:val="10"/>
                <w:szCs w:val="10"/>
                <w:color w:val="auto"/>
              </w:rPr>
              <w:t>Vesting of restricted stock units</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280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0"/>
                <w:szCs w:val="10"/>
                <w:color w:val="auto"/>
              </w:rPr>
              <w:t>(13,097)</w:t>
            </w: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437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15,320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0"/>
                <w:szCs w:val="10"/>
                <w:color w:val="auto"/>
              </w:rPr>
              <w:t>(2,226)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Repurchases of Class A common stock for</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withholding taxes on vested RSUs</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(99)</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w:t>
            </w: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(487)</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(140)</w:t>
            </w: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(4,924)</w:t>
            </w:r>
          </w:p>
        </w:tc>
        <w:tc>
          <w:tcPr>
            <w:tcW w:w="1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(5,412)</w:t>
            </w:r>
          </w:p>
        </w:tc>
        <w:tc>
          <w:tcPr>
            <w:tcW w:w="0" w:type="dxa"/>
            <w:vAlign w:val="bottom"/>
          </w:tcPr>
          <w:p>
            <w:pPr>
              <w:spacing w:after="0"/>
              <w:rPr>
                <w:sz w:val="1"/>
                <w:szCs w:val="1"/>
                <w:color w:val="auto"/>
              </w:rPr>
            </w:pPr>
          </w:p>
        </w:tc>
      </w:tr>
      <w:tr>
        <w:trPr>
          <w:trHeight w:val="130"/>
        </w:trPr>
        <w:tc>
          <w:tcPr>
            <w:tcW w:w="2220" w:type="dxa"/>
            <w:vAlign w:val="bottom"/>
          </w:tcPr>
          <w:p>
            <w:pPr>
              <w:ind w:left="100"/>
              <w:spacing w:after="0"/>
              <w:rPr>
                <w:sz w:val="20"/>
                <w:szCs w:val="20"/>
                <w:color w:val="auto"/>
              </w:rPr>
            </w:pPr>
            <w:r>
              <w:rPr>
                <w:rFonts w:ascii="Arial" w:cs="Arial" w:eastAsia="Arial" w:hAnsi="Arial"/>
                <w:sz w:val="10"/>
                <w:szCs w:val="10"/>
                <w:color w:val="auto"/>
              </w:rPr>
              <w:t>Redemption of LLC common units for Class A</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20" w:type="dxa"/>
            <w:vAlign w:val="bottom"/>
          </w:tcPr>
          <w:p>
            <w:pPr>
              <w:ind w:left="100"/>
              <w:spacing w:after="0"/>
              <w:rPr>
                <w:sz w:val="20"/>
                <w:szCs w:val="20"/>
                <w:color w:val="auto"/>
              </w:rPr>
            </w:pPr>
            <w:r>
              <w:rPr>
                <w:rFonts w:ascii="Arial" w:cs="Arial" w:eastAsia="Arial" w:hAnsi="Arial"/>
                <w:sz w:val="10"/>
                <w:szCs w:val="10"/>
                <w:color w:val="auto"/>
              </w:rPr>
              <w:t>common stock</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149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60" w:type="dxa"/>
            <w:vAlign w:val="bottom"/>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1,531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0"/>
                <w:szCs w:val="10"/>
                <w:color w:val="auto"/>
              </w:rPr>
              <w:t>(682)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850</w:t>
            </w:r>
          </w:p>
        </w:tc>
        <w:tc>
          <w:tcPr>
            <w:tcW w:w="0" w:type="dxa"/>
            <w:vAlign w:val="bottom"/>
          </w:tcPr>
          <w:p>
            <w:pPr>
              <w:spacing w:after="0"/>
              <w:rPr>
                <w:sz w:val="1"/>
                <w:szCs w:val="1"/>
                <w:color w:val="auto"/>
              </w:rPr>
            </w:pPr>
          </w:p>
        </w:tc>
      </w:tr>
      <w:tr>
        <w:trPr>
          <w:trHeight w:val="122"/>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Distributions to holders of LLC common units</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(18,682)</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(18,682)</w:t>
            </w:r>
          </w:p>
        </w:tc>
        <w:tc>
          <w:tcPr>
            <w:tcW w:w="0" w:type="dxa"/>
            <w:vAlign w:val="bottom"/>
          </w:tcPr>
          <w:p>
            <w:pPr>
              <w:spacing w:after="0"/>
              <w:rPr>
                <w:sz w:val="1"/>
                <w:szCs w:val="1"/>
                <w:color w:val="auto"/>
              </w:rPr>
            </w:pPr>
          </w:p>
        </w:tc>
      </w:tr>
      <w:tr>
        <w:trPr>
          <w:trHeight w:val="121"/>
        </w:trPr>
        <w:tc>
          <w:tcPr>
            <w:tcW w:w="2220" w:type="dxa"/>
            <w:vAlign w:val="bottom"/>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6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(24,749)</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(24,749)</w:t>
            </w:r>
          </w:p>
        </w:tc>
        <w:tc>
          <w:tcPr>
            <w:tcW w:w="0" w:type="dxa"/>
            <w:vAlign w:val="bottom"/>
          </w:tcPr>
          <w:p>
            <w:pPr>
              <w:spacing w:after="0"/>
              <w:rPr>
                <w:sz w:val="1"/>
                <w:szCs w:val="1"/>
                <w:color w:val="auto"/>
              </w:rPr>
            </w:pPr>
          </w:p>
        </w:tc>
      </w:tr>
      <w:tr>
        <w:trPr>
          <w:trHeight w:val="130"/>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Establishment of liabilities under the Tax</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Receivable Agreement and related changes to</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deferred tax assets associated with that liability</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(684)</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(684)</w:t>
            </w:r>
          </w:p>
        </w:tc>
        <w:tc>
          <w:tcPr>
            <w:tcW w:w="0" w:type="dxa"/>
            <w:vAlign w:val="bottom"/>
          </w:tcPr>
          <w:p>
            <w:pPr>
              <w:spacing w:after="0"/>
              <w:rPr>
                <w:sz w:val="1"/>
                <w:szCs w:val="1"/>
                <w:color w:val="auto"/>
              </w:rPr>
            </w:pPr>
          </w:p>
        </w:tc>
      </w:tr>
      <w:tr>
        <w:trPr>
          <w:trHeight w:val="122"/>
        </w:trPr>
        <w:tc>
          <w:tcPr>
            <w:tcW w:w="2220" w:type="dxa"/>
            <w:vAlign w:val="bottom"/>
          </w:tcPr>
          <w:p>
            <w:pPr>
              <w:ind w:left="100"/>
              <w:spacing w:after="0"/>
              <w:rPr>
                <w:sz w:val="20"/>
                <w:szCs w:val="20"/>
                <w:color w:val="auto"/>
              </w:rPr>
            </w:pPr>
            <w:r>
              <w:rPr>
                <w:rFonts w:ascii="Arial" w:cs="Arial" w:eastAsia="Arial" w:hAnsi="Arial"/>
                <w:sz w:val="10"/>
                <w:szCs w:val="10"/>
                <w:color w:val="auto"/>
              </w:rPr>
              <w:t>Non-controlling interest adjustment</w:t>
            </w:r>
          </w:p>
        </w:tc>
        <w:tc>
          <w:tcPr>
            <w:tcW w:w="6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0"/>
                <w:szCs w:val="10"/>
                <w:color w:val="auto"/>
              </w:rPr>
              <w:t>(1,718)</w:t>
            </w:r>
          </w:p>
        </w:tc>
        <w:tc>
          <w:tcPr>
            <w:tcW w:w="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1,718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Net income</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(38,637)</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(40,243)</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(78,880)</w:t>
            </w:r>
          </w:p>
        </w:tc>
        <w:tc>
          <w:tcPr>
            <w:tcW w:w="0" w:type="dxa"/>
            <w:vAlign w:val="bottom"/>
          </w:tcPr>
          <w:p>
            <w:pPr>
              <w:spacing w:after="0"/>
              <w:rPr>
                <w:sz w:val="1"/>
                <w:szCs w:val="1"/>
                <w:color w:val="auto"/>
              </w:rPr>
            </w:pPr>
          </w:p>
        </w:tc>
      </w:tr>
      <w:tr>
        <w:trPr>
          <w:trHeight w:val="115"/>
        </w:trPr>
        <w:tc>
          <w:tcPr>
            <w:tcW w:w="2220" w:type="dxa"/>
            <w:vAlign w:val="bottom"/>
          </w:tcPr>
          <w:p>
            <w:pPr>
              <w:spacing w:after="0"/>
              <w:rPr>
                <w:sz w:val="20"/>
                <w:szCs w:val="20"/>
                <w:color w:val="auto"/>
              </w:rPr>
            </w:pPr>
            <w:r>
              <w:rPr>
                <w:rFonts w:ascii="Arial" w:cs="Arial" w:eastAsia="Arial" w:hAnsi="Arial"/>
                <w:sz w:val="10"/>
                <w:szCs w:val="10"/>
                <w:color w:val="auto"/>
              </w:rPr>
              <w:t>Balance at December 31, 2024</w:t>
            </w:r>
          </w:p>
        </w:tc>
        <w:tc>
          <w:tcPr>
            <w:tcW w:w="60" w:type="dxa"/>
            <w:vAlign w:val="bottom"/>
          </w:tcPr>
          <w:p>
            <w:pPr>
              <w:spacing w:after="0"/>
              <w:rPr>
                <w:sz w:val="10"/>
                <w:szCs w:val="1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62,502</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625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39,466</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0"/>
                <w:szCs w:val="10"/>
                <w:color w:val="auto"/>
              </w:rPr>
            </w:pPr>
          </w:p>
        </w:tc>
        <w:tc>
          <w:tcPr>
            <w:tcW w:w="460" w:type="dxa"/>
            <w:vAlign w:val="bottom"/>
            <w:tcBorders>
              <w:top w:val="single" w:sz="8" w:color="auto"/>
            </w:tcBorders>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ind w:left="380"/>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193,692</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Pr>
          <w:p>
            <w:pPr>
              <w:jc w:val="center"/>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0"/>
                <w:szCs w:val="1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132,241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158,387</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484,949</w:t>
            </w:r>
          </w:p>
        </w:tc>
        <w:tc>
          <w:tcPr>
            <w:tcW w:w="0" w:type="dxa"/>
            <w:vAlign w:val="bottom"/>
          </w:tcPr>
          <w:p>
            <w:pPr>
              <w:spacing w:after="0"/>
              <w:rPr>
                <w:sz w:val="1"/>
                <w:szCs w:val="1"/>
                <w:color w:val="auto"/>
              </w:rPr>
            </w:pPr>
          </w:p>
        </w:tc>
      </w:tr>
      <w:tr>
        <w:trPr>
          <w:trHeight w:val="122"/>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Stock-based compensation</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23,404</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14,874</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38,278</w:t>
            </w:r>
          </w:p>
        </w:tc>
        <w:tc>
          <w:tcPr>
            <w:tcW w:w="0" w:type="dxa"/>
            <w:vAlign w:val="bottom"/>
          </w:tcPr>
          <w:p>
            <w:pPr>
              <w:spacing w:after="0"/>
              <w:rPr>
                <w:sz w:val="1"/>
                <w:szCs w:val="1"/>
                <w:color w:val="auto"/>
              </w:rPr>
            </w:pPr>
          </w:p>
        </w:tc>
      </w:tr>
      <w:tr>
        <w:trPr>
          <w:trHeight w:val="122"/>
        </w:trPr>
        <w:tc>
          <w:tcPr>
            <w:tcW w:w="2220" w:type="dxa"/>
            <w:vAlign w:val="bottom"/>
          </w:tcPr>
          <w:p>
            <w:pPr>
              <w:ind w:left="100"/>
              <w:spacing w:after="0"/>
              <w:rPr>
                <w:sz w:val="20"/>
                <w:szCs w:val="20"/>
                <w:color w:val="auto"/>
              </w:rPr>
            </w:pPr>
            <w:r>
              <w:rPr>
                <w:rFonts w:ascii="Arial" w:cs="Arial" w:eastAsia="Arial" w:hAnsi="Arial"/>
                <w:sz w:val="10"/>
                <w:szCs w:val="10"/>
                <w:color w:val="auto"/>
              </w:rPr>
              <w:t>Vesting of restricted stock units</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1,263</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3,713</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0"/>
                <w:szCs w:val="10"/>
                <w:color w:val="auto"/>
              </w:rPr>
              <w:t>(3,725)</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Repurchases of Class A common stock for</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withholding taxes on vested RSUs</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(460)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(4)</w:t>
            </w: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(6,032)</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(6,036)</w:t>
            </w:r>
          </w:p>
        </w:tc>
        <w:tc>
          <w:tcPr>
            <w:tcW w:w="0" w:type="dxa"/>
            <w:vAlign w:val="bottom"/>
          </w:tcPr>
          <w:p>
            <w:pPr>
              <w:spacing w:after="0"/>
              <w:rPr>
                <w:sz w:val="1"/>
                <w:szCs w:val="1"/>
                <w:color w:val="auto"/>
              </w:rPr>
            </w:pPr>
          </w:p>
        </w:tc>
      </w:tr>
      <w:tr>
        <w:trPr>
          <w:trHeight w:val="122"/>
        </w:trPr>
        <w:tc>
          <w:tcPr>
            <w:tcW w:w="2220" w:type="dxa"/>
            <w:vAlign w:val="bottom"/>
          </w:tcPr>
          <w:p>
            <w:pPr>
              <w:ind w:left="100"/>
              <w:spacing w:after="0"/>
              <w:rPr>
                <w:sz w:val="20"/>
                <w:szCs w:val="20"/>
                <w:color w:val="auto"/>
              </w:rPr>
            </w:pPr>
            <w:r>
              <w:rPr>
                <w:rFonts w:ascii="Arial" w:cs="Arial" w:eastAsia="Arial" w:hAnsi="Arial"/>
                <w:sz w:val="10"/>
                <w:szCs w:val="10"/>
                <w:color w:val="auto"/>
              </w:rPr>
              <w:t>Stock award to employee</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217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564</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0"/>
                <w:szCs w:val="10"/>
                <w:color w:val="auto"/>
              </w:rPr>
              <w:t>(566)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Repurchases of Class A common stock for</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withholding taxes on stock award to employee</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(85)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w:t>
            </w: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(854)</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(855)</w:t>
            </w:r>
          </w:p>
        </w:tc>
        <w:tc>
          <w:tcPr>
            <w:tcW w:w="0" w:type="dxa"/>
            <w:vAlign w:val="bottom"/>
          </w:tcPr>
          <w:p>
            <w:pPr>
              <w:spacing w:after="0"/>
              <w:rPr>
                <w:sz w:val="1"/>
                <w:szCs w:val="1"/>
                <w:color w:val="auto"/>
              </w:rPr>
            </w:pPr>
          </w:p>
        </w:tc>
      </w:tr>
      <w:tr>
        <w:trPr>
          <w:trHeight w:val="122"/>
        </w:trPr>
        <w:tc>
          <w:tcPr>
            <w:tcW w:w="2220" w:type="dxa"/>
            <w:vAlign w:val="bottom"/>
          </w:tcPr>
          <w:p>
            <w:pPr>
              <w:ind w:left="100"/>
              <w:spacing w:after="0"/>
              <w:rPr>
                <w:sz w:val="20"/>
                <w:szCs w:val="20"/>
                <w:color w:val="auto"/>
              </w:rPr>
            </w:pPr>
            <w:r>
              <w:rPr>
                <w:rFonts w:ascii="Arial" w:cs="Arial" w:eastAsia="Arial" w:hAnsi="Arial"/>
                <w:sz w:val="10"/>
                <w:szCs w:val="10"/>
                <w:color w:val="auto"/>
              </w:rPr>
              <w:t>Distributions to holders of LLC common units</w:t>
            </w:r>
          </w:p>
        </w:tc>
        <w:tc>
          <w:tcPr>
            <w:tcW w:w="6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0"/>
                <w:szCs w:val="10"/>
                <w:color w:val="auto"/>
              </w:rPr>
              <w:t>(7,465)</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(7,465)</w:t>
            </w:r>
          </w:p>
        </w:tc>
        <w:tc>
          <w:tcPr>
            <w:tcW w:w="0" w:type="dxa"/>
            <w:vAlign w:val="bottom"/>
          </w:tcPr>
          <w:p>
            <w:pPr>
              <w:spacing w:after="0"/>
              <w:rPr>
                <w:sz w:val="1"/>
                <w:szCs w:val="1"/>
                <w:color w:val="auto"/>
              </w:rPr>
            </w:pPr>
          </w:p>
        </w:tc>
      </w:tr>
      <w:tr>
        <w:trPr>
          <w:trHeight w:val="121"/>
        </w:trPr>
        <w:tc>
          <w:tcPr>
            <w:tcW w:w="2220" w:type="dxa"/>
            <w:vAlign w:val="bottom"/>
            <w:shd w:val="clear" w:color="auto" w:fill="CCEEFF"/>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(31,434)</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(31,434)</w:t>
            </w:r>
          </w:p>
        </w:tc>
        <w:tc>
          <w:tcPr>
            <w:tcW w:w="0" w:type="dxa"/>
            <w:vAlign w:val="bottom"/>
          </w:tcPr>
          <w:p>
            <w:pPr>
              <w:spacing w:after="0"/>
              <w:rPr>
                <w:sz w:val="1"/>
                <w:szCs w:val="1"/>
                <w:color w:val="auto"/>
              </w:rPr>
            </w:pPr>
          </w:p>
        </w:tc>
      </w:tr>
      <w:tr>
        <w:trPr>
          <w:trHeight w:val="122"/>
        </w:trPr>
        <w:tc>
          <w:tcPr>
            <w:tcW w:w="2220" w:type="dxa"/>
            <w:vAlign w:val="bottom"/>
          </w:tcPr>
          <w:p>
            <w:pPr>
              <w:ind w:left="100"/>
              <w:spacing w:after="0"/>
              <w:rPr>
                <w:sz w:val="20"/>
                <w:szCs w:val="20"/>
                <w:color w:val="auto"/>
              </w:rPr>
            </w:pPr>
            <w:r>
              <w:rPr>
                <w:rFonts w:ascii="Arial" w:cs="Arial" w:eastAsia="Arial" w:hAnsi="Arial"/>
                <w:sz w:val="10"/>
                <w:szCs w:val="10"/>
                <w:color w:val="auto"/>
              </w:rPr>
              <w:t>Non-controlling interest adjustment</w:t>
            </w:r>
          </w:p>
        </w:tc>
        <w:tc>
          <w:tcPr>
            <w:tcW w:w="6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2,457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0"/>
                <w:szCs w:val="10"/>
                <w:color w:val="auto"/>
              </w:rPr>
              <w:t>(2,457)</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22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Net (loss) income</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(89,799)</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(15,839)</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(105,638)</w:t>
            </w:r>
          </w:p>
        </w:tc>
        <w:tc>
          <w:tcPr>
            <w:tcW w:w="0" w:type="dxa"/>
            <w:vAlign w:val="bottom"/>
          </w:tcPr>
          <w:p>
            <w:pPr>
              <w:spacing w:after="0"/>
              <w:rPr>
                <w:sz w:val="1"/>
                <w:szCs w:val="1"/>
                <w:color w:val="auto"/>
              </w:rPr>
            </w:pPr>
          </w:p>
        </w:tc>
      </w:tr>
      <w:tr>
        <w:trPr>
          <w:trHeight w:val="115"/>
        </w:trPr>
        <w:tc>
          <w:tcPr>
            <w:tcW w:w="2220" w:type="dxa"/>
            <w:vAlign w:val="bottom"/>
          </w:tcPr>
          <w:p>
            <w:pPr>
              <w:spacing w:after="0"/>
              <w:rPr>
                <w:sz w:val="20"/>
                <w:szCs w:val="20"/>
                <w:color w:val="auto"/>
              </w:rPr>
            </w:pPr>
            <w:r>
              <w:rPr>
                <w:rFonts w:ascii="Arial" w:cs="Arial" w:eastAsia="Arial" w:hAnsi="Arial"/>
                <w:sz w:val="10"/>
                <w:szCs w:val="10"/>
                <w:color w:val="auto"/>
              </w:rPr>
              <w:t>Balance at December 31, 2025</w:t>
            </w:r>
          </w:p>
        </w:tc>
        <w:tc>
          <w:tcPr>
            <w:tcW w:w="6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63,437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634</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39,466</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0"/>
                <w:szCs w:val="10"/>
                <w:color w:val="auto"/>
              </w:rPr>
            </w:pPr>
          </w:p>
        </w:tc>
        <w:tc>
          <w:tcPr>
            <w:tcW w:w="4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216,944</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11,008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143,209</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371,799</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340" w:right="700" w:hanging="334"/>
        <w:spacing w:after="0" w:line="204" w:lineRule="auto"/>
        <w:tabs>
          <w:tab w:leader="none" w:pos="34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The Company declared dividends per share of Class A common stock of $0.50, $0.50 and $1.50 per share in 2025, 2024, and 2023,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360680</wp:posOffset>
            </wp:positionV>
            <wp:extent cx="598360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080" w:type="dxa"/>
            <w:vAlign w:val="bottom"/>
            <w:vMerge w:val="restart"/>
          </w:tcPr>
          <w:p>
            <w:pPr>
              <w:ind w:left="48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c>
          <w:tcPr>
            <w:tcW w:w="32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71"/>
              <w:spacing w:after="0"/>
              <w:rPr>
                <w:sz w:val="20"/>
                <w:szCs w:val="20"/>
                <w:color w:val="auto"/>
              </w:rPr>
            </w:pPr>
            <w:r>
              <w:rPr>
                <w:rFonts w:ascii="Arial" w:cs="Arial" w:eastAsia="Arial" w:hAnsi="Arial"/>
                <w:sz w:val="14"/>
                <w:szCs w:val="14"/>
                <w:b w:val="1"/>
                <w:bCs w:val="1"/>
                <w:color w:val="auto"/>
              </w:rPr>
              <w:t>2025</w:t>
            </w:r>
          </w:p>
        </w:tc>
        <w:tc>
          <w:tcPr>
            <w:tcW w:w="380" w:type="dxa"/>
            <w:vAlign w:val="bottom"/>
            <w:gridSpan w:val="2"/>
          </w:tcPr>
          <w:p>
            <w:pPr>
              <w:jc w:val="right"/>
              <w:ind w:right="107"/>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380" w:type="dxa"/>
            <w:vAlign w:val="bottom"/>
            <w:gridSpan w:val="2"/>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51"/>
              <w:spacing w:after="0"/>
              <w:rPr>
                <w:sz w:val="20"/>
                <w:szCs w:val="20"/>
                <w:color w:val="auto"/>
              </w:rPr>
            </w:pPr>
            <w:r>
              <w:rPr>
                <w:rFonts w:ascii="Arial" w:cs="Arial" w:eastAsia="Arial" w:hAnsi="Arial"/>
                <w:sz w:val="14"/>
                <w:szCs w:val="14"/>
                <w:b w:val="1"/>
                <w:bCs w:val="1"/>
                <w:color w:val="auto"/>
              </w:rPr>
              <w:t>2023</w:t>
            </w: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(loss) income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(105,638)</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(78,880)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52,929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Adjustments to reconcile net (loss) income to net cash</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100" w:type="dxa"/>
            <w:vAlign w:val="bottom"/>
            <w:gridSpan w:val="2"/>
          </w:tcPr>
          <w:p>
            <w:pPr>
              <w:spacing w:after="0"/>
              <w:rPr>
                <w:sz w:val="20"/>
                <w:szCs w:val="20"/>
                <w:color w:val="auto"/>
              </w:rPr>
            </w:pPr>
            <w:r>
              <w:rPr>
                <w:rFonts w:ascii="Arial" w:cs="Arial" w:eastAsia="Arial" w:hAnsi="Arial"/>
                <w:sz w:val="18"/>
                <w:szCs w:val="18"/>
                <w:color w:val="auto"/>
              </w:rPr>
              <w:t>provided by operating activities: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68,643</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44,278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21,585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24,086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lease termination and/or remeasurement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Long-lived asset impairment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15,061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9,269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on sale or disposal of assets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Provision for credit losses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lease expense</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61,045</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Accretion of original debt issuance discount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interest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213,714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(12,946)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(14,208)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Receivable Agreement liability adjustment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(148,956)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Change in assets and liabilities, net of acquisitions: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Receivables and contracts in transit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(23,957)</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(222,853)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228,024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200,940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 and other assets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16,070</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300"/>
              <w:spacing w:after="0"/>
              <w:rPr>
                <w:sz w:val="20"/>
                <w:szCs w:val="20"/>
                <w:color w:val="auto"/>
              </w:rPr>
            </w:pPr>
            <w:r>
              <w:rPr>
                <w:rFonts w:ascii="Arial" w:cs="Arial" w:eastAsia="Arial" w:hAnsi="Arial"/>
                <w:sz w:val="18"/>
                <w:szCs w:val="18"/>
                <w:color w:val="auto"/>
              </w:rPr>
              <w:t>Accounts payable and other accrued expenses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(8,908)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Payment pursuant to Tax Receivable Agreement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(10,937)</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300"/>
              <w:spacing w:after="0"/>
              <w:rPr>
                <w:sz w:val="20"/>
                <w:szCs w:val="20"/>
                <w:color w:val="auto"/>
              </w:rPr>
            </w:pPr>
            <w:r>
              <w:rPr>
                <w:rFonts w:ascii="Arial" w:cs="Arial" w:eastAsia="Arial" w:hAnsi="Arial"/>
                <w:sz w:val="18"/>
                <w:szCs w:val="18"/>
                <w:color w:val="auto"/>
              </w:rPr>
              <w:t>Deferred revenues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(8,537)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(6,796)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lease liabilities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(60,033)</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9,558</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w:t>
            </w:r>
          </w:p>
        </w:tc>
        <w:tc>
          <w:tcPr>
            <w:tcW w:w="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(131,985)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245,159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310,807</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(129,442)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(90,837)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(131,080)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or disposal of property and equipment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Purchases of real property</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(122,842)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(9,602)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(67,194)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sale or disposal of real property</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40,785</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Purchases of businesses, net of cash acquired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(81,203)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(72,323)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(209,459)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 of business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Purchases of other investments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other investments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Purchases of intangible assets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intangible assets</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(201,162)</w:t>
            </w:r>
          </w:p>
        </w:tc>
        <w:tc>
          <w:tcPr>
            <w:tcW w:w="22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(88,175)</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(369,406)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Camping World Holdings,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Statements of Cash Flows (continued)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20" w:type="dxa"/>
            <w:vAlign w:val="bottom"/>
            <w:tcBorders>
              <w:bottom w:val="single" w:sz="8" w:color="auto"/>
            </w:tcBorders>
            <w:gridSpan w:val="8"/>
          </w:tcPr>
          <w:p>
            <w:pPr>
              <w:jc w:val="right"/>
              <w:ind w:right="611"/>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5440" w:type="dxa"/>
            <w:vAlign w:val="bottom"/>
          </w:tcPr>
          <w:p>
            <w:pPr>
              <w:spacing w:after="0"/>
              <w:rPr>
                <w:sz w:val="16"/>
                <w:szCs w:val="16"/>
                <w:color w:val="auto"/>
              </w:rPr>
            </w:pPr>
          </w:p>
        </w:tc>
        <w:tc>
          <w:tcPr>
            <w:tcW w:w="1160" w:type="dxa"/>
            <w:vAlign w:val="bottom"/>
            <w:gridSpan w:val="2"/>
          </w:tcPr>
          <w:p>
            <w:pPr>
              <w:jc w:val="right"/>
              <w:ind w:right="192"/>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2025</w:t>
            </w:r>
          </w:p>
        </w:tc>
        <w:tc>
          <w:tcPr>
            <w:tcW w:w="320" w:type="dxa"/>
            <w:vAlign w:val="bottom"/>
            <w:gridSpan w:val="2"/>
          </w:tcPr>
          <w:p>
            <w:pPr>
              <w:jc w:val="right"/>
              <w:ind w:right="47"/>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2024</w:t>
            </w:r>
          </w:p>
        </w:tc>
        <w:tc>
          <w:tcPr>
            <w:tcW w:w="320" w:type="dxa"/>
            <w:vAlign w:val="bottom"/>
            <w:gridSpan w:val="3"/>
          </w:tcPr>
          <w:p>
            <w:pPr>
              <w:jc w:val="right"/>
              <w:ind w:right="47"/>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r>
      <w:tr>
        <w:trPr>
          <w:trHeight w:val="223"/>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Proceeds from long-term debt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55,624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59,227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long-term debt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(49,920)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(38,958)</w:t>
            </w: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Net proceeds (payments) on notes payable – floor plan, net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444,761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(217,857)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59,280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line of credit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Payments on revolving line of credit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(63,885)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Payments on finance leases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Payments on sale-leaseback arrangement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Payment of debt issuance costs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Payments on contingent consideration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Class A common stock sold in a public</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offering, net of underwriter discounts and commissions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Payments of stock offering costs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Dividends on Class A common stock</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(31,434)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(66,831)</w:t>
            </w: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RSU shares withheld for tax</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w:t>
            </w: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Stock award shares withheld for tax</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holders of LLC common units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(31,510)</w:t>
            </w: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339,768</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(31,885)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168,775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(90,484)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208,422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39,647</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130,131</w:t>
            </w: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Cash and cash equivalents at end of the period</w:t>
            </w:r>
          </w:p>
        </w:tc>
        <w:tc>
          <w:tcPr>
            <w:tcW w:w="2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$ 215,043</w:t>
            </w: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208,422</w:t>
            </w:r>
          </w:p>
        </w:tc>
        <w:tc>
          <w:tcPr>
            <w:tcW w:w="180" w:type="dxa"/>
            <w:vAlign w:val="bottom"/>
            <w:gridSpan w:val="2"/>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39,647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Camping World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2025</w:t>
      </w:r>
    </w:p>
    <w:p>
      <w:pPr>
        <w:spacing w:after="0" w:line="225" w:lineRule="exact"/>
        <w:rPr>
          <w:sz w:val="20"/>
          <w:szCs w:val="20"/>
          <w:color w:val="auto"/>
        </w:rPr>
      </w:pPr>
    </w:p>
    <w:p>
      <w:pPr>
        <w:ind w:left="60" w:right="4379" w:hanging="10"/>
        <w:spacing w:after="0" w:line="530" w:lineRule="auto"/>
        <w:tabs>
          <w:tab w:leader="none" w:pos="26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Principles of Consolidation and Basis of Presentation</w:t>
      </w:r>
    </w:p>
    <w:p>
      <w:pPr>
        <w:spacing w:after="0" w:line="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consolidated financial statements include the accounts of Camping World Holdings, Inc. (“CWH”) and its subsidiaries (collectively, the “Company”) and are presented in accordance with accounting principles generally accepted in the United States (“GAAP”). All intercompany accounts and transactions of the Company and its subsidiaries have been eliminated in consolidation.</w:t>
      </w:r>
    </w:p>
    <w:p>
      <w:pPr>
        <w:spacing w:after="0" w:line="180"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CWH was formed on March 8, 2016 as a Delaware corporation for the purpose of facilitating an initial public offering (the “IPO”) and other related transactions in order to carry on the business of CWGS Enterprises, LLC (“CWGS, LLC”). CWGS, LLC was formed in March 2011 when it received, through contribution from its then parent company, all of the membership interests of Affinity Group Holding, LLC and FreedomRoads Holding Company, LLC (“FreedomRoads”). The IPO and related reorganization transactions that occurred on October 6, 2016 resulted in CWH as the sole managing member of CWGS, LLC, with CWH having sole voting power in and control of the management of CWGS, LLC (see Note 19 — Stockholders’ Equity). As of December 31, 2025, 2024, and 2023, CWH owned 61.4%, 61.0% and 52.9%, respectively, of CWGS, LLC. Accordingly, the Company consolidates the financial results of CWGS, LLC and reports a non-controlling interest in its consolidated financial statements.</w:t>
      </w:r>
    </w:p>
    <w:p>
      <w:pPr>
        <w:spacing w:after="0" w:line="18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 Company does not have any material components of other comprehensive income recorded within its consolidated financial statements and, therefore, does not separately present a statement of comprehensive income in its consolidated financial statements.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Description of the Business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Camping World Holdings, Inc., together with its subsidiaries, is America’s largest retailer of RVs and related products and services. As noted above, CWGS, LLC is a holding company and operates through its subsidiaries. The Company has the following two reportable segments: (i) Good Sam Services and Plans and</w:t>
      </w:r>
    </w:p>
    <w:p>
      <w:pPr>
        <w:spacing w:after="0" w:line="1" w:lineRule="exact"/>
        <w:rPr>
          <w:sz w:val="20"/>
          <w:szCs w:val="20"/>
          <w:color w:val="auto"/>
        </w:rPr>
      </w:pPr>
    </w:p>
    <w:p>
      <w:pPr>
        <w:jc w:val="both"/>
        <w:ind w:left="60" w:right="59" w:hanging="10"/>
        <w:spacing w:after="0" w:line="248" w:lineRule="auto"/>
        <w:tabs>
          <w:tab w:leader="none" w:pos="327" w:val="left"/>
        </w:tabs>
        <w:numPr>
          <w:ilvl w:val="0"/>
          <w:numId w:val="51"/>
        </w:numPr>
        <w:rPr>
          <w:rFonts w:ascii="Arial" w:cs="Arial" w:eastAsia="Arial" w:hAnsi="Arial"/>
          <w:sz w:val="18"/>
          <w:szCs w:val="18"/>
          <w:color w:val="auto"/>
        </w:rPr>
      </w:pPr>
      <w:r>
        <w:rPr>
          <w:rFonts w:ascii="Arial" w:cs="Arial" w:eastAsia="Arial" w:hAnsi="Arial"/>
          <w:sz w:val="18"/>
          <w:szCs w:val="18"/>
          <w:color w:val="auto"/>
        </w:rPr>
        <w:t>RV and Outdoor Retail. See Note 23 – Segments Information for further information about the Company’s segments. Within the Good Sam Services and Plans segment, the Company primarily derives revenue from the sale of the following offerings: emergency roadside assistance plans; commissions on property and casualty insurance programs; travel assist programs; extended vehicle service contracts; vehicle financing and refinancing assistance; and consumer publications and directories. Within the RV and Outdoor Retail segment, the Company primarily derives revenue from the sale of new and used RVs; commissions on the finance and insurance contracts related to the sale of RVs; the sale of RV service and collision work; the sale of RV parts, accessories, and supplies; the sale of outdoor products, equipment, gear and supplies; and the sale of Good Sam Club memberships and co-branded credit cards. The Company operates a national network of RV dealerships and service centers as well as a comprehensive e-commerce platform, primarily under the Camping World brand, and markets its products and services primarily to RV and outdoor enthusiasts.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preparation of these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may differ from those estimates. In preparing these consolidated financial statements, management has made its best estimates and judgments of certain amounts included in the consolidated financial statements, giving due consideration to materiality. The Company bases its estimates and judgments on historical experience and other assumptions that management believes are reasonable. However, application of these accounting policies involves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exercise of judgment and use of assumptions as to future uncertainties and, as a result, actual results could differ materially from these estimates. The Company periodically evaluates estimates and assumptions used in the preparation of the consolidated financial statements and makes changes on a prospective basis when adjustments are necessary. Significant estimates made in the accompanying consolidated financial statements include certain assumptions related to accounts receivable, inventory, goodwill, intangible assets, long-lived assets, long-lived asset impairments, valuation allowance on deferred tax assets, program cancellation reserves, chargebacks, accruals related to estimated tax liabilities, product return reserves, loyalty point program breakage, and other liabilities.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considers all short-term, highly liquid investments purchased with an original maturity date of three months or less to be cash equivalents. The carrying amount approximates fair value because of the short-term maturity of these instruments. Outstanding checks that are in excess of the cash balances at certain banks are included in accrued liabilities in the accompanying consolidated balance sheets, and changes in the amounts are reflected in operating cash flows in the accompanying consolidated statement of cash flows.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Contracts in Transit, Accounts Receivable and Current Expected Credit Losses</w:t>
      </w:r>
    </w:p>
    <w:p>
      <w:pPr>
        <w:spacing w:after="0" w:line="225"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Contracts in transit consist of amounts due from non-affiliated financing institutions on retail finance contracts from vehicle sales for the portion of the vehicle sales price financed by the Company’s customers. These retail installment sales contracts are typically funded within ten days of the initial approval of the retail installment sales contract by the third-party lender.</w:t>
      </w:r>
    </w:p>
    <w:p>
      <w:pPr>
        <w:spacing w:after="0" w:line="1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Accounts receivable are stated at realizable value, net of an allowance for credit losses. Accounts receivable balances due in excess of one year were $6.0 million as of December 31, 2025 and $7.4 million as of December 31, 2024, which are included in other assets in the accompanying consolidated balance sheets.</w:t>
      </w:r>
    </w:p>
    <w:p>
      <w:pPr>
        <w:spacing w:after="0" w:line="15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allowance for credit losses is based on management’s assessment of the collectability of its customer accounts. The Company regularly reviews the composition of the accounts receivable aging, historical bad debts, changes in payment patterns, customer creditworthiness, current economic trends, and reasonable and supportable forecasts about the future. Relevant risk characteristics include customer size and historical loss patterns. Management has evaluated the expected credit losses related to contracts in transit and determined that no allowance for credit losses was required as of December 31, 2025 and 2024. Management additionally has evaluated the expected credit losses related to accounts receivable and determined that allowances for credit losses of approximately $3.4 million as of December 31, 2025 and $2.7 million as of December 31, 2024 were required.</w:t>
      </w:r>
    </w:p>
    <w:p>
      <w:pPr>
        <w:spacing w:after="0" w:line="183"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The following table details the changes in the allowance for credit losses relating to current receivables and notes receivables:</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83"/>
        </w:trPr>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r>
      <w:tr>
        <w:trPr>
          <w:trHeight w:val="362"/>
        </w:trPr>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Accounts</w:t>
            </w:r>
          </w:p>
        </w:tc>
        <w:tc>
          <w:tcPr>
            <w:tcW w:w="100" w:type="dxa"/>
            <w:vAlign w:val="bottom"/>
          </w:tcPr>
          <w:p>
            <w:pPr>
              <w:spacing w:after="0"/>
              <w:rPr>
                <w:sz w:val="24"/>
                <w:szCs w:val="2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Notes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Accounts</w:t>
            </w:r>
          </w:p>
        </w:tc>
      </w:tr>
      <w:tr>
        <w:trPr>
          <w:trHeight w:val="158"/>
        </w:trPr>
        <w:tc>
          <w:tcPr>
            <w:tcW w:w="4680" w:type="dxa"/>
            <w:vAlign w:val="bottom"/>
          </w:tcPr>
          <w:p>
            <w:pPr>
              <w:ind w:left="20"/>
              <w:spacing w:after="0" w:line="158" w:lineRule="exact"/>
              <w:rPr>
                <w:sz w:val="20"/>
                <w:szCs w:val="20"/>
                <w:color w:val="auto"/>
              </w:rPr>
            </w:pPr>
            <w:r>
              <w:rPr>
                <w:rFonts w:ascii="Arial" w:cs="Arial" w:eastAsia="Arial" w:hAnsi="Arial"/>
                <w:sz w:val="14"/>
                <w:szCs w:val="14"/>
                <w:color w:val="auto"/>
              </w:rPr>
              <w:t>($ in thousands)</w:t>
            </w:r>
          </w:p>
        </w:tc>
        <w:tc>
          <w:tcPr>
            <w:tcW w:w="320" w:type="dxa"/>
            <w:vAlign w:val="bottom"/>
            <w:gridSpan w:val="2"/>
          </w:tcPr>
          <w:p>
            <w:pPr>
              <w:jc w:val="right"/>
              <w:ind w:right="30"/>
              <w:spacing w:after="0" w:line="158"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Receivable</w:t>
            </w:r>
          </w:p>
        </w:tc>
        <w:tc>
          <w:tcPr>
            <w:tcW w:w="100" w:type="dxa"/>
            <w:vAlign w:val="bottom"/>
          </w:tcPr>
          <w:p>
            <w:pPr>
              <w:spacing w:after="0"/>
              <w:rPr>
                <w:sz w:val="13"/>
                <w:szCs w:val="13"/>
                <w:color w:val="auto"/>
              </w:rPr>
            </w:pPr>
          </w:p>
        </w:tc>
        <w:tc>
          <w:tcPr>
            <w:tcW w:w="98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Receivable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380"/>
              <w:spacing w:after="0" w:line="158"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Receivable</w:t>
            </w: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2,748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2,748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2,978</w:t>
            </w:r>
          </w:p>
        </w:tc>
      </w:tr>
      <w:tr>
        <w:trPr>
          <w:trHeight w:val="229"/>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Charged to bad debt expense</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5,618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30"/>
        </w:trPr>
        <w:tc>
          <w:tcPr>
            <w:tcW w:w="4680" w:type="dxa"/>
            <w:vAlign w:val="bottom"/>
          </w:tcPr>
          <w:p>
            <w:pPr>
              <w:ind w:left="220"/>
              <w:spacing w:after="0" w:line="230" w:lineRule="exact"/>
              <w:rPr>
                <w:sz w:val="20"/>
                <w:szCs w:val="20"/>
                <w:color w:val="auto"/>
              </w:rPr>
            </w:pPr>
            <w:r>
              <w:rPr>
                <w:rFonts w:ascii="Arial" w:cs="Arial" w:eastAsia="Arial" w:hAnsi="Arial"/>
                <w:sz w:val="18"/>
                <w:szCs w:val="18"/>
                <w:color w:val="auto"/>
              </w:rPr>
              <w:t>Deductions</w:t>
            </w:r>
            <w:r>
              <w:rPr>
                <w:rFonts w:ascii="Arial" w:cs="Arial" w:eastAsia="Arial" w:hAnsi="Arial"/>
                <w:sz w:val="26"/>
                <w:szCs w:val="26"/>
                <w:color w:val="auto"/>
                <w:vertAlign w:val="superscript"/>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840" w:type="dxa"/>
            <w:vAlign w:val="bottom"/>
            <w:gridSpan w:val="4"/>
          </w:tcPr>
          <w:p>
            <w:pPr>
              <w:jc w:val="right"/>
              <w:ind w:right="220"/>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(984)</w:t>
            </w:r>
          </w:p>
        </w:tc>
      </w:tr>
      <w:tr>
        <w:trPr>
          <w:trHeight w:val="223"/>
        </w:trPr>
        <w:tc>
          <w:tcPr>
            <w:tcW w:w="4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r>
      <w:tr>
        <w:trPr>
          <w:trHeight w:val="20"/>
        </w:trPr>
        <w:tc>
          <w:tcPr>
            <w:tcW w:w="4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left="380" w:hanging="330"/>
        <w:spacing w:after="0"/>
        <w:tabs>
          <w:tab w:leader="none" w:pos="38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These amounts primarily relate to the write off of uncollectable accounts after collection efforts have been exhausted.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Company’s most significant industry concentration of credit risk is with financial institutions from which the Company has recorded receivables and contracts in transit. These financial institutions provide financing to the Company’s customers for the purchase of a vehicle in the normal course of business. These receivables are short-term in nature and are from various financial institutions located throughout the United States.</w:t>
      </w:r>
    </w:p>
    <w:p>
      <w:pPr>
        <w:spacing w:after="0" w:line="179"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The Company has cash deposited in various financial institutions that is in excess of the insurance limits provided by the Federal Deposit Insurance Corporation. The amount in excess of FDIC limits as of December 31, 2025 and 2024 was approximately $238.9 million and $231.5 million, respectively.</w:t>
      </w:r>
    </w:p>
    <w:p>
      <w:pPr>
        <w:spacing w:after="0" w:line="17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 Company is potentially subject to concentrations of credit risk in accounts receivable. Concentrations of credit risk with respect to accounts receivable are limited due to the large number of customers and their geographic dispersion.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Inventories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New and used RV inventories consist primarily of new and used recreational vehicles held for sale valued using the specific-identification method and valued at the lower of cost or net realizable value. Cost includes purchase costs, reconditioning costs, dealer-installed accessories, freight, and rebates. For vehicles accepted in trades, the cost is the fair value of such used vehicles at the time of the trade-in plus reconditioning costs. Products, parts, accessories, and other inventories primarily consist of installable parts, as well as retail travel and leisure specialty merchandise and are stated at lower of cost, including freight and rebates, or net realizable value using the first in, first out method.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Held for Sale</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continually evaluates its portfolio for non-strategic assets and classifies assets and liabilities to be sold (“Disposal Group”) as held for sale in the period in which all specified GAAP criteria are met. Upon determining that a Disposal Group meets the criteria to be classified as held for sale, but does not meet the criteria for discontinued operations, the Company reports the assets and liabilities of the Disposal Group, if material, as separate line items on the consolidated balance sheets and ceases to record depreciation and amortization relating to the Disposal Group.</w:t>
      </w:r>
    </w:p>
    <w:p>
      <w:pPr>
        <w:spacing w:after="0" w:line="18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initially measures a Disposal Group that is classified as held for sale at the lower of its carrying value or fair value less any costs to sell. Any loss resulting from this measurement is recognized in the period in which the held for sale criteria are met. Conversely, gains are not recognized on the sale of a Disposal Group until the date of sale. The estimated fair value for Disposal Groups comprised of properties are typically based on appraisals and/or offers from prospective buyers.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 net</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Property and equipment is recorded at historical cost, net of accumulated depreciation and amortization, and, if applicable, impairment charges. Depreciation of property and equipment is provided using the straight-line method over the following estimated useful lives of the assets:</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780" w:type="dxa"/>
            <w:vAlign w:val="bottom"/>
            <w:tcBorders>
              <w:bottom w:val="single" w:sz="8" w:color="CCEEFF"/>
            </w:tcBorders>
          </w:tcPr>
          <w:p>
            <w:pPr>
              <w:ind w:left="558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Years</w:t>
            </w:r>
          </w:p>
        </w:tc>
      </w:tr>
      <w:tr>
        <w:trPr>
          <w:trHeight w:val="224"/>
        </w:trPr>
        <w:tc>
          <w:tcPr>
            <w:tcW w:w="20" w:type="dxa"/>
            <w:vAlign w:val="bottom"/>
          </w:tcPr>
          <w:p>
            <w:pPr>
              <w:spacing w:after="0"/>
              <w:rPr>
                <w:sz w:val="19"/>
                <w:szCs w:val="19"/>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5-40</w:t>
            </w:r>
          </w:p>
        </w:tc>
      </w:tr>
      <w:tr>
        <w:trPr>
          <w:trHeight w:val="230"/>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3-40</w:t>
            </w:r>
          </w:p>
        </w:tc>
      </w:tr>
      <w:tr>
        <w:trPr>
          <w:trHeight w:val="229"/>
        </w:trPr>
        <w:tc>
          <w:tcPr>
            <w:tcW w:w="20" w:type="dxa"/>
            <w:vAlign w:val="bottom"/>
          </w:tcPr>
          <w:p>
            <w:pPr>
              <w:spacing w:after="0"/>
              <w:rPr>
                <w:sz w:val="19"/>
                <w:szCs w:val="19"/>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3-12</w:t>
            </w:r>
          </w:p>
        </w:tc>
      </w:tr>
      <w:tr>
        <w:trPr>
          <w:trHeight w:val="239"/>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Software</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3-5</w:t>
            </w:r>
          </w:p>
        </w:tc>
      </w:tr>
    </w:tbl>
    <w:p>
      <w:pPr>
        <w:spacing w:after="0" w:line="201"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8"/>
          <w:szCs w:val="18"/>
          <w:color w:val="auto"/>
        </w:rPr>
        <w:t>Leasehold improvements are amortized over the useful lives of the assets or the remaining term of the respective lease, whichever is shorter.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Leases are recorded in accordance with Accounting Standards Codification (“ASC”) 842, Leases (“ASC 842”) (see Note 11 — Lease Obligations). The Company leases property and equipment throughout the United States primarily under finance and operating leases. For leases with initial lease terms at commencement that are greater than 12 months, the Company records the related asset and obligation at the present value of lease payments over the term. Many of the Company’s leases include rental escalation clauses, renewal options and/or termination options that are factored into the determination of lease payments when appropriate. The Company aggregates non-lease components with the related lease components when evaluating the accounting treatment for property, equipment, and billboard leases.</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Many of the Company’s lease agreements include fixed rental payments. Certain of its lease agreements include fixed rental payments that are adjusted periodically for changes in the Consumer Price Index (“CPI”). Payments based on a change in an index or a rate, rather than a specified index or rate, are not considered in the determination of lease payments for purposes of measuring the related lease liability. While lease liabilities are not remeasured as a result of changes to the CPI, changes to the CPI are typically treated as variable lease payments and recognized in the period in which the obligation for those payments is incurred. Common area maintenance, property tax, and insurance associated with triple net leases, as well as payments based on revenue generated at certain leased locations, are included in variable lease costs, but are not included in the measurement of the lease liability.</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Most of the Company’s real estate leases include one or more options to renew, with renewal terms that can extend the lease term from one to five years or more. The exercise of lease renewal options is at the Company’s sole discretion. If it is reasonably certain that the Company will exercise such options, the periods covered by such options are included in the lease term and are recognized as part of the operating lease assets and operating lease liabilities. The depreciable life of assets and leasehold improvements are limited to the shorter of the lease term or useful life if there is a transfer of title or purchase option reasonably certain of exercise.</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cannot readily determine the rate implicit in its leases. Therefore, the Company must estimate its incremental borrowing rate to discount the lease payments based on information available at lease commencement. The Company estimates its incremental borrowing rate using a yield curve based on the credit rating of its collateralized debt and maturities that are commensurate with the lease term at the applicable commencement or remeasurement date.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Goodwill is evaluated for impairment on an annual basis as of the beginning of the fourth quarter, or more frequently if events or changes in circumstances indicate that the Company’s goodwill might be impaired. The Company has the option to assess qualitative factors to determine whether it is more likely than not that the fair value of a reporting unit is less than its carrying amount. If the Company determines it is more likely than not that the fair value of a reporting unit is less than its carrying amount or the Company elects to not perform a qualitative analysis, then it is required to perform a quantitative impairment test by calculating the fair value of the reporting unit and comparing the fair value with the carrying amount of the reporting unit. If the carrying amount of a reporting unit exceeds its fair value, then the Company records an impairment of goodwill equal to the amount that the carrying amount of a reporting unit exceeds its fair value. (see Note 8 – Goodwill and Intangible Assets). Finite-lived intangibles are recorded at cost, net of accumulated amortization and, if applicable, impairment charges.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Long-Lived Assets</w:t>
      </w:r>
    </w:p>
    <w:p>
      <w:pPr>
        <w:spacing w:after="0" w:line="21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Long-lived assets are included in property and equipment, which also includes capitalized software costs to be held and used. For the Company’s major software systems, such as its accounting and membership systems, its capitalized costs may include some internal or external costs to configure, install and test the software during the application development stage. The Company does not capitalize preliminary project costs, nor does it capitalize training, data conversion costs, maintenance or post development stage costs. The Company’s long-lived assets are reviewed for impairment whenever events or changes in circumstances</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indicate that the carrying amount of an asset may not be recoverable. The Company’s long-lived asset groups exist predominantly at the individual location level and the associated impairment analysis involves the comparison of an asset group’s estimated future undiscounted cash flows over its remaining useful life to its respective carrying value, which primarily includes furniture, equipment, leasehold improvements, and operating lease assets for leased properties or furniture, equipment, land, and buildings for owned properties. For long-lived asset groups identified with carrying values not recoverable by future undiscounted cash flows, impairment charges are recognized to the extent the sum of the discounted future cash flows from the use of the asset group is less than the carrying value. The impairment charge is allocated to the individual long-lived assets within an asset group; however, an individual long-lived asset is not impaired below its individual fair value, if readily determinable. The measurement of any impairment loss includes estimation of the fair value of the asset group’s respective operating lease assets, which includes estimates of market rental rates based on comparable lease transactions.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Long-Term Debt</w:t>
      </w:r>
    </w:p>
    <w:p>
      <w:pPr>
        <w:spacing w:after="0" w:line="225"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fair value of the Company’s long-term debt is estimated based on the quoted market prices for the same or similar issues or on the current rates offered for debt of the same or similar remaining maturities.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Revenues are recognized by the Company when control of the promised goods or services is transferred to its customers in an amount that reflects the consideration the Company expects to be entitled to in exchange for those goods or services. Sales and other taxes collected from the customer concurrent with revenue-producing activities are excluded from revenue. Incidental items that are immaterial in the context of the contract are recognized as expense. The Company’s contracts with customers may include multiple performance obligations. For such arrangements, the Company allocates revenue to each performance obligation based on its relative stand-alone selling price. The Company generally determines stand-alone selling prices based on the prices charged to customers or using the adjusted market assessment approach. The Company presents disaggregated revenue on its consolidated statements of operations.</w:t>
      </w:r>
    </w:p>
    <w:p>
      <w:pPr>
        <w:spacing w:after="0" w:line="183"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The Company does not adjust the promised amount of consideration for the effects of a significant financing component if the Company expects, at contract inception, that the period of time between payment and transfer of the promised goods or services will be one year or less. The Company expenses sales commissions when incurred in cases where the amortization period of those otherwise capitalized sales commissions would have been one year or less. The Company does not disclose the value of unsatisfied performance obligations for revenue streams for (i) contracts with an original expected length of one year or less and (ii) contracts for which the Company recognizes revenue at the amount to which it has the right to invoice for services performed. The Company accounts for shipping and handling as activities to fulfill the promise to transfer the good to the customer and does not evaluate whether shipping and handling is a separate performance obligation.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 Sam Services and Plans</w:t>
      </w:r>
    </w:p>
    <w:p>
      <w:pPr>
        <w:spacing w:after="0" w:line="210"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Good Sam Services and Plans revenue consists primarily of revenue from emergency roadside assistance plans, publications and marketing fees from various consumer services and plans. Roadside Assistance (“RA”) revenues are deferred and recognized over the contractual life of the membership. RA claim expenses are recognized when incurred. Marketing fees for finance, insurance, extended service and other similar products are recognized as variable consideration, net of estimated cancellations, if applicable, when a product contract payment has been received or financing has been arranged. These marketing fees are recorded net as the Company acts as an agent in the transaction. The related estimate for cancellations on the marketing fees for multi-year finance and insurance products utilize actuarial analysis to estimate the exposure. Promotional expenses consist primarily of direct mail advertising expenses and renewal expenses and are expensed at the time related materials are mailed. Newsstand sales of publications and related expenses are recorded as variable consideration at the time of delivery, net of estimated returns. Subscription sales of publications are reflected in income over the lives of the subscriptions. The related selling expenses are expensed as incurred. Advertising revenues and related expenses are recorded at the time of delivery.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New and Used Vehicles</w:t>
      </w:r>
    </w:p>
    <w:p>
      <w:pPr>
        <w:spacing w:after="0" w:line="22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RV vehicle revenue consists of sales of new and used recreational vehicles, sales of RV parts and services, and commissions on the related finance and insurance contracts. Revenue from the sale of recreational vehicles is recognized upon completion of the sale to the customer. Conditions to completing a sale include having an agreement with the customer, including pricing, whereby the sales price must be reasonably expected to be collected and having control transferred to the customer. Customers often trade in their own vehicle to apply toward the purchase of a new or used vehicle. The trade-in vehicle is a type of noncash consideration measured at fair value, based on external and internal market data for the specific vehicle, and applied as payment to the contract price for the purchased new or used vehicle.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Products, Service and Other</w:t>
      </w:r>
    </w:p>
    <w:p>
      <w:pPr>
        <w:spacing w:after="0" w:line="223"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Revenue from RV-related parts, service and other products sales is recognized over time as work is completed, and when parts or other products are delivered to the Company’s customers. For service and parts revenues recorded over time, the Company utilizes a method that considers total costs incurred to date and the applicable margin in relation to total expected efforts to complete our performance obligation in order to determine the appropriate amount of revenue to recognize over time.</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remaining RV and Outdoor retail revenue consists of sales of products, service and other, including RV accessories and supplies; outdoor products, equipment, gear and supplies; and, prior to the divestiture of RV and Outdoor Retail segment’s RV furniture business in May 2024 (see Note 6 — Assets Held for Sale and Business Divestiture for further details), the distribution of RV furniture. Revenue from products, service and other is recognized over time as work is completed, and when parts or other products are delivered to the Company’s customers. E-commerce sales are recognized when the product is shipped and recorded as variable consideration, which is net of anticipated merchandise returns that reduce revenue and cost of sales in the period that the related sales are recorded.</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When points are awarded to customers under the Good Sam Club program for purchases of products or services, a portion of the product or service revenue is allocated to the points liability based on the relative standalone selling price of the points, net of estimated breakage. The resulting point liability is deferred until the revenue is recognized (i) when the points are redeemed by the customer as a reduction of the purchase price of future purchases of the Company’s products or services or (ii) when the point liability is adjusted to reflect changes in breakage estimates. Points expire twelve months after the date that they are credited to a customer’s account.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Finance and Insurance, net</w:t>
      </w:r>
    </w:p>
    <w:p>
      <w:pPr>
        <w:spacing w:after="0" w:line="22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Finance and insurance revenue is recorded net, since the Company is acting as an agent in the transaction, and is recognized when a finance and insurance product contract payment has been received or financing has been arranged. The proceeds the Company receives for arranging financing contracts, selling extended service contracts, and selling other insurance products, are subject to chargebacks if the customer terminates the respective contract earlier than a stated period. In the case of insurance products and extended service contracts, the stated period typically extends from one to seven years with the refundable revenue declining over the contract term. These proceeds are recorded as variable consideration, net of estimated chargebacks. Chargebacks are estimated based on ultimate future cancellation rates by product type and year sold using a combination of actuarial methods and leveraging the Company’s historical experience from the past ten years, adjusted for new consumer trends. The chargeback liabilities included in the estimate of variable consideration totaled $70.4 million and $65.4 million as of December 31, 2025 and December 31, 2024, respectively, which are recorded as part of other current liabilities and other long-term liabilities on the Company’s consolidated balance sheets.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 Sam Club</w:t>
      </w:r>
    </w:p>
    <w:p>
      <w:pPr>
        <w:spacing w:after="0" w:line="223"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Good Sam Club revenue consists of revenue from club membership fees and royalty fees from co-branded credit cards. Membership revenue is generated from annual, multiyear and lifetime memberships. The revenue and expenses associated with these memberships are deferred and amortized over the membership</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period. Unearned revenue and profit are subject to revisions as the membership progresses to completion. Revisions to membership period estimates would change the amount of income and expense amortized in future accounting periods. For lifetime memberships, an 18-year period is used, which is the actuarially determined estimated fulfillment period. Royalty revenue is earned under the terms of an arrangement with a third-party credit card provider based on a percentage of the Company’s co-branded credit card portfolio retail spending with such third-party credit card provider and for acquiring new cardholders.</w:t>
      </w:r>
    </w:p>
    <w:p>
      <w:pPr>
        <w:spacing w:after="0" w:line="18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When points are awarded to cardholders under the co-branded credit card program relating to sign-up or card activity, a portion of the revenue from the third-party credit card provider is allocated to the points liability based on the relative standalone selling price of the points, net of estimated breakage. The resulting point liability is deferred until the revenue is recognized (i) when the points are redeemed by the cardholder as a reduction of the purchase price of future purchases of the Company’s products or services, (ii) as a credit to their credit card balance, (iii) or when the point liability is adjusted to reflect changes in breakage estimates. Points generally expire twelve months after the date that they are credited to a customer’s account.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Advertising Expenses</w:t>
      </w:r>
    </w:p>
    <w:p>
      <w:pPr>
        <w:spacing w:after="0" w:line="212"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Advertising expenses are expensed as incurred. Advertising expenses for the years ended December 31, 2025, 2024 and 2023 were $131.2 million, $127.0 million and $101.1 million, respectively. Advertising expenses relating to RV and Outdoor Retail segment were included in selling, general and administrative expenses in the consolidated statements of operations. Advertising expenses relating to the Good Sam Services and Plans segment were included in costs applicable to revenues in the consolidated statements of operations, since, by the nature of those revenue streams, they are integral to the generation of those revenues.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Vendor Allowances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a component of the Company’s consolidated procurement program, the Company frequently enters into contracts with vendors that provide for payments of rebates or other allowances. These vendor payments are reflected in the carrying value of the inventory when earned or as progress is made toward earning the rebate or allowance and as a component of cost of sales as the inventory is sold. Certain of these vendor contracts provide for rebates and other allowances that are contingent upon the Company meeting specified performance measures such as a cumulative level of purchases over a specified period of time. Such contingent rebates and other allowances are given accounting recognition at the point at which achievement of the specified performance measures are deemed to be probable and reasonably estimable.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Shipping and Handling Fees and Costs</w:t>
      </w:r>
    </w:p>
    <w:p>
      <w:pPr>
        <w:spacing w:after="0" w:line="225"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The Company reports shipping and handling costs billed to customers as a component of revenues, and related costs are reported as a component of costs applicable to revenues. For the years ended December 31, 2025, 2024, and 2023, $1.8 million, $2.9 million, and $4.4 million of shipping and handling fees, respectively, were included in the RV and Outdoor Retail segment as revenue.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recognizes deferred tax assets and liabilities based on the asset and liability method, which requires an adjustment to the deferred tax asset or liability to reflect income tax rates currently in effect. When income tax rates increase or decrease, a corresponding adjustment to income tax expense is recorded by applying the rate change to the cumulative temporary differences. The Company records a valuation allowance to reduce its deferred tax assets to the amount that is more likely than not to be realized. In evaluating the Company’s ability to recover its deferred tax assets, it considers all available positive and negative evidence, including its operating results, ongoing tax planning and forecasts of future taxable income on a jurisdiction-by-jurisdiction basis. As of December 31, 2025, management concluded that a full valuation allowance was necessary to be recorded against net deferred tax assets of the public holding company, CWH.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firstLine="648"/>
        <w:spacing w:after="0" w:line="268" w:lineRule="auto"/>
        <w:rPr>
          <w:sz w:val="20"/>
          <w:szCs w:val="20"/>
          <w:color w:val="auto"/>
        </w:rPr>
      </w:pPr>
      <w:r>
        <w:rPr>
          <w:rFonts w:ascii="Arial" w:cs="Arial" w:eastAsia="Arial" w:hAnsi="Arial"/>
          <w:sz w:val="18"/>
          <w:szCs w:val="18"/>
          <w:color w:val="auto"/>
        </w:rPr>
        <w:t>The Company recognizes the tax benefit from an uncertain tax position in accordance with accounting guidance on accounting for uncertainty in income taxes. The Company classifies interest and penalties relating to income taxes as income tax expense. See Note 12 — Income Taxes for additional information.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has experienced, and expects to continue to experience, variability in revenue, net</w:t>
      </w:r>
    </w:p>
    <w:p>
      <w:pPr>
        <w:spacing w:after="0" w:line="14"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income, and cash flows as a result of annual seasonality in its business. Because RVs are used primarily by vacationers and campers, demand for services, protection plans, products, and resources generally declines</w:t>
      </w:r>
    </w:p>
    <w:p>
      <w:pPr>
        <w:spacing w:after="0" w:line="2" w:lineRule="exact"/>
        <w:rPr>
          <w:sz w:val="20"/>
          <w:szCs w:val="20"/>
          <w:color w:val="auto"/>
        </w:rPr>
      </w:pPr>
    </w:p>
    <w:p>
      <w:pPr>
        <w:jc w:val="both"/>
        <w:ind w:left="60" w:right="79"/>
        <w:spacing w:after="0" w:line="250" w:lineRule="auto"/>
        <w:rPr>
          <w:sz w:val="20"/>
          <w:szCs w:val="20"/>
          <w:color w:val="auto"/>
        </w:rPr>
      </w:pPr>
      <w:r>
        <w:rPr>
          <w:rFonts w:ascii="Arial" w:cs="Arial" w:eastAsia="Arial" w:hAnsi="Arial"/>
          <w:sz w:val="18"/>
          <w:szCs w:val="18"/>
          <w:color w:val="auto"/>
        </w:rPr>
        <w:t>during the winter season, while sales and profits are generally highest during the spring and summer months. In addition, unusually severe weather conditions in some geographic areas may impact demand.</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generates a disproportionately higher amount of its annual revenue in its second and</w:t>
      </w:r>
    </w:p>
    <w:p>
      <w:pPr>
        <w:spacing w:after="0" w:line="14"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third fiscal quarters, which include the spring and summer months. The Company incurs additional expenses in the second and third fiscal quarters due to higher sale volumes, increased staffing in its store locations and</w:t>
      </w:r>
    </w:p>
    <w:p>
      <w:pPr>
        <w:ind w:left="60"/>
        <w:spacing w:after="0" w:line="236" w:lineRule="auto"/>
        <w:rPr>
          <w:sz w:val="20"/>
          <w:szCs w:val="20"/>
          <w:color w:val="auto"/>
        </w:rPr>
      </w:pPr>
      <w:r>
        <w:rPr>
          <w:rFonts w:ascii="Arial" w:cs="Arial" w:eastAsia="Arial" w:hAnsi="Arial"/>
          <w:sz w:val="18"/>
          <w:szCs w:val="18"/>
          <w:color w:val="auto"/>
        </w:rPr>
        <w:t>program costs. If, for any reason, the Company miscalculates the demand for its products or its product mix</w:t>
      </w:r>
    </w:p>
    <w:p>
      <w:pPr>
        <w:spacing w:after="0" w:line="1" w:lineRule="exact"/>
        <w:rPr>
          <w:sz w:val="20"/>
          <w:szCs w:val="20"/>
          <w:color w:val="auto"/>
        </w:rPr>
      </w:pPr>
    </w:p>
    <w:p>
      <w:pPr>
        <w:jc w:val="both"/>
        <w:ind w:left="60" w:right="79"/>
        <w:spacing w:after="0" w:line="226" w:lineRule="auto"/>
        <w:rPr>
          <w:sz w:val="20"/>
          <w:szCs w:val="20"/>
          <w:color w:val="auto"/>
        </w:rPr>
      </w:pPr>
      <w:r>
        <w:rPr>
          <w:rFonts w:ascii="Arial" w:cs="Arial" w:eastAsia="Arial" w:hAnsi="Arial"/>
          <w:sz w:val="18"/>
          <w:szCs w:val="18"/>
          <w:color w:val="auto"/>
        </w:rPr>
        <w:t>during the second and third fiscal quarters, its sales in these quarters could decline, resulting in higher labor costs as a percentage of gross profit, lower margins and excess inventory, which could cause the Company’s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annual results of operations to suffer and its stock price to decline.</w:t>
      </w:r>
    </w:p>
    <w:p>
      <w:pPr>
        <w:spacing w:after="0" w:line="140"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Additionally, selling, general, and administrative (“SG&amp;A”) expenses as a percentage of gross profit tend to be higher in the first and fourth quarters due to the seasonality of the Company’s business.</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Due to the Company’s seasonality, the possible adverse impact from other risks associated with its</w:t>
      </w:r>
    </w:p>
    <w:p>
      <w:pPr>
        <w:spacing w:after="0" w:line="14"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business, including atypical weather, consumer spending levels, changes in the costs of the Company’s products including the impact of tariffs, and general business conditions, is potentially greater if any such risks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occur during the Company’s peak sales seasons.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3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8"/>
          <w:szCs w:val="18"/>
          <w:color w:val="auto"/>
        </w:rPr>
        <w:t>In December 2023, the Financial Accounting Standards Board (“FASB”) issued Accounting Standards Update (“ASU”) 2023-09, Income Taxes (Topic 740): Improvements to Income Tax Disclosures. This ASU requires that public business entities on an annual basis disclose (1) consistent categories and greater disaggregation of information in the rate reconciliation, and (2) income taxes paid disaggregated by jurisdiction. The standard is effective for annual periods beginning after December 15, 2024, with early adoption permitted. The Company adopted the provisions of this ASU as of January 1, 2025, with respect to the annual disclosures beginning with the year ended December 31, 2025. The adoption of this ASU resulted in additional annual income tax disclosures and did not otherwise have a material impact on the Company’s consolidated financial statements.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8"/>
          <w:szCs w:val="18"/>
          <w:color w:val="auto"/>
        </w:rPr>
        <w:t>In November 2024, the FASB issued ASU 2024-03, Income Statement―Reporting Comprehensive Income―Expense Disaggregation Disclosures (Subtopic 220-40): Disaggregation of Income Statement Expenses. This ASU requires that at each interim and annual reporting period entities present a new tabular disclosure in the notes to the financial statements, presenting disaggregation of the amounts of purchases of inventory, employee compensation, depreciation, intangible asset amortization and depletion. Furthermore, the ASU requires entities to include certain amounts that are already required to be disclosed under GAAP in the same disclosure as other disaggregation requirements and disclose a qualitative description of the amounts remaining in relevant expense captions that are not separately disaggregated quantitatively. Additionally, entities are required to disclose the total amount of selling expenses and, in annual reporting period, an entity’s definition of selling expenses. The standard is effective for fiscal years beginning after December 15, 2026 and interim periods within fiscal years beginning after December 15, 2027, with early adoption permitted. The Company is currently evaluating the impact that the adoption of the provisions of the ASU will have on its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In July 2025, the FASB issued ASU 2025-05, Financial Instruments―Credit Losses (Topic 326): Measurement of Credit Losses for Accounts Receivable and Contract Assets. This ASU provides a practical expedient for all entities and a related accounting policy election for entities other than public business entities for the calculation of current expected credit losses on current accounts receivable and current contract assets. The practical expedient allows all entities to assume that conditions as of the balance sheet date will remain unchanged for an asset’s remaining life when estimating credit losses on current accounts receivable and current contract assets arising from transactions under ASC 606. The standard is effective for fiscal years beginning after December 15, 2025 and interim periods within those annual reporting periods, with early adoption permitted. The adoption of this ASU will result in a disclosure of the election of the practical expedient and does not otherwise have a material impact on the Company’s consolidated financial statements</w:t>
      </w:r>
      <w:r>
        <w:rPr>
          <w:rFonts w:ascii="Arial" w:cs="Arial" w:eastAsia="Arial" w:hAnsi="Arial"/>
          <w:sz w:val="19"/>
          <w:szCs w:val="19"/>
          <w:color w:val="auto"/>
        </w:rPr>
        <w:t>.</w:t>
      </w:r>
    </w:p>
    <w:p>
      <w:pPr>
        <w:spacing w:after="0" w:line="112"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8"/>
          <w:szCs w:val="18"/>
          <w:color w:val="auto"/>
        </w:rPr>
        <w:t>In September 2025, the FASB issued ASU 2025-06, Intangibles―Goodwill and Other―Internal-Use Software (Subtopic 350-40): Targeted Improvements to the Accounting for Internal-Use Software. This ASU removes all references to software development stages throughout Subtopic 350-40. Instead,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(referred to as the “probable-to-complete recognition threshold”). In evaluating the probable-to-complete threshold, an entity is required to consider whether there is significant uncertainty associated with the development activities of the software, as described by the standard. This ASU specifies that the disclosures in Subtopic 360-10, Property, Plant, and Equipment—Overall, are required for all capitalized internal-use software costs, regardless of how those costs are presented in the financial statements. The standard is effective for fiscal years beginning after December 15, 2027 and interim periods within those annual reporting periods, with early adoption permitted. The Company is currently evaluating the impact that the adoption of the provisions of the ASU will have on its consolidated financial statements.</w:t>
      </w:r>
    </w:p>
    <w:p>
      <w:pPr>
        <w:spacing w:after="0" w:line="11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In December 2025, the FASB issued ASU 2025-11, Interim Reporting (Topic 270): Narrow-Scope Improvements. The amendments in this ASU clarify interim disclosure requirements and the applicability of Topic 270. The objective of the update is to provide clarity about current interim requirements and also includes a disclosure principle that requires entities to disclose events since the end of the last annual reporting period that have a material impact on the entity. The standard is effective for interim periods with the annual reporting period beginning after December 15, 2027, with early adoption permitted. The Company is currently evaluating the impact that the adoption of the provisions of the ASU will have on its consolidated financial statements.</w:t>
      </w:r>
    </w:p>
    <w:p>
      <w:pPr>
        <w:spacing w:after="0" w:line="113"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8"/>
          <w:szCs w:val="18"/>
          <w:color w:val="auto"/>
        </w:rPr>
        <w:t>In December 2025, the FASB issued ASU 2025-12, Codification Improvements. This ASU represents changes to the Accounting Standards Codification (“ASC”) that (1) clarify, (2) correct errors, or (3) make minor improvements. The ASU is intended to make the ASC easier to understand and apply. The standard is effective for fiscal years beginning after December 15, 2026 and interim periods within those annual reporting periods, with early adoption permitted. The Company is currently evaluating the impact that the adoption of the provisions of the ASU will have on its consolidated financial statements.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Revenue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 Assets and Capitalized Costs to Acquire a Contract</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of December 31, 2025, 2024 and 2023, contract assets of $10.7 million, $10.0 million and $16.1 million, respectively, related to RV service revenues were included in accounts receivable in the accompanying consolidated balance sheets. As of December 31, 2025 and 2024, the Company had capitalized costs to acquire a contract consisting of $4.2 million and $4.4 million, respectively, from the deferral of sales commissions expenses relating to multi-year consumer services and plans and the recording of such expenses over the same period as the recognition of the related revenues.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Revenues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records deferred revenues when cash payments are received or due in advance of the Company’s performance, net of estimated refunds that are presented separately as a component of accrued liabilities. For the years ended December 31, 2025 and 2024, $90.2 million and $90.3 million of revenues recognized, respectively, were included in the deferred revenues balance at the beginning of the period. As of December 31, 2023, total deferred revenues was $159.1 million.</w:t>
      </w:r>
    </w:p>
    <w:p>
      <w:pPr>
        <w:spacing w:after="0" w:line="17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As of December 31, 2025, the Company had unsatisfied performance obligations primarily relating to plans for its roadside assistance, Good Sam Club memberships, Good Sam Club loyalty program, Coast to Coast memberships, the annual campground guide, and magazine publication revenue streams. The total unsatisfied performance obligations for these revenue streams as of December 31, 2025 and the periods during which the Company expects to recognize the amounts as revenue are presented as follows:</w:t>
      </w:r>
    </w:p>
    <w:p>
      <w:pPr>
        <w:spacing w:after="0" w:line="98" w:lineRule="exact"/>
        <w:rPr>
          <w:sz w:val="20"/>
          <w:szCs w:val="20"/>
          <w:color w:val="auto"/>
        </w:rPr>
      </w:pPr>
    </w:p>
    <w:tbl>
      <w:tblPr>
        <w:tblLayout w:type="fixed"/>
        <w:tblInd w:w="9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12"/>
              <w:spacing w:after="0"/>
              <w:rPr>
                <w:sz w:val="20"/>
                <w:szCs w:val="20"/>
                <w:color w:val="auto"/>
              </w:rPr>
            </w:pPr>
            <w:r>
              <w:rPr>
                <w:rFonts w:ascii="Arial" w:cs="Arial" w:eastAsia="Arial" w:hAnsi="Arial"/>
                <w:sz w:val="14"/>
                <w:szCs w:val="14"/>
                <w:b w:val="1"/>
                <w:bCs w:val="1"/>
                <w:color w:val="auto"/>
              </w:rPr>
              <w:t>As of</w:t>
            </w:r>
          </w:p>
        </w:tc>
      </w:tr>
      <w:tr>
        <w:trPr>
          <w:trHeight w:val="197"/>
        </w:trPr>
        <w:tc>
          <w:tcPr>
            <w:tcW w:w="554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1580" w:type="dxa"/>
            <w:vAlign w:val="bottom"/>
            <w:gridSpan w:val="3"/>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December 31, 2025</w:t>
            </w:r>
          </w:p>
        </w:tc>
      </w:tr>
      <w:tr>
        <w:trPr>
          <w:trHeight w:val="224"/>
        </w:trPr>
        <w:tc>
          <w:tcPr>
            <w:tcW w:w="20" w:type="dxa"/>
            <w:vAlign w:val="bottom"/>
          </w:tcPr>
          <w:p>
            <w:pPr>
              <w:spacing w:after="0"/>
              <w:rPr>
                <w:sz w:val="19"/>
                <w:szCs w:val="19"/>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2026</w:t>
            </w:r>
          </w:p>
        </w:tc>
        <w:tc>
          <w:tcPr>
            <w:tcW w:w="2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90,456</w:t>
            </w:r>
          </w:p>
        </w:tc>
      </w:tr>
      <w:tr>
        <w:trPr>
          <w:trHeight w:val="229"/>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28,867</w:t>
            </w: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14,199</w:t>
            </w:r>
          </w:p>
        </w:tc>
      </w:tr>
      <w:tr>
        <w:trPr>
          <w:trHeight w:val="229"/>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2029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7,942</w:t>
            </w: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2030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r>
      <w:tr>
        <w:trPr>
          <w:trHeight w:val="229"/>
        </w:trPr>
        <w:tc>
          <w:tcPr>
            <w:tcW w:w="20" w:type="dxa"/>
            <w:vAlign w:val="bottom"/>
          </w:tcPr>
          <w:p>
            <w:pPr>
              <w:spacing w:after="0"/>
              <w:rPr>
                <w:sz w:val="19"/>
                <w:szCs w:val="19"/>
                <w:color w:val="auto"/>
              </w:rPr>
            </w:pPr>
          </w:p>
        </w:tc>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147,229</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The Company’s payment terms vary by the type and location of its customer and the products or services offered. The term between invoicing and when payment is due is not significant. For certain products or services and customer types, the Company requires payment before the products or services are delivered to the customer.</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Accounts Receivable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Accounts receivable consisted of the following:</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0" w:type="dxa"/>
            <w:vAlign w:val="bottom"/>
            <w:gridSpan w:val="6"/>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December 31, ​​​December 31,</w:t>
            </w:r>
          </w:p>
        </w:tc>
        <w:tc>
          <w:tcPr>
            <w:tcW w:w="156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4240" w:type="dxa"/>
            <w:vAlign w:val="bottom"/>
            <w:gridSpan w:val="2"/>
          </w:tcPr>
          <w:p>
            <w:pPr>
              <w:ind w:left="460"/>
              <w:spacing w:after="0"/>
              <w:rPr>
                <w:sz w:val="20"/>
                <w:szCs w:val="20"/>
                <w:color w:val="auto"/>
              </w:rPr>
            </w:pPr>
            <w:r>
              <w:rPr>
                <w:rFonts w:ascii="Arial" w:cs="Arial" w:eastAsia="Arial" w:hAnsi="Arial"/>
                <w:sz w:val="14"/>
                <w:szCs w:val="14"/>
                <w:color w:val="auto"/>
              </w:rPr>
              <w:t>($ in thousands)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Good Sam Services and Plans</w:t>
            </w:r>
          </w:p>
        </w:tc>
        <w:tc>
          <w:tcPr>
            <w:tcW w:w="9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15,313</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14,373</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RV and Outdoor Retail</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and used vehicles</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Parts, service and other</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34,210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35,748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receivable</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Due from manufacturers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37,190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Escrow receivable from sale of real property</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13,625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11,946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9,365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173,920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123,160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131,048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credit losses</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170,498</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120,412</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128,070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20" w:type="dxa"/>
            <w:vAlign w:val="bottom"/>
            <w:vMerge w:val="restart"/>
          </w:tcPr>
          <w:p>
            <w:pPr>
              <w:jc w:val="right"/>
              <w:ind w:right="47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4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6"/>
        </w:trPr>
        <w:tc>
          <w:tcPr>
            <w:tcW w:w="4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139" w:firstLine="648"/>
        <w:spacing w:after="0" w:line="268" w:lineRule="auto"/>
        <w:rPr>
          <w:sz w:val="20"/>
          <w:szCs w:val="20"/>
          <w:color w:val="auto"/>
        </w:rPr>
      </w:pPr>
      <w:r>
        <w:rPr>
          <w:rFonts w:ascii="Arial" w:cs="Arial" w:eastAsia="Arial" w:hAnsi="Arial"/>
          <w:sz w:val="18"/>
          <w:szCs w:val="18"/>
          <w:color w:val="auto"/>
        </w:rPr>
        <w:t>As of December 31, 2025 and 2024, the Company had Good Sam Services and Plans receivables that were expected to be collected after one year of $6.0 million and $7.4 million, respectively, which were included in other assets in the consolidated balance sheets.</w:t>
      </w:r>
    </w:p>
    <w:p>
      <w:pPr>
        <w:spacing w:after="0" w:line="171" w:lineRule="exact"/>
        <w:rPr>
          <w:sz w:val="20"/>
          <w:szCs w:val="20"/>
          <w:color w:val="auto"/>
        </w:rPr>
      </w:pPr>
    </w:p>
    <w:p>
      <w:pPr>
        <w:ind w:left="60" w:right="219" w:firstLine="648"/>
        <w:spacing w:after="0" w:line="268" w:lineRule="auto"/>
        <w:rPr>
          <w:sz w:val="20"/>
          <w:szCs w:val="20"/>
          <w:color w:val="auto"/>
        </w:rPr>
      </w:pPr>
      <w:r>
        <w:rPr>
          <w:rFonts w:ascii="Arial" w:cs="Arial" w:eastAsia="Arial" w:hAnsi="Arial"/>
          <w:sz w:val="18"/>
          <w:szCs w:val="18"/>
          <w:color w:val="auto"/>
        </w:rPr>
        <w:t>On December 31, 2025, the Company closed on the $45.2 million sale of real property; however, net proceeds of $15.1 million and the principal payments of $ 30.1 million on the related Real Estate Facilities (see Note 10 — Long Term Debt) were not distributed through escrow until January 2, 2026.</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Inventories and Floor Plan Payables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consisted of the following:</w:t>
      </w:r>
    </w:p>
    <w:p>
      <w:pPr>
        <w:spacing w:after="0" w:line="248" w:lineRule="exact"/>
        <w:rPr>
          <w:sz w:val="20"/>
          <w:szCs w:val="20"/>
          <w:color w:val="auto"/>
        </w:rPr>
      </w:pPr>
    </w:p>
    <w:tbl>
      <w:tblPr>
        <w:tblLayout w:type="fixed"/>
        <w:tblInd w:w="9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55"/>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55"/>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400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360" w:type="dxa"/>
            <w:vAlign w:val="bottom"/>
            <w:gridSpan w:val="2"/>
          </w:tcPr>
          <w:p>
            <w:pPr>
              <w:jc w:val="right"/>
              <w:ind w:right="61"/>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2025</w:t>
            </w:r>
          </w:p>
        </w:tc>
        <w:tc>
          <w:tcPr>
            <w:tcW w:w="340" w:type="dxa"/>
            <w:vAlign w:val="bottom"/>
            <w:gridSpan w:val="2"/>
          </w:tcPr>
          <w:p>
            <w:pPr>
              <w:jc w:val="right"/>
              <w:ind w:right="4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2024</w:t>
            </w:r>
          </w:p>
        </w:tc>
      </w:tr>
      <w:tr>
        <w:trPr>
          <w:trHeight w:val="251"/>
        </w:trPr>
        <w:tc>
          <w:tcPr>
            <w:tcW w:w="20" w:type="dxa"/>
            <w:vAlign w:val="bottom"/>
          </w:tcPr>
          <w:p>
            <w:pPr>
              <w:spacing w:after="0"/>
              <w:rPr>
                <w:sz w:val="21"/>
                <w:szCs w:val="21"/>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Good Sam services and plans</w:t>
            </w:r>
          </w:p>
        </w:tc>
        <w:tc>
          <w:tcPr>
            <w:tcW w:w="2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56"/>
        </w:trPr>
        <w:tc>
          <w:tcPr>
            <w:tcW w:w="4000" w:type="dxa"/>
            <w:vAlign w:val="bottom"/>
            <w:gridSpan w:val="2"/>
          </w:tcPr>
          <w:p>
            <w:pPr>
              <w:spacing w:after="0"/>
              <w:rPr>
                <w:sz w:val="20"/>
                <w:szCs w:val="20"/>
                <w:color w:val="auto"/>
              </w:rPr>
            </w:pPr>
            <w:r>
              <w:rPr>
                <w:rFonts w:ascii="Arial" w:cs="Arial" w:eastAsia="Arial" w:hAnsi="Arial"/>
                <w:sz w:val="18"/>
                <w:szCs w:val="18"/>
                <w:color w:val="auto"/>
              </w:rPr>
              <w:t>New RVs</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1,421,435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1,241,533</w:t>
            </w:r>
          </w:p>
        </w:tc>
      </w:tr>
      <w:tr>
        <w:trPr>
          <w:trHeight w:val="257"/>
        </w:trPr>
        <w:tc>
          <w:tcPr>
            <w:tcW w:w="20" w:type="dxa"/>
            <w:vAlign w:val="bottom"/>
          </w:tcPr>
          <w:p>
            <w:pPr>
              <w:spacing w:after="0"/>
              <w:rPr>
                <w:sz w:val="22"/>
                <w:szCs w:val="22"/>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Used RVs</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530,861</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413,546</w:t>
            </w:r>
          </w:p>
        </w:tc>
      </w:tr>
      <w:tr>
        <w:trPr>
          <w:trHeight w:val="257"/>
        </w:trPr>
        <w:tc>
          <w:tcPr>
            <w:tcW w:w="4000" w:type="dxa"/>
            <w:vAlign w:val="bottom"/>
            <w:gridSpan w:val="2"/>
          </w:tcPr>
          <w:p>
            <w:pPr>
              <w:spacing w:after="0"/>
              <w:rPr>
                <w:sz w:val="20"/>
                <w:szCs w:val="20"/>
                <w:color w:val="auto"/>
              </w:rPr>
            </w:pPr>
            <w:r>
              <w:rPr>
                <w:rFonts w:ascii="Arial" w:cs="Arial" w:eastAsia="Arial" w:hAnsi="Arial"/>
                <w:sz w:val="18"/>
                <w:szCs w:val="18"/>
                <w:color w:val="auto"/>
              </w:rPr>
              <w:t>Products, parts, accessories and other</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159,255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166,495</w:t>
            </w:r>
          </w:p>
        </w:tc>
      </w:tr>
      <w:tr>
        <w:trPr>
          <w:trHeight w:val="250"/>
        </w:trPr>
        <w:tc>
          <w:tcPr>
            <w:tcW w:w="20" w:type="dxa"/>
            <w:vAlign w:val="bottom"/>
          </w:tcPr>
          <w:p>
            <w:pPr>
              <w:spacing w:after="0"/>
              <w:rPr>
                <w:sz w:val="21"/>
                <w:szCs w:val="21"/>
                <w:color w:val="auto"/>
              </w:rPr>
            </w:pPr>
          </w:p>
        </w:tc>
        <w:tc>
          <w:tcPr>
            <w:tcW w:w="39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2,111,900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1,821,837</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Substantially all of the Company’s new RV inventory and certain of its used RV inventory, included in the RV and Outdoor Retail segment, is financed by a floor plan credit agreement (as amended and restated to date, the “Floor Plan Facility”) with a syndication of banks (“Floor Plan Lenders”). The borrowings under the floor plan credit agreement are collateralized by substantially all of the assets of FreedomRoads, LLC (“FR”), a wholly-owned subsidiary of FreedomRoads, which operates the RV dealerships. The floor plan borrowings are tied to specific vehicles and principal is due upon the sale of the related vehicle or upon reaching certain aging criteria.</w:t>
      </w:r>
    </w:p>
    <w:p>
      <w:pPr>
        <w:spacing w:after="0" w:line="18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8"/>
          <w:szCs w:val="18"/>
          <w:color w:val="auto"/>
        </w:rPr>
        <w:t>In February 2025, FR entered into an amendment to the Floor Plan Facility, which (a) increased the commitment for floor plan borrowings by $300.0 million to $2.15 billion, (b) increased the commitment for the letter of credit facility by $15.0 million to $45.0 million, and (c) extended the maturity date from September 30, 2026 to the earlier of, if applicable, (i) February 18, 2030 or (ii) March 5, 2028, if the Company’s Term Loan Facility (as defined and discussed in Note 10 — Long-Term Debt) has not been repaid, refinanced, or defeased and the maturity has not been extended by at least 180 days after February 18, 2030. The Floor Plan Facility allows for up to 30% of the aggregate amount of the floor plan notes payable to be used to finance used RV inventory.</w:t>
      </w:r>
    </w:p>
    <w:p>
      <w:pPr>
        <w:spacing w:after="0" w:line="182" w:lineRule="exact"/>
        <w:rPr>
          <w:sz w:val="20"/>
          <w:szCs w:val="20"/>
          <w:color w:val="auto"/>
        </w:rPr>
      </w:pPr>
    </w:p>
    <w:p>
      <w:pPr>
        <w:jc w:val="both"/>
        <w:ind w:left="60" w:right="79" w:firstLine="648"/>
        <w:spacing w:after="0" w:line="278" w:lineRule="auto"/>
        <w:rPr>
          <w:sz w:val="20"/>
          <w:szCs w:val="20"/>
          <w:color w:val="auto"/>
        </w:rPr>
      </w:pPr>
      <w:r>
        <w:rPr>
          <w:rFonts w:ascii="Arial" w:cs="Arial" w:eastAsia="Arial" w:hAnsi="Arial"/>
          <w:sz w:val="18"/>
          <w:szCs w:val="18"/>
          <w:color w:val="auto"/>
        </w:rPr>
        <w:t>The Floor Plan Facility also includes an accordion feature allowing FR, at its option, to request to increase the aggregate amount of the floor plan notes payable in $50.0 million increments up to a maximum amount of $300.0 million. The Floor Plan Lenders are not under any obligation to provide commitments in respect of any future increase under the accordion feature.</w:t>
      </w:r>
    </w:p>
    <w:p>
      <w:pPr>
        <w:spacing w:after="0" w:line="17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As of December 31, 2025 and 2024, the applicable interest rate for the floor plan notes payable under the Floor Plan Facility was 5.89% and 6.72%, respectively. As of December 31, 2025, under the Floor Plan Facility, at the Company’s option, the floor plan notes payable, and borrowings for letters of credit, in each case, bear interest at a rate per annum equal to (a) the floating Secured Overnight Financing Rate (“SOFR”), plus a SOFR adjustment of 0.11%, plus the applicable rate of 1.90% to 2.50% determined based on FR’s consolidated current ratio, or, (b) the base rate (as described below) plus the applicable rate of 0.40% to 1.00% determined based on FR’s consolidated current ratio.</w:t>
      </w:r>
    </w:p>
    <w:p>
      <w:pPr>
        <w:spacing w:after="0" w:line="180" w:lineRule="exact"/>
        <w:rPr>
          <w:sz w:val="20"/>
          <w:szCs w:val="20"/>
          <w:color w:val="auto"/>
        </w:rPr>
      </w:pPr>
    </w:p>
    <w:p>
      <w:pPr>
        <w:jc w:val="both"/>
        <w:ind w:left="60" w:right="79" w:firstLine="648"/>
        <w:spacing w:after="0" w:line="303" w:lineRule="auto"/>
        <w:rPr>
          <w:sz w:val="20"/>
          <w:szCs w:val="20"/>
          <w:color w:val="auto"/>
        </w:rPr>
      </w:pPr>
      <w:r>
        <w:rPr>
          <w:rFonts w:ascii="Arial" w:cs="Arial" w:eastAsia="Arial" w:hAnsi="Arial"/>
          <w:sz w:val="18"/>
          <w:szCs w:val="18"/>
          <w:color w:val="auto"/>
        </w:rPr>
        <w:t>The outstanding balance of the revolving line of credit under the Floor Plan Facility was paid off in November 2024 and there was no balance outstanding as of December 31, 2025 and 2024. As of December</w:t>
      </w:r>
    </w:p>
    <w:p>
      <w:pPr>
        <w:sectPr>
          <w:pgSz w:w="11900" w:h="16838" w:orient="portrait"/>
          <w:cols w:equalWidth="0" w:num="1">
            <w:col w:w="9019"/>
          </w:cols>
          <w:pgMar w:left="1440" w:top="513" w:right="1440" w:bottom="1440" w:gutter="0" w:footer="0" w:header="0"/>
        </w:sect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8"/>
          <w:szCs w:val="18"/>
          <w:color w:val="auto"/>
        </w:rPr>
        <w:t>31, 2025 and 2024, under the Floor Plan Facility, revolving line of credit borrowings bear interest at a rate per annum equal to, at the Company’s option, either: (a) a floating SOFR rate, plus a SOFR adjustment of 0.11%, plus 2.25%, in the case of floating SOFR rate loans, or (b) a base rate determined by reference to the greatest of: (i) the federal funds rate plus 0.50% or (ii) the prime rate published by Bank of America, N.A., plus 0.75%, in the case of base rate loans. Additionally, under the Floor Plan Facility, the revolving line of credit borrowings are subject to a borrowing base calculation, which did not limit the borrowing capacity as of December 31, 2025 and 2024.</w:t>
      </w:r>
    </w:p>
    <w:p>
      <w:pPr>
        <w:spacing w:after="0" w:line="182"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8"/>
          <w:szCs w:val="18"/>
          <w:color w:val="auto"/>
        </w:rPr>
        <w:t>The Floor Plan Facility includes a flooring line aggregate interest reduction (“FLAIR”) offset account that allows the Company to transfer cash to the Floor Plan Lenders as an offset to the payables under the Floor Plan Facility. These transfers reduce the amount of liability outstanding under the floor plan borrowings that would otherwise accrue interest, while retaining the ability to withdraw amounts from the FLAIR offset account subject to the financial covenants under the Floor Plan Facility. As a result of using the FLAIR offset account, the Company experiences a reduction in floor plan interest expense in its consolidated statements of operations. As of December 31, 2025 and 2024, FR had $25.1 million and $79.5 million, respectively, in the FLAIR offset account. The maximum FLAIR percentage of outstanding floor plan borrowings is 35% under the Floor Plan Facility. The FLAIR offset account does not reduce the outstanding amount of loans under the Floor Plan Facility for purposes of determining the unencumbered borrowing capacity under the Floor Plan Facility.</w:t>
      </w:r>
    </w:p>
    <w:p>
      <w:pPr>
        <w:spacing w:after="0" w:line="169"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Management has determined that the credit agreement governing the Floor Plan Facility includes subjective acceleration clauses, which could impact debt classification. Management believes that no events have occurred as of December 31, 2025 that would trigger a subjective acceleration clause. Additionally, the credit agreement governing the Floor Plan Facility contains certain financial covenants. FR was in compliance with all financial debt covenants as of December 31, 2025 and 2024.</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details the outstanding amounts and available borrowings under the Floor Plan</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Facility:</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5440" w:type="dxa"/>
            <w:vAlign w:val="bottom"/>
          </w:tcPr>
          <w:p>
            <w:pPr>
              <w:spacing w:after="0"/>
              <w:rPr>
                <w:sz w:val="20"/>
                <w:szCs w:val="20"/>
                <w:color w:val="auto"/>
              </w:rPr>
            </w:pPr>
            <w:r>
              <w:rPr>
                <w:rFonts w:ascii="Arial" w:cs="Arial" w:eastAsia="Arial" w:hAnsi="Arial"/>
                <w:sz w:val="14"/>
                <w:szCs w:val="14"/>
                <w:color w:val="auto"/>
              </w:rPr>
              <w:t>($ in thousands)</w:t>
            </w:r>
          </w:p>
        </w:tc>
        <w:tc>
          <w:tcPr>
            <w:tcW w:w="420" w:type="dxa"/>
            <w:vAlign w:val="bottom"/>
            <w:gridSpan w:val="2"/>
          </w:tcPr>
          <w:p>
            <w:pPr>
              <w:jc w:val="right"/>
              <w:ind w:right="13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2025</w:t>
            </w:r>
          </w:p>
        </w:tc>
        <w:tc>
          <w:tcPr>
            <w:tcW w:w="420" w:type="dxa"/>
            <w:vAlign w:val="bottom"/>
            <w:gridSpan w:val="3"/>
          </w:tcPr>
          <w:p>
            <w:pPr>
              <w:jc w:val="right"/>
              <w:ind w:right="147"/>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2024</w:t>
            </w:r>
          </w:p>
        </w:tc>
      </w:tr>
      <w:tr>
        <w:trPr>
          <w:trHeight w:val="224"/>
        </w:trPr>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Floor Plan Facility:</w:t>
            </w:r>
          </w:p>
        </w:tc>
        <w:tc>
          <w:tcPr>
            <w:tcW w:w="2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29"/>
        </w:trPr>
        <w:tc>
          <w:tcPr>
            <w:tcW w:w="5440" w:type="dxa"/>
            <w:vAlign w:val="bottom"/>
          </w:tcPr>
          <w:p>
            <w:pPr>
              <w:ind w:left="100"/>
              <w:spacing w:after="0"/>
              <w:rPr>
                <w:sz w:val="20"/>
                <w:szCs w:val="20"/>
                <w:color w:val="auto"/>
              </w:rPr>
            </w:pPr>
            <w:r>
              <w:rPr>
                <w:rFonts w:ascii="Arial" w:cs="Arial" w:eastAsia="Arial" w:hAnsi="Arial"/>
                <w:sz w:val="18"/>
                <w:szCs w:val="18"/>
                <w:color w:val="auto"/>
              </w:rPr>
              <w:t>Notes payable — floor plan:</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commitment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2,150,000</w:t>
            </w:r>
          </w:p>
        </w:tc>
        <w:tc>
          <w:tcPr>
            <w:tcW w:w="42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1,850,000</w:t>
            </w: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Less: borrowings, net of FLAIR offset account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(1,603,645)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(1,161,713)</w:t>
            </w:r>
          </w:p>
        </w:tc>
      </w:tr>
      <w:tr>
        <w:trPr>
          <w:trHeight w:val="230"/>
        </w:trPr>
        <w:tc>
          <w:tcPr>
            <w:tcW w:w="54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Less: FLAIR offset account</w:t>
            </w:r>
            <w:r>
              <w:rPr>
                <w:rFonts w:ascii="Arial" w:cs="Arial" w:eastAsia="Arial" w:hAnsi="Arial"/>
                <w:sz w:val="26"/>
                <w:szCs w:val="26"/>
                <w:color w:val="auto"/>
                <w:vertAlign w:val="superscript"/>
              </w:rPr>
              <w:t>(1)</w:t>
            </w: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(25,117)</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(79,472)</w:t>
            </w:r>
          </w:p>
        </w:tc>
      </w:tr>
      <w:tr>
        <w:trPr>
          <w:trHeight w:val="223"/>
        </w:trPr>
        <w:tc>
          <w:tcPr>
            <w:tcW w:w="5440" w:type="dxa"/>
            <w:vAlign w:val="bottom"/>
          </w:tcPr>
          <w:p>
            <w:pPr>
              <w:ind w:left="320"/>
              <w:spacing w:after="0"/>
              <w:rPr>
                <w:sz w:val="20"/>
                <w:szCs w:val="20"/>
                <w:color w:val="auto"/>
              </w:rPr>
            </w:pPr>
            <w:r>
              <w:rPr>
                <w:rFonts w:ascii="Arial" w:cs="Arial" w:eastAsia="Arial" w:hAnsi="Arial"/>
                <w:sz w:val="18"/>
                <w:szCs w:val="18"/>
                <w:color w:val="auto"/>
              </w:rPr>
              <w:t>Additional borrowing capacity</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521,238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608,815</w:t>
            </w:r>
          </w:p>
        </w:tc>
      </w:tr>
      <w:tr>
        <w:trPr>
          <w:trHeight w:val="230"/>
        </w:trPr>
        <w:tc>
          <w:tcPr>
            <w:tcW w:w="5440" w:type="dxa"/>
            <w:vAlign w:val="bottom"/>
            <w:shd w:val="clear" w:color="auto" w:fill="CCEEFF"/>
          </w:tcPr>
          <w:p>
            <w:pPr>
              <w:ind w:left="320"/>
              <w:spacing w:after="0" w:line="230" w:lineRule="exact"/>
              <w:rPr>
                <w:sz w:val="20"/>
                <w:szCs w:val="20"/>
                <w:color w:val="auto"/>
              </w:rPr>
            </w:pPr>
            <w:r>
              <w:rPr>
                <w:rFonts w:ascii="Arial" w:cs="Arial" w:eastAsia="Arial" w:hAnsi="Arial"/>
                <w:sz w:val="18"/>
                <w:szCs w:val="18"/>
                <w:color w:val="auto"/>
              </w:rPr>
              <w:t>Less: short-term payable for sold inventory</w:t>
            </w:r>
            <w:r>
              <w:rPr>
                <w:rFonts w:ascii="Arial" w:cs="Arial" w:eastAsia="Arial" w:hAnsi="Arial"/>
                <w:sz w:val="26"/>
                <w:szCs w:val="26"/>
                <w:color w:val="auto"/>
                <w:vertAlign w:val="superscript"/>
              </w:rPr>
              <w:t>(2)</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(35,981)</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(33,152)</w:t>
            </w:r>
          </w:p>
        </w:tc>
      </w:tr>
      <w:tr>
        <w:trPr>
          <w:trHeight w:val="229"/>
        </w:trPr>
        <w:tc>
          <w:tcPr>
            <w:tcW w:w="5440" w:type="dxa"/>
            <w:vAlign w:val="bottom"/>
            <w:tcBorders>
              <w:bottom w:val="single" w:sz="8" w:color="CCEEFF"/>
            </w:tcBorders>
          </w:tcPr>
          <w:p>
            <w:pPr>
              <w:ind w:left="320"/>
              <w:spacing w:after="0" w:line="230" w:lineRule="exact"/>
              <w:rPr>
                <w:sz w:val="20"/>
                <w:szCs w:val="20"/>
                <w:color w:val="auto"/>
              </w:rPr>
            </w:pPr>
            <w:r>
              <w:rPr>
                <w:rFonts w:ascii="Arial" w:cs="Arial" w:eastAsia="Arial" w:hAnsi="Arial"/>
                <w:sz w:val="18"/>
                <w:szCs w:val="18"/>
                <w:color w:val="auto"/>
              </w:rPr>
              <w:t>Less: purchase commitments</w:t>
            </w:r>
            <w:r>
              <w:rPr>
                <w:rFonts w:ascii="Arial" w:cs="Arial" w:eastAsia="Arial" w:hAnsi="Arial"/>
                <w:sz w:val="26"/>
                <w:szCs w:val="26"/>
                <w:color w:val="auto"/>
                <w:vertAlign w:val="superscript"/>
              </w:rPr>
              <w:t>(3)</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(26,841)</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(9,340)</w:t>
            </w:r>
          </w:p>
        </w:tc>
      </w:tr>
      <w:tr>
        <w:trPr>
          <w:trHeight w:val="223"/>
        </w:trPr>
        <w:tc>
          <w:tcPr>
            <w:tcW w:w="5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Unencumbered borrowing capacity</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458,416</w:t>
            </w:r>
          </w:p>
        </w:tc>
        <w:tc>
          <w:tcPr>
            <w:tcW w:w="26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566,323</w:t>
            </w:r>
          </w:p>
        </w:tc>
      </w:tr>
      <w:tr>
        <w:trPr>
          <w:trHeight w:val="20"/>
        </w:trPr>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0"/>
        </w:trPr>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Revolving line of credit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42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30"/>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borrowings</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Additional borrowing capacity</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6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0"/>
        </w:trPr>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0"/>
        </w:trPr>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Letters of credit: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5440" w:type="dxa"/>
            <w:vAlign w:val="bottom"/>
          </w:tcPr>
          <w:p>
            <w:pPr>
              <w:ind w:left="220"/>
              <w:spacing w:after="0"/>
              <w:rPr>
                <w:sz w:val="20"/>
                <w:szCs w:val="20"/>
                <w:color w:val="auto"/>
              </w:rPr>
            </w:pPr>
            <w:r>
              <w:rPr>
                <w:rFonts w:ascii="Arial" w:cs="Arial" w:eastAsia="Arial" w:hAnsi="Arial"/>
                <w:sz w:val="18"/>
                <w:szCs w:val="18"/>
                <w:color w:val="auto"/>
              </w:rPr>
              <w:t>Total commitment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45,000</w:t>
            </w:r>
          </w:p>
        </w:tc>
        <w:tc>
          <w:tcPr>
            <w:tcW w:w="42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outstanding letters of credit</w:t>
            </w: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(15,414)</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(14,300)</w:t>
            </w:r>
          </w:p>
        </w:tc>
      </w:tr>
      <w:tr>
        <w:trPr>
          <w:trHeight w:val="223"/>
        </w:trPr>
        <w:tc>
          <w:tcPr>
            <w:tcW w:w="5440" w:type="dxa"/>
            <w:vAlign w:val="bottom"/>
          </w:tcPr>
          <w:p>
            <w:pPr>
              <w:ind w:left="320"/>
              <w:spacing w:after="0"/>
              <w:rPr>
                <w:sz w:val="20"/>
                <w:szCs w:val="20"/>
                <w:color w:val="auto"/>
              </w:rPr>
            </w:pPr>
            <w:r>
              <w:rPr>
                <w:rFonts w:ascii="Arial" w:cs="Arial" w:eastAsia="Arial" w:hAnsi="Arial"/>
                <w:sz w:val="18"/>
                <w:szCs w:val="18"/>
                <w:color w:val="auto"/>
              </w:rPr>
              <w:t>Additional letters of credit capacity</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29,586</w:t>
            </w:r>
          </w:p>
        </w:tc>
        <w:tc>
          <w:tcPr>
            <w:tcW w:w="260" w:type="dxa"/>
            <w:vAlign w:val="bottom"/>
            <w:gridSpan w:val="2"/>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15,700</w:t>
            </w:r>
          </w:p>
        </w:tc>
      </w:tr>
      <w:tr>
        <w:trPr>
          <w:trHeight w:val="20"/>
        </w:trPr>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380" w:right="79" w:hanging="330"/>
        <w:spacing w:after="0" w:line="220" w:lineRule="auto"/>
        <w:tabs>
          <w:tab w:leader="none" w:pos="38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Flooring line aggregate interest reduction (“FLAIR”) offset account that allows the Company to transfer cash to the Floor Plan Lenders as an offset to the payables under the Floor Plan Facility. The FLAIR offset account does not reduce the outstanding amount of loans under the Floor Plan Facility for purposes of determining the unencumbered borrowing capacity under the Floor Plan Facility.</w:t>
      </w:r>
    </w:p>
    <w:p>
      <w:pPr>
        <w:spacing w:after="0" w:line="66" w:lineRule="exact"/>
        <w:rPr>
          <w:rFonts w:ascii="Arial" w:cs="Arial" w:eastAsia="Arial" w:hAnsi="Arial"/>
          <w:sz w:val="22"/>
          <w:szCs w:val="22"/>
          <w:color w:val="auto"/>
          <w:vertAlign w:val="superscript"/>
        </w:rPr>
      </w:pPr>
    </w:p>
    <w:p>
      <w:pPr>
        <w:ind w:left="380" w:right="79" w:hanging="330"/>
        <w:spacing w:after="0" w:line="223" w:lineRule="auto"/>
        <w:tabs>
          <w:tab w:leader="none" w:pos="38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The short-term payable represents the amount due for sold inventory. A payment for any floor plan units sold is due within three to ten business days of sale. Due to the short term nature of these payables, the Company reclassifies the amounts from notes payable‒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0" w:right="79"/>
        <w:spacing w:after="0" w:line="305" w:lineRule="auto"/>
        <w:rPr>
          <w:sz w:val="20"/>
          <w:szCs w:val="20"/>
          <w:color w:val="auto"/>
        </w:rPr>
      </w:pPr>
      <w:r>
        <w:rPr>
          <w:rFonts w:ascii="Arial" w:cs="Arial" w:eastAsia="Arial" w:hAnsi="Arial"/>
          <w:sz w:val="14"/>
          <w:szCs w:val="14"/>
          <w:color w:val="auto"/>
        </w:rPr>
        <w:t>floor plan, net to accounts payable in the Consolidated Balance Sheets. Changes in the vehicle floor plan payable are reported as cash flows from financing activities in the Consolidated Statements of Cash Flows.</w:t>
      </w:r>
    </w:p>
    <w:p>
      <w:pPr>
        <w:spacing w:after="0" w:line="23" w:lineRule="exact"/>
        <w:rPr>
          <w:sz w:val="20"/>
          <w:szCs w:val="20"/>
          <w:color w:val="auto"/>
        </w:rPr>
      </w:pPr>
    </w:p>
    <w:p>
      <w:pPr>
        <w:ind w:left="380" w:right="79" w:hanging="330"/>
        <w:spacing w:after="0" w:line="212" w:lineRule="auto"/>
        <w:tabs>
          <w:tab w:leader="none" w:pos="38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Purchase commitments represent vehicles approved for floor plan financing where the inventory has not yet been received by the Company from the supplier and no floor plan borrowing is outstanding.</w:t>
      </w:r>
    </w:p>
    <w:p>
      <w:pPr>
        <w:spacing w:after="0" w:line="192" w:lineRule="exact"/>
        <w:rPr>
          <w:sz w:val="20"/>
          <w:szCs w:val="20"/>
          <w:color w:val="auto"/>
        </w:rPr>
      </w:pPr>
    </w:p>
    <w:p>
      <w:pPr>
        <w:ind w:left="60" w:right="79" w:firstLine="648"/>
        <w:spacing w:after="0" w:line="303" w:lineRule="auto"/>
        <w:rPr>
          <w:sz w:val="20"/>
          <w:szCs w:val="20"/>
          <w:color w:val="auto"/>
        </w:rPr>
      </w:pPr>
      <w:r>
        <w:rPr>
          <w:rFonts w:ascii="Arial" w:cs="Arial" w:eastAsia="Arial" w:hAnsi="Arial"/>
          <w:sz w:val="18"/>
          <w:szCs w:val="18"/>
          <w:color w:val="auto"/>
        </w:rPr>
        <w:t>The following table rolls forward the Company's outstanding supplier finance program obligations confirmed as valid under its Floor Plan Facility: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60"/>
        <w:spacing w:after="0"/>
        <w:rPr>
          <w:sz w:val="20"/>
          <w:szCs w:val="20"/>
          <w:color w:val="auto"/>
        </w:rPr>
      </w:pPr>
      <w:r>
        <w:rPr>
          <w:rFonts w:ascii="Arial" w:cs="Arial" w:eastAsia="Arial" w:hAnsi="Arial"/>
          <w:sz w:val="14"/>
          <w:szCs w:val="14"/>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23495</wp:posOffset>
            </wp:positionV>
            <wp:extent cx="5648960"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48960" cy="162560"/>
                    </a:xfrm>
                    <a:prstGeom prst="rect">
                      <a:avLst/>
                    </a:prstGeom>
                    <a:noFill/>
                  </pic:spPr>
                </pic:pic>
              </a:graphicData>
            </a:graphic>
          </wp:anchor>
        </w:drawing>
      </w:r>
    </w:p>
    <w:p>
      <w:pPr>
        <w:spacing w:after="0" w:line="39" w:lineRule="exact"/>
        <w:rPr>
          <w:sz w:val="20"/>
          <w:szCs w:val="20"/>
          <w:color w:val="auto"/>
        </w:rPr>
      </w:pPr>
    </w:p>
    <w:p>
      <w:pPr>
        <w:ind w:left="60" w:right="2320"/>
        <w:spacing w:after="0" w:line="314" w:lineRule="auto"/>
        <w:rPr>
          <w:sz w:val="20"/>
          <w:szCs w:val="20"/>
          <w:color w:val="auto"/>
        </w:rPr>
      </w:pPr>
      <w:r>
        <w:rPr>
          <w:rFonts w:ascii="Arial" w:cs="Arial" w:eastAsia="Arial" w:hAnsi="Arial"/>
          <w:sz w:val="17"/>
          <w:szCs w:val="17"/>
          <w:color w:val="auto"/>
        </w:rPr>
        <w:t>Notes payable - floor plan, net, beginning of year Add: FLAIR offset account,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-12065</wp:posOffset>
            </wp:positionV>
            <wp:extent cx="564896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48960" cy="1631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7"/>
          <w:szCs w:val="17"/>
          <w:color w:val="auto"/>
        </w:rPr>
        <w:t>Add: short-term payable for sold inventory, beginning of year</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Confirmed obligations outstanding,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5648960"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48960" cy="163195"/>
                    </a:xfrm>
                    <a:prstGeom prst="rect">
                      <a:avLst/>
                    </a:prstGeom>
                    <a:noFill/>
                  </pic:spPr>
                </pic:pic>
              </a:graphicData>
            </a:graphic>
          </wp:anchor>
        </w:drawing>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Add: new obligations confirmed during the period</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Less: confirmed obligations paid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5648960"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48960" cy="163195"/>
                    </a:xfrm>
                    <a:prstGeom prst="rect">
                      <a:avLst/>
                    </a:prstGeom>
                    <a:noFill/>
                  </pic:spPr>
                </pic:pic>
              </a:graphicData>
            </a:graphic>
          </wp:anchor>
        </w:drawing>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Confirmed obligations outstanding, end of period</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Less: FLAIR offset account,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564896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48960" cy="163195"/>
                    </a:xfrm>
                    <a:prstGeom prst="rect">
                      <a:avLst/>
                    </a:prstGeom>
                    <a:noFill/>
                  </pic:spPr>
                </pic:pic>
              </a:graphicData>
            </a:graphic>
          </wp:anchor>
        </w:drawing>
      </w:r>
    </w:p>
    <w:p>
      <w:pPr>
        <w:spacing w:after="0" w:line="30" w:lineRule="exact"/>
        <w:rPr>
          <w:sz w:val="20"/>
          <w:szCs w:val="20"/>
          <w:color w:val="auto"/>
        </w:rPr>
      </w:pPr>
    </w:p>
    <w:p>
      <w:pPr>
        <w:ind w:left="380" w:right="1460" w:hanging="107"/>
        <w:spacing w:after="0" w:line="334" w:lineRule="auto"/>
        <w:rPr>
          <w:sz w:val="20"/>
          <w:szCs w:val="20"/>
          <w:color w:val="auto"/>
        </w:rPr>
      </w:pPr>
      <w:r>
        <w:rPr>
          <w:rFonts w:ascii="Arial" w:cs="Arial" w:eastAsia="Arial" w:hAnsi="Arial"/>
          <w:sz w:val="18"/>
          <w:szCs w:val="18"/>
          <w:color w:val="auto"/>
        </w:rPr>
        <w:t>Less: short-term payable for sold inventory, end of period Notes payable - floor plan, net, end of period</w:t>
      </w:r>
    </w:p>
    <w:p>
      <w:pPr>
        <w:spacing w:after="0" w:line="200" w:lineRule="exact"/>
        <w:rPr>
          <w:sz w:val="20"/>
          <w:szCs w:val="20"/>
          <w:color w:val="auto"/>
        </w:rPr>
      </w:pPr>
    </w:p>
    <w:p>
      <w:pPr>
        <w:spacing w:after="0" w:line="209" w:lineRule="exact"/>
        <w:rPr>
          <w:sz w:val="20"/>
          <w:szCs w:val="20"/>
          <w:color w:val="auto"/>
        </w:rPr>
      </w:pPr>
    </w:p>
    <w:p>
      <w:pPr>
        <w:ind w:left="60" w:right="1880" w:hanging="10"/>
        <w:spacing w:after="0" w:line="508" w:lineRule="auto"/>
        <w:tabs>
          <w:tab w:leader="none" w:pos="2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Long-Lived Asset Impairment Restructuring – 2019 Strategic Shift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Year Ended</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December 31, 2025</w:t>
      </w:r>
    </w:p>
    <w:p>
      <w:pPr>
        <w:spacing w:after="0" w:line="59" w:lineRule="exact"/>
        <w:rPr>
          <w:sz w:val="20"/>
          <w:szCs w:val="20"/>
          <w:color w:val="auto"/>
        </w:rPr>
      </w:pPr>
    </w:p>
    <w:p>
      <w:pPr>
        <w:ind w:left="1120" w:hanging="1119"/>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1,161,713</w:t>
      </w:r>
    </w:p>
    <w:p>
      <w:pPr>
        <w:spacing w:after="0" w:line="49"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79,472</w:t>
      </w:r>
    </w:p>
    <w:p>
      <w:pPr>
        <w:spacing w:after="0" w:line="49"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33,152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515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0"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1,274,337</w:t>
      </w:r>
    </w:p>
    <w:p>
      <w:pPr>
        <w:spacing w:after="0" w:line="50"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2,779,918</w:t>
      </w:r>
    </w:p>
    <w:p>
      <w:pPr>
        <w:spacing w:after="0" w:line="5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(2,389,512)</w:t>
      </w:r>
    </w:p>
    <w:p>
      <w:pPr>
        <w:spacing w:after="0" w:line="50"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1,664,743</w:t>
      </w:r>
    </w:p>
    <w:p>
      <w:pPr>
        <w:spacing w:after="0" w:line="5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(25,117)</w:t>
      </w:r>
    </w:p>
    <w:p>
      <w:pPr>
        <w:spacing w:after="0" w:line="5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(35,981)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515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6" w:lineRule="exact"/>
        <w:rPr>
          <w:sz w:val="20"/>
          <w:szCs w:val="20"/>
          <w:color w:val="auto"/>
        </w:rPr>
      </w:pPr>
    </w:p>
    <w:p>
      <w:pPr>
        <w:ind w:left="1120" w:hanging="1119"/>
        <w:spacing w:after="0"/>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1,603,645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515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515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12515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412" w:lineRule="exact"/>
        <w:rPr>
          <w:sz w:val="20"/>
          <w:szCs w:val="20"/>
          <w:color w:val="auto"/>
        </w:rPr>
      </w:pPr>
    </w:p>
    <w:p>
      <w:pPr>
        <w:sectPr>
          <w:pgSz w:w="11900" w:h="16838" w:orient="portrait"/>
          <w:cols w:equalWidth="0" w:num="2">
            <w:col w:w="6260" w:space="720"/>
            <w:col w:w="2039"/>
          </w:cols>
          <w:pgMar w:left="1440" w:top="513" w:right="1440" w:bottom="1440" w:gutter="0" w:footer="0" w:header="0"/>
          <w:type w:val="continuous"/>
        </w:sectPr>
      </w:pPr>
    </w:p>
    <w:p>
      <w:pPr>
        <w:jc w:val="both"/>
        <w:ind w:left="60" w:right="59" w:firstLine="648"/>
        <w:spacing w:after="0" w:line="271" w:lineRule="auto"/>
        <w:rPr>
          <w:sz w:val="20"/>
          <w:szCs w:val="20"/>
          <w:color w:val="auto"/>
        </w:rPr>
      </w:pPr>
      <w:r>
        <w:rPr>
          <w:rFonts w:ascii="Arial" w:cs="Arial" w:eastAsia="Arial" w:hAnsi="Arial"/>
          <w:sz w:val="18"/>
          <w:szCs w:val="18"/>
          <w:color w:val="auto"/>
        </w:rPr>
        <w:t>On September 3, 2019, the Board of Directors (“Board”) of CWH approved a plan (the “2019 Strategic Shift”) to strategically shift its business away from locations where the Company does not have the ability or where it is not feasible to sell and/or service RVs at a sufficient capacity (the “Outdoor Lifestyle Locations”). Of the Outdoor Lifestyle Locations in the RV and Outdoor Retail segment operating as of September 3, 2019, the Company has closed or divested 39 Outdoor Lifestyle Locations, two distribution centers, and 20 specialty retail locations relating to the 2019 Strategic Shift. As of December 31, 2020, the Company had completed the store closures and divestitures relating to the 2019 Strategic Shift. During the year ended December 31, 2021, the Company completed its analysis of its retail product offerings that were not RV-related.</w:t>
      </w:r>
    </w:p>
    <w:p>
      <w:pPr>
        <w:spacing w:after="0" w:line="182"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8"/>
          <w:szCs w:val="18"/>
          <w:color w:val="auto"/>
        </w:rPr>
        <w:t>As of December 31, 2021, the activities under the 2019 Strategic Shift were completed with the exception of certain lease termination costs and other associated costs relating to the leases of previously closed locations under the 2019 Strategic Shift. The process of identifying subtenants and negotiating lease terminations has been delayed, which initially was in part due to the COVID-19 pandemic. The timing of these negotiations will vary as both subleases and terminations are contingent on landlord approvals. The Company expects that the ongoing lease-related costs relating to the 2019 Strategic Shift, net of associated sublease income, will be less than $3.0 million per year.</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2025, the Company had incurred total restructuring costs associated with the 2019</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Strategic Shift of $130.0 million. The breakdown of these costs is as follows:</w:t>
      </w:r>
    </w:p>
    <w:p>
      <w:pPr>
        <w:spacing w:after="0" w:line="121" w:lineRule="exact"/>
        <w:rPr>
          <w:sz w:val="20"/>
          <w:szCs w:val="20"/>
          <w:color w:val="auto"/>
        </w:rPr>
      </w:pPr>
    </w:p>
    <w:p>
      <w:pPr>
        <w:ind w:left="1380" w:right="79" w:hanging="331"/>
        <w:spacing w:after="0" w:line="302" w:lineRule="auto"/>
        <w:tabs>
          <w:tab w:leader="none" w:pos="1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one-time employee termination benefits relating to retail store or distribution center closures/divestitures of $1.2 million;</w:t>
      </w:r>
    </w:p>
    <w:p>
      <w:pPr>
        <w:spacing w:after="0" w:line="4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lease termination costs of $23.1 million;</w:t>
      </w:r>
    </w:p>
    <w:p>
      <w:pPr>
        <w:spacing w:after="0" w:line="12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inventory reserve charges of $57.4 million; and</w:t>
      </w:r>
    </w:p>
    <w:p>
      <w:pPr>
        <w:spacing w:after="0" w:line="12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other associated costs of $48.3 million.</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8"/>
          <w:szCs w:val="18"/>
          <w:color w:val="auto"/>
        </w:rPr>
        <w:t>The following table details the costs incurred associated with the 2019 Strategic Shift for the periods presented:</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85"/>
        </w:trPr>
        <w:tc>
          <w:tcPr>
            <w:tcW w:w="5220" w:type="dxa"/>
            <w:vAlign w:val="bottom"/>
          </w:tcPr>
          <w:p>
            <w:pPr>
              <w:spacing w:after="0"/>
              <w:rPr>
                <w:sz w:val="20"/>
                <w:szCs w:val="20"/>
                <w:color w:val="auto"/>
              </w:rPr>
            </w:pPr>
            <w:r>
              <w:rPr>
                <w:rFonts w:ascii="Arial" w:cs="Arial" w:eastAsia="Arial" w:hAnsi="Arial"/>
                <w:sz w:val="14"/>
                <w:szCs w:val="14"/>
                <w:color w:val="auto"/>
              </w:rPr>
              <w:t>($ in thousands)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57"/>
              <w:spacing w:after="0"/>
              <w:rPr>
                <w:sz w:val="20"/>
                <w:szCs w:val="20"/>
                <w:color w:val="auto"/>
              </w:rPr>
            </w:pPr>
            <w:r>
              <w:rPr>
                <w:rFonts w:ascii="Arial" w:cs="Arial" w:eastAsia="Arial" w:hAnsi="Arial"/>
                <w:sz w:val="14"/>
                <w:szCs w:val="14"/>
                <w:b w:val="1"/>
                <w:bCs w:val="1"/>
                <w:color w:val="auto"/>
              </w:rPr>
              <w:t>2025</w:t>
            </w:r>
          </w:p>
        </w:tc>
        <w:tc>
          <w:tcPr>
            <w:tcW w:w="3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55"/>
              <w:spacing w:after="0"/>
              <w:rPr>
                <w:sz w:val="20"/>
                <w:szCs w:val="20"/>
                <w:color w:val="auto"/>
              </w:rPr>
            </w:pPr>
            <w:r>
              <w:rPr>
                <w:rFonts w:ascii="Arial" w:cs="Arial" w:eastAsia="Arial" w:hAnsi="Arial"/>
                <w:sz w:val="14"/>
                <w:szCs w:val="14"/>
                <w:b w:val="1"/>
                <w:bCs w:val="1"/>
                <w:color w:val="auto"/>
              </w:rPr>
              <w:t>2024</w:t>
            </w:r>
          </w:p>
        </w:tc>
        <w:tc>
          <w:tcPr>
            <w:tcW w:w="420" w:type="dxa"/>
            <w:vAlign w:val="bottom"/>
            <w:gridSpan w:val="3"/>
          </w:tcPr>
          <w:p>
            <w:pPr>
              <w:jc w:val="right"/>
              <w:ind w:right="147"/>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r>
      <w:tr>
        <w:trPr>
          <w:trHeight w:val="223"/>
        </w:trPr>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 Strategic Shift restructuring costs:</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r>
      <w:tr>
        <w:trPr>
          <w:trHeight w:val="230"/>
        </w:trPr>
        <w:tc>
          <w:tcPr>
            <w:tcW w:w="5220" w:type="dxa"/>
            <w:vAlign w:val="bottom"/>
          </w:tcPr>
          <w:p>
            <w:pPr>
              <w:ind w:left="100"/>
              <w:spacing w:after="0" w:line="230" w:lineRule="exact"/>
              <w:rPr>
                <w:sz w:val="20"/>
                <w:szCs w:val="20"/>
                <w:color w:val="auto"/>
              </w:rPr>
            </w:pPr>
            <w:r>
              <w:rPr>
                <w:rFonts w:ascii="Arial" w:cs="Arial" w:eastAsia="Arial" w:hAnsi="Arial"/>
                <w:sz w:val="18"/>
                <w:szCs w:val="18"/>
                <w:color w:val="auto"/>
              </w:rPr>
              <w:t>Lease termination costs</w:t>
            </w:r>
            <w:r>
              <w:rPr>
                <w:rFonts w:ascii="Arial" w:cs="Arial" w:eastAsia="Arial" w:hAnsi="Arial"/>
                <w:sz w:val="26"/>
                <w:szCs w:val="26"/>
                <w:color w:val="auto"/>
                <w:vertAlign w:val="superscript"/>
              </w:rPr>
              <w:t>(1)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Other associated costs</w:t>
            </w:r>
            <w:r>
              <w:rPr>
                <w:rFonts w:ascii="Arial" w:cs="Arial" w:eastAsia="Arial" w:hAnsi="Arial"/>
                <w:sz w:val="26"/>
                <w:szCs w:val="26"/>
                <w:color w:val="auto"/>
                <w:vertAlign w:val="superscript"/>
              </w:rPr>
              <w:t>(2)</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220" w:type="dxa"/>
            <w:vAlign w:val="bottom"/>
            <w:shd w:val="clear" w:color="auto" w:fill="CCEEFF"/>
          </w:tcPr>
          <w:p>
            <w:pPr>
              <w:spacing w:after="0"/>
              <w:rPr>
                <w:sz w:val="19"/>
                <w:szCs w:val="19"/>
                <w:color w:val="auto"/>
              </w:rPr>
            </w:pP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Total 2019 Strategic Shift restructuring costs</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1,793</w:t>
            </w:r>
          </w:p>
        </w:tc>
        <w:tc>
          <w:tcPr>
            <w:tcW w:w="180" w:type="dxa"/>
            <w:vAlign w:val="bottom"/>
            <w:gridSpan w:val="2"/>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3,965</w:t>
            </w:r>
          </w:p>
        </w:tc>
        <w:tc>
          <w:tcPr>
            <w:tcW w:w="22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0" w:lineRule="exact"/>
        <w:rPr>
          <w:sz w:val="20"/>
          <w:szCs w:val="20"/>
          <w:color w:val="auto"/>
        </w:rPr>
      </w:pPr>
    </w:p>
    <w:p>
      <w:pPr>
        <w:ind w:left="380" w:right="79" w:hanging="330"/>
        <w:spacing w:after="0" w:line="212" w:lineRule="auto"/>
        <w:tabs>
          <w:tab w:leader="none" w:pos="38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These costs were included in lease termination charges in the consolidated statements of operations. This reflects termination fees paid, net of any gain from derecognition of the related operating lease assets and liabilities.</w:t>
      </w:r>
    </w:p>
    <w:p>
      <w:pPr>
        <w:spacing w:after="0" w:line="79" w:lineRule="exact"/>
        <w:rPr>
          <w:rFonts w:ascii="Arial" w:cs="Arial" w:eastAsia="Arial" w:hAnsi="Arial"/>
          <w:sz w:val="22"/>
          <w:szCs w:val="22"/>
          <w:color w:val="auto"/>
          <w:vertAlign w:val="superscript"/>
        </w:rPr>
      </w:pPr>
    </w:p>
    <w:p>
      <w:pPr>
        <w:jc w:val="both"/>
        <w:ind w:left="380" w:right="79" w:hanging="330"/>
        <w:spacing w:after="0" w:line="225" w:lineRule="auto"/>
        <w:tabs>
          <w:tab w:leader="none" w:pos="38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Other associated costs primarily represent lease and other operating expenses incurred during the post-close wind-down period for the locations related to the 2019 Strategic Shift. For the years ended December 31, 2025, 2024 and 2023, these costs were included in selling, general, and administrative expenses in the consolidated statements of operations.</w:t>
      </w:r>
    </w:p>
    <w:p>
      <w:pPr>
        <w:spacing w:after="0" w:line="36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details changes in the restructuring accrual associated with the 2019 Strategic Shift:</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Lease</w:t>
            </w: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73"/>
              <w:spacing w:after="0"/>
              <w:rPr>
                <w:sz w:val="20"/>
                <w:szCs w:val="20"/>
                <w:color w:val="auto"/>
              </w:rPr>
            </w:pPr>
            <w:r>
              <w:rPr>
                <w:rFonts w:ascii="Arial" w:cs="Arial" w:eastAsia="Arial" w:hAnsi="Arial"/>
                <w:sz w:val="14"/>
                <w:szCs w:val="14"/>
                <w:b w:val="1"/>
                <w:bCs w:val="1"/>
                <w:color w:val="auto"/>
              </w:rPr>
              <w:t>Other</w:t>
            </w:r>
          </w:p>
        </w:tc>
        <w:tc>
          <w:tcPr>
            <w:tcW w:w="48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6"/>
                <w:szCs w:val="16"/>
                <w:color w:val="auto"/>
              </w:rPr>
            </w:pPr>
          </w:p>
        </w:tc>
      </w:tr>
      <w:tr>
        <w:trPr>
          <w:trHeight w:val="189"/>
        </w:trPr>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Termination</w:t>
            </w:r>
          </w:p>
        </w:tc>
        <w:tc>
          <w:tcPr>
            <w:tcW w:w="1160" w:type="dxa"/>
            <w:vAlign w:val="bottom"/>
            <w:gridSpan w:val="3"/>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Associated</w:t>
            </w:r>
          </w:p>
        </w:tc>
        <w:tc>
          <w:tcPr>
            <w:tcW w:w="48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6"/>
                <w:szCs w:val="16"/>
                <w:color w:val="auto"/>
              </w:rPr>
            </w:pPr>
          </w:p>
        </w:tc>
      </w:tr>
      <w:tr>
        <w:trPr>
          <w:trHeight w:val="198"/>
        </w:trPr>
        <w:tc>
          <w:tcPr>
            <w:tcW w:w="5280" w:type="dxa"/>
            <w:vAlign w:val="bottom"/>
          </w:tcPr>
          <w:p>
            <w:pPr>
              <w:spacing w:after="0"/>
              <w:rPr>
                <w:sz w:val="20"/>
                <w:szCs w:val="20"/>
                <w:color w:val="auto"/>
              </w:rPr>
            </w:pPr>
            <w:r>
              <w:rPr>
                <w:rFonts w:ascii="Arial" w:cs="Arial" w:eastAsia="Arial" w:hAnsi="Arial"/>
                <w:sz w:val="14"/>
                <w:szCs w:val="14"/>
                <w:color w:val="auto"/>
              </w:rPr>
              <w:t>($ in thousands)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Costs</w:t>
            </w: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3"/>
              <w:spacing w:after="0" w:line="199" w:lineRule="exact"/>
              <w:rPr>
                <w:sz w:val="20"/>
                <w:szCs w:val="20"/>
                <w:color w:val="auto"/>
              </w:rPr>
            </w:pPr>
            <w:r>
              <w:rPr>
                <w:rFonts w:ascii="Arial" w:cs="Arial" w:eastAsia="Arial" w:hAnsi="Arial"/>
                <w:sz w:val="14"/>
                <w:szCs w:val="14"/>
                <w:b w:val="1"/>
                <w:bCs w:val="1"/>
                <w:color w:val="auto"/>
                <w:w w:val="96"/>
              </w:rPr>
              <w:t xml:space="preserve">Costs </w:t>
            </w:r>
            <w:r>
              <w:rPr>
                <w:rFonts w:ascii="Arial" w:cs="Arial" w:eastAsia="Arial" w:hAnsi="Arial"/>
                <w:sz w:val="21"/>
                <w:szCs w:val="21"/>
                <w:b w:val="1"/>
                <w:bCs w:val="1"/>
                <w:color w:val="auto"/>
                <w:w w:val="96"/>
                <w:vertAlign w:val="superscript"/>
              </w:rPr>
              <w:t>(1)</w:t>
            </w:r>
          </w:p>
        </w:tc>
        <w:tc>
          <w:tcPr>
            <w:tcW w:w="48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23"/>
        </w:trPr>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2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80" w:type="dxa"/>
            <w:vAlign w:val="bottom"/>
            <w:tcBorders>
              <w:top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Charged to expense</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3,965</w:t>
            </w:r>
          </w:p>
        </w:tc>
      </w:tr>
      <w:tr>
        <w:trPr>
          <w:trHeight w:val="23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Paid or otherwise settled</w:t>
            </w: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at December 31, 2023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1,158</w:t>
            </w:r>
          </w:p>
        </w:tc>
      </w:tr>
      <w:tr>
        <w:trPr>
          <w:trHeight w:val="23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Charged to expense</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w:t>
            </w:r>
          </w:p>
        </w:tc>
      </w:tr>
      <w:tr>
        <w:trPr>
          <w:trHeight w:val="230"/>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Paid or otherwise settled</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(6,386)</w:t>
            </w:r>
          </w:p>
        </w:tc>
      </w:tr>
      <w:tr>
        <w:trPr>
          <w:trHeight w:val="223"/>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2024</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Charged to expense</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2,025</w:t>
            </w:r>
          </w:p>
        </w:tc>
      </w:tr>
      <w:tr>
        <w:trPr>
          <w:trHeight w:val="22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Paid or otherwise settled</w:t>
            </w: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at December 31, 2025</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gridSpan w:val="2"/>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5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380" w:right="79" w:hanging="330"/>
        <w:spacing w:after="0" w:line="204" w:lineRule="auto"/>
        <w:tabs>
          <w:tab w:leader="none" w:pos="380"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Other associated costs primarily represent labor, lease and other operating expenses incurred during the post-close wind-down period for the locations related to the 2019 Strategic Shift.</w:t>
      </w:r>
    </w:p>
    <w:p>
      <w:pPr>
        <w:spacing w:after="0" w:line="8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evaluated the requirements of ASC No. 205-20, Presentation of Financial Statements – Discontinued Operations relative to the 2019 Strategic Shift and determined that discontinued operations treatment is not applicable. Accordingly, the results of operations of the locations impacted by the 2019 Strategic Shift are reported as part of continuing operations in the accompanying consolidated financial statements.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Restructuring – Active Sports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March 1, 2023, management of the Company determined to implement plans (the “Active Sports Restructuring”) to exit and restructure operations of its indirect subsidiary, Active Sports, LLC, a specialty products retail business (“Active Sports”) as part of its review of underperforming assets and business lines. Upon liquidating a significant amount of inventory and exiting the related distribution centers, the Company reevaluated its exit plan and concluded instead that it would integrate the remaining operations into its existing distribution and fulfillment infrastructure while maintaining lower inventory levels and a smaller fixed cost structure. These plans have resulted in a much smaller operation and included the closure of the specialty retail location. The incremental inventory reserve charges were based, in part, on the Company’s estimates of the discounting necessary to liquidate the Active Sports inventory.</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The activities under the Active Sports Restructuring were substantially completed by December 31, 2023. The Company does not expect any further costs under the Active Sports Restructuring beyond insignificant lease costs of less than $0.8 million per year.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8"/>
          <w:szCs w:val="18"/>
          <w:color w:val="auto"/>
        </w:rPr>
        <w:t>As of December 31, 2025, the total restructuring costs associated with the Active Sports Restructuring were $8.5 million. The breakdown of these restructuring costs is as follows:</w:t>
      </w:r>
    </w:p>
    <w:p>
      <w:pPr>
        <w:spacing w:after="0" w:line="45" w:lineRule="exact"/>
        <w:rPr>
          <w:sz w:val="20"/>
          <w:szCs w:val="20"/>
          <w:color w:val="auto"/>
        </w:rPr>
      </w:pPr>
    </w:p>
    <w:p>
      <w:pPr>
        <w:ind w:left="1380" w:right="79" w:hanging="331"/>
        <w:spacing w:after="0" w:line="286" w:lineRule="auto"/>
        <w:tabs>
          <w:tab w:leader="none" w:pos="138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one-time employee termination benefits relating to the specialty retail store and distribution center closures of $0.2 million;</w:t>
      </w:r>
    </w:p>
    <w:p>
      <w:pPr>
        <w:spacing w:after="0" w:line="4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inventory reserve charges of $4.3 million;</w:t>
      </w:r>
    </w:p>
    <w:p>
      <w:pPr>
        <w:spacing w:after="0" w:line="11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lease termination charges of $1.8 million; and</w:t>
      </w:r>
    </w:p>
    <w:p>
      <w:pPr>
        <w:spacing w:after="0" w:line="11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other associated costs of $2.2 million.</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details the costs incurred associated with the Active Sports Restructuring:</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00" w:type="dxa"/>
            <w:vAlign w:val="bottom"/>
            <w:gridSpan w:val="7"/>
          </w:tcPr>
          <w:p>
            <w:pPr>
              <w:jc w:val="right"/>
              <w:ind w:right="147"/>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464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102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gridSpan w:val="3"/>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top w:val="single" w:sz="8" w:color="auto"/>
            </w:tcBorders>
            <w:gridSpan w:val="3"/>
          </w:tcPr>
          <w:p>
            <w:pPr>
              <w:jc w:val="right"/>
              <w:ind w:right="207"/>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3"/>
        </w:trPr>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Active Sports Restructuring costs:</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00"/>
              <w:spacing w:after="0" w:line="230" w:lineRule="exact"/>
              <w:rPr>
                <w:sz w:val="20"/>
                <w:szCs w:val="20"/>
                <w:color w:val="auto"/>
              </w:rPr>
            </w:pPr>
            <w:r>
              <w:rPr>
                <w:rFonts w:ascii="Arial" w:cs="Arial" w:eastAsia="Arial" w:hAnsi="Arial"/>
                <w:sz w:val="18"/>
                <w:szCs w:val="18"/>
                <w:color w:val="auto"/>
              </w:rPr>
              <w:t>One-time termination benefits</w:t>
            </w:r>
            <w:r>
              <w:rPr>
                <w:rFonts w:ascii="Arial" w:cs="Arial" w:eastAsia="Arial" w:hAnsi="Arial"/>
                <w:sz w:val="26"/>
                <w:szCs w:val="26"/>
                <w:color w:val="auto"/>
                <w:vertAlign w:val="superscript"/>
              </w:rPr>
              <w:t>(1)</w:t>
            </w:r>
          </w:p>
        </w:tc>
        <w:tc>
          <w:tcPr>
            <w:tcW w:w="102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Incremental inventory reserve charges</w:t>
            </w:r>
            <w:r>
              <w:rPr>
                <w:rFonts w:ascii="Arial" w:cs="Arial" w:eastAsia="Arial" w:hAnsi="Arial"/>
                <w:sz w:val="26"/>
                <w:szCs w:val="26"/>
                <w:color w:val="auto"/>
                <w:vertAlign w:val="superscript"/>
              </w:rPr>
              <w:t>(1)</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29"/>
        </w:trPr>
        <w:tc>
          <w:tcPr>
            <w:tcW w:w="46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Lease termination costs </w:t>
            </w:r>
            <w:r>
              <w:rPr>
                <w:rFonts w:ascii="Arial" w:cs="Arial" w:eastAsia="Arial" w:hAnsi="Arial"/>
                <w:sz w:val="26"/>
                <w:szCs w:val="26"/>
                <w:color w:val="auto"/>
                <w:vertAlign w:val="superscript"/>
              </w:rPr>
              <w:t>(2)</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Other associated costs</w:t>
            </w:r>
            <w:r>
              <w:rPr>
                <w:rFonts w:ascii="Arial" w:cs="Arial" w:eastAsia="Arial" w:hAnsi="Arial"/>
                <w:sz w:val="26"/>
                <w:szCs w:val="26"/>
                <w:color w:val="auto"/>
                <w:vertAlign w:val="superscript"/>
              </w:rPr>
              <w:t>(3)</w:t>
            </w:r>
          </w:p>
        </w:tc>
        <w:tc>
          <w:tcPr>
            <w:tcW w:w="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23"/>
        </w:trPr>
        <w:tc>
          <w:tcPr>
            <w:tcW w:w="4640" w:type="dxa"/>
            <w:vAlign w:val="bottom"/>
          </w:tcPr>
          <w:p>
            <w:pPr>
              <w:ind w:left="220"/>
              <w:spacing w:after="0"/>
              <w:rPr>
                <w:sz w:val="20"/>
                <w:szCs w:val="20"/>
                <w:color w:val="auto"/>
              </w:rPr>
            </w:pPr>
            <w:r>
              <w:rPr>
                <w:rFonts w:ascii="Arial" w:cs="Arial" w:eastAsia="Arial" w:hAnsi="Arial"/>
                <w:sz w:val="18"/>
                <w:szCs w:val="18"/>
                <w:color w:val="auto"/>
              </w:rPr>
              <w:t>Total Active Sports Restructuring costs</w:t>
            </w:r>
          </w:p>
        </w:tc>
        <w:tc>
          <w:tcPr>
            <w:tcW w:w="200" w:type="dxa"/>
            <w:vAlign w:val="bottom"/>
          </w:tcPr>
          <w:p>
            <w:pPr>
              <w:spacing w:after="0"/>
              <w:rPr>
                <w:sz w:val="19"/>
                <w:szCs w:val="19"/>
                <w:color w:val="auto"/>
              </w:rPr>
            </w:pP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2,211</w:t>
            </w:r>
          </w:p>
        </w:tc>
        <w:tc>
          <w:tcPr>
            <w:tcW w:w="220" w:type="dxa"/>
            <w:vAlign w:val="bottom"/>
            <w:gridSpan w:val="2"/>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460" w:right="79" w:hanging="315"/>
        <w:spacing w:after="0"/>
        <w:tabs>
          <w:tab w:leader="none" w:pos="46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These costs were included in costs applicable to revenues – products, service and other in the consolidated statements of operations.</w:t>
      </w:r>
    </w:p>
    <w:p>
      <w:pPr>
        <w:spacing w:after="0" w:line="192" w:lineRule="exact"/>
        <w:rPr>
          <w:rFonts w:ascii="Arial" w:cs="Arial" w:eastAsia="Arial" w:hAnsi="Arial"/>
          <w:sz w:val="22"/>
          <w:szCs w:val="22"/>
          <w:color w:val="auto"/>
          <w:vertAlign w:val="superscript"/>
        </w:rPr>
      </w:pPr>
    </w:p>
    <w:p>
      <w:pPr>
        <w:jc w:val="both"/>
        <w:ind w:left="460" w:right="79" w:hanging="315"/>
        <w:spacing w:after="0"/>
        <w:tabs>
          <w:tab w:leader="none" w:pos="46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These costs were included in lease termination charges in the consolidated statements of operations. This reflects termination fees paid or to be paid, net of any gain from derecognition of the related operating lease assets and liabilities. The Company paid $0.1 million and $1.5 million in lease termination fees for leases terminated during the years ended December 31, 2025 and 2024, respectively.</w:t>
      </w:r>
    </w:p>
    <w:p>
      <w:pPr>
        <w:spacing w:after="0" w:line="221" w:lineRule="exact"/>
        <w:rPr>
          <w:rFonts w:ascii="Arial" w:cs="Arial" w:eastAsia="Arial" w:hAnsi="Arial"/>
          <w:sz w:val="22"/>
          <w:szCs w:val="22"/>
          <w:color w:val="auto"/>
          <w:vertAlign w:val="superscript"/>
        </w:rPr>
      </w:pPr>
    </w:p>
    <w:p>
      <w:pPr>
        <w:jc w:val="both"/>
        <w:ind w:left="480" w:right="79" w:hanging="322"/>
        <w:spacing w:after="0" w:line="220" w:lineRule="auto"/>
        <w:tabs>
          <w:tab w:leader="none" w:pos="480" w:val="left"/>
        </w:tabs>
        <w:numPr>
          <w:ilvl w:val="1"/>
          <w:numId w:val="62"/>
        </w:numPr>
        <w:rPr>
          <w:rFonts w:ascii="Arial" w:cs="Arial" w:eastAsia="Arial" w:hAnsi="Arial"/>
          <w:sz w:val="22"/>
          <w:szCs w:val="22"/>
          <w:color w:val="auto"/>
          <w:vertAlign w:val="superscript"/>
        </w:rPr>
      </w:pPr>
      <w:r>
        <w:rPr>
          <w:rFonts w:ascii="Arial" w:cs="Arial" w:eastAsia="Arial" w:hAnsi="Arial"/>
          <w:sz w:val="14"/>
          <w:szCs w:val="14"/>
          <w:color w:val="auto"/>
        </w:rPr>
        <w:t>Other associated costs primarily represent labor, lease and other operating expenses incurred during the post-close wind-down period for the Active Sports Restructuring for the periods presented and were included primarily in selling, general, and administrative expenses in the consolidated statements of operations.</w:t>
      </w:r>
    </w:p>
    <w:p>
      <w:pPr>
        <w:spacing w:after="0" w:line="192"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8"/>
          <w:szCs w:val="18"/>
          <w:color w:val="auto"/>
        </w:rPr>
        <w:t>The following table details changes in the restructuring accrual associated with the Active Sports Restructuring:</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3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
              <w:spacing w:after="0"/>
              <w:rPr>
                <w:sz w:val="20"/>
                <w:szCs w:val="20"/>
                <w:color w:val="auto"/>
              </w:rPr>
            </w:pPr>
            <w:r>
              <w:rPr>
                <w:rFonts w:ascii="Arial" w:cs="Arial" w:eastAsia="Arial" w:hAnsi="Arial"/>
                <w:sz w:val="14"/>
                <w:szCs w:val="14"/>
                <w:b w:val="1"/>
                <w:bCs w:val="1"/>
                <w:color w:val="auto"/>
              </w:rPr>
              <w:t>One-time</w:t>
            </w:r>
          </w:p>
        </w:tc>
        <w:tc>
          <w:tcPr>
            <w:tcW w:w="3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Lease</w:t>
            </w:r>
          </w:p>
        </w:tc>
        <w:tc>
          <w:tcPr>
            <w:tcW w:w="3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33"/>
              <w:spacing w:after="0"/>
              <w:rPr>
                <w:sz w:val="20"/>
                <w:szCs w:val="20"/>
                <w:color w:val="auto"/>
              </w:rPr>
            </w:pPr>
            <w:r>
              <w:rPr>
                <w:rFonts w:ascii="Arial" w:cs="Arial" w:eastAsia="Arial" w:hAnsi="Arial"/>
                <w:sz w:val="14"/>
                <w:szCs w:val="14"/>
                <w:b w:val="1"/>
                <w:bCs w:val="1"/>
                <w:color w:val="auto"/>
              </w:rPr>
              <w:t>Other</w:t>
            </w:r>
          </w:p>
        </w:tc>
        <w:tc>
          <w:tcPr>
            <w:tcW w:w="420" w:type="dxa"/>
            <w:vAlign w:val="bottom"/>
            <w:gridSpan w:val="3"/>
          </w:tcPr>
          <w:p>
            <w:pPr>
              <w:jc w:val="right"/>
              <w:ind w:right="147"/>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r>
      <w:tr>
        <w:trPr>
          <w:trHeight w:val="193"/>
        </w:trPr>
        <w:tc>
          <w:tcPr>
            <w:tcW w:w="4660" w:type="dxa"/>
            <w:vAlign w:val="bottom"/>
          </w:tcPr>
          <w:p>
            <w:pPr>
              <w:spacing w:after="0"/>
              <w:rPr>
                <w:sz w:val="16"/>
                <w:szCs w:val="16"/>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Termination</w:t>
            </w:r>
          </w:p>
        </w:tc>
        <w:tc>
          <w:tcPr>
            <w:tcW w:w="1040" w:type="dxa"/>
            <w:vAlign w:val="bottom"/>
            <w:gridSpan w:val="3"/>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Termination</w:t>
            </w:r>
          </w:p>
        </w:tc>
        <w:tc>
          <w:tcPr>
            <w:tcW w:w="1020" w:type="dxa"/>
            <w:vAlign w:val="bottom"/>
            <w:gridSpan w:val="3"/>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Associated</w:t>
            </w:r>
          </w:p>
        </w:tc>
        <w:tc>
          <w:tcPr>
            <w:tcW w:w="420" w:type="dxa"/>
            <w:vAlign w:val="bottom"/>
            <w:gridSpan w:val="3"/>
          </w:tcPr>
          <w:p>
            <w:pPr>
              <w:jc w:val="right"/>
              <w:ind w:right="147"/>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r>
      <w:tr>
        <w:trPr>
          <w:trHeight w:val="235"/>
        </w:trPr>
        <w:tc>
          <w:tcPr>
            <w:tcW w:w="4660" w:type="dxa"/>
            <w:vAlign w:val="bottom"/>
          </w:tcPr>
          <w:p>
            <w:pPr>
              <w:spacing w:after="0"/>
              <w:rPr>
                <w:sz w:val="20"/>
                <w:szCs w:val="20"/>
                <w:color w:val="auto"/>
              </w:rPr>
            </w:pPr>
            <w:r>
              <w:rPr>
                <w:rFonts w:ascii="Arial" w:cs="Arial" w:eastAsia="Arial" w:hAnsi="Arial"/>
                <w:sz w:val="14"/>
                <w:szCs w:val="14"/>
                <w:color w:val="auto"/>
              </w:rPr>
              <w:t>($ in thousands)</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
              <w:spacing w:after="0"/>
              <w:rPr>
                <w:sz w:val="20"/>
                <w:szCs w:val="20"/>
                <w:color w:val="auto"/>
              </w:rPr>
            </w:pPr>
            <w:r>
              <w:rPr>
                <w:rFonts w:ascii="Arial" w:cs="Arial" w:eastAsia="Arial" w:hAnsi="Arial"/>
                <w:sz w:val="14"/>
                <w:szCs w:val="14"/>
                <w:b w:val="1"/>
                <w:bCs w:val="1"/>
                <w:color w:val="auto"/>
              </w:rPr>
              <w:t>Benefits</w:t>
            </w:r>
          </w:p>
        </w:tc>
        <w:tc>
          <w:tcPr>
            <w:tcW w:w="3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53"/>
              <w:spacing w:after="0" w:line="235" w:lineRule="exact"/>
              <w:rPr>
                <w:sz w:val="20"/>
                <w:szCs w:val="20"/>
                <w:color w:val="auto"/>
              </w:rPr>
            </w:pPr>
            <w:r>
              <w:rPr>
                <w:rFonts w:ascii="Arial" w:cs="Arial" w:eastAsia="Arial" w:hAnsi="Arial"/>
                <w:sz w:val="14"/>
                <w:szCs w:val="14"/>
                <w:b w:val="1"/>
                <w:bCs w:val="1"/>
                <w:color w:val="auto"/>
                <w:w w:val="93"/>
              </w:rPr>
              <w:t xml:space="preserve">Costs </w:t>
            </w:r>
            <w:r>
              <w:rPr>
                <w:rFonts w:ascii="Arial" w:cs="Arial" w:eastAsia="Arial" w:hAnsi="Arial"/>
                <w:sz w:val="21"/>
                <w:szCs w:val="21"/>
                <w:b w:val="1"/>
                <w:bCs w:val="1"/>
                <w:color w:val="auto"/>
                <w:w w:val="93"/>
                <w:vertAlign w:val="superscript"/>
              </w:rPr>
              <w:t>(1)</w:t>
            </w:r>
          </w:p>
        </w:tc>
        <w:tc>
          <w:tcPr>
            <w:tcW w:w="3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33"/>
              <w:spacing w:after="0" w:line="235" w:lineRule="exact"/>
              <w:rPr>
                <w:sz w:val="20"/>
                <w:szCs w:val="20"/>
                <w:color w:val="auto"/>
              </w:rPr>
            </w:pPr>
            <w:r>
              <w:rPr>
                <w:rFonts w:ascii="Arial" w:cs="Arial" w:eastAsia="Arial" w:hAnsi="Arial"/>
                <w:sz w:val="14"/>
                <w:szCs w:val="14"/>
                <w:b w:val="1"/>
                <w:bCs w:val="1"/>
                <w:color w:val="auto"/>
                <w:w w:val="93"/>
              </w:rPr>
              <w:t xml:space="preserve">Costs </w:t>
            </w:r>
            <w:r>
              <w:rPr>
                <w:rFonts w:ascii="Arial" w:cs="Arial" w:eastAsia="Arial" w:hAnsi="Arial"/>
                <w:sz w:val="21"/>
                <w:szCs w:val="21"/>
                <w:b w:val="1"/>
                <w:bCs w:val="1"/>
                <w:color w:val="auto"/>
                <w:w w:val="93"/>
                <w:vertAlign w:val="superscript"/>
              </w:rPr>
              <w:t>(2)</w:t>
            </w:r>
          </w:p>
        </w:tc>
        <w:tc>
          <w:tcPr>
            <w:tcW w:w="420" w:type="dxa"/>
            <w:vAlign w:val="bottom"/>
            <w:gridSpan w:val="3"/>
          </w:tcPr>
          <w:p>
            <w:pPr>
              <w:jc w:val="right"/>
              <w:ind w:right="127"/>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r>
      <w:tr>
        <w:trPr>
          <w:trHeight w:val="223"/>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March 31, 2023</w:t>
            </w:r>
          </w:p>
        </w:tc>
        <w:tc>
          <w:tcPr>
            <w:tcW w:w="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Charged to expense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1,196</w:t>
            </w:r>
          </w:p>
        </w:tc>
      </w:tr>
      <w:tr>
        <w:trPr>
          <w:trHeight w:val="22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Paid or otherwise settled</w:t>
            </w:r>
          </w:p>
        </w:tc>
        <w:tc>
          <w:tcPr>
            <w:tcW w:w="2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Balance at December 31, 2023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Charged to expense</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r>
      <w:tr>
        <w:trPr>
          <w:trHeight w:val="230"/>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Paid or otherwise settled</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w:t>
            </w:r>
          </w:p>
        </w:tc>
      </w:tr>
      <w:tr>
        <w:trPr>
          <w:trHeight w:val="22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2024</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Charged to expense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Paid or otherwise settled</w:t>
            </w:r>
          </w:p>
        </w:tc>
        <w:tc>
          <w:tcPr>
            <w:tcW w:w="2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Balance at December 31, 2025</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80" w:right="79" w:hanging="330"/>
        <w:spacing w:after="0" w:line="204" w:lineRule="auto"/>
        <w:tabs>
          <w:tab w:leader="none" w:pos="38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Lease termination costs exclude the $0.1 million of gain from the derecognition of the operating lease assets and liabilities relating to the terminated leases as part of the Active Sports Restructuring for the year ended December 31, 2024.</w:t>
      </w:r>
    </w:p>
    <w:p>
      <w:pPr>
        <w:spacing w:after="0" w:line="93"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Other associated costs primarily represent labor, lease and other operating expenses incurred during the post-close wind-down period for the specialty retail location and distribution centers related to the Active Sports Restructuring.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Long-Lived Asset Impairment</w:t>
      </w:r>
    </w:p>
    <w:p>
      <w:pPr>
        <w:spacing w:after="0" w:line="239"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8"/>
          <w:szCs w:val="18"/>
          <w:color w:val="auto"/>
        </w:rPr>
        <w:t>During the three months ended March 31, 2023, the Company recorded an impairment charge totaling $6.6 million related to the Active Sports Restructuring, of which $4.5 million related to intangible assets, and $2.1 million related to other long-lived asset categories.</w:t>
      </w:r>
    </w:p>
    <w:p>
      <w:pPr>
        <w:spacing w:after="0" w:line="48"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During the years ended December 31, 2025, 2024 and 2023, the Company had indicators of impairment of the long-lived assets for certain locations. Such indicators primarily included decreases in market rental rates or decreases in the market value of real property for closed locations, and the Company’s review of location performance in the normal course of business. As a result of updating certain assumptions in the long-lived asset impairment analysis for these locations, the Company determined that the fair value of certain long-lived assets was below their carrying value and were impaired.</w:t>
      </w:r>
    </w:p>
    <w:p>
      <w:pPr>
        <w:spacing w:after="0" w:line="18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long-lived asset impairment charges were calculated as the amount that the carrying value of these locations exceeded the estimated fair value, except that individual assets cannot be impaired below their individual fair values when that fair value can be determined without undue cost and effort. Estimated fair value is typically based on estimated discounted future cash flows, while property appraisals or market rent analyses are utilized for determining the fair value of certain assets related to properties and leases.</w:t>
      </w:r>
    </w:p>
    <w:p>
      <w:pPr>
        <w:spacing w:after="0" w:line="196" w:lineRule="exact"/>
        <w:rPr>
          <w:sz w:val="20"/>
          <w:szCs w:val="20"/>
          <w:color w:val="auto"/>
        </w:rPr>
      </w:pPr>
    </w:p>
    <w:p>
      <w:pPr>
        <w:jc w:val="both"/>
        <w:ind w:left="60" w:right="79" w:firstLine="648"/>
        <w:spacing w:after="0" w:line="303" w:lineRule="auto"/>
        <w:rPr>
          <w:sz w:val="20"/>
          <w:szCs w:val="20"/>
          <w:color w:val="auto"/>
        </w:rPr>
      </w:pPr>
      <w:r>
        <w:rPr>
          <w:rFonts w:ascii="Arial" w:cs="Arial" w:eastAsia="Arial" w:hAnsi="Arial"/>
          <w:sz w:val="18"/>
          <w:szCs w:val="18"/>
          <w:color w:val="auto"/>
        </w:rPr>
        <w:t>The following table details long-lived asset impairment charges by type of long-lived asset and by restructuring activity, all of which relate to the RV and Outdoor Retail segment:</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84"/>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220" w:type="dxa"/>
            <w:vAlign w:val="bottom"/>
          </w:tcPr>
          <w:p>
            <w:pPr>
              <w:spacing w:after="0"/>
              <w:rPr>
                <w:sz w:val="16"/>
                <w:szCs w:val="16"/>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2025</w:t>
            </w:r>
          </w:p>
        </w:tc>
        <w:tc>
          <w:tcPr>
            <w:tcW w:w="4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2024</w:t>
            </w:r>
          </w:p>
        </w:tc>
        <w:tc>
          <w:tcPr>
            <w:tcW w:w="440" w:type="dxa"/>
            <w:vAlign w:val="bottom"/>
            <w:gridSpan w:val="2"/>
          </w:tcPr>
          <w:p>
            <w:pPr>
              <w:jc w:val="right"/>
              <w:ind w:right="15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r>
      <w:tr>
        <w:trPr>
          <w:trHeight w:val="196"/>
        </w:trPr>
        <w:tc>
          <w:tcPr>
            <w:tcW w:w="5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Long-lived asset impairment charges by type of long-lived asset:</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30"/>
        </w:trPr>
        <w:tc>
          <w:tcPr>
            <w:tcW w:w="5360" w:type="dxa"/>
            <w:vAlign w:val="bottom"/>
            <w:gridSpan w:val="2"/>
          </w:tcPr>
          <w:p>
            <w:pPr>
              <w:ind w:left="120"/>
              <w:spacing w:after="0"/>
              <w:rPr>
                <w:sz w:val="20"/>
                <w:szCs w:val="20"/>
                <w:color w:val="auto"/>
              </w:rPr>
            </w:pPr>
            <w:r>
              <w:rPr>
                <w:rFonts w:ascii="Arial" w:cs="Arial" w:eastAsia="Arial" w:hAnsi="Arial"/>
                <w:sz w:val="16"/>
                <w:szCs w:val="16"/>
                <w:color w:val="auto"/>
              </w:rPr>
              <w:t>Leasehold improvements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190</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4,032</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1,857</w:t>
            </w:r>
          </w:p>
        </w:tc>
        <w:tc>
          <w:tcPr>
            <w:tcW w:w="220" w:type="dxa"/>
            <w:vAlign w:val="bottom"/>
          </w:tcPr>
          <w:p>
            <w:pPr>
              <w:spacing w:after="0"/>
              <w:rPr>
                <w:sz w:val="19"/>
                <w:szCs w:val="19"/>
                <w:color w:val="auto"/>
              </w:rPr>
            </w:pPr>
          </w:p>
        </w:tc>
      </w:tr>
      <w:tr>
        <w:trPr>
          <w:trHeight w:val="229"/>
        </w:trPr>
        <w:tc>
          <w:tcPr>
            <w:tcW w:w="5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lease right of use assets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20" w:type="dxa"/>
            <w:vAlign w:val="bottom"/>
            <w:shd w:val="clear" w:color="auto" w:fill="CCEEFF"/>
          </w:tcPr>
          <w:p>
            <w:pPr>
              <w:spacing w:after="0"/>
              <w:rPr>
                <w:sz w:val="19"/>
                <w:szCs w:val="19"/>
                <w:color w:val="auto"/>
              </w:rPr>
            </w:pPr>
          </w:p>
        </w:tc>
      </w:tr>
      <w:tr>
        <w:trPr>
          <w:trHeight w:val="230"/>
        </w:trPr>
        <w:tc>
          <w:tcPr>
            <w:tcW w:w="5360" w:type="dxa"/>
            <w:vAlign w:val="bottom"/>
            <w:gridSpan w:val="2"/>
          </w:tcPr>
          <w:p>
            <w:pPr>
              <w:ind w:left="120"/>
              <w:spacing w:after="0"/>
              <w:rPr>
                <w:sz w:val="20"/>
                <w:szCs w:val="20"/>
                <w:color w:val="auto"/>
              </w:rPr>
            </w:pPr>
            <w:r>
              <w:rPr>
                <w:rFonts w:ascii="Arial" w:cs="Arial" w:eastAsia="Arial" w:hAnsi="Arial"/>
                <w:sz w:val="16"/>
                <w:szCs w:val="16"/>
                <w:color w:val="auto"/>
              </w:rPr>
              <w:t>Building and improvements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3,787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Furniture and equipment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20" w:type="dxa"/>
            <w:vAlign w:val="bottom"/>
            <w:shd w:val="clear" w:color="auto" w:fill="CCEEFF"/>
          </w:tcPr>
          <w:p>
            <w:pPr>
              <w:spacing w:after="0"/>
              <w:rPr>
                <w:sz w:val="19"/>
                <w:szCs w:val="19"/>
                <w:color w:val="auto"/>
              </w:rPr>
            </w:pPr>
          </w:p>
        </w:tc>
      </w:tr>
      <w:tr>
        <w:trPr>
          <w:trHeight w:val="230"/>
        </w:trPr>
        <w:tc>
          <w:tcPr>
            <w:tcW w:w="5360" w:type="dxa"/>
            <w:vAlign w:val="bottom"/>
            <w:gridSpan w:val="2"/>
          </w:tcPr>
          <w:p>
            <w:pPr>
              <w:ind w:left="120"/>
              <w:spacing w:after="0"/>
              <w:rPr>
                <w:sz w:val="20"/>
                <w:szCs w:val="20"/>
                <w:color w:val="auto"/>
              </w:rPr>
            </w:pPr>
            <w:r>
              <w:rPr>
                <w:rFonts w:ascii="Arial" w:cs="Arial" w:eastAsia="Arial" w:hAnsi="Arial"/>
                <w:sz w:val="16"/>
                <w:szCs w:val="16"/>
                <w:color w:val="auto"/>
              </w:rPr>
              <w:t>Software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1,362</w:t>
            </w:r>
          </w:p>
        </w:tc>
        <w:tc>
          <w:tcPr>
            <w:tcW w:w="220" w:type="dxa"/>
            <w:vAlign w:val="bottom"/>
          </w:tcPr>
          <w:p>
            <w:pPr>
              <w:spacing w:after="0"/>
              <w:rPr>
                <w:sz w:val="19"/>
                <w:szCs w:val="19"/>
                <w:color w:val="auto"/>
              </w:rPr>
            </w:pPr>
          </w:p>
        </w:tc>
      </w:tr>
      <w:tr>
        <w:trPr>
          <w:trHeight w:val="229"/>
        </w:trPr>
        <w:tc>
          <w:tcPr>
            <w:tcW w:w="5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Construction in progress and software in development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9"/>
                <w:szCs w:val="19"/>
                <w:color w:val="auto"/>
              </w:rPr>
            </w:pPr>
          </w:p>
        </w:tc>
      </w:tr>
      <w:tr>
        <w:trPr>
          <w:trHeight w:val="230"/>
        </w:trPr>
        <w:tc>
          <w:tcPr>
            <w:tcW w:w="53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Intangible assets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220" w:type="dxa"/>
            <w:vAlign w:val="bottom"/>
            <w:tcBorders>
              <w:bottom w:val="single" w:sz="8" w:color="CCEEFF"/>
            </w:tcBorders>
          </w:tcPr>
          <w:p>
            <w:pPr>
              <w:spacing w:after="0"/>
              <w:rPr>
                <w:sz w:val="19"/>
                <w:szCs w:val="19"/>
                <w:color w:val="auto"/>
              </w:rPr>
            </w:pPr>
          </w:p>
        </w:tc>
      </w:tr>
      <w:tr>
        <w:trPr>
          <w:trHeight w:val="223"/>
        </w:trPr>
        <w:tc>
          <w:tcPr>
            <w:tcW w:w="5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long-lived asset impairment charges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15,061</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Long-lived asset impairment charges by restructuring activity:</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5360" w:type="dxa"/>
            <w:vAlign w:val="bottom"/>
            <w:gridSpan w:val="2"/>
          </w:tcPr>
          <w:p>
            <w:pPr>
              <w:ind w:left="120"/>
              <w:spacing w:after="0"/>
              <w:rPr>
                <w:sz w:val="20"/>
                <w:szCs w:val="20"/>
                <w:color w:val="auto"/>
              </w:rPr>
            </w:pPr>
            <w:r>
              <w:rPr>
                <w:rFonts w:ascii="Arial" w:cs="Arial" w:eastAsia="Arial" w:hAnsi="Arial"/>
                <w:sz w:val="16"/>
                <w:szCs w:val="16"/>
                <w:color w:val="auto"/>
              </w:rPr>
              <w:t>Active Sports Restructuring</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6,648</w:t>
            </w:r>
          </w:p>
        </w:tc>
        <w:tc>
          <w:tcPr>
            <w:tcW w:w="220" w:type="dxa"/>
            <w:vAlign w:val="bottom"/>
          </w:tcPr>
          <w:p>
            <w:pPr>
              <w:spacing w:after="0"/>
              <w:rPr>
                <w:sz w:val="19"/>
                <w:szCs w:val="19"/>
                <w:color w:val="auto"/>
              </w:rPr>
            </w:pPr>
          </w:p>
        </w:tc>
      </w:tr>
      <w:tr>
        <w:trPr>
          <w:trHeight w:val="230"/>
        </w:trPr>
        <w:tc>
          <w:tcPr>
            <w:tcW w:w="5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Unrelated to restructuring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15,061</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220" w:type="dxa"/>
            <w:vAlign w:val="bottom"/>
            <w:shd w:val="clear" w:color="auto" w:fill="CCEEFF"/>
          </w:tcPr>
          <w:p>
            <w:pPr>
              <w:spacing w:after="0"/>
              <w:rPr>
                <w:sz w:val="19"/>
                <w:szCs w:val="19"/>
                <w:color w:val="auto"/>
              </w:rPr>
            </w:pPr>
          </w:p>
        </w:tc>
      </w:tr>
      <w:tr>
        <w:trPr>
          <w:trHeight w:val="223"/>
        </w:trPr>
        <w:tc>
          <w:tcPr>
            <w:tcW w:w="5360" w:type="dxa"/>
            <w:vAlign w:val="bottom"/>
            <w:gridSpan w:val="2"/>
          </w:tcPr>
          <w:p>
            <w:pPr>
              <w:ind w:left="220"/>
              <w:spacing w:after="0"/>
              <w:rPr>
                <w:sz w:val="20"/>
                <w:szCs w:val="20"/>
                <w:color w:val="auto"/>
              </w:rPr>
            </w:pPr>
            <w:r>
              <w:rPr>
                <w:rFonts w:ascii="Arial" w:cs="Arial" w:eastAsia="Arial" w:hAnsi="Arial"/>
                <w:sz w:val="16"/>
                <w:szCs w:val="16"/>
                <w:color w:val="auto"/>
              </w:rPr>
              <w:t>Total long-lived asset impairment charges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15,061</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9,269</w:t>
            </w:r>
          </w:p>
        </w:tc>
        <w:tc>
          <w:tcPr>
            <w:tcW w:w="22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Assets Held for Sale and Business Divestiture</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As of December 31, 2025 and 2024, one and two RV and Outdoor Retail segment properties, respectively, met the criteria to be classified as held for sale.</w:t>
      </w:r>
    </w:p>
    <w:p>
      <w:pPr>
        <w:spacing w:after="0" w:line="4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components of assets held for sale:</w:t>
      </w:r>
    </w:p>
    <w:p>
      <w:pPr>
        <w:spacing w:after="0" w:line="140"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4680" w:type="dxa"/>
            <w:vAlign w:val="bottom"/>
          </w:tcPr>
          <w:p>
            <w:pPr>
              <w:spacing w:after="0"/>
              <w:rPr>
                <w:sz w:val="20"/>
                <w:szCs w:val="20"/>
                <w:color w:val="auto"/>
              </w:rPr>
            </w:pPr>
            <w:r>
              <w:rPr>
                <w:rFonts w:ascii="Arial" w:cs="Arial" w:eastAsia="Arial" w:hAnsi="Arial"/>
                <w:sz w:val="14"/>
                <w:szCs w:val="14"/>
                <w:color w:val="auto"/>
              </w:rPr>
              <w:t>($ in thousands)</w:t>
            </w:r>
          </w:p>
        </w:tc>
        <w:tc>
          <w:tcPr>
            <w:tcW w:w="34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59"/>
              <w:spacing w:after="0"/>
              <w:rPr>
                <w:sz w:val="20"/>
                <w:szCs w:val="20"/>
                <w:color w:val="auto"/>
              </w:rPr>
            </w:pPr>
            <w:r>
              <w:rPr>
                <w:rFonts w:ascii="Arial" w:cs="Arial" w:eastAsia="Arial" w:hAnsi="Arial"/>
                <w:sz w:val="14"/>
                <w:szCs w:val="14"/>
                <w:b w:val="1"/>
                <w:bCs w:val="1"/>
                <w:color w:val="auto"/>
              </w:rPr>
              <w:t>2025</w:t>
            </w:r>
          </w:p>
        </w:tc>
        <w:tc>
          <w:tcPr>
            <w:tcW w:w="34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59"/>
              <w:spacing w:after="0"/>
              <w:rPr>
                <w:sz w:val="20"/>
                <w:szCs w:val="20"/>
                <w:color w:val="auto"/>
              </w:rPr>
            </w:pPr>
            <w:r>
              <w:rPr>
                <w:rFonts w:ascii="Arial" w:cs="Arial" w:eastAsia="Arial" w:hAnsi="Arial"/>
                <w:sz w:val="14"/>
                <w:szCs w:val="14"/>
                <w:b w:val="1"/>
                <w:bCs w:val="1"/>
                <w:color w:val="auto"/>
              </w:rPr>
              <w:t>2024</w:t>
            </w:r>
          </w:p>
        </w:tc>
      </w:tr>
      <w:tr>
        <w:trPr>
          <w:trHeight w:val="224"/>
        </w:trPr>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468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1,350</w:t>
            </w:r>
          </w:p>
        </w:tc>
      </w:tr>
      <w:tr>
        <w:trPr>
          <w:trHeight w:val="223"/>
        </w:trPr>
        <w:tc>
          <w:tcPr>
            <w:tcW w:w="46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r>
      <w:tr>
        <w:trPr>
          <w:trHeight w:val="20"/>
        </w:trPr>
        <w:tc>
          <w:tcPr>
            <w:tcW w:w="4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On May 3, 2024, the Company closed on the sale of certain assets of the RV and Outdoor Retail segment’s RV furniture business (“CWDS”) and, in connection with the sale, entered into a supply agreement (“Supplier Agreement”) with the buyer and the sublease of certain properties and equipment to the buyer. The approximately $30.4 million fair value of consideration received from the divestiture were comprised of</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approximately $20.0 million of cash consideration, $9.5 million of an intangible asset for the Supplier Agreement, and $0.9 million of cash consideration as a holdback. During the year ended December 31, 2025, $0.7 million of the holdback was paid to the Company and the remainder of the holdback was offset against warranty costs incurred by the buyer that were indemnified by the Company. The divested net assets of CWDS were comprised primarily of approximately $28.8 million of products, parts, accessories and other inventories, $0.9 million of net intangible assets, $1.2 million of accounts payable assumed and $8.9 million of goodwill allocated from the RV and Outdoor Retail segment based on the relative fair value of CWDS. This divestiture transaction resulted in a loss of $7.1 million and is included in (gain) loss on sale or disposal of assets in the consolidated statements of operations for the year ended December 31, 2024. The Company believes that it has gained operational efficiencies by exiting the manufacture of RV furniture and focusing its resources on the sourcing and sale of its RV and aftermarket accessory products. The fair value of the Supplier Agreement intangible asset was estimated as the present value of the estimated benefits that a market participant would receive under the Supplier Agreement, such as favorable pricing and rebates, over the term of the agreement, which is categorized as a Level 3 measurement, as defined in Note 13 – Fair Value Measurements. This Supplier Agreement intangible asset is expected to be amortized over the term of the agreement of approximately 10 years.</w:t>
      </w:r>
    </w:p>
    <w:p>
      <w:pPr>
        <w:spacing w:after="0" w:line="10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7"/>
          <w:szCs w:val="17"/>
          <w:color w:val="auto"/>
        </w:rPr>
        <w:t>Additionally, on June 30, 2025, the Company closed on the sale of certain assets of one RV dealership. The approximately $10.3 million fair value of consideration received from the divestiture was comprised of $4.4 million of cash consideration and $5.9 million paid directly to the Floor Plan Lenders for new vehicles included in the Company’s floor plan. Included in the $4.4 million of cash consideration was $1.0 million for a deposit related to a purchase of real estate, which closed on December 22, 2025. The divested net assets were comprised primarily of approximately $6.1 million of inventories, net; $0.1 million of property and equipment, net; and $3.4 million of goodwill allocated from the RV and Outdoor Retail segment based on the relative fair value of the dealership. This divestiture transaction resulted in a loss of $0.3 million and is included in (gain) loss on sale or disposal of assets in the consolidated statements of operations for the year ended December 31, 2025. In addition to receiving a return for the assets, the sale allowed the Company to avoid significant brand-specific capital improvements which would have been required to support the dealership on an on-going basis.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Property and Equipment, net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consisted of the following:</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tcPr>
          <w:p>
            <w:pPr>
              <w:jc w:val="right"/>
              <w:ind w:right="56"/>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28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6460" w:type="dxa"/>
            <w:vAlign w:val="bottom"/>
          </w:tcPr>
          <w:p>
            <w:pPr>
              <w:spacing w:after="0"/>
              <w:rPr>
                <w:sz w:val="16"/>
                <w:szCs w:val="16"/>
                <w:color w:val="auto"/>
              </w:rPr>
            </w:pPr>
          </w:p>
        </w:tc>
        <w:tc>
          <w:tcPr>
            <w:tcW w:w="80" w:type="dxa"/>
            <w:vAlign w:val="bottom"/>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4"/>
          </w:tcPr>
          <w:p>
            <w:pPr>
              <w:ind w:left="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December 31,</w:t>
            </w:r>
          </w:p>
        </w:tc>
      </w:tr>
      <w:tr>
        <w:trPr>
          <w:trHeight w:val="197"/>
        </w:trPr>
        <w:tc>
          <w:tcPr>
            <w:tcW w:w="654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92"/>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92"/>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r>
      <w:tr>
        <w:trPr>
          <w:trHeight w:val="224"/>
        </w:trPr>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131,422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133,984</w:t>
            </w:r>
          </w:p>
        </w:tc>
        <w:tc>
          <w:tcPr>
            <w:tcW w:w="20" w:type="dxa"/>
            <w:vAlign w:val="bottom"/>
            <w:tcBorders>
              <w:top w:val="single" w:sz="8" w:color="CCEEFF"/>
            </w:tcBorders>
            <w:shd w:val="clear" w:color="auto" w:fill="CCEEFF"/>
          </w:tcPr>
          <w:p>
            <w:pPr>
              <w:spacing w:after="0"/>
              <w:rPr>
                <w:sz w:val="19"/>
                <w:szCs w:val="19"/>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307,946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348,315</w:t>
            </w:r>
          </w:p>
        </w:tc>
        <w:tc>
          <w:tcPr>
            <w:tcW w:w="20" w:type="dxa"/>
            <w:vAlign w:val="bottom"/>
          </w:tcPr>
          <w:p>
            <w:pPr>
              <w:spacing w:after="0"/>
              <w:rPr>
                <w:sz w:val="19"/>
                <w:szCs w:val="19"/>
                <w:color w:val="auto"/>
              </w:rPr>
            </w:pPr>
          </w:p>
        </w:tc>
      </w:tr>
      <w:tr>
        <w:trPr>
          <w:trHeight w:val="229"/>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380,205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369,791</w:t>
            </w:r>
          </w:p>
        </w:tc>
        <w:tc>
          <w:tcPr>
            <w:tcW w:w="20" w:type="dxa"/>
            <w:vAlign w:val="bottom"/>
            <w:shd w:val="clear" w:color="auto" w:fill="CCEEFF"/>
          </w:tcPr>
          <w:p>
            <w:pPr>
              <w:spacing w:after="0"/>
              <w:rPr>
                <w:sz w:val="19"/>
                <w:szCs w:val="19"/>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Furniture and equipment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297,490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277,801</w:t>
            </w:r>
          </w:p>
        </w:tc>
        <w:tc>
          <w:tcPr>
            <w:tcW w:w="20" w:type="dxa"/>
            <w:vAlign w:val="bottom"/>
          </w:tcPr>
          <w:p>
            <w:pPr>
              <w:spacing w:after="0"/>
              <w:rPr>
                <w:sz w:val="19"/>
                <w:szCs w:val="19"/>
                <w:color w:val="auto"/>
              </w:rPr>
            </w:pPr>
          </w:p>
        </w:tc>
      </w:tr>
      <w:tr>
        <w:trPr>
          <w:trHeight w:val="230"/>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104,306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93,769</w:t>
            </w:r>
          </w:p>
        </w:tc>
        <w:tc>
          <w:tcPr>
            <w:tcW w:w="20" w:type="dxa"/>
            <w:vAlign w:val="bottom"/>
            <w:shd w:val="clear" w:color="auto" w:fill="CCEEFF"/>
          </w:tcPr>
          <w:p>
            <w:pPr>
              <w:spacing w:after="0"/>
              <w:rPr>
                <w:sz w:val="19"/>
                <w:szCs w:val="19"/>
                <w:color w:val="auto"/>
              </w:rPr>
            </w:pPr>
          </w:p>
        </w:tc>
      </w:tr>
      <w:tr>
        <w:trPr>
          <w:trHeight w:val="230"/>
        </w:trPr>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Construction in progress and software in development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76,563</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45,682</w:t>
            </w:r>
          </w:p>
        </w:tc>
        <w:tc>
          <w:tcPr>
            <w:tcW w:w="20" w:type="dxa"/>
            <w:vAlign w:val="bottom"/>
            <w:tcBorders>
              <w:bottom w:val="single" w:sz="8" w:color="CCEEFF"/>
            </w:tcBorders>
          </w:tcPr>
          <w:p>
            <w:pPr>
              <w:spacing w:after="0"/>
              <w:rPr>
                <w:sz w:val="19"/>
                <w:szCs w:val="19"/>
                <w:color w:val="auto"/>
              </w:rPr>
            </w:pPr>
          </w:p>
        </w:tc>
      </w:tr>
      <w:tr>
        <w:trPr>
          <w:trHeight w:val="223"/>
        </w:trPr>
        <w:tc>
          <w:tcPr>
            <w:tcW w:w="6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1,297,932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1,269,342</w:t>
            </w:r>
          </w:p>
        </w:tc>
        <w:tc>
          <w:tcPr>
            <w:tcW w:w="20" w:type="dxa"/>
            <w:vAlign w:val="bottom"/>
            <w:shd w:val="clear" w:color="auto" w:fill="CCEEFF"/>
          </w:tcPr>
          <w:p>
            <w:pPr>
              <w:spacing w:after="0"/>
              <w:rPr>
                <w:sz w:val="19"/>
                <w:szCs w:val="19"/>
                <w:color w:val="auto"/>
              </w:rPr>
            </w:pPr>
          </w:p>
        </w:tc>
      </w:tr>
      <w:tr>
        <w:trPr>
          <w:trHeight w:val="230"/>
        </w:trPr>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(465,870)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(422,582)</w:t>
            </w:r>
          </w:p>
        </w:tc>
        <w:tc>
          <w:tcPr>
            <w:tcW w:w="20" w:type="dxa"/>
            <w:vAlign w:val="bottom"/>
            <w:tcBorders>
              <w:bottom w:val="single" w:sz="8" w:color="CCEEFF"/>
            </w:tcBorders>
          </w:tcPr>
          <w:p>
            <w:pPr>
              <w:spacing w:after="0"/>
              <w:rPr>
                <w:sz w:val="19"/>
                <w:szCs w:val="19"/>
                <w:color w:val="auto"/>
              </w:rPr>
            </w:pPr>
          </w:p>
        </w:tc>
      </w:tr>
      <w:tr>
        <w:trPr>
          <w:trHeight w:val="223"/>
        </w:trPr>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832,062</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846,760</w:t>
            </w:r>
          </w:p>
        </w:tc>
        <w:tc>
          <w:tcPr>
            <w:tcW w:w="20" w:type="dxa"/>
            <w:vAlign w:val="bottom"/>
            <w:tcBorders>
              <w:bottom w:val="single" w:sz="8" w:color="CCEEFF"/>
            </w:tcBorders>
            <w:shd w:val="clear" w:color="auto" w:fill="CCEEFF"/>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6099" w:hanging="10"/>
        <w:spacing w:after="0" w:line="500" w:lineRule="auto"/>
        <w:tabs>
          <w:tab w:leader="none" w:pos="2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Goodwill</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changes in the Company’s goodwill by business line for the years ended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2025 and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41"/>
              <w:spacing w:after="0"/>
              <w:rPr>
                <w:sz w:val="20"/>
                <w:szCs w:val="20"/>
                <w:color w:val="auto"/>
              </w:rPr>
            </w:pPr>
            <w:r>
              <w:rPr>
                <w:rFonts w:ascii="Arial" w:cs="Arial" w:eastAsia="Arial" w:hAnsi="Arial"/>
                <w:sz w:val="14"/>
                <w:szCs w:val="14"/>
                <w:b w:val="1"/>
                <w:bCs w:val="1"/>
                <w:color w:val="auto"/>
              </w:rPr>
              <w:t>Good Sam</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41"/>
              <w:spacing w:after="0"/>
              <w:rPr>
                <w:sz w:val="20"/>
                <w:szCs w:val="20"/>
                <w:color w:val="auto"/>
              </w:rPr>
            </w:pPr>
            <w:r>
              <w:rPr>
                <w:rFonts w:ascii="Arial" w:cs="Arial" w:eastAsia="Arial" w:hAnsi="Arial"/>
                <w:sz w:val="14"/>
                <w:szCs w:val="14"/>
                <w:b w:val="1"/>
                <w:bCs w:val="1"/>
                <w:color w:val="auto"/>
              </w:rPr>
              <w:t>Services and</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auto"/>
              </w:rPr>
              <w:t>RV and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4"/>
                <w:szCs w:val="14"/>
                <w:color w:val="auto"/>
              </w:rPr>
              <w:t>($ in thousands)</w:t>
            </w:r>
          </w:p>
        </w:tc>
        <w:tc>
          <w:tcPr>
            <w:tcW w:w="280" w:type="dxa"/>
            <w:vAlign w:val="bottom"/>
            <w:gridSpan w:val="2"/>
          </w:tcPr>
          <w:p>
            <w:pPr>
              <w:jc w:val="right"/>
              <w:ind w:right="24"/>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right="21"/>
              <w:spacing w:after="0"/>
              <w:rPr>
                <w:sz w:val="20"/>
                <w:szCs w:val="20"/>
                <w:color w:val="auto"/>
              </w:rPr>
            </w:pPr>
            <w:r>
              <w:rPr>
                <w:rFonts w:ascii="Arial" w:cs="Arial" w:eastAsia="Arial" w:hAnsi="Arial"/>
                <w:sz w:val="14"/>
                <w:szCs w:val="14"/>
                <w:b w:val="1"/>
                <w:bCs w:val="1"/>
                <w:color w:val="auto"/>
              </w:rPr>
              <w:t>Plans</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Outdoor Retail</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
              <w:spacing w:after="0"/>
              <w:rPr>
                <w:sz w:val="20"/>
                <w:szCs w:val="20"/>
                <w:color w:val="auto"/>
              </w:rPr>
            </w:pPr>
            <w:r>
              <w:rPr>
                <w:rFonts w:ascii="Arial" w:cs="Arial" w:eastAsia="Arial" w:hAnsi="Arial"/>
                <w:sz w:val="14"/>
                <w:szCs w:val="14"/>
                <w:b w:val="1"/>
                <w:bCs w:val="1"/>
                <w:color w:val="auto"/>
                <w:w w:val="99"/>
              </w:rPr>
              <w:t>Consolidated</w:t>
            </w:r>
          </w:p>
        </w:tc>
      </w:tr>
      <w:tr>
        <w:trPr>
          <w:trHeight w:val="198"/>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 at December 31, 2023 (excluding impairment charges)</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71,118</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881,941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953,059</w:t>
            </w:r>
          </w:p>
        </w:tc>
      </w:tr>
      <w:tr>
        <w:trPr>
          <w:trHeight w:val="203"/>
        </w:trPr>
        <w:tc>
          <w:tcPr>
            <w:tcW w:w="5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impairment charges</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(46,884)</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(194,953)</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(241,837)</w:t>
            </w: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686,988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711,222</w:t>
            </w: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Acquisitions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30,140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31,701</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Divestiture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(8,900)</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(8,900)</w:t>
            </w:r>
          </w:p>
        </w:tc>
      </w:tr>
      <w:tr>
        <w:trPr>
          <w:trHeight w:val="196"/>
        </w:trPr>
        <w:tc>
          <w:tcPr>
            <w:tcW w:w="5160" w:type="dxa"/>
            <w:vAlign w:val="bottom"/>
          </w:tcPr>
          <w:p>
            <w:pPr>
              <w:spacing w:after="0"/>
              <w:rPr>
                <w:sz w:val="20"/>
                <w:szCs w:val="20"/>
                <w:color w:val="auto"/>
              </w:rPr>
            </w:pPr>
            <w:r>
              <w:rPr>
                <w:rFonts w:ascii="Arial" w:cs="Arial" w:eastAsia="Arial" w:hAnsi="Arial"/>
                <w:sz w:val="16"/>
                <w:szCs w:val="16"/>
                <w:color w:val="auto"/>
              </w:rPr>
              <w:t>Balance at December 31, 2024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25,795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708,228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734,023</w:t>
            </w: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Acquisitions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18,712</w:t>
            </w:r>
          </w:p>
        </w:tc>
      </w:tr>
      <w:tr>
        <w:trPr>
          <w:trHeight w:val="203"/>
        </w:trPr>
        <w:tc>
          <w:tcPr>
            <w:tcW w:w="5160" w:type="dxa"/>
            <w:vAlign w:val="bottom"/>
            <w:tcBorders>
              <w:bottom w:val="single" w:sz="8" w:color="CCEEFF"/>
            </w:tcBorders>
          </w:tcPr>
          <w:p>
            <w:pPr>
              <w:spacing w:after="0" w:line="202" w:lineRule="exact"/>
              <w:rPr>
                <w:sz w:val="20"/>
                <w:szCs w:val="20"/>
                <w:color w:val="auto"/>
              </w:rPr>
            </w:pPr>
            <w:r>
              <w:rPr>
                <w:rFonts w:ascii="Arial" w:cs="Arial" w:eastAsia="Arial" w:hAnsi="Arial"/>
                <w:sz w:val="16"/>
                <w:szCs w:val="16"/>
                <w:color w:val="auto"/>
              </w:rPr>
              <w:t xml:space="preserve">Divestiture </w:t>
            </w:r>
            <w:r>
              <w:rPr>
                <w:rFonts w:ascii="Arial" w:cs="Arial" w:eastAsia="Arial" w:hAnsi="Arial"/>
                <w:sz w:val="23"/>
                <w:szCs w:val="23"/>
                <w:color w:val="auto"/>
                <w:vertAlign w:val="superscript"/>
              </w:rPr>
              <w:t>(1)</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w:t>
            </w:r>
          </w:p>
        </w:tc>
      </w:tr>
      <w:tr>
        <w:trPr>
          <w:trHeight w:val="196"/>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2025</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25,795</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723,526</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749,321</w:t>
            </w:r>
          </w:p>
        </w:tc>
      </w:tr>
      <w:tr>
        <w:trPr>
          <w:trHeight w:val="20"/>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80" w:hanging="330"/>
        <w:spacing w:after="0"/>
        <w:tabs>
          <w:tab w:leader="none" w:pos="380" w:val="left"/>
        </w:tabs>
        <w:numPr>
          <w:ilvl w:val="0"/>
          <w:numId w:val="65"/>
        </w:numPr>
        <w:rPr>
          <w:rFonts w:ascii="Arial" w:cs="Arial" w:eastAsia="Arial" w:hAnsi="Arial"/>
          <w:sz w:val="22"/>
          <w:szCs w:val="22"/>
          <w:color w:val="auto"/>
          <w:vertAlign w:val="superscript"/>
        </w:rPr>
      </w:pPr>
      <w:r>
        <w:rPr>
          <w:rFonts w:ascii="Arial" w:cs="Arial" w:eastAsia="Arial" w:hAnsi="Arial"/>
          <w:sz w:val="14"/>
          <w:szCs w:val="14"/>
          <w:color w:val="auto"/>
        </w:rPr>
        <w:t>See Note 6 ― Assets Held for Sale and Business Divestiture.</w:t>
      </w:r>
    </w:p>
    <w:p>
      <w:pPr>
        <w:spacing w:after="0" w:line="165"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In the fourth quarter of 2025 and 2024, the Company performed its annual goodwill impairment test of the RV and Outdoor Retail, the Good Sam Show, Good Sam Media, GSS Enterprises and Good Sam RA and Tire Rescue reporting units by performing a quantitative analysis. The RV and Outdoor Retail reporting unit is comprised of the entire RV and Outdoor Retail segment. The Good Sam Show, Good Sam Media, GSS Enterprise, and the Good Sam RA and Tire Rescue reporting units are comprised of a portion of the Good Sam Services and Plans segment. As of December 31, 2025 and 2024, the Good Sam RA and Tire Rescue reporting unit had allocated goodwill of $1.6 million and this reporting unit had a negative carrying value as of the date of these annual goodwill impairment tests. These annual goodwill impairment tests resulted in the determination that the estimated fair value of these reporting units exceeded their carrying value. Therefore, no impairment charge was recorded during the years ended December 31, 2025 and 2024.</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RV and Outdoor Retail reporting unit’s fair value exceeded its carrying value by 11% and the remaining reporting units’ fair values exceeded their carrying values by a significant amount. The Company estimated the fair value of these reporting units using a combination of the guideline public company method under the market approach and the discounted cash flow analysis method under the income approach. Of the key assumptions to the determination of fair value for the RV and Outdoor Retail reporting unit, (i) revenue and EBITDA projections, (ii) discount rate, and (iii) market multiples of comparable public companies are subject to the most uncertainty and it is reasonably possible that changes in the estimates underlying those, or other, assumptions could negatively impact the fair value of the RV and Outdoor Retail reporting unit and result in an impairment of goodwill in the near term.</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Finite-lived intangible assets and related accumulated amortization consisted of the following:</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74"/>
        </w:trPr>
        <w:tc>
          <w:tcPr>
            <w:tcW w:w="4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4"/>
              <w:spacing w:after="0"/>
              <w:rPr>
                <w:sz w:val="20"/>
                <w:szCs w:val="20"/>
                <w:color w:val="auto"/>
              </w:rPr>
            </w:pPr>
            <w:r>
              <w:rPr>
                <w:rFonts w:ascii="Arial" w:cs="Arial" w:eastAsia="Arial" w:hAnsi="Arial"/>
                <w:sz w:val="14"/>
                <w:szCs w:val="14"/>
                <w:b w:val="1"/>
                <w:bCs w:val="1"/>
                <w:color w:val="auto"/>
              </w:rPr>
              <w:t>Carrying</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Useful Life</w:t>
            </w:r>
          </w:p>
        </w:tc>
      </w:tr>
      <w:tr>
        <w:trPr>
          <w:trHeight w:val="197"/>
        </w:trPr>
        <w:tc>
          <w:tcPr>
            <w:tcW w:w="4960" w:type="dxa"/>
            <w:vAlign w:val="bottom"/>
          </w:tcPr>
          <w:p>
            <w:pPr>
              <w:spacing w:after="0"/>
              <w:rPr>
                <w:sz w:val="20"/>
                <w:szCs w:val="20"/>
                <w:color w:val="auto"/>
              </w:rPr>
            </w:pPr>
            <w:r>
              <w:rPr>
                <w:rFonts w:ascii="Arial" w:cs="Arial" w:eastAsia="Arial" w:hAnsi="Arial"/>
                <w:sz w:val="14"/>
                <w:szCs w:val="14"/>
                <w:color w:val="auto"/>
              </w:rPr>
              <w:t>($ in thousands)</w:t>
            </w: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00" w:type="dxa"/>
            <w:vAlign w:val="bottom"/>
          </w:tcPr>
          <w:p>
            <w:pPr>
              <w:jc w:val="center"/>
              <w:ind w:right="34"/>
              <w:spacing w:after="0"/>
              <w:rPr>
                <w:sz w:val="20"/>
                <w:szCs w:val="20"/>
                <w:color w:val="auto"/>
              </w:rPr>
            </w:pPr>
            <w:r>
              <w:rPr>
                <w:rFonts w:ascii="Arial" w:cs="Arial" w:eastAsia="Arial" w:hAnsi="Arial"/>
                <w:sz w:val="14"/>
                <w:szCs w:val="14"/>
                <w:b w:val="1"/>
                <w:bCs w:val="1"/>
                <w:color w:val="auto"/>
              </w:rPr>
              <w:t>Value</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Amortization</w:t>
            </w:r>
          </w:p>
        </w:tc>
        <w:tc>
          <w:tcPr>
            <w:tcW w:w="30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Net</w:t>
            </w:r>
          </w:p>
        </w:tc>
        <w:tc>
          <w:tcPr>
            <w:tcW w:w="940" w:type="dxa"/>
            <w:vAlign w:val="bottom"/>
            <w:gridSpan w:val="2"/>
          </w:tcPr>
          <w:p>
            <w:pPr>
              <w:jc w:val="right"/>
              <w:ind w:right="19"/>
              <w:spacing w:after="0"/>
              <w:rPr>
                <w:sz w:val="20"/>
                <w:szCs w:val="20"/>
                <w:color w:val="auto"/>
              </w:rPr>
            </w:pPr>
            <w:r>
              <w:rPr>
                <w:rFonts w:ascii="Arial" w:cs="Arial" w:eastAsia="Arial" w:hAnsi="Arial"/>
                <w:sz w:val="14"/>
                <w:szCs w:val="14"/>
                <w:color w:val="auto"/>
              </w:rPr>
              <w:t>​​​ (in years)</w:t>
            </w:r>
          </w:p>
        </w:tc>
      </w:tr>
      <w:tr>
        <w:trPr>
          <w:trHeight w:val="224"/>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Good Sam Services and Plans:</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r>
      <w:tr>
        <w:trPr>
          <w:trHeight w:val="229"/>
        </w:trPr>
        <w:tc>
          <w:tcPr>
            <w:tcW w:w="4960" w:type="dxa"/>
            <w:vAlign w:val="bottom"/>
          </w:tcPr>
          <w:p>
            <w:pPr>
              <w:ind w:left="220"/>
              <w:spacing w:after="0"/>
              <w:rPr>
                <w:sz w:val="20"/>
                <w:szCs w:val="20"/>
                <w:color w:val="auto"/>
              </w:rPr>
            </w:pPr>
            <w:r>
              <w:rPr>
                <w:rFonts w:ascii="Arial" w:cs="Arial" w:eastAsia="Arial" w:hAnsi="Arial"/>
                <w:sz w:val="18"/>
                <w:szCs w:val="18"/>
                <w:color w:val="auto"/>
              </w:rPr>
              <w:t>Membership, customer lists and other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9,194</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Trademarks and trade names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4960" w:type="dxa"/>
            <w:vAlign w:val="bottom"/>
          </w:tcPr>
          <w:p>
            <w:pPr>
              <w:ind w:left="220"/>
              <w:spacing w:after="0"/>
              <w:rPr>
                <w:sz w:val="20"/>
                <w:szCs w:val="20"/>
                <w:color w:val="auto"/>
              </w:rPr>
            </w:pPr>
            <w:r>
              <w:rPr>
                <w:rFonts w:ascii="Arial" w:cs="Arial" w:eastAsia="Arial" w:hAnsi="Arial"/>
                <w:sz w:val="18"/>
                <w:szCs w:val="18"/>
                <w:color w:val="auto"/>
              </w:rPr>
              <w:t>Websites and developed technology</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RV and Outdoor Retail:</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Customer lists, domain names and other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4,154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Supplier lists and agreements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4960" w:type="dxa"/>
            <w:vAlign w:val="bottom"/>
          </w:tcPr>
          <w:p>
            <w:pPr>
              <w:ind w:left="220"/>
              <w:spacing w:after="0"/>
              <w:rPr>
                <w:sz w:val="20"/>
                <w:szCs w:val="20"/>
                <w:color w:val="auto"/>
              </w:rPr>
            </w:pPr>
            <w:r>
              <w:rPr>
                <w:rFonts w:ascii="Arial" w:cs="Arial" w:eastAsia="Arial" w:hAnsi="Arial"/>
                <w:sz w:val="18"/>
                <w:szCs w:val="18"/>
                <w:color w:val="auto"/>
              </w:rPr>
              <w:t>Trademarks and trade names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26,526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(23,345)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3,181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Websites and developed technology</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61,307</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(45,483)</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15,824</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98"/>
        </w:trPr>
        <w:tc>
          <w:tcPr>
            <w:tcW w:w="4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74"/>
        </w:trPr>
        <w:tc>
          <w:tcPr>
            <w:tcW w:w="4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4"/>
              <w:spacing w:after="0"/>
              <w:rPr>
                <w:sz w:val="20"/>
                <w:szCs w:val="20"/>
                <w:color w:val="auto"/>
              </w:rPr>
            </w:pPr>
            <w:r>
              <w:rPr>
                <w:rFonts w:ascii="Arial" w:cs="Arial" w:eastAsia="Arial" w:hAnsi="Arial"/>
                <w:sz w:val="14"/>
                <w:szCs w:val="14"/>
                <w:b w:val="1"/>
                <w:bCs w:val="1"/>
                <w:color w:val="auto"/>
              </w:rPr>
              <w:t>Carrying</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Useful Life</w:t>
            </w:r>
          </w:p>
        </w:tc>
      </w:tr>
      <w:tr>
        <w:trPr>
          <w:trHeight w:val="197"/>
        </w:trPr>
        <w:tc>
          <w:tcPr>
            <w:tcW w:w="4960" w:type="dxa"/>
            <w:vAlign w:val="bottom"/>
          </w:tcPr>
          <w:p>
            <w:pPr>
              <w:spacing w:after="0"/>
              <w:rPr>
                <w:sz w:val="20"/>
                <w:szCs w:val="20"/>
                <w:color w:val="auto"/>
              </w:rPr>
            </w:pPr>
            <w:r>
              <w:rPr>
                <w:rFonts w:ascii="Arial" w:cs="Arial" w:eastAsia="Arial" w:hAnsi="Arial"/>
                <w:sz w:val="14"/>
                <w:szCs w:val="14"/>
                <w:color w:val="auto"/>
              </w:rPr>
              <w:t>($ in thousands)</w:t>
            </w: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00" w:type="dxa"/>
            <w:vAlign w:val="bottom"/>
          </w:tcPr>
          <w:p>
            <w:pPr>
              <w:jc w:val="center"/>
              <w:ind w:right="34"/>
              <w:spacing w:after="0"/>
              <w:rPr>
                <w:sz w:val="20"/>
                <w:szCs w:val="20"/>
                <w:color w:val="auto"/>
              </w:rPr>
            </w:pPr>
            <w:r>
              <w:rPr>
                <w:rFonts w:ascii="Arial" w:cs="Arial" w:eastAsia="Arial" w:hAnsi="Arial"/>
                <w:sz w:val="14"/>
                <w:szCs w:val="14"/>
                <w:b w:val="1"/>
                <w:bCs w:val="1"/>
                <w:color w:val="auto"/>
              </w:rPr>
              <w:t>Value</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Amortization</w:t>
            </w:r>
          </w:p>
        </w:tc>
        <w:tc>
          <w:tcPr>
            <w:tcW w:w="30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Net</w:t>
            </w:r>
          </w:p>
        </w:tc>
        <w:tc>
          <w:tcPr>
            <w:tcW w:w="940" w:type="dxa"/>
            <w:vAlign w:val="bottom"/>
            <w:gridSpan w:val="2"/>
          </w:tcPr>
          <w:p>
            <w:pPr>
              <w:jc w:val="right"/>
              <w:ind w:right="19"/>
              <w:spacing w:after="0"/>
              <w:rPr>
                <w:sz w:val="20"/>
                <w:szCs w:val="20"/>
                <w:color w:val="auto"/>
              </w:rPr>
            </w:pPr>
            <w:r>
              <w:rPr>
                <w:rFonts w:ascii="Arial" w:cs="Arial" w:eastAsia="Arial" w:hAnsi="Arial"/>
                <w:sz w:val="14"/>
                <w:szCs w:val="14"/>
                <w:color w:val="auto"/>
              </w:rPr>
              <w:t>​​​ (in years)</w:t>
            </w:r>
          </w:p>
        </w:tc>
      </w:tr>
      <w:tr>
        <w:trPr>
          <w:trHeight w:val="224"/>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Good Sam Services and Plans:</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r>
      <w:tr>
        <w:trPr>
          <w:trHeight w:val="230"/>
        </w:trPr>
        <w:tc>
          <w:tcPr>
            <w:tcW w:w="4960" w:type="dxa"/>
            <w:vAlign w:val="bottom"/>
          </w:tcPr>
          <w:p>
            <w:pPr>
              <w:ind w:left="100"/>
              <w:spacing w:after="0"/>
              <w:rPr>
                <w:sz w:val="20"/>
                <w:szCs w:val="20"/>
                <w:color w:val="auto"/>
              </w:rPr>
            </w:pPr>
            <w:r>
              <w:rPr>
                <w:rFonts w:ascii="Arial" w:cs="Arial" w:eastAsia="Arial" w:hAnsi="Arial"/>
                <w:sz w:val="18"/>
                <w:szCs w:val="18"/>
                <w:color w:val="auto"/>
              </w:rPr>
              <w:t>Membership, customer lists and other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9,740</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Trademarks and trade names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4960" w:type="dxa"/>
            <w:vAlign w:val="bottom"/>
          </w:tcPr>
          <w:p>
            <w:pPr>
              <w:ind w:left="100"/>
              <w:spacing w:after="0"/>
              <w:rPr>
                <w:sz w:val="20"/>
                <w:szCs w:val="20"/>
                <w:color w:val="auto"/>
              </w:rPr>
            </w:pPr>
            <w:r>
              <w:rPr>
                <w:rFonts w:ascii="Arial" w:cs="Arial" w:eastAsia="Arial" w:hAnsi="Arial"/>
                <w:sz w:val="18"/>
                <w:szCs w:val="18"/>
                <w:color w:val="auto"/>
              </w:rPr>
              <w:t>Websites and developed technology</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RV and Outdoor Retail:</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4960" w:type="dxa"/>
            <w:vAlign w:val="bottom"/>
          </w:tcPr>
          <w:p>
            <w:pPr>
              <w:ind w:left="100"/>
              <w:spacing w:after="0"/>
              <w:rPr>
                <w:sz w:val="20"/>
                <w:szCs w:val="20"/>
                <w:color w:val="auto"/>
              </w:rPr>
            </w:pPr>
            <w:r>
              <w:rPr>
                <w:rFonts w:ascii="Arial" w:cs="Arial" w:eastAsia="Arial" w:hAnsi="Arial"/>
                <w:sz w:val="18"/>
                <w:szCs w:val="18"/>
                <w:color w:val="auto"/>
              </w:rPr>
              <w:t>Customer lists and domain names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4,154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Supplier lists and agreements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4960" w:type="dxa"/>
            <w:vAlign w:val="bottom"/>
          </w:tcPr>
          <w:p>
            <w:pPr>
              <w:ind w:left="100"/>
              <w:spacing w:after="0"/>
              <w:rPr>
                <w:sz w:val="20"/>
                <w:szCs w:val="20"/>
                <w:color w:val="auto"/>
              </w:rPr>
            </w:pPr>
            <w:r>
              <w:rPr>
                <w:rFonts w:ascii="Arial" w:cs="Arial" w:eastAsia="Arial" w:hAnsi="Arial"/>
                <w:sz w:val="18"/>
                <w:szCs w:val="18"/>
                <w:color w:val="auto"/>
              </w:rPr>
              <w:t>Trademarks and trade names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26,526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(22,005)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Websites and developed technology</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62,050</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(42,581)</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19,469</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Amortization expense related to finite-lived intangibles for the years ended December 31, 2025, 2024, and 2023 was $3.6 million, $3.6 million and $3.8 million, respectively. The aggregate future five-year amortization of finite-lived intangibles as of December 31, 2025, was as follows:</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4"/>
                <w:szCs w:val="14"/>
                <w:color w:val="auto"/>
              </w:rPr>
              <w:t>($ in thousands)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5"/>
          </w:tcPr>
          <w:p>
            <w:pPr>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3,479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2029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1,175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2030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4,615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5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Accrued Liabilities</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1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20" w:type="dxa"/>
            <w:vAlign w:val="bottom"/>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Accrued liabilities consisted of the following:</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220" w:type="dxa"/>
            <w:vAlign w:val="bottom"/>
            <w:gridSpan w:val="9"/>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December 31,</w:t>
            </w:r>
            <w:r>
              <w:rPr>
                <w:rFonts w:ascii="Arial" w:cs="Arial" w:eastAsia="Arial" w:hAnsi="Arial"/>
                <w:sz w:val="14"/>
                <w:szCs w:val="14"/>
                <w:color w:val="auto"/>
              </w:rPr>
              <w:t xml:space="preserve"> ​​​</w:t>
            </w: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6100" w:type="dxa"/>
            <w:vAlign w:val="bottom"/>
            <w:gridSpan w:val="2"/>
          </w:tcPr>
          <w:p>
            <w:pPr>
              <w:ind w:left="580"/>
              <w:spacing w:after="0"/>
              <w:rPr>
                <w:sz w:val="20"/>
                <w:szCs w:val="20"/>
                <w:color w:val="auto"/>
              </w:rPr>
            </w:pPr>
            <w:r>
              <w:rPr>
                <w:rFonts w:ascii="Arial" w:cs="Arial" w:eastAsia="Arial" w:hAnsi="Arial"/>
                <w:sz w:val="14"/>
                <w:szCs w:val="14"/>
                <w:color w:val="auto"/>
              </w:rPr>
              <w:t>($ in thousands)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7"/>
                <w:szCs w:val="17"/>
                <w:color w:val="auto"/>
              </w:rPr>
            </w:pPr>
          </w:p>
        </w:tc>
        <w:tc>
          <w:tcPr>
            <w:tcW w:w="3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0" w:type="dxa"/>
            <w:vAlign w:val="bottom"/>
            <w:tcBorders>
              <w:right w:val="single" w:sz="8" w:color="CCEEFF"/>
            </w:tcBorders>
          </w:tcPr>
          <w:p>
            <w:pPr>
              <w:spacing w:after="0"/>
              <w:rPr>
                <w:sz w:val="19"/>
                <w:szCs w:val="19"/>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42,493</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42,652</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accruals</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85,906</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Borders>
              <w:right w:val="single" w:sz="8" w:color="CCEEFF"/>
            </w:tcBorders>
          </w:tcPr>
          <w:p>
            <w:pPr>
              <w:spacing w:after="0"/>
              <w:rPr>
                <w:sz w:val="19"/>
                <w:szCs w:val="19"/>
                <w:color w:val="auto"/>
              </w:rPr>
            </w:pPr>
          </w:p>
        </w:tc>
        <w:tc>
          <w:tcPr>
            <w:tcW w:w="5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128,399</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118,557</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Long-Term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reflects outstanding long-term debt:</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55"/>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3940" w:type="dxa"/>
            <w:vAlign w:val="bottom"/>
          </w:tcPr>
          <w:p>
            <w:pPr>
              <w:spacing w:after="0"/>
              <w:rPr>
                <w:sz w:val="20"/>
                <w:szCs w:val="20"/>
                <w:color w:val="auto"/>
              </w:rPr>
            </w:pPr>
            <w:r>
              <w:rPr>
                <w:rFonts w:ascii="Arial" w:cs="Arial" w:eastAsia="Arial" w:hAnsi="Arial"/>
                <w:sz w:val="14"/>
                <w:szCs w:val="14"/>
                <w:color w:val="auto"/>
              </w:rPr>
              <w:t>($ in thousands)</w:t>
            </w:r>
          </w:p>
        </w:tc>
        <w:tc>
          <w:tcPr>
            <w:tcW w:w="520" w:type="dxa"/>
            <w:vAlign w:val="bottom"/>
            <w:gridSpan w:val="2"/>
          </w:tcPr>
          <w:p>
            <w:pPr>
              <w:jc w:val="right"/>
              <w:ind w:right="247"/>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500" w:type="dxa"/>
            <w:vAlign w:val="bottom"/>
            <w:gridSpan w:val="3"/>
          </w:tcPr>
          <w:p>
            <w:pPr>
              <w:jc w:val="right"/>
              <w:ind w:right="147"/>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2024</w:t>
            </w:r>
          </w:p>
        </w:tc>
      </w:tr>
      <w:tr>
        <w:trPr>
          <w:trHeight w:val="224"/>
        </w:trPr>
        <w:tc>
          <w:tcPr>
            <w:tcW w:w="3940" w:type="dxa"/>
            <w:vAlign w:val="bottom"/>
            <w:tcBorders>
              <w:top w:val="single" w:sz="8" w:color="auto"/>
            </w:tcBorders>
            <w:shd w:val="clear" w:color="auto" w:fill="CCEEFF"/>
          </w:tcPr>
          <w:p>
            <w:pPr>
              <w:spacing w:after="0" w:line="224" w:lineRule="exact"/>
              <w:rPr>
                <w:sz w:val="20"/>
                <w:szCs w:val="20"/>
                <w:color w:val="auto"/>
              </w:rPr>
            </w:pPr>
            <w:r>
              <w:rPr>
                <w:rFonts w:ascii="Arial" w:cs="Arial" w:eastAsia="Arial" w:hAnsi="Arial"/>
                <w:sz w:val="17"/>
                <w:szCs w:val="17"/>
                <w:color w:val="auto"/>
              </w:rPr>
              <w:t xml:space="preserve">Term Loan Facility </w:t>
            </w:r>
            <w:r>
              <w:rPr>
                <w:rFonts w:ascii="Arial" w:cs="Arial" w:eastAsia="Arial" w:hAnsi="Arial"/>
                <w:sz w:val="25"/>
                <w:szCs w:val="25"/>
                <w:color w:val="auto"/>
                <w:vertAlign w:val="superscript"/>
              </w:rPr>
              <w:t>(1)</w:t>
            </w: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1,308,832</w:t>
            </w:r>
          </w:p>
        </w:tc>
        <w:tc>
          <w:tcPr>
            <w:tcW w:w="32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1,335,535</w:t>
            </w:r>
          </w:p>
        </w:tc>
      </w:tr>
      <w:tr>
        <w:trPr>
          <w:trHeight w:val="230"/>
        </w:trPr>
        <w:tc>
          <w:tcPr>
            <w:tcW w:w="3940" w:type="dxa"/>
            <w:vAlign w:val="bottom"/>
          </w:tcPr>
          <w:p>
            <w:pPr>
              <w:spacing w:after="0" w:line="230" w:lineRule="exact"/>
              <w:rPr>
                <w:sz w:val="20"/>
                <w:szCs w:val="20"/>
                <w:color w:val="auto"/>
              </w:rPr>
            </w:pPr>
            <w:r>
              <w:rPr>
                <w:rFonts w:ascii="Arial" w:cs="Arial" w:eastAsia="Arial" w:hAnsi="Arial"/>
                <w:sz w:val="18"/>
                <w:szCs w:val="18"/>
                <w:color w:val="auto"/>
              </w:rPr>
              <w:t xml:space="preserve">Real Estate Facilities </w:t>
            </w:r>
            <w:r>
              <w:rPr>
                <w:rFonts w:ascii="Arial" w:cs="Arial" w:eastAsia="Arial" w:hAnsi="Arial"/>
                <w:sz w:val="26"/>
                <w:szCs w:val="26"/>
                <w:color w:val="auto"/>
                <w:vertAlign w:val="superscript"/>
              </w:rPr>
              <w:t>(2)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155,137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173,132</w:t>
            </w:r>
          </w:p>
        </w:tc>
      </w:tr>
      <w:tr>
        <w:trPr>
          <w:trHeight w:val="22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7,926</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Subtotal</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1,471,557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1,516,593</w:t>
            </w: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(57,939)</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(23,275)</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1,413,618</w:t>
            </w:r>
          </w:p>
        </w:tc>
        <w:tc>
          <w:tcPr>
            <w:tcW w:w="320" w:type="dxa"/>
            <w:vAlign w:val="bottom"/>
            <w:gridSpan w:val="2"/>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1,493,318</w:t>
            </w:r>
          </w:p>
        </w:tc>
      </w:tr>
      <w:tr>
        <w:trPr>
          <w:trHeight w:val="20"/>
        </w:trPr>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80" w:right="79" w:hanging="330"/>
        <w:spacing w:after="0" w:line="212" w:lineRule="auto"/>
        <w:tabs>
          <w:tab w:leader="none" w:pos="380" w:val="left"/>
        </w:tabs>
        <w:numPr>
          <w:ilvl w:val="0"/>
          <w:numId w:val="66"/>
        </w:numPr>
        <w:rPr>
          <w:rFonts w:ascii="Arial" w:cs="Arial" w:eastAsia="Arial" w:hAnsi="Arial"/>
          <w:sz w:val="22"/>
          <w:szCs w:val="22"/>
          <w:color w:val="auto"/>
          <w:vertAlign w:val="superscript"/>
        </w:rPr>
      </w:pPr>
      <w:r>
        <w:rPr>
          <w:rFonts w:ascii="Arial" w:cs="Arial" w:eastAsia="Arial" w:hAnsi="Arial"/>
          <w:sz w:val="14"/>
          <w:szCs w:val="14"/>
          <w:color w:val="auto"/>
        </w:rPr>
        <w:t>Net of $7.0 million and $9.6 million of original issue discount as of December 31, 2025 and 2024, respectively, and $2.6 million and $3.8 million of finance costs as of December 31, 2025 and 2024, respectively.</w:t>
      </w:r>
    </w:p>
    <w:p>
      <w:pPr>
        <w:spacing w:after="0" w:line="17" w:lineRule="exact"/>
        <w:rPr>
          <w:rFonts w:ascii="Arial" w:cs="Arial" w:eastAsia="Arial" w:hAnsi="Arial"/>
          <w:sz w:val="22"/>
          <w:szCs w:val="22"/>
          <w:color w:val="auto"/>
          <w:vertAlign w:val="superscript"/>
        </w:rPr>
      </w:pPr>
    </w:p>
    <w:p>
      <w:pPr>
        <w:ind w:left="380" w:hanging="330"/>
        <w:spacing w:after="0"/>
        <w:tabs>
          <w:tab w:leader="none" w:pos="380" w:val="left"/>
        </w:tabs>
        <w:numPr>
          <w:ilvl w:val="0"/>
          <w:numId w:val="66"/>
        </w:numPr>
        <w:rPr>
          <w:rFonts w:ascii="Arial" w:cs="Arial" w:eastAsia="Arial" w:hAnsi="Arial"/>
          <w:sz w:val="22"/>
          <w:szCs w:val="22"/>
          <w:color w:val="auto"/>
          <w:vertAlign w:val="superscript"/>
        </w:rPr>
      </w:pPr>
      <w:r>
        <w:rPr>
          <w:rFonts w:ascii="Arial" w:cs="Arial" w:eastAsia="Arial" w:hAnsi="Arial"/>
          <w:sz w:val="14"/>
          <w:szCs w:val="14"/>
          <w:color w:val="auto"/>
        </w:rPr>
        <w:t>Net of $2.0 million and $3.1 million of finance costs as of December 31, 2025 and 2024, respectively.</w:t>
      </w:r>
    </w:p>
    <w:p>
      <w:pPr>
        <w:spacing w:after="0" w:line="273"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The aggregate future maturities of long-term debt as of December 31, 2025, excluding original issue discount of $7.0 million and finance costs of $4.6 million, were as follows:</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40" w:type="dxa"/>
            <w:vAlign w:val="bottom"/>
          </w:tcPr>
          <w:p>
            <w:pPr>
              <w:spacing w:after="0"/>
              <w:rPr>
                <w:sz w:val="20"/>
                <w:szCs w:val="20"/>
                <w:color w:val="auto"/>
              </w:rPr>
            </w:pPr>
          </w:p>
        </w:tc>
        <w:tc>
          <w:tcPr>
            <w:tcW w:w="42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 of</w:t>
            </w:r>
          </w:p>
        </w:tc>
      </w:tr>
      <w:tr>
        <w:trPr>
          <w:trHeight w:val="224"/>
        </w:trPr>
        <w:tc>
          <w:tcPr>
            <w:tcW w:w="5640" w:type="dxa"/>
            <w:vAlign w:val="bottom"/>
          </w:tcPr>
          <w:p>
            <w:pPr>
              <w:spacing w:after="0"/>
              <w:rPr>
                <w:sz w:val="20"/>
                <w:szCs w:val="20"/>
                <w:color w:val="auto"/>
              </w:rPr>
            </w:pPr>
            <w:r>
              <w:rPr>
                <w:rFonts w:ascii="Arial" w:cs="Arial" w:eastAsia="Arial" w:hAnsi="Arial"/>
                <w:sz w:val="14"/>
                <w:szCs w:val="14"/>
                <w:color w:val="auto"/>
              </w:rPr>
              <w:t>($ in thousands)</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 2025</w:t>
            </w:r>
          </w:p>
        </w:tc>
      </w:tr>
      <w:tr>
        <w:trPr>
          <w:trHeight w:val="224"/>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instruments</w:t>
            </w:r>
          </w:p>
        </w:tc>
        <w:tc>
          <w:tcPr>
            <w:tcW w:w="28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5640" w:type="dxa"/>
            <w:vAlign w:val="bottom"/>
          </w:tcPr>
          <w:p>
            <w:pPr>
              <w:ind w:left="100"/>
              <w:spacing w:after="0"/>
              <w:rPr>
                <w:sz w:val="20"/>
                <w:szCs w:val="20"/>
                <w:color w:val="auto"/>
              </w:rPr>
            </w:pPr>
            <w:r>
              <w:rPr>
                <w:rFonts w:ascii="Arial" w:cs="Arial" w:eastAsia="Arial" w:hAnsi="Arial"/>
                <w:sz w:val="18"/>
                <w:szCs w:val="18"/>
                <w:color w:val="auto"/>
              </w:rPr>
              <w:t>2026</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57,939</w:t>
            </w:r>
          </w:p>
        </w:tc>
        <w:tc>
          <w:tcPr>
            <w:tcW w:w="100" w:type="dxa"/>
            <w:vAlign w:val="bottom"/>
          </w:tcPr>
          <w:p>
            <w:pPr>
              <w:spacing w:after="0"/>
              <w:rPr>
                <w:sz w:val="19"/>
                <w:szCs w:val="19"/>
                <w:color w:val="auto"/>
              </w:rPr>
            </w:pPr>
          </w:p>
        </w:tc>
      </w:tr>
      <w:tr>
        <w:trPr>
          <w:trHeight w:val="230"/>
        </w:trPr>
        <w:tc>
          <w:tcPr>
            <w:tcW w:w="5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128,030</w:t>
            </w:r>
          </w:p>
        </w:tc>
        <w:tc>
          <w:tcPr>
            <w:tcW w:w="100" w:type="dxa"/>
            <w:vAlign w:val="bottom"/>
            <w:shd w:val="clear" w:color="auto" w:fill="CCEEFF"/>
          </w:tcPr>
          <w:p>
            <w:pPr>
              <w:spacing w:after="0"/>
              <w:rPr>
                <w:sz w:val="19"/>
                <w:szCs w:val="19"/>
                <w:color w:val="auto"/>
              </w:rPr>
            </w:pPr>
          </w:p>
        </w:tc>
      </w:tr>
      <w:tr>
        <w:trPr>
          <w:trHeight w:val="229"/>
        </w:trPr>
        <w:tc>
          <w:tcPr>
            <w:tcW w:w="5640" w:type="dxa"/>
            <w:vAlign w:val="bottom"/>
          </w:tcPr>
          <w:p>
            <w:pPr>
              <w:ind w:left="100"/>
              <w:spacing w:after="0"/>
              <w:rPr>
                <w:sz w:val="20"/>
                <w:szCs w:val="20"/>
                <w:color w:val="auto"/>
              </w:rPr>
            </w:pPr>
            <w:r>
              <w:rPr>
                <w:rFonts w:ascii="Arial" w:cs="Arial" w:eastAsia="Arial" w:hAnsi="Arial"/>
                <w:sz w:val="18"/>
                <w:szCs w:val="18"/>
                <w:color w:val="auto"/>
              </w:rPr>
              <w:t>2028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1,293,186</w:t>
            </w:r>
          </w:p>
        </w:tc>
        <w:tc>
          <w:tcPr>
            <w:tcW w:w="100" w:type="dxa"/>
            <w:vAlign w:val="bottom"/>
          </w:tcPr>
          <w:p>
            <w:pPr>
              <w:spacing w:after="0"/>
              <w:rPr>
                <w:sz w:val="19"/>
                <w:szCs w:val="19"/>
                <w:color w:val="auto"/>
              </w:rPr>
            </w:pPr>
          </w:p>
        </w:tc>
      </w:tr>
      <w:tr>
        <w:trPr>
          <w:trHeight w:val="230"/>
        </w:trPr>
        <w:tc>
          <w:tcPr>
            <w:tcW w:w="5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2029</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r>
      <w:tr>
        <w:trPr>
          <w:trHeight w:val="230"/>
        </w:trPr>
        <w:tc>
          <w:tcPr>
            <w:tcW w:w="5640" w:type="dxa"/>
            <w:vAlign w:val="bottom"/>
          </w:tcPr>
          <w:p>
            <w:pPr>
              <w:ind w:left="100"/>
              <w:spacing w:after="0"/>
              <w:rPr>
                <w:sz w:val="20"/>
                <w:szCs w:val="20"/>
                <w:color w:val="auto"/>
              </w:rPr>
            </w:pPr>
            <w:r>
              <w:rPr>
                <w:rFonts w:ascii="Arial" w:cs="Arial" w:eastAsia="Arial" w:hAnsi="Arial"/>
                <w:sz w:val="18"/>
                <w:szCs w:val="18"/>
                <w:color w:val="auto"/>
              </w:rPr>
              <w:t>2030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r>
      <w:tr>
        <w:trPr>
          <w:trHeight w:val="230"/>
        </w:trPr>
        <w:tc>
          <w:tcPr>
            <w:tcW w:w="5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Thereafter</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100" w:type="dxa"/>
            <w:vAlign w:val="bottom"/>
            <w:shd w:val="clear" w:color="auto" w:fill="CCEEFF"/>
          </w:tcPr>
          <w:p>
            <w:pPr>
              <w:spacing w:after="0"/>
              <w:rPr>
                <w:sz w:val="19"/>
                <w:szCs w:val="19"/>
                <w:color w:val="auto"/>
              </w:rPr>
            </w:pPr>
          </w:p>
        </w:tc>
      </w:tr>
      <w:tr>
        <w:trPr>
          <w:trHeight w:val="223"/>
        </w:trPr>
        <w:tc>
          <w:tcPr>
            <w:tcW w:w="564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1,483,176</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Credit Facilities</w:t>
      </w:r>
    </w:p>
    <w:p>
      <w:pPr>
        <w:spacing w:after="0" w:line="223"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of December 31, 2025 and 2024, CWGS Group, LLC (the “Borrower”), a wholly-owned subsidiary of CWGS, LLC, was party to a credit agreement (the “Credit Agreement”) for senior secured credit facilities (as amended from time to time, the “Senior Secured Credit Facilities”). The Senior Secured Credit Facilities consist of a $1.4 billion term loan facility (the “Term Loan Facility”) and a $65.0 million revolving credit facility (the “Revolving Credit Facility”). Under the Senior Secured Credit Facilities, the Company has the ability to request to increase the amount of term loans or revolving loans in an aggregate amount not to exceed the greater of (a) a “fixed” amount set at $725.0 million and (b) 100% of consolidated EBITDA for the most recent four consecutive fiscal quarters on a pro forma basis (as defined in the Credit Agreement). The lenders under the Senior Secured Credit Facilities are not under any obligation to provide commitments in respect of any such increase.</w:t>
      </w:r>
    </w:p>
    <w:p>
      <w:pPr>
        <w:spacing w:after="0" w:line="18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Term Loan Facility requires mandatory principal payments in equal quarterly installments of $3.5 million. Additionally, the Company is required to prepay the borrowings under the Term Loan Facility in an aggregate amount up to 50% of excess cash flow, as defined in the Credit Agreement, for such fiscal year depending on the Total Leverage Ratio (as defined by the Credit Agreement) beginning with the year ended December 31, 2022. No additional excess cash flow payment was required relating to 2025 or 2024. However, in addition to the regularly scheduled quarterly principal payments, the Company made voluntary principal payments on the Term Loan Facility of $16.5 million in July 2025 and $17.2 million in February 2026. The Term Loan Facility matures in June 2028.</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8"/>
          <w:szCs w:val="18"/>
          <w:color w:val="auto"/>
        </w:rPr>
        <w:t>The funds available under the Revolving Credit Facility may be utilized for borrowings or letters of credit; however, a maximum of $25.0 million may be allocated to such letters of credit. The Revolving Credit Facility matures at the earlier of (i) ninety-one days prior to the maturity date of the Floor Plan Facility (the Floor Plan Facility currently has a maturity date of March 5, 2028 as detailed in Note 4 — Inventories and Floor Plan Payables) or (ii) March 3, 2028.</w:t>
      </w:r>
    </w:p>
    <w:p>
      <w:pPr>
        <w:spacing w:after="0" w:line="16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following table details the outstanding amounts and available borrowings under the Senior Secured Credit Facilities as of:</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9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546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40" w:type="dxa"/>
            <w:vAlign w:val="bottom"/>
            <w:gridSpan w:val="2"/>
          </w:tcPr>
          <w:p>
            <w:pPr>
              <w:jc w:val="right"/>
              <w:ind w:right="15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7"/>
                <w:szCs w:val="17"/>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5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Senior Secured Credit Facilities:</w:t>
            </w: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20"/>
              <w:spacing w:after="0"/>
              <w:rPr>
                <w:sz w:val="20"/>
                <w:szCs w:val="20"/>
                <w:color w:val="auto"/>
              </w:rPr>
            </w:pPr>
            <w:r>
              <w:rPr>
                <w:rFonts w:ascii="Arial" w:cs="Arial" w:eastAsia="Arial" w:hAnsi="Arial"/>
                <w:sz w:val="18"/>
                <w:szCs w:val="18"/>
                <w:color w:val="auto"/>
              </w:rPr>
              <w:t>Term Loan Facility:</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amount of borrowings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29"/>
        </w:trPr>
        <w:tc>
          <w:tcPr>
            <w:tcW w:w="5460" w:type="dxa"/>
            <w:vAlign w:val="bottom"/>
          </w:tcPr>
          <w:p>
            <w:pPr>
              <w:ind w:left="220"/>
              <w:spacing w:after="0"/>
              <w:rPr>
                <w:sz w:val="20"/>
                <w:szCs w:val="20"/>
                <w:color w:val="auto"/>
              </w:rPr>
            </w:pPr>
            <w:r>
              <w:rPr>
                <w:rFonts w:ascii="Arial" w:cs="Arial" w:eastAsia="Arial" w:hAnsi="Arial"/>
                <w:sz w:val="18"/>
                <w:szCs w:val="18"/>
                <w:color w:val="auto"/>
              </w:rPr>
              <w:t>Less: cumulative principal payments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(81,564)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(51,049)</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unamortized original issue discount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29"/>
        </w:trPr>
        <w:tc>
          <w:tcPr>
            <w:tcW w:w="5460" w:type="dxa"/>
            <w:vAlign w:val="bottom"/>
          </w:tcPr>
          <w:p>
            <w:pPr>
              <w:ind w:left="220"/>
              <w:spacing w:after="0"/>
              <w:rPr>
                <w:sz w:val="20"/>
                <w:szCs w:val="20"/>
                <w:color w:val="auto"/>
              </w:rPr>
            </w:pPr>
            <w:r>
              <w:rPr>
                <w:rFonts w:ascii="Arial" w:cs="Arial" w:eastAsia="Arial" w:hAnsi="Arial"/>
                <w:sz w:val="18"/>
                <w:szCs w:val="18"/>
                <w:color w:val="auto"/>
              </w:rPr>
              <w:t>Less: unamortized finance costs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(2,611)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1,308,832</w:t>
            </w: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1,335,535</w:t>
            </w:r>
          </w:p>
        </w:tc>
        <w:tc>
          <w:tcPr>
            <w:tcW w:w="0" w:type="dxa"/>
            <w:vAlign w:val="bottom"/>
          </w:tcPr>
          <w:p>
            <w:pPr>
              <w:spacing w:after="0"/>
              <w:rPr>
                <w:sz w:val="1"/>
                <w:szCs w:val="1"/>
                <w:color w:val="auto"/>
              </w:rPr>
            </w:pPr>
          </w:p>
        </w:tc>
      </w:tr>
      <w:tr>
        <w:trPr>
          <w:trHeight w:val="229"/>
        </w:trPr>
        <w:tc>
          <w:tcPr>
            <w:tcW w:w="5460" w:type="dxa"/>
            <w:vAlign w:val="bottom"/>
          </w:tcPr>
          <w:p>
            <w:pPr>
              <w:ind w:left="220"/>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(14,015)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(14,015)</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Long-term debt, net of current portion</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1,294,817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1,321,520</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120"/>
              <w:spacing w:after="0"/>
              <w:rPr>
                <w:sz w:val="20"/>
                <w:szCs w:val="20"/>
                <w:color w:val="auto"/>
              </w:rPr>
            </w:pPr>
            <w:r>
              <w:rPr>
                <w:rFonts w:ascii="Arial" w:cs="Arial" w:eastAsia="Arial" w:hAnsi="Arial"/>
                <w:sz w:val="18"/>
                <w:szCs w:val="18"/>
                <w:color w:val="auto"/>
              </w:rPr>
              <w:t>Revolving Credit Facility:</w:t>
            </w: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4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commitment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30"/>
        </w:trPr>
        <w:tc>
          <w:tcPr>
            <w:tcW w:w="5460" w:type="dxa"/>
            <w:vAlign w:val="bottom"/>
          </w:tcPr>
          <w:p>
            <w:pPr>
              <w:ind w:left="220"/>
              <w:spacing w:after="0"/>
              <w:rPr>
                <w:sz w:val="20"/>
                <w:szCs w:val="20"/>
                <w:color w:val="auto"/>
              </w:rPr>
            </w:pPr>
            <w:r>
              <w:rPr>
                <w:rFonts w:ascii="Arial" w:cs="Arial" w:eastAsia="Arial" w:hAnsi="Arial"/>
                <w:sz w:val="18"/>
                <w:szCs w:val="18"/>
                <w:color w:val="auto"/>
              </w:rPr>
              <w:t>Less: outstanding letters of credit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(4,902)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total net leverage ratio borrowing limitation</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(37,348)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(37,348)</w:t>
            </w:r>
          </w:p>
        </w:tc>
        <w:tc>
          <w:tcPr>
            <w:tcW w:w="0" w:type="dxa"/>
            <w:vAlign w:val="bottom"/>
          </w:tcPr>
          <w:p>
            <w:pPr>
              <w:spacing w:after="0"/>
              <w:rPr>
                <w:sz w:val="1"/>
                <w:szCs w:val="1"/>
                <w:color w:val="auto"/>
              </w:rPr>
            </w:pPr>
          </w:p>
        </w:tc>
      </w:tr>
      <w:tr>
        <w:trPr>
          <w:trHeight w:val="223"/>
        </w:trPr>
        <w:tc>
          <w:tcPr>
            <w:tcW w:w="5460" w:type="dxa"/>
            <w:vAlign w:val="bottom"/>
          </w:tcPr>
          <w:p>
            <w:pPr>
              <w:ind w:left="340"/>
              <w:spacing w:after="0"/>
              <w:rPr>
                <w:sz w:val="20"/>
                <w:szCs w:val="20"/>
                <w:color w:val="auto"/>
              </w:rPr>
            </w:pPr>
            <w:r>
              <w:rPr>
                <w:rFonts w:ascii="Arial" w:cs="Arial" w:eastAsia="Arial" w:hAnsi="Arial"/>
                <w:sz w:val="18"/>
                <w:szCs w:val="18"/>
                <w:color w:val="auto"/>
              </w:rPr>
              <w:t>Additional borrowing capacity</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8"/>
          <w:szCs w:val="18"/>
          <w:color w:val="auto"/>
        </w:rPr>
        <w:t>As of December 31, 2025 and 2024, the average interest rate on the Term Loan Facility was 6.33% and 6.97%, respectively, and the effective interest rate on the Term Loan Facility was 6.77% and 7.43%, respectively.</w:t>
      </w:r>
    </w:p>
    <w:p>
      <w:pPr>
        <w:spacing w:after="0" w:line="17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The Senior Secured Credit Facilities are fully and unconditionally guaranteed, jointly and severally, on a senior secured basis by each of the Company’s existing and future domestic restricted subsidiaries with the exception of FreedomRoads Intermediate Holdco, LLC, the direct parent of FR, and FR, and its subsidiaries. The Credit Agreement contains certain restrictive covenants pertaining to, but not limited to, mergers, changes in the nature of the business, acquisitions, additional indebtedness, sales of assets, investments, and the payment of dividends subject to certain limitations and minimum operating covenants. Additionally, management has determined that the Senior Secured Credit Facilities include subjective acceleration clauses, which could impact debt classification. Management believes that no events have occurred as of December 31, 2025 that would trigger a subjective acceleration clause.</w:t>
      </w:r>
    </w:p>
    <w:p>
      <w:pPr>
        <w:spacing w:after="0" w:line="170"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The Credit Agreement requires the Borrower and its subsidiaries to comply on a quarterly basis with a maximum Total Net Leverage Ratio (as defined in the Credit Agreement), which covenant is in effect only if, as of the end of each calendar quarter, the aggregate amount of borrowings under the revolving credit facility, letters of credit and unreimbursed letter of credit disbursements outstanding at such time is greater than 35% of the total commitment on the Revolving Credit Facility (excluding (i) up to $15.0 million attributable to any outstanding undrawn letters of credit and (ii) any cash collateralized or backstopped letters of credit), as defined in the Credit Agreement. As of December 31, 2025, the Company was not subject to this covenant as borrowings under the Revolving Credit Facility did not exceed the 35% threshold, however the Company’s borrowing capacity was reduced by $37.3 million in light of this covenant. The Company was in compliance with all applicable financial debt covenants as of December 31, 2025 and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 Facilities</w:t>
      </w:r>
    </w:p>
    <w:p>
      <w:pPr>
        <w:spacing w:after="0" w:line="23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8"/>
          <w:szCs w:val="18"/>
          <w:color w:val="auto"/>
        </w:rPr>
        <w:t>As of December 31, 2025 and 2024, subsidiaries of FRHP Lincolnshire, LLC (“FRHP”), an indirect wholly-owned subsidiary of CWGS, LLC, were party to a credit agreement with a syndication of banks for a real estate credit facility (as amended from time to time, the “M&amp;T Real Estate Facility”) with aggregate maximum principal capacity of $300.0 million with an option that allows FRHP to request an additional $100.0 million of principal capacity. The lenders under the M&amp;T Real Estate Facility are not under any obligation to provide commitments in respect of any such increase. The M&amp;T Real Estate Facility bears interest at FRHP’s option of either (as defined in the credit agreement for the M&amp;T Real Estate Facility): (a) the Secured Overnight Financing Rate (“SOFR”) plus the applicable rate of 2.30% or (b) the highest of (i) the Federal Funds Rate plus 1.80%, (ii) the Prime Rate plus 1.30%, or (iii) SOFR plus 2.30%. The M&amp;T Real Estate Facility has an unused commitment fee of 0.20% of the aggregate unused principal amount and it matures in October 2027. Additionally, the M&amp;T Real Estate Facility is subject to a debt service coverage ratio covenant (as defined in the credit agreement for the M&amp;T Real Estate Facility). All obligations under the M&amp;T Real Estate Facility and the guarantees of those obligations, are secured, subject to certain exceptions, by the mortgaged real property assets.</w:t>
      </w:r>
    </w:p>
    <w:p>
      <w:pPr>
        <w:spacing w:after="0" w:line="183"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During the year ended December 31, 2024, FRHP borrowed an additional $55.6 million under the M&amp;T Real Estate Facility, and none during the year ended December 31, 2025. During the year ended December 31, 2025, FRHP repaid $8.3 million of the M&amp;T Real Estate Facility to pay off the remaining principal balances relating to three properties. During the year ended December 31, 2024, FRHP repaid $46.5 million of the M&amp;T Real Estate Facility to pay off the remaining principal balances relating to eight properties. On December 31, 2025, FRHP closed on the $45.2 million sale of real property; however, net proceeds of $15.1 million and the principal payments of $30.1 million on the related M&amp;T Real Estate Facility were not distributed through escrow until January 2, 2026 (see Note 3 — Accounts Receivable).</w:t>
      </w:r>
    </w:p>
    <w:p>
      <w:pPr>
        <w:spacing w:after="0" w:line="182"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8"/>
          <w:szCs w:val="18"/>
          <w:color w:val="auto"/>
        </w:rPr>
        <w:t>In November 2018, September 2021, and December 2021, Camping World Property, Inc. (the ‘‘Real Estate Borrower’’), an indirect wholly-owned subsidiary of CWGS, LLC, and CIBC Bank USA (“Lender”), entered into loan and security agreements for real estate credit facilities (as amended from time to time, the “First CIBC Real Estate Facility”, the “Second CIBC Real Estate Facility”, and the “Third CIBC Real Estate Facility”, respectively, and collectively the “CIBC Real Estate Facilities” and together with the M&amp;T Real Estate Facility, the “Real Estate Facilities”) with aggregate maximum principal capacities of $21.5 million, $9.0 million, and $10.1 million for the First CIBC Real Estate Facility, Second CIBC Real Estate Facility, and Third CIBC Real Estate Facility, respectively. Borrowings under the CIBC Real Estate Facilities are guaranteed by CWGS Group, LLC, a wholly-owned subsidiary of CWGS, LLC. The CIBC Real Estate Facilities may be used to finance the acquisition of real estate assets. The CIBC Real Estate Facilities are secured by a first priority security interest on the real estate assets acquired with the proceeds of the CIBC Real Estate Facilities (“CIBC Real Estate Facility Properties”).</w:t>
      </w:r>
    </w:p>
    <w:p>
      <w:pPr>
        <w:spacing w:after="0" w:line="18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In June 2023, the Real Estate Borrower sold one of the CIBC Real Estate Facility Properties located in Franklin, Kentucky, which was secured by the Second CIBC Real Estate Facility. As part of the settlement of the property sale, the outstanding balance of the Second CIBC Real Estate Facility of $7.4 million was repaid and terminated by the Real Estate Borrower. In May 2024, the Real Estate Borrower repaid the outstanding balance of the Third Real Estate Facility of $8.9 million, which related to the facility for the operations of CWDS in Elkhart, Indiana (see Note 6 — Assets Held for Sale and Business Divestiture), and the Third Real Estate Facility was terminated. The First CIBC Real Estate Facility matures in October 2028.</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59" w:firstLine="648"/>
        <w:spacing w:after="0" w:line="318" w:lineRule="auto"/>
        <w:rPr>
          <w:sz w:val="20"/>
          <w:szCs w:val="20"/>
          <w:color w:val="auto"/>
        </w:rPr>
      </w:pPr>
      <w:r>
        <w:rPr>
          <w:rFonts w:ascii="Arial" w:cs="Arial" w:eastAsia="Arial" w:hAnsi="Arial"/>
          <w:sz w:val="18"/>
          <w:szCs w:val="18"/>
          <w:color w:val="auto"/>
        </w:rPr>
        <w:t>The following table shows a summary of the outstanding balances, remaining available borrowings, and weighted average interest rate under the Real Estate Facilities: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9"/>
          </w:tcPr>
          <w:p>
            <w:pPr>
              <w:jc w:val="right"/>
              <w:ind w:right="622"/>
              <w:spacing w:after="0"/>
              <w:rPr>
                <w:sz w:val="20"/>
                <w:szCs w:val="20"/>
                <w:color w:val="auto"/>
              </w:rPr>
            </w:pPr>
            <w:r>
              <w:rPr>
                <w:rFonts w:ascii="Arial" w:cs="Arial" w:eastAsia="Arial" w:hAnsi="Arial"/>
                <w:sz w:val="14"/>
                <w:szCs w:val="14"/>
                <w:b w:val="1"/>
                <w:bCs w:val="1"/>
                <w:color w:val="auto"/>
              </w:rPr>
              <w:t>As of December 31, 2025</w:t>
            </w:r>
          </w:p>
        </w:tc>
        <w:tc>
          <w:tcPr>
            <w:tcW w:w="0" w:type="dxa"/>
            <w:vAlign w:val="bottom"/>
          </w:tcPr>
          <w:p>
            <w:pPr>
              <w:spacing w:after="0"/>
              <w:rPr>
                <w:sz w:val="1"/>
                <w:szCs w:val="1"/>
                <w:color w:val="auto"/>
              </w:rPr>
            </w:pPr>
          </w:p>
        </w:tc>
      </w:tr>
      <w:tr>
        <w:trPr>
          <w:trHeight w:val="174"/>
        </w:trPr>
        <w:tc>
          <w:tcPr>
            <w:tcW w:w="5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Wtd. Average</w:t>
            </w:r>
          </w:p>
        </w:tc>
        <w:tc>
          <w:tcPr>
            <w:tcW w:w="0" w:type="dxa"/>
            <w:vAlign w:val="bottom"/>
          </w:tcPr>
          <w:p>
            <w:pPr>
              <w:spacing w:after="0"/>
              <w:rPr>
                <w:sz w:val="1"/>
                <w:szCs w:val="1"/>
                <w:color w:val="auto"/>
              </w:rPr>
            </w:pPr>
          </w:p>
        </w:tc>
      </w:tr>
      <w:tr>
        <w:trPr>
          <w:trHeight w:val="144"/>
        </w:trPr>
        <w:tc>
          <w:tcPr>
            <w:tcW w:w="5640" w:type="dxa"/>
            <w:vAlign w:val="bottom"/>
          </w:tcPr>
          <w:p>
            <w:pPr>
              <w:ind w:left="20"/>
              <w:spacing w:after="0" w:line="145" w:lineRule="exact"/>
              <w:rPr>
                <w:sz w:val="20"/>
                <w:szCs w:val="20"/>
                <w:color w:val="auto"/>
              </w:rPr>
            </w:pPr>
            <w:r>
              <w:rPr>
                <w:rFonts w:ascii="Arial" w:cs="Arial" w:eastAsia="Arial" w:hAnsi="Arial"/>
                <w:sz w:val="14"/>
                <w:szCs w:val="14"/>
                <w:color w:val="auto"/>
              </w:rPr>
              <w:t>($ in thousands)</w:t>
            </w:r>
          </w:p>
        </w:tc>
        <w:tc>
          <w:tcPr>
            <w:tcW w:w="38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w:t>
            </w:r>
          </w:p>
        </w:tc>
        <w:tc>
          <w:tcPr>
            <w:tcW w:w="160" w:type="dxa"/>
            <w:vAlign w:val="bottom"/>
            <w:gridSpan w:val="2"/>
          </w:tcPr>
          <w:p>
            <w:pPr>
              <w:ind w:left="40"/>
              <w:spacing w:after="0" w:line="145"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Available</w:t>
            </w:r>
          </w:p>
        </w:tc>
        <w:tc>
          <w:tcPr>
            <w:tcW w:w="200" w:type="dxa"/>
            <w:vAlign w:val="bottom"/>
          </w:tcPr>
          <w:p>
            <w:pPr>
              <w:jc w:val="right"/>
              <w:ind w:right="6"/>
              <w:spacing w:after="0"/>
              <w:rPr>
                <w:sz w:val="20"/>
                <w:szCs w:val="20"/>
                <w:color w:val="auto"/>
              </w:rPr>
            </w:pPr>
            <w:r>
              <w:rPr>
                <w:rFonts w:ascii="Arial" w:cs="Arial" w:eastAsia="Arial" w:hAnsi="Arial"/>
                <w:sz w:val="11"/>
                <w:szCs w:val="11"/>
                <w:b w:val="1"/>
                <w:bCs w:val="1"/>
                <w:color w:val="auto"/>
                <w:w w:val="88"/>
              </w:rPr>
              <w:t>(2)</w:t>
            </w:r>
          </w:p>
        </w:tc>
        <w:tc>
          <w:tcPr>
            <w:tcW w:w="10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54"/>
        </w:trPr>
        <w:tc>
          <w:tcPr>
            <w:tcW w:w="5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3"/>
          </w:tcPr>
          <w:p>
            <w:pPr>
              <w:spacing w:after="0" w:line="54" w:lineRule="exact"/>
              <w:rPr>
                <w:sz w:val="20"/>
                <w:szCs w:val="20"/>
                <w:color w:val="auto"/>
              </w:rPr>
            </w:pPr>
            <w:r>
              <w:rPr>
                <w:rFonts w:ascii="Arial" w:cs="Arial" w:eastAsia="Arial" w:hAnsi="Arial"/>
                <w:sz w:val="6"/>
                <w:szCs w:val="6"/>
                <w:b w:val="1"/>
                <w:bCs w:val="1"/>
                <w:color w:val="auto"/>
              </w:rPr>
              <w:t>Outstanding</w:t>
            </w: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Real Estate Facilities</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tcPr>
          <w:p>
            <w:pPr>
              <w:ind w:left="120"/>
              <w:spacing w:after="0"/>
              <w:rPr>
                <w:sz w:val="20"/>
                <w:szCs w:val="20"/>
                <w:color w:val="auto"/>
              </w:rPr>
            </w:pPr>
            <w:r>
              <w:rPr>
                <w:rFonts w:ascii="Arial" w:cs="Arial" w:eastAsia="Arial" w:hAnsi="Arial"/>
                <w:sz w:val="16"/>
                <w:szCs w:val="16"/>
                <w:color w:val="auto"/>
              </w:rPr>
              <w:t>M&amp;T Real Estate Facility</w:t>
            </w:r>
          </w:p>
        </w:tc>
        <w:tc>
          <w:tcPr>
            <w:tcW w:w="3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152,039</w:t>
            </w:r>
          </w:p>
        </w:tc>
        <w:tc>
          <w:tcPr>
            <w:tcW w:w="40" w:type="dxa"/>
            <w:vAlign w:val="bottom"/>
          </w:tcPr>
          <w:p>
            <w:pPr>
              <w:spacing w:after="0"/>
              <w:rPr>
                <w:sz w:val="17"/>
                <w:szCs w:val="17"/>
                <w:color w:val="auto"/>
              </w:rPr>
            </w:pPr>
          </w:p>
        </w:tc>
        <w:tc>
          <w:tcPr>
            <w:tcW w:w="320" w:type="dxa"/>
            <w:vAlign w:val="bottom"/>
            <w:gridSpan w:val="3"/>
          </w:tcPr>
          <w:p>
            <w:pPr>
              <w:jc w:val="right"/>
              <w:ind w:right="48"/>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6"/>
              <w:spacing w:after="0"/>
              <w:rPr>
                <w:sz w:val="20"/>
                <w:szCs w:val="20"/>
                <w:color w:val="auto"/>
              </w:rPr>
            </w:pPr>
            <w:r>
              <w:rPr>
                <w:rFonts w:ascii="Arial" w:cs="Arial" w:eastAsia="Arial" w:hAnsi="Arial"/>
                <w:sz w:val="16"/>
                <w:szCs w:val="16"/>
                <w:color w:val="auto"/>
              </w:rPr>
              <w:t>57,390</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(3)</w:t>
            </w:r>
          </w:p>
        </w:tc>
        <w:tc>
          <w:tcPr>
            <w:tcW w:w="920" w:type="dxa"/>
            <w:vAlign w:val="bottom"/>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First CIBC Real Estate Facility</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155,137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6"/>
                <w:szCs w:val="16"/>
                <w:color w:val="auto"/>
              </w:rPr>
              <w:t>57,390</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ind w:left="380" w:hanging="330"/>
        <w:spacing w:after="0"/>
        <w:tabs>
          <w:tab w:leader="none" w:pos="380" w:val="left"/>
        </w:tabs>
        <w:numPr>
          <w:ilvl w:val="0"/>
          <w:numId w:val="67"/>
        </w:numPr>
        <w:rPr>
          <w:rFonts w:ascii="Arial" w:cs="Arial" w:eastAsia="Arial" w:hAnsi="Arial"/>
          <w:sz w:val="22"/>
          <w:szCs w:val="22"/>
          <w:color w:val="auto"/>
          <w:vertAlign w:val="superscript"/>
        </w:rPr>
      </w:pPr>
      <w:r>
        <w:rPr>
          <w:rFonts w:ascii="Arial" w:cs="Arial" w:eastAsia="Arial" w:hAnsi="Arial"/>
          <w:sz w:val="14"/>
          <w:szCs w:val="14"/>
          <w:color w:val="auto"/>
        </w:rPr>
        <w:t>Outstanding principal amounts are net of unamortized finance costs.</w:t>
      </w:r>
    </w:p>
    <w:p>
      <w:pPr>
        <w:spacing w:after="0" w:line="12" w:lineRule="exact"/>
        <w:rPr>
          <w:rFonts w:ascii="Arial" w:cs="Arial" w:eastAsia="Arial" w:hAnsi="Arial"/>
          <w:sz w:val="22"/>
          <w:szCs w:val="22"/>
          <w:color w:val="auto"/>
          <w:vertAlign w:val="superscript"/>
        </w:rPr>
      </w:pPr>
    </w:p>
    <w:p>
      <w:pPr>
        <w:ind w:left="380" w:hanging="330"/>
        <w:spacing w:after="0" w:line="183" w:lineRule="auto"/>
        <w:tabs>
          <w:tab w:leader="none" w:pos="380" w:val="left"/>
        </w:tabs>
        <w:numPr>
          <w:ilvl w:val="0"/>
          <w:numId w:val="67"/>
        </w:numPr>
        <w:rPr>
          <w:rFonts w:ascii="Arial" w:cs="Arial" w:eastAsia="Arial" w:hAnsi="Arial"/>
          <w:sz w:val="20"/>
          <w:szCs w:val="20"/>
          <w:color w:val="auto"/>
          <w:vertAlign w:val="superscript"/>
        </w:rPr>
      </w:pPr>
      <w:r>
        <w:rPr>
          <w:rFonts w:ascii="Arial" w:cs="Arial" w:eastAsia="Arial" w:hAnsi="Arial"/>
          <w:sz w:val="14"/>
          <w:szCs w:val="14"/>
          <w:color w:val="auto"/>
        </w:rPr>
        <w:t>Amounts cannot be reborrowed.</w:t>
      </w:r>
    </w:p>
    <w:p>
      <w:pPr>
        <w:spacing w:after="0" w:line="13" w:lineRule="exact"/>
        <w:rPr>
          <w:rFonts w:ascii="Arial" w:cs="Arial" w:eastAsia="Arial" w:hAnsi="Arial"/>
          <w:sz w:val="20"/>
          <w:szCs w:val="20"/>
          <w:color w:val="auto"/>
          <w:vertAlign w:val="superscript"/>
        </w:rPr>
      </w:pPr>
    </w:p>
    <w:p>
      <w:pPr>
        <w:ind w:left="380" w:right="79" w:hanging="330"/>
        <w:spacing w:after="0" w:line="203" w:lineRule="auto"/>
        <w:tabs>
          <w:tab w:leader="none" w:pos="380" w:val="left"/>
        </w:tabs>
        <w:numPr>
          <w:ilvl w:val="0"/>
          <w:numId w:val="67"/>
        </w:numPr>
        <w:rPr>
          <w:rFonts w:ascii="Arial" w:cs="Arial" w:eastAsia="Arial" w:hAnsi="Arial"/>
          <w:sz w:val="22"/>
          <w:szCs w:val="22"/>
          <w:color w:val="auto"/>
          <w:vertAlign w:val="superscript"/>
        </w:rPr>
      </w:pPr>
      <w:r>
        <w:rPr>
          <w:rFonts w:ascii="Arial" w:cs="Arial" w:eastAsia="Arial" w:hAnsi="Arial"/>
          <w:sz w:val="14"/>
          <w:szCs w:val="14"/>
          <w:color w:val="auto"/>
        </w:rPr>
        <w:t>Additional borrowings on the M&amp;T Real Estate Facility are subject to a debt service coverage ratio covenant and to the property collateral requirements under the M&amp;T Real Estate Facility.</w:t>
      </w:r>
    </w:p>
    <w:p>
      <w:pPr>
        <w:spacing w:after="0" w:line="22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Management has determined that the credit agreements governing the Real Estate Facilities include subjective acceleration clauses, which could impact debt classification. Management believes that no events have occurred as of December 31, 2025 that would trigger a subjective acceleration clause. Additionally, the Real Estate Facilities are subject to certain cross default provisions, a debt service coverage ratio, and other customary covenants. The Company was in compliance with all financial debt covenants as of December 31, 2025 and 2024.</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Long-Term Debt</w:t>
      </w:r>
    </w:p>
    <w:p>
      <w:pPr>
        <w:spacing w:after="0" w:line="22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December 2021, FRHP assumed a mortgage as part of a real estate purchase. This mortgage is secured by the acquired property and is guaranteed by CWGS Group, LLC, a wholly-owned subsidiary of CWGS, LLC and matures in December 2026. In June 2023, FRHP assumed a promissory note as part of a real estate purchase. This note is secured by the acquired property and matures in April 2041. As of December 31, 2025, the outstanding principal balance of these debt instruments was $7.6 million with a weighted average interest rate of 4.27%.</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Lease Obligations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leases most of the properties for its store locations through 234 operating leases and 18 finance leases. The Company also leases billboards and certain of its equipment. The related operating lease assets and finance lease assets are included in the operating lease assets and property and equipment, net, respectively, in the accompanying consolidated balance sheets.</w:t>
      </w:r>
    </w:p>
    <w:p>
      <w:pPr>
        <w:spacing w:after="0" w:line="180"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As of December 31, 2025 and 2024, finance lease assets of $113.7 million and $120.0 million, respectively, were included in property and equipment, net in the accompanying consolidated balance sheets.</w:t>
      </w:r>
    </w:p>
    <w:p>
      <w:pPr>
        <w:spacing w:after="0" w:line="153"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The following table presents certain information related to the costs for leases where the Company is the lessee:</w:t>
      </w:r>
    </w:p>
    <w:p>
      <w:pPr>
        <w:spacing w:after="0" w:line="176" w:lineRule="exact"/>
        <w:rPr>
          <w:sz w:val="20"/>
          <w:szCs w:val="20"/>
          <w:color w:val="auto"/>
        </w:rPr>
      </w:pPr>
    </w:p>
    <w:tbl>
      <w:tblPr>
        <w:tblLayout w:type="fixed"/>
        <w:tblInd w:w="72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5"/>
          </w:tcPr>
          <w:p>
            <w:pPr>
              <w:jc w:val="right"/>
              <w:ind w:right="432"/>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4580" w:type="dxa"/>
            <w:vAlign w:val="bottom"/>
          </w:tcPr>
          <w:p>
            <w:pPr>
              <w:spacing w:after="0"/>
              <w:rPr>
                <w:sz w:val="20"/>
                <w:szCs w:val="20"/>
                <w:color w:val="auto"/>
              </w:rPr>
            </w:pPr>
            <w:r>
              <w:rPr>
                <w:rFonts w:ascii="Arial" w:cs="Arial" w:eastAsia="Arial" w:hAnsi="Arial"/>
                <w:sz w:val="14"/>
                <w:szCs w:val="14"/>
                <w:color w:val="auto"/>
              </w:rPr>
              <w:t>($ in thousands)</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ind w:right="394"/>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5"/>
                <w:szCs w:val="15"/>
                <w:color w:val="auto"/>
              </w:rPr>
            </w:pPr>
          </w:p>
        </w:tc>
        <w:tc>
          <w:tcPr>
            <w:tcW w:w="42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2024</w:t>
            </w:r>
          </w:p>
        </w:tc>
      </w:tr>
      <w:tr>
        <w:trPr>
          <w:trHeight w:val="223"/>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116,722</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116,370</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Finance lease cost: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finance lease assets</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11,160</w:t>
            </w:r>
          </w:p>
        </w:tc>
      </w:tr>
      <w:tr>
        <w:trPr>
          <w:trHeight w:val="229"/>
        </w:trPr>
        <w:tc>
          <w:tcPr>
            <w:tcW w:w="4580" w:type="dxa"/>
            <w:vAlign w:val="bottom"/>
          </w:tcPr>
          <w:p>
            <w:pPr>
              <w:ind w:left="100"/>
              <w:spacing w:after="0"/>
              <w:rPr>
                <w:sz w:val="20"/>
                <w:szCs w:val="20"/>
                <w:color w:val="auto"/>
              </w:rPr>
            </w:pPr>
            <w:r>
              <w:rPr>
                <w:rFonts w:ascii="Arial" w:cs="Arial" w:eastAsia="Arial" w:hAnsi="Arial"/>
                <w:sz w:val="18"/>
                <w:szCs w:val="18"/>
                <w:color w:val="auto"/>
              </w:rPr>
              <w:t>Interest on finance lease liabilities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8,735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9,285</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Variable lease cost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24,007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23,874</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Sublease income</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Net lease costs</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157,817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159,173</w:t>
            </w:r>
          </w:p>
        </w:tc>
      </w:tr>
      <w:tr>
        <w:trPr>
          <w:trHeight w:val="20"/>
        </w:trPr>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supplemental cash flow information related to leases:</w:t>
      </w:r>
    </w:p>
    <w:p>
      <w:pPr>
        <w:spacing w:after="0" w:line="248" w:lineRule="exact"/>
        <w:rPr>
          <w:sz w:val="20"/>
          <w:szCs w:val="20"/>
          <w:color w:val="auto"/>
        </w:rPr>
      </w:pPr>
    </w:p>
    <w:tbl>
      <w:tblPr>
        <w:tblLayout w:type="fixed"/>
        <w:tblInd w:w="70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Year Ended December 31,</w:t>
            </w:r>
          </w:p>
        </w:tc>
      </w:tr>
      <w:tr>
        <w:trPr>
          <w:trHeight w:val="184"/>
        </w:trPr>
        <w:tc>
          <w:tcPr>
            <w:tcW w:w="446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ind w:right="276"/>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5"/>
                <w:szCs w:val="15"/>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93"/>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w:t>
            </w: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Operating cash flows for operating leases</w:t>
            </w:r>
          </w:p>
        </w:tc>
        <w:tc>
          <w:tcPr>
            <w:tcW w:w="6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120,523</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118,848</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cash flows for finance leases</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Financing cash flows for finance leases</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8,361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7,520</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Lease assets obtained in exchange for lease liabilities:</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New, remeasured and terminated operating leases</w:t>
            </w:r>
          </w:p>
        </w:tc>
        <w:tc>
          <w:tcPr>
            <w:tcW w:w="6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111,765</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63,228</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New, remeasured and terminated finance leases</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30,771</w:t>
            </w:r>
          </w:p>
        </w:tc>
        <w:tc>
          <w:tcPr>
            <w:tcW w:w="40" w:type="dxa"/>
            <w:vAlign w:val="bottom"/>
            <w:shd w:val="clear" w:color="auto" w:fill="CCEEFF"/>
          </w:tcPr>
          <w:p>
            <w:pPr>
              <w:spacing w:after="0"/>
              <w:rPr>
                <w:sz w:val="19"/>
                <w:szCs w:val="19"/>
                <w:color w:val="auto"/>
              </w:rPr>
            </w:pPr>
          </w:p>
        </w:tc>
      </w:tr>
      <w:tr>
        <w:trPr>
          <w:trHeight w:val="450"/>
        </w:trPr>
        <w:tc>
          <w:tcPr>
            <w:tcW w:w="5080" w:type="dxa"/>
            <w:vAlign w:val="bottom"/>
            <w:gridSpan w:val="6"/>
          </w:tcPr>
          <w:p>
            <w:pPr>
              <w:spacing w:after="0"/>
              <w:rPr>
                <w:sz w:val="20"/>
                <w:szCs w:val="20"/>
                <w:color w:val="auto"/>
              </w:rPr>
            </w:pPr>
            <w:r>
              <w:rPr>
                <w:rFonts w:ascii="Arial" w:cs="Arial" w:eastAsia="Arial" w:hAnsi="Arial"/>
                <w:sz w:val="18"/>
                <w:szCs w:val="18"/>
                <w:color w:val="auto"/>
                <w:w w:val="99"/>
              </w:rPr>
              <w:t>The following table presents other information related to leases: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62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2540" w:type="dxa"/>
            <w:vAlign w:val="bottom"/>
            <w:gridSpan w:val="7"/>
          </w:tcPr>
          <w:p>
            <w:pPr>
              <w:ind w:left="380"/>
              <w:spacing w:after="0"/>
              <w:rPr>
                <w:sz w:val="20"/>
                <w:szCs w:val="20"/>
                <w:color w:val="auto"/>
              </w:rPr>
            </w:pPr>
            <w:r>
              <w:rPr>
                <w:rFonts w:ascii="Arial" w:cs="Arial" w:eastAsia="Arial" w:hAnsi="Arial"/>
                <w:sz w:val="14"/>
                <w:szCs w:val="14"/>
                <w:b w:val="1"/>
                <w:bCs w:val="1"/>
                <w:color w:val="auto"/>
              </w:rPr>
              <w:t>As of December 31,</w:t>
            </w:r>
          </w:p>
        </w:tc>
      </w:tr>
      <w:tr>
        <w:trPr>
          <w:trHeight w:val="208"/>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11.6 years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 years</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leases</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12.6 years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years</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7.3 %</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7.1 %</w:t>
            </w:r>
          </w:p>
        </w:tc>
        <w:tc>
          <w:tcPr>
            <w:tcW w:w="4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Financing leases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256"/>
              <w:spacing w:after="0"/>
              <w:rPr>
                <w:sz w:val="20"/>
                <w:szCs w:val="20"/>
                <w:color w:val="auto"/>
              </w:rPr>
            </w:pPr>
            <w:r>
              <w:rPr>
                <w:rFonts w:ascii="Arial" w:cs="Arial" w:eastAsia="Arial" w:hAnsi="Arial"/>
                <w:sz w:val="18"/>
                <w:szCs w:val="18"/>
                <w:color w:val="auto"/>
              </w:rPr>
              <w:t>6.4 %</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253"/>
              <w:spacing w:after="0"/>
              <w:rPr>
                <w:sz w:val="20"/>
                <w:szCs w:val="20"/>
                <w:color w:val="auto"/>
              </w:rPr>
            </w:pPr>
            <w:r>
              <w:rPr>
                <w:rFonts w:ascii="Arial" w:cs="Arial" w:eastAsia="Arial" w:hAnsi="Arial"/>
                <w:sz w:val="18"/>
                <w:szCs w:val="18"/>
                <w:color w:val="auto"/>
              </w:rPr>
              <w:t>6.4 %</w:t>
            </w:r>
          </w:p>
        </w:tc>
        <w:tc>
          <w:tcPr>
            <w:tcW w:w="40" w:type="dxa"/>
            <w:vAlign w:val="bottom"/>
          </w:tcPr>
          <w:p>
            <w:pPr>
              <w:spacing w:after="0"/>
              <w:rPr>
                <w:sz w:val="20"/>
                <w:szCs w:val="20"/>
                <w:color w:val="auto"/>
              </w:rPr>
            </w:pPr>
          </w:p>
        </w:tc>
      </w:tr>
    </w:tbl>
    <w:p>
      <w:pPr>
        <w:spacing w:after="0" w:line="20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following reconciles the undiscounted cash flows for each of the first five years and total of the remaining years to the lease liabilities in the accompanying consolidated balance sheet as of December 31, 2025:</w:t>
      </w:r>
    </w:p>
    <w:p>
      <w:pPr>
        <w:spacing w:after="0" w:line="1"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53"/>
              <w:spacing w:after="0"/>
              <w:rPr>
                <w:sz w:val="20"/>
                <w:szCs w:val="20"/>
                <w:color w:val="auto"/>
              </w:rPr>
            </w:pPr>
            <w:r>
              <w:rPr>
                <w:rFonts w:ascii="Arial" w:cs="Arial" w:eastAsia="Arial" w:hAnsi="Arial"/>
                <w:sz w:val="14"/>
                <w:szCs w:val="14"/>
                <w:b w:val="1"/>
                <w:bCs w:val="1"/>
                <w:color w:val="auto"/>
              </w:rPr>
              <w:t>Operating</w:t>
            </w: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3"/>
              <w:spacing w:after="0"/>
              <w:rPr>
                <w:sz w:val="20"/>
                <w:szCs w:val="20"/>
                <w:color w:val="auto"/>
              </w:rPr>
            </w:pPr>
            <w:r>
              <w:rPr>
                <w:rFonts w:ascii="Arial" w:cs="Arial" w:eastAsia="Arial" w:hAnsi="Arial"/>
                <w:sz w:val="14"/>
                <w:szCs w:val="14"/>
                <w:b w:val="1"/>
                <w:bCs w:val="1"/>
                <w:color w:val="auto"/>
              </w:rPr>
              <w:t>Finance</w:t>
            </w:r>
          </w:p>
        </w:tc>
      </w:tr>
      <w:tr>
        <w:trPr>
          <w:trHeight w:val="197"/>
        </w:trPr>
        <w:tc>
          <w:tcPr>
            <w:tcW w:w="5200" w:type="dxa"/>
            <w:vAlign w:val="bottom"/>
          </w:tcPr>
          <w:p>
            <w:pPr>
              <w:spacing w:after="0"/>
              <w:rPr>
                <w:sz w:val="20"/>
                <w:szCs w:val="20"/>
                <w:color w:val="auto"/>
              </w:rPr>
            </w:pPr>
            <w:r>
              <w:rPr>
                <w:rFonts w:ascii="Arial" w:cs="Arial" w:eastAsia="Arial" w:hAnsi="Arial"/>
                <w:sz w:val="14"/>
                <w:szCs w:val="14"/>
                <w:color w:val="auto"/>
              </w:rPr>
              <w:t>($ in thousands)</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53"/>
              <w:spacing w:after="0"/>
              <w:rPr>
                <w:sz w:val="20"/>
                <w:szCs w:val="20"/>
                <w:color w:val="auto"/>
              </w:rPr>
            </w:pPr>
            <w:r>
              <w:rPr>
                <w:rFonts w:ascii="Arial" w:cs="Arial" w:eastAsia="Arial" w:hAnsi="Arial"/>
                <w:sz w:val="14"/>
                <w:szCs w:val="14"/>
                <w:b w:val="1"/>
                <w:bCs w:val="1"/>
                <w:color w:val="auto"/>
              </w:rPr>
              <w:t>Leases</w:t>
            </w: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3"/>
              <w:spacing w:after="0"/>
              <w:rPr>
                <w:sz w:val="20"/>
                <w:szCs w:val="20"/>
                <w:color w:val="auto"/>
              </w:rPr>
            </w:pPr>
            <w:r>
              <w:rPr>
                <w:rFonts w:ascii="Arial" w:cs="Arial" w:eastAsia="Arial" w:hAnsi="Arial"/>
                <w:sz w:val="14"/>
                <w:szCs w:val="14"/>
                <w:b w:val="1"/>
                <w:bCs w:val="1"/>
                <w:color w:val="auto"/>
              </w:rPr>
              <w:t>Leases</w:t>
            </w:r>
          </w:p>
        </w:tc>
      </w:tr>
      <w:tr>
        <w:trPr>
          <w:trHeight w:val="20"/>
        </w:trPr>
        <w:tc>
          <w:tcPr>
            <w:tcW w:w="5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125,684</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17,124</w:t>
            </w: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119,839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16,585</w:t>
            </w: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116,271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14,838</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2029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112,958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14,644</w:t>
            </w: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2030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111,171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14,764</w:t>
            </w:r>
          </w:p>
        </w:tc>
      </w:tr>
      <w:tr>
        <w:trPr>
          <w:trHeight w:val="229"/>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718,672</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121,057</w:t>
            </w:r>
          </w:p>
        </w:tc>
      </w:tr>
      <w:tr>
        <w:trPr>
          <w:trHeight w:val="223"/>
        </w:trPr>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1,304,595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199,012</w:t>
            </w: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(435,063)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(64,808)</w:t>
            </w:r>
          </w:p>
        </w:tc>
      </w:tr>
      <w:tr>
        <w:trPr>
          <w:trHeight w:val="223"/>
        </w:trPr>
        <w:tc>
          <w:tcPr>
            <w:tcW w:w="52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lease obligations</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869,532</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134,204</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(65,365)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(8,820)</w:t>
            </w:r>
          </w:p>
        </w:tc>
      </w:tr>
      <w:tr>
        <w:trPr>
          <w:trHeight w:val="223"/>
        </w:trPr>
        <w:tc>
          <w:tcPr>
            <w:tcW w:w="52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Noncurrent lease obligations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804,167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$ 125,384</w:t>
            </w:r>
          </w:p>
        </w:tc>
      </w:tr>
      <w:tr>
        <w:trPr>
          <w:trHeight w:val="20"/>
        </w:trPr>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5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Sale-Leaseback Arrangements</w:t>
      </w:r>
    </w:p>
    <w:p>
      <w:pPr>
        <w:spacing w:after="0" w:line="223" w:lineRule="exact"/>
        <w:rPr>
          <w:sz w:val="20"/>
          <w:szCs w:val="20"/>
          <w:color w:val="auto"/>
        </w:rPr>
      </w:pPr>
    </w:p>
    <w:p>
      <w:pPr>
        <w:ind w:left="60" w:right="259" w:firstLine="648"/>
        <w:spacing w:after="0" w:line="269" w:lineRule="auto"/>
        <w:rPr>
          <w:sz w:val="20"/>
          <w:szCs w:val="20"/>
          <w:color w:val="auto"/>
        </w:rPr>
      </w:pPr>
      <w:r>
        <w:rPr>
          <w:rFonts w:ascii="Arial" w:cs="Arial" w:eastAsia="Arial" w:hAnsi="Arial"/>
          <w:sz w:val="17"/>
          <w:szCs w:val="17"/>
          <w:color w:val="auto"/>
        </w:rPr>
        <w:t>During the years ended December 31, 2025 and 2024, the Company entered into sale leaseback transactions for fourteen and three properties, respectively, associated with store locations in the RV and Outdoor Retail segment and received consideration of $122.4 million and $37.7 million of cash, respectively. However, $45.2 million of the $122.4 million of consideration for 2025 was not distributed through escrow until January 2, 2026. The Company recorded a gain of $0.3 million and $0.4 million for the twelve months ended December 31, 2025 and December 31, 2024, respectively, that was included in (gain) loss on sale or disposal of assets in the consolidated statements of income. In 2025, the Company entered into 17-year lease agreements as the lessee with each buyer for five of the properties, and a 19-year lease agreement as the lessee with the buyer for nine of the properties. In 2024, the Company entered into 20-year lease agreements</w:t>
      </w:r>
    </w:p>
    <w:p>
      <w:pPr>
        <w:sectPr>
          <w:pgSz w:w="11900" w:h="16838" w:orient="portrait"/>
          <w:cols w:equalWidth="0" w:num="1">
            <w:col w:w="9019"/>
          </w:cols>
          <w:pgMar w:left="1440" w:top="513"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8"/>
          <w:szCs w:val="18"/>
          <w:color w:val="auto"/>
        </w:rPr>
        <w:t>as the lessee with each buyer for two properties and a 17-year lease agreement as the lessee with the buyer for one of the properties.</w:t>
      </w:r>
    </w:p>
    <w:p>
      <w:pPr>
        <w:spacing w:after="0" w:line="2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CWH is organized as a Subchapter C corporation (“C-Corp”) and, as of December 31, 2025, is a 61.4% owner of CWGS, LLC (see Note 19 — Stockholders’ Equity and Note 20 — Non-Controlling Interests). CWGS, LLC is organized as a limited liability company (“LLC”) and treated as a partnership for U.S. federal and most applicable state and local income tax purposes and as such, is generally not subject to any U.S. federal entity-level income taxes. However, certain active CWGS, LLC subsidiaries, including CWFR Capital, LLC, Americas Road and Travel Club, Inc., Camping World, Inc. (“CW”) prior to the LLC Conversion (defined below), and FreedomRoads RV, Inc. and their wholly-owned subsidiaries, are subject to entity-level taxes as they are C-Corps.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Income Tax Expense</w:t>
      </w:r>
    </w:p>
    <w:p>
      <w:pPr>
        <w:spacing w:after="0" w:line="2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the Company’s income tax expense (benefit) from operations consisted of:</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7"/>
          </w:tcPr>
          <w:p>
            <w:pPr>
              <w:jc w:val="right"/>
              <w:ind w:right="533"/>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4540" w:type="dxa"/>
            <w:vAlign w:val="bottom"/>
          </w:tcPr>
          <w:p>
            <w:pPr>
              <w:spacing w:after="0"/>
              <w:rPr>
                <w:sz w:val="20"/>
                <w:szCs w:val="20"/>
                <w:color w:val="auto"/>
              </w:rPr>
            </w:pPr>
            <w:r>
              <w:rPr>
                <w:rFonts w:ascii="Arial" w:cs="Arial" w:eastAsia="Arial" w:hAnsi="Arial"/>
                <w:sz w:val="14"/>
                <w:szCs w:val="14"/>
                <w:color w:val="auto"/>
              </w:rPr>
              <w:t>($ in thousands)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2025</w:t>
            </w:r>
          </w:p>
        </w:tc>
        <w:tc>
          <w:tcPr>
            <w:tcW w:w="30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2024</w:t>
            </w:r>
          </w:p>
        </w:tc>
        <w:tc>
          <w:tcPr>
            <w:tcW w:w="32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2023</w:t>
            </w:r>
          </w:p>
        </w:tc>
      </w:tr>
      <w:tr>
        <w:trPr>
          <w:trHeight w:val="223"/>
        </w:trPr>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r>
      <w:tr>
        <w:trPr>
          <w:trHeight w:val="230"/>
        </w:trPr>
        <w:tc>
          <w:tcPr>
            <w:tcW w:w="4540" w:type="dxa"/>
            <w:vAlign w:val="bottom"/>
          </w:tcPr>
          <w:p>
            <w:pPr>
              <w:ind w:left="220"/>
              <w:spacing w:after="0"/>
              <w:rPr>
                <w:sz w:val="20"/>
                <w:szCs w:val="20"/>
                <w:color w:val="auto"/>
              </w:rPr>
            </w:pPr>
            <w:r>
              <w:rPr>
                <w:rFonts w:ascii="Arial" w:cs="Arial" w:eastAsia="Arial" w:hAnsi="Arial"/>
                <w:sz w:val="18"/>
                <w:szCs w:val="18"/>
                <w:color w:val="auto"/>
              </w:rPr>
              <w:t>Federal</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9,123</w:t>
            </w:r>
          </w:p>
        </w:tc>
      </w:tr>
      <w:tr>
        <w:trPr>
          <w:trHeight w:val="229"/>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Deferred: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178,233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(11,173)</w:t>
            </w:r>
          </w:p>
        </w:tc>
      </w:tr>
      <w:tr>
        <w:trPr>
          <w:trHeight w:val="230"/>
        </w:trPr>
        <w:tc>
          <w:tcPr>
            <w:tcW w:w="4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35,481</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w:t>
            </w:r>
          </w:p>
        </w:tc>
      </w:tr>
      <w:tr>
        <w:trPr>
          <w:trHeight w:val="223"/>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225,797</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(11,377)</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w:t>
            </w:r>
          </w:p>
        </w:tc>
      </w:tr>
      <w:tr>
        <w:trPr>
          <w:trHeight w:val="20"/>
        </w:trPr>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reconciliation of income tax expense (benefit) from operations to the federal statutory rate for were as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221" w:lineRule="exact"/>
        <w:rPr>
          <w:sz w:val="20"/>
          <w:szCs w:val="20"/>
          <w:color w:val="auto"/>
        </w:rPr>
      </w:pPr>
    </w:p>
    <w:tbl>
      <w:tblPr>
        <w:tblLayout w:type="fixed"/>
        <w:tblInd w:w="50" w:type="dxa"/>
        <w:tblCellMar>
          <w:top w:w="0" w:type="dxa"/>
          <w:left w:w="0" w:type="dxa"/>
          <w:bottom w:w="0" w:type="dxa"/>
          <w:right w:w="0" w:type="dxa"/>
        </w:tblCellMar>
      </w:tblPr>
      <w:tr>
        <w:trPr>
          <w:trHeight w:val="176"/>
        </w:trPr>
        <w:tc>
          <w:tcPr>
            <w:tcW w:w="6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177"/>
              <w:spacing w:after="0"/>
              <w:rPr>
                <w:sz w:val="20"/>
                <w:szCs w:val="20"/>
                <w:color w:val="auto"/>
              </w:rPr>
            </w:pPr>
            <w:r>
              <w:rPr>
                <w:rFonts w:ascii="Arial" w:cs="Arial" w:eastAsia="Arial" w:hAnsi="Arial"/>
                <w:sz w:val="13"/>
                <w:szCs w:val="13"/>
                <w:b w:val="1"/>
                <w:bCs w:val="1"/>
                <w:color w:val="auto"/>
                <w:w w:val="97"/>
              </w:rPr>
              <w:t>Year Ended December 31, 2025</w:t>
            </w:r>
          </w:p>
        </w:tc>
      </w:tr>
      <w:tr>
        <w:trPr>
          <w:trHeight w:val="250"/>
        </w:trPr>
        <w:tc>
          <w:tcPr>
            <w:tcW w:w="6540" w:type="dxa"/>
            <w:vAlign w:val="bottom"/>
            <w:gridSpan w:val="2"/>
          </w:tcPr>
          <w:p>
            <w:pPr>
              <w:ind w:left="20"/>
              <w:spacing w:after="0"/>
              <w:rPr>
                <w:sz w:val="20"/>
                <w:szCs w:val="20"/>
                <w:color w:val="auto"/>
              </w:rPr>
            </w:pPr>
            <w:r>
              <w:rPr>
                <w:rFonts w:ascii="Arial" w:cs="Arial" w:eastAsia="Arial" w:hAnsi="Arial"/>
                <w:sz w:val="13"/>
                <w:szCs w:val="13"/>
                <w:color w:val="auto"/>
              </w:rPr>
              <w:t>($ in thousands)</w:t>
            </w:r>
          </w:p>
        </w:tc>
        <w:tc>
          <w:tcPr>
            <w:tcW w:w="220" w:type="dxa"/>
            <w:vAlign w:val="bottom"/>
          </w:tcPr>
          <w:p>
            <w:pPr>
              <w:spacing w:after="0"/>
              <w:rPr>
                <w:sz w:val="21"/>
                <w:szCs w:val="21"/>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Amount</w:t>
            </w:r>
          </w:p>
        </w:tc>
        <w:tc>
          <w:tcPr>
            <w:tcW w:w="1020" w:type="dxa"/>
            <w:vAlign w:val="bottom"/>
          </w:tcPr>
          <w:p>
            <w:pPr>
              <w:jc w:val="right"/>
              <w:ind w:right="217"/>
              <w:spacing w:after="0"/>
              <w:rPr>
                <w:sz w:val="20"/>
                <w:szCs w:val="20"/>
                <w:color w:val="auto"/>
              </w:rPr>
            </w:pPr>
            <w:r>
              <w:rPr>
                <w:rFonts w:ascii="Arial" w:cs="Arial" w:eastAsia="Arial" w:hAnsi="Arial"/>
                <w:sz w:val="13"/>
                <w:szCs w:val="13"/>
                <w:b w:val="1"/>
                <w:bCs w:val="1"/>
                <w:color w:val="auto"/>
              </w:rPr>
              <w:t>Percent</w:t>
            </w:r>
          </w:p>
        </w:tc>
      </w:tr>
      <w:tr>
        <w:trPr>
          <w:trHeight w:val="160"/>
        </w:trPr>
        <w:tc>
          <w:tcPr>
            <w:tcW w:w="6380" w:type="dxa"/>
            <w:vAlign w:val="bottom"/>
            <w:tcBorders>
              <w:top w:val="single" w:sz="8" w:color="auto"/>
              <w:lef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Pre-tax book income</w:t>
            </w: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120,159</w:t>
            </w:r>
          </w:p>
        </w:tc>
        <w:tc>
          <w:tcPr>
            <w:tcW w:w="1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r>
      <w:tr>
        <w:trPr>
          <w:trHeight w:val="162"/>
        </w:trPr>
        <w:tc>
          <w:tcPr>
            <w:tcW w:w="6540" w:type="dxa"/>
            <w:vAlign w:val="bottom"/>
            <w:tcBorders>
              <w:left w:val="single" w:sz="8" w:color="auto"/>
            </w:tcBorders>
            <w:gridSpan w:val="2"/>
          </w:tcPr>
          <w:p>
            <w:pPr>
              <w:ind w:left="20"/>
              <w:spacing w:after="0"/>
              <w:rPr>
                <w:sz w:val="20"/>
                <w:szCs w:val="20"/>
                <w:color w:val="auto"/>
              </w:rPr>
            </w:pPr>
            <w:r>
              <w:rPr>
                <w:rFonts w:ascii="Arial" w:cs="Arial" w:eastAsia="Arial" w:hAnsi="Arial"/>
                <w:sz w:val="13"/>
                <w:szCs w:val="13"/>
                <w:color w:val="auto"/>
              </w:rPr>
              <w:t>U.S federal statutory tax rate</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25,233</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21.0%</w:t>
            </w:r>
          </w:p>
        </w:tc>
      </w:tr>
      <w:tr>
        <w:trPr>
          <w:trHeight w:val="162"/>
        </w:trPr>
        <w:tc>
          <w:tcPr>
            <w:tcW w:w="6540" w:type="dxa"/>
            <w:vAlign w:val="bottom"/>
            <w:tcBorders>
              <w:left w:val="single" w:sz="8" w:color="auto"/>
            </w:tcBorders>
            <w:gridSpan w:val="2"/>
            <w:shd w:val="clear" w:color="auto" w:fill="CCEEFF"/>
          </w:tcPr>
          <w:p>
            <w:pPr>
              <w:ind w:left="20"/>
              <w:spacing w:after="0" w:line="162" w:lineRule="exact"/>
              <w:rPr>
                <w:sz w:val="20"/>
                <w:szCs w:val="20"/>
                <w:color w:val="auto"/>
              </w:rPr>
            </w:pPr>
            <w:r>
              <w:rPr>
                <w:rFonts w:ascii="Arial" w:cs="Arial" w:eastAsia="Arial" w:hAnsi="Arial"/>
                <w:sz w:val="13"/>
                <w:szCs w:val="13"/>
                <w:color w:val="auto"/>
              </w:rPr>
              <w:t>State and local income tax items</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39,213</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w:t>
            </w:r>
          </w:p>
        </w:tc>
      </w:tr>
      <w:tr>
        <w:trPr>
          <w:trHeight w:val="162"/>
        </w:trPr>
        <w:tc>
          <w:tcPr>
            <w:tcW w:w="6540" w:type="dxa"/>
            <w:vAlign w:val="bottom"/>
            <w:tcBorders>
              <w:left w:val="single" w:sz="8" w:color="auto"/>
            </w:tcBorders>
            <w:gridSpan w:val="2"/>
          </w:tcPr>
          <w:p>
            <w:pPr>
              <w:ind w:left="20"/>
              <w:spacing w:after="0"/>
              <w:rPr>
                <w:sz w:val="20"/>
                <w:szCs w:val="20"/>
                <w:color w:val="auto"/>
              </w:rPr>
            </w:pPr>
            <w:r>
              <w:rPr>
                <w:rFonts w:ascii="Arial" w:cs="Arial" w:eastAsia="Arial" w:hAnsi="Arial"/>
                <w:sz w:val="13"/>
                <w:szCs w:val="13"/>
                <w:color w:val="auto"/>
              </w:rPr>
              <w:t>Tax credits</w:t>
            </w:r>
          </w:p>
        </w:tc>
        <w:tc>
          <w:tcPr>
            <w:tcW w:w="2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(482)</w:t>
            </w:r>
          </w:p>
        </w:tc>
        <w:tc>
          <w:tcPr>
            <w:tcW w:w="1020" w:type="dxa"/>
            <w:vAlign w:val="bottom"/>
          </w:tcPr>
          <w:p>
            <w:pPr>
              <w:jc w:val="right"/>
              <w:spacing w:after="0"/>
              <w:rPr>
                <w:sz w:val="20"/>
                <w:szCs w:val="20"/>
                <w:color w:val="auto"/>
              </w:rPr>
            </w:pPr>
            <w:r>
              <w:rPr>
                <w:rFonts w:ascii="Arial" w:cs="Arial" w:eastAsia="Arial" w:hAnsi="Arial"/>
                <w:sz w:val="13"/>
                <w:szCs w:val="13"/>
                <w:color w:val="auto"/>
              </w:rPr>
              <w:t>(0.4)%</w:t>
            </w:r>
          </w:p>
        </w:tc>
      </w:tr>
      <w:tr>
        <w:trPr>
          <w:trHeight w:val="162"/>
        </w:trPr>
        <w:tc>
          <w:tcPr>
            <w:tcW w:w="6540" w:type="dxa"/>
            <w:vAlign w:val="bottom"/>
            <w:tcBorders>
              <w:left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Changes in valuation allowances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151,579</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126.1%</w:t>
            </w:r>
          </w:p>
        </w:tc>
      </w:tr>
      <w:tr>
        <w:trPr>
          <w:trHeight w:val="162"/>
        </w:trPr>
        <w:tc>
          <w:tcPr>
            <w:tcW w:w="6540" w:type="dxa"/>
            <w:vAlign w:val="bottom"/>
            <w:tcBorders>
              <w:left w:val="single" w:sz="8" w:color="auto"/>
            </w:tcBorders>
            <w:gridSpan w:val="2"/>
          </w:tcPr>
          <w:p>
            <w:pPr>
              <w:ind w:left="20"/>
              <w:spacing w:after="0"/>
              <w:rPr>
                <w:sz w:val="20"/>
                <w:szCs w:val="20"/>
                <w:color w:val="auto"/>
              </w:rPr>
            </w:pPr>
            <w:r>
              <w:rPr>
                <w:rFonts w:ascii="Arial" w:cs="Arial" w:eastAsia="Arial" w:hAnsi="Arial"/>
                <w:sz w:val="13"/>
                <w:szCs w:val="13"/>
                <w:color w:val="auto"/>
              </w:rPr>
              <w:t>Nontaxable or nondeductible items: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6540" w:type="dxa"/>
            <w:vAlign w:val="bottom"/>
            <w:tcBorders>
              <w:left w:val="single" w:sz="8" w:color="auto"/>
            </w:tcBorders>
            <w:gridSpan w:val="2"/>
            <w:shd w:val="clear" w:color="auto" w:fill="CCEEFF"/>
          </w:tcPr>
          <w:p>
            <w:pPr>
              <w:ind w:left="240"/>
              <w:spacing w:after="0"/>
              <w:rPr>
                <w:sz w:val="20"/>
                <w:szCs w:val="20"/>
                <w:color w:val="auto"/>
              </w:rPr>
            </w:pPr>
            <w:r>
              <w:rPr>
                <w:rFonts w:ascii="Arial" w:cs="Arial" w:eastAsia="Arial" w:hAnsi="Arial"/>
                <w:sz w:val="13"/>
                <w:szCs w:val="13"/>
                <w:color w:val="auto"/>
              </w:rPr>
              <w:t>Accrual to return</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4,326</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44"/>
        </w:trPr>
        <w:tc>
          <w:tcPr>
            <w:tcW w:w="6540" w:type="dxa"/>
            <w:vAlign w:val="bottom"/>
            <w:tcBorders>
              <w:left w:val="single" w:sz="8" w:color="auto"/>
            </w:tcBorders>
            <w:gridSpan w:val="2"/>
          </w:tcPr>
          <w:p>
            <w:pPr>
              <w:ind w:left="240"/>
              <w:spacing w:after="0" w:line="144" w:lineRule="exact"/>
              <w:rPr>
                <w:sz w:val="20"/>
                <w:szCs w:val="20"/>
                <w:color w:val="auto"/>
              </w:rPr>
            </w:pPr>
            <w:r>
              <w:rPr>
                <w:rFonts w:ascii="Arial" w:cs="Arial" w:eastAsia="Arial" w:hAnsi="Arial"/>
                <w:sz w:val="13"/>
                <w:szCs w:val="13"/>
                <w:color w:val="auto"/>
              </w:rPr>
              <w:t>Income taxes computed at the effective federal statutory rate for pass-through entities not subject to tax for</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73"/>
        </w:trPr>
        <w:tc>
          <w:tcPr>
            <w:tcW w:w="6540" w:type="dxa"/>
            <w:vAlign w:val="bottom"/>
            <w:tcBorders>
              <w:left w:val="single" w:sz="8" w:color="auto"/>
            </w:tcBorders>
            <w:gridSpan w:val="2"/>
          </w:tcPr>
          <w:p>
            <w:pPr>
              <w:ind w:left="240"/>
              <w:spacing w:after="0"/>
              <w:rPr>
                <w:sz w:val="20"/>
                <w:szCs w:val="20"/>
                <w:color w:val="auto"/>
              </w:rPr>
            </w:pPr>
            <w:r>
              <w:rPr>
                <w:rFonts w:ascii="Arial" w:cs="Arial" w:eastAsia="Arial" w:hAnsi="Arial"/>
                <w:sz w:val="13"/>
                <w:szCs w:val="13"/>
                <w:color w:val="auto"/>
              </w:rPr>
              <w:t>the Company</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3,352</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69"/>
        </w:trPr>
        <w:tc>
          <w:tcPr>
            <w:tcW w:w="6540" w:type="dxa"/>
            <w:vAlign w:val="bottom"/>
            <w:tcBorders>
              <w:left w:val="single" w:sz="8" w:color="auto"/>
            </w:tcBorders>
            <w:gridSpan w:val="2"/>
            <w:shd w:val="clear" w:color="auto" w:fill="CCEEFF"/>
          </w:tcPr>
          <w:p>
            <w:pPr>
              <w:ind w:left="240"/>
              <w:spacing w:after="0"/>
              <w:rPr>
                <w:sz w:val="20"/>
                <w:szCs w:val="20"/>
                <w:color w:val="auto"/>
              </w:rPr>
            </w:pPr>
            <w:r>
              <w:rPr>
                <w:rFonts w:ascii="Arial" w:cs="Arial" w:eastAsia="Arial" w:hAnsi="Arial"/>
                <w:sz w:val="13"/>
                <w:szCs w:val="13"/>
                <w:color w:val="auto"/>
              </w:rPr>
              <w:t>Other nondeductible expenses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1,459</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2"/>
        </w:trPr>
        <w:tc>
          <w:tcPr>
            <w:tcW w:w="6540" w:type="dxa"/>
            <w:vAlign w:val="bottom"/>
            <w:tcBorders>
              <w:left w:val="single" w:sz="8" w:color="auto"/>
            </w:tcBorders>
            <w:gridSpan w:val="2"/>
          </w:tcPr>
          <w:p>
            <w:pPr>
              <w:ind w:left="20"/>
              <w:spacing w:after="0"/>
              <w:rPr>
                <w:sz w:val="20"/>
                <w:szCs w:val="20"/>
                <w:color w:val="auto"/>
              </w:rPr>
            </w:pPr>
            <w:r>
              <w:rPr>
                <w:rFonts w:ascii="Arial" w:cs="Arial" w:eastAsia="Arial" w:hAnsi="Arial"/>
                <w:sz w:val="13"/>
                <w:szCs w:val="13"/>
                <w:color w:val="auto"/>
              </w:rPr>
              <w:t>Changes in unrecognized tax benefits</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172</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0.1%</w:t>
            </w:r>
          </w:p>
        </w:tc>
      </w:tr>
      <w:tr>
        <w:trPr>
          <w:trHeight w:val="162"/>
        </w:trPr>
        <w:tc>
          <w:tcPr>
            <w:tcW w:w="6540" w:type="dxa"/>
            <w:vAlign w:val="bottom"/>
            <w:tcBorders>
              <w:left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Other adjustments</w:t>
            </w:r>
          </w:p>
        </w:tc>
        <w:tc>
          <w:tcPr>
            <w:tcW w:w="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945</w:t>
            </w:r>
          </w:p>
        </w:tc>
        <w:tc>
          <w:tcPr>
            <w:tcW w:w="16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w:t>
            </w:r>
          </w:p>
        </w:tc>
      </w:tr>
      <w:tr>
        <w:trPr>
          <w:trHeight w:val="155"/>
        </w:trPr>
        <w:tc>
          <w:tcPr>
            <w:tcW w:w="6540" w:type="dxa"/>
            <w:vAlign w:val="bottom"/>
            <w:tcBorders>
              <w:left w:val="single" w:sz="8" w:color="auto"/>
            </w:tcBorders>
            <w:gridSpan w:val="2"/>
          </w:tcPr>
          <w:p>
            <w:pPr>
              <w:ind w:left="20"/>
              <w:spacing w:after="0"/>
              <w:rPr>
                <w:sz w:val="20"/>
                <w:szCs w:val="20"/>
                <w:color w:val="auto"/>
              </w:rPr>
            </w:pPr>
            <w:r>
              <w:rPr>
                <w:rFonts w:ascii="Arial" w:cs="Arial" w:eastAsia="Arial" w:hAnsi="Arial"/>
                <w:sz w:val="13"/>
                <w:szCs w:val="13"/>
                <w:color w:val="auto"/>
              </w:rPr>
              <w:t>Income tax expense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225,797</w:t>
            </w:r>
          </w:p>
        </w:tc>
        <w:tc>
          <w:tcPr>
            <w:tcW w:w="16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187.9%</w:t>
            </w:r>
          </w:p>
        </w:tc>
      </w:tr>
      <w:tr>
        <w:trPr>
          <w:trHeight w:val="20"/>
        </w:trPr>
        <w:tc>
          <w:tcPr>
            <w:tcW w:w="6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80" w:right="79" w:hanging="330"/>
        <w:spacing w:after="0" w:line="212" w:lineRule="auto"/>
        <w:tabs>
          <w:tab w:leader="none" w:pos="380" w:val="left"/>
        </w:tabs>
        <w:numPr>
          <w:ilvl w:val="0"/>
          <w:numId w:val="68"/>
        </w:numPr>
        <w:rPr>
          <w:rFonts w:ascii="Arial" w:cs="Arial" w:eastAsia="Arial" w:hAnsi="Arial"/>
          <w:sz w:val="22"/>
          <w:szCs w:val="22"/>
          <w:color w:val="auto"/>
          <w:vertAlign w:val="superscript"/>
        </w:rPr>
      </w:pPr>
      <w:r>
        <w:rPr>
          <w:rFonts w:ascii="Arial" w:cs="Arial" w:eastAsia="Arial" w:hAnsi="Arial"/>
          <w:sz w:val="14"/>
          <w:szCs w:val="14"/>
          <w:color w:val="auto"/>
        </w:rPr>
        <w:t>The majority of the tax effect of this category (greater than 50 percent) is made up of state taxes from the following jurisdictions: California, Florida, Illinois, Minnesota, New York, Oregon, Pennsylvania, and Virginia.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859"/>
        <w:spacing w:after="0"/>
        <w:rPr>
          <w:sz w:val="20"/>
          <w:szCs w:val="20"/>
          <w:color w:val="auto"/>
        </w:rPr>
      </w:pPr>
      <w:r>
        <w:rPr>
          <w:rFonts w:ascii="Arial" w:cs="Arial" w:eastAsia="Arial" w:hAnsi="Arial"/>
          <w:sz w:val="13"/>
          <w:szCs w:val="13"/>
          <w:b w:val="1"/>
          <w:bCs w:val="1"/>
          <w:color w:val="auto"/>
        </w:rPr>
        <w:t>Year Ended December 31,</w:t>
      </w:r>
    </w:p>
    <w:p>
      <w:pPr>
        <w:sectPr>
          <w:pgSz w:w="11900" w:h="16838" w:orient="portrait"/>
          <w:cols w:equalWidth="0" w:num="1">
            <w:col w:w="9019"/>
          </w:cols>
          <w:pgMar w:left="1440" w:top="513" w:right="1440" w:bottom="1440" w:gutter="0" w:footer="0" w:header="0"/>
        </w:sectPr>
      </w:pPr>
    </w:p>
    <w:p>
      <w:pPr>
        <w:spacing w:after="0" w:line="26" w:lineRule="exact"/>
        <w:rPr>
          <w:sz w:val="20"/>
          <w:szCs w:val="20"/>
          <w:color w:val="auto"/>
        </w:rPr>
      </w:pPr>
    </w:p>
    <w:p>
      <w:pPr>
        <w:ind w:left="60"/>
        <w:spacing w:after="0"/>
        <w:rPr>
          <w:sz w:val="20"/>
          <w:szCs w:val="20"/>
          <w:color w:val="auto"/>
        </w:rPr>
      </w:pPr>
      <w:r>
        <w:rPr>
          <w:rFonts w:ascii="Arial" w:cs="Arial" w:eastAsia="Arial" w:hAnsi="Arial"/>
          <w:sz w:val="13"/>
          <w:szCs w:val="13"/>
          <w:color w:val="auto"/>
        </w:rPr>
        <w:t>($ in thousands)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2"/>
          <w:szCs w:val="12"/>
          <w:color w:val="auto"/>
        </w:rPr>
        <w:t>Income taxes computed at federal statutory rate</w:t>
      </w:r>
      <w:r>
        <w:rPr>
          <w:rFonts w:ascii="Arial" w:cs="Arial" w:eastAsia="Arial" w:hAnsi="Arial"/>
          <w:sz w:val="17"/>
          <w:szCs w:val="17"/>
          <w:color w:val="auto"/>
          <w:vertAlign w:val="superscript"/>
        </w:rPr>
        <w:t>(1)</w:t>
      </w:r>
    </w:p>
    <w:p>
      <w:pPr>
        <w:ind w:left="60"/>
        <w:spacing w:after="0" w:line="187" w:lineRule="auto"/>
        <w:rPr>
          <w:sz w:val="20"/>
          <w:szCs w:val="20"/>
          <w:color w:val="auto"/>
        </w:rPr>
      </w:pPr>
      <w:r>
        <w:rPr>
          <w:rFonts w:ascii="Arial" w:cs="Arial" w:eastAsia="Arial" w:hAnsi="Arial"/>
          <w:sz w:val="11"/>
          <w:szCs w:val="11"/>
          <w:color w:val="auto"/>
        </w:rPr>
        <w:t>State income taxes – net of federal benefit</w:t>
      </w:r>
      <w:r>
        <w:rPr>
          <w:rFonts w:ascii="Arial" w:cs="Arial" w:eastAsia="Arial" w:hAnsi="Arial"/>
          <w:sz w:val="15"/>
          <w:szCs w:val="15"/>
          <w:color w:val="auto"/>
          <w:vertAlign w:val="superscript"/>
        </w:rPr>
        <w:t>(1)</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3"/>
          <w:szCs w:val="13"/>
          <w:color w:val="auto"/>
        </w:rPr>
        <w:t>Other differences: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2024</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2023</w:t>
            </w:r>
          </w:p>
        </w:tc>
      </w:tr>
      <w:tr>
        <w:trPr>
          <w:trHeight w:val="138"/>
        </w:trPr>
        <w:tc>
          <w:tcPr>
            <w:tcW w:w="20" w:type="dxa"/>
            <w:vAlign w:val="bottom"/>
          </w:tcPr>
          <w:p>
            <w:pPr>
              <w:spacing w:after="0"/>
              <w:rPr>
                <w:sz w:val="11"/>
                <w:szCs w:val="11"/>
                <w:color w:val="auto"/>
              </w:rPr>
            </w:pP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38" w:lineRule="exact"/>
              <w:rPr>
                <w:sz w:val="20"/>
                <w:szCs w:val="20"/>
                <w:color w:val="auto"/>
              </w:rPr>
            </w:pPr>
            <w:r>
              <w:rPr>
                <w:rFonts w:ascii="Arial" w:cs="Arial" w:eastAsia="Arial" w:hAnsi="Arial"/>
                <w:sz w:val="13"/>
                <w:szCs w:val="13"/>
                <w:color w:val="auto"/>
              </w:rPr>
              <w:t>(18,955)</w:t>
            </w:r>
          </w:p>
        </w:tc>
        <w:tc>
          <w:tcPr>
            <w:tcW w:w="240" w:type="dxa"/>
            <w:vAlign w:val="bottom"/>
          </w:tcPr>
          <w:p>
            <w:pPr>
              <w:spacing w:after="0"/>
              <w:rPr>
                <w:sz w:val="11"/>
                <w:szCs w:val="11"/>
                <w:color w:val="auto"/>
              </w:rPr>
            </w:pP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38" w:lineRule="exact"/>
              <w:rPr>
                <w:sz w:val="20"/>
                <w:szCs w:val="20"/>
                <w:color w:val="auto"/>
              </w:rPr>
            </w:pPr>
            <w:r>
              <w:rPr>
                <w:rFonts w:ascii="Arial" w:cs="Arial" w:eastAsia="Arial" w:hAnsi="Arial"/>
                <w:sz w:val="13"/>
                <w:szCs w:val="13"/>
                <w:color w:val="auto"/>
              </w:rPr>
              <w:t>10,374</w:t>
            </w:r>
          </w:p>
        </w:tc>
      </w:tr>
      <w:tr>
        <w:trPr>
          <w:trHeight w:val="166"/>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(1,774)</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(2,645)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8890</wp:posOffset>
            </wp:positionV>
            <wp:extent cx="5648960" cy="1028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48960" cy="102870"/>
                    </a:xfrm>
                    <a:prstGeom prst="rect">
                      <a:avLst/>
                    </a:prstGeom>
                    <a:noFill/>
                  </pic:spPr>
                </pic:pic>
              </a:graphicData>
            </a:graphic>
          </wp:anchor>
        </w:drawing>
        <w:drawing>
          <wp:anchor simplePos="0" relativeHeight="251657728" behindDoc="1" locked="0" layoutInCell="0" allowOverlap="1">
            <wp:simplePos x="0" y="0"/>
            <wp:positionH relativeFrom="column">
              <wp:posOffset>-3668395</wp:posOffset>
            </wp:positionH>
            <wp:positionV relativeFrom="paragraph">
              <wp:posOffset>-204470</wp:posOffset>
            </wp:positionV>
            <wp:extent cx="5648960" cy="1111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48960" cy="11112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5120" w:space="720"/>
            <w:col w:w="317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166"/>
        </w:trPr>
        <w:tc>
          <w:tcPr>
            <w:tcW w:w="5800" w:type="dxa"/>
            <w:vAlign w:val="bottom"/>
          </w:tcPr>
          <w:p>
            <w:pPr>
              <w:spacing w:after="0"/>
              <w:rPr>
                <w:sz w:val="20"/>
                <w:szCs w:val="20"/>
                <w:color w:val="auto"/>
              </w:rPr>
            </w:pPr>
            <w:r>
              <w:rPr>
                <w:rFonts w:ascii="Arial" w:cs="Arial" w:eastAsia="Arial" w:hAnsi="Arial"/>
                <w:sz w:val="13"/>
                <w:szCs w:val="13"/>
                <w:color w:val="auto"/>
              </w:rPr>
              <w:t>State and local taxes on pass-through entities</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674</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1,948</w:t>
            </w:r>
          </w:p>
        </w:tc>
        <w:tc>
          <w:tcPr>
            <w:tcW w:w="0" w:type="dxa"/>
            <w:vAlign w:val="bottom"/>
          </w:tcPr>
          <w:p>
            <w:pPr>
              <w:spacing w:after="0"/>
              <w:rPr>
                <w:sz w:val="1"/>
                <w:szCs w:val="1"/>
                <w:color w:val="auto"/>
              </w:rPr>
            </w:pPr>
          </w:p>
        </w:tc>
      </w:tr>
      <w:tr>
        <w:trPr>
          <w:trHeight w:val="127"/>
        </w:trPr>
        <w:tc>
          <w:tcPr>
            <w:tcW w:w="5800" w:type="dxa"/>
            <w:vAlign w:val="bottom"/>
            <w:shd w:val="clear" w:color="auto" w:fill="CCEEFF"/>
          </w:tcPr>
          <w:p>
            <w:pPr>
              <w:spacing w:after="0" w:line="127" w:lineRule="exact"/>
              <w:rPr>
                <w:sz w:val="20"/>
                <w:szCs w:val="20"/>
                <w:color w:val="auto"/>
              </w:rPr>
            </w:pPr>
            <w:r>
              <w:rPr>
                <w:rFonts w:ascii="Arial" w:cs="Arial" w:eastAsia="Arial" w:hAnsi="Arial"/>
                <w:sz w:val="13"/>
                <w:szCs w:val="13"/>
                <w:color w:val="auto"/>
              </w:rPr>
              <w:t>Income taxes computed at the effective federal and state statutory rate for pass-through entities not</w:t>
            </w:r>
          </w:p>
        </w:tc>
        <w:tc>
          <w:tcPr>
            <w:tcW w:w="5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9,411</w:t>
            </w: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(3,927)</w:t>
            </w:r>
          </w:p>
        </w:tc>
        <w:tc>
          <w:tcPr>
            <w:tcW w:w="0" w:type="dxa"/>
            <w:vAlign w:val="bottom"/>
          </w:tcPr>
          <w:p>
            <w:pPr>
              <w:spacing w:after="0"/>
              <w:rPr>
                <w:sz w:val="1"/>
                <w:szCs w:val="1"/>
                <w:color w:val="auto"/>
              </w:rPr>
            </w:pPr>
          </w:p>
        </w:tc>
      </w:tr>
      <w:tr>
        <w:trPr>
          <w:trHeight w:val="153"/>
        </w:trPr>
        <w:tc>
          <w:tcPr>
            <w:tcW w:w="580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subject to tax for the Company</w:t>
            </w:r>
            <w:r>
              <w:rPr>
                <w:rFonts w:ascii="Arial" w:cs="Arial" w:eastAsia="Arial" w:hAnsi="Arial"/>
                <w:sz w:val="17"/>
                <w:szCs w:val="17"/>
                <w:color w:val="auto"/>
                <w:vertAlign w:val="superscript"/>
              </w:rPr>
              <w:t>(2)</w:t>
            </w:r>
          </w:p>
        </w:tc>
        <w:tc>
          <w:tcPr>
            <w:tcW w:w="50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00" w:type="dxa"/>
            <w:vAlign w:val="bottom"/>
          </w:tcPr>
          <w:p>
            <w:pPr>
              <w:spacing w:after="0" w:line="162" w:lineRule="exact"/>
              <w:rPr>
                <w:sz w:val="20"/>
                <w:szCs w:val="20"/>
                <w:color w:val="auto"/>
              </w:rPr>
            </w:pPr>
            <w:r>
              <w:rPr>
                <w:rFonts w:ascii="Arial" w:cs="Arial" w:eastAsia="Arial" w:hAnsi="Arial"/>
                <w:sz w:val="13"/>
                <w:szCs w:val="13"/>
                <w:color w:val="auto"/>
              </w:rPr>
              <w:t>Effect of LLC Conversion</w:t>
            </w:r>
            <w:r>
              <w:rPr>
                <w:rFonts w:ascii="Arial" w:cs="Arial" w:eastAsia="Arial" w:hAnsi="Arial"/>
                <w:sz w:val="18"/>
                <w:szCs w:val="18"/>
                <w:color w:val="auto"/>
                <w:vertAlign w:val="superscript"/>
              </w:rPr>
              <w:t>(3)</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(85,790)</w:t>
            </w:r>
          </w:p>
        </w:tc>
        <w:tc>
          <w:tcPr>
            <w:tcW w:w="0" w:type="dxa"/>
            <w:vAlign w:val="bottom"/>
          </w:tcPr>
          <w:p>
            <w:pPr>
              <w:spacing w:after="0"/>
              <w:rPr>
                <w:sz w:val="1"/>
                <w:szCs w:val="1"/>
                <w:color w:val="auto"/>
              </w:rPr>
            </w:pPr>
          </w:p>
        </w:tc>
      </w:tr>
      <w:tr>
        <w:trPr>
          <w:trHeight w:val="162"/>
        </w:trPr>
        <w:tc>
          <w:tcPr>
            <w:tcW w:w="5800" w:type="dxa"/>
            <w:vAlign w:val="bottom"/>
            <w:shd w:val="clear" w:color="auto" w:fill="CCEEFF"/>
          </w:tcPr>
          <w:p>
            <w:pPr>
              <w:spacing w:after="0" w:line="162" w:lineRule="exact"/>
              <w:rPr>
                <w:sz w:val="20"/>
                <w:szCs w:val="20"/>
                <w:color w:val="auto"/>
              </w:rPr>
            </w:pPr>
            <w:r>
              <w:rPr>
                <w:rFonts w:ascii="Arial" w:cs="Arial" w:eastAsia="Arial" w:hAnsi="Arial"/>
                <w:sz w:val="13"/>
                <w:szCs w:val="13"/>
                <w:color w:val="auto"/>
              </w:rPr>
              <w:t>(Decrease) increase in valuation allowance</w:t>
            </w:r>
            <w:r>
              <w:rPr>
                <w:rFonts w:ascii="Arial" w:cs="Arial" w:eastAsia="Arial" w:hAnsi="Arial"/>
                <w:sz w:val="18"/>
                <w:szCs w:val="18"/>
                <w:color w:val="auto"/>
                <w:vertAlign w:val="superscript"/>
              </w:rPr>
              <w:t>(4)</w:t>
            </w: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(1,568)</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64,351</w:t>
            </w:r>
          </w:p>
        </w:tc>
        <w:tc>
          <w:tcPr>
            <w:tcW w:w="0" w:type="dxa"/>
            <w:vAlign w:val="bottom"/>
          </w:tcPr>
          <w:p>
            <w:pPr>
              <w:spacing w:after="0"/>
              <w:rPr>
                <w:sz w:val="1"/>
                <w:szCs w:val="1"/>
                <w:color w:val="auto"/>
              </w:rPr>
            </w:pPr>
          </w:p>
        </w:tc>
      </w:tr>
      <w:tr>
        <w:trPr>
          <w:trHeight w:val="162"/>
        </w:trPr>
        <w:tc>
          <w:tcPr>
            <w:tcW w:w="5800" w:type="dxa"/>
            <w:vAlign w:val="bottom"/>
          </w:tcPr>
          <w:p>
            <w:pPr>
              <w:spacing w:after="0"/>
              <w:rPr>
                <w:sz w:val="20"/>
                <w:szCs w:val="20"/>
                <w:color w:val="auto"/>
              </w:rPr>
            </w:pPr>
            <w:r>
              <w:rPr>
                <w:rFonts w:ascii="Arial" w:cs="Arial" w:eastAsia="Arial" w:hAnsi="Arial"/>
                <w:sz w:val="13"/>
                <w:szCs w:val="13"/>
                <w:color w:val="auto"/>
              </w:rPr>
              <w:t>Impact of other state tax rate changes</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(241)</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4,900</w:t>
            </w:r>
          </w:p>
        </w:tc>
        <w:tc>
          <w:tcPr>
            <w:tcW w:w="0" w:type="dxa"/>
            <w:vAlign w:val="bottom"/>
          </w:tcPr>
          <w:p>
            <w:pPr>
              <w:spacing w:after="0"/>
              <w:rPr>
                <w:sz w:val="1"/>
                <w:szCs w:val="1"/>
                <w:color w:val="auto"/>
              </w:rPr>
            </w:pPr>
          </w:p>
        </w:tc>
      </w:tr>
      <w:tr>
        <w:trPr>
          <w:trHeight w:val="162"/>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Accrual to return</w:t>
            </w: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8,314</w:t>
            </w:r>
          </w:p>
        </w:tc>
        <w:tc>
          <w:tcPr>
            <w:tcW w:w="0" w:type="dxa"/>
            <w:vAlign w:val="bottom"/>
          </w:tcPr>
          <w:p>
            <w:pPr>
              <w:spacing w:after="0"/>
              <w:rPr>
                <w:sz w:val="1"/>
                <w:szCs w:val="1"/>
                <w:color w:val="auto"/>
              </w:rPr>
            </w:pPr>
          </w:p>
        </w:tc>
      </w:tr>
      <w:tr>
        <w:trPr>
          <w:trHeight w:val="162"/>
        </w:trPr>
        <w:tc>
          <w:tcPr>
            <w:tcW w:w="5800" w:type="dxa"/>
            <w:vAlign w:val="bottom"/>
          </w:tcPr>
          <w:p>
            <w:pPr>
              <w:spacing w:after="0"/>
              <w:rPr>
                <w:sz w:val="20"/>
                <w:szCs w:val="20"/>
                <w:color w:val="auto"/>
              </w:rPr>
            </w:pPr>
            <w:r>
              <w:rPr>
                <w:rFonts w:ascii="Arial" w:cs="Arial" w:eastAsia="Arial" w:hAnsi="Arial"/>
                <w:sz w:val="13"/>
                <w:szCs w:val="13"/>
                <w:color w:val="auto"/>
              </w:rPr>
              <w:t>Tax credits</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(501)</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(582)</w:t>
            </w:r>
          </w:p>
        </w:tc>
        <w:tc>
          <w:tcPr>
            <w:tcW w:w="0" w:type="dxa"/>
            <w:vAlign w:val="bottom"/>
          </w:tcPr>
          <w:p>
            <w:pPr>
              <w:spacing w:after="0"/>
              <w:rPr>
                <w:sz w:val="1"/>
                <w:szCs w:val="1"/>
                <w:color w:val="auto"/>
              </w:rPr>
            </w:pPr>
          </w:p>
        </w:tc>
      </w:tr>
      <w:tr>
        <w:trPr>
          <w:trHeight w:val="162"/>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Uncertain Tax Positions</w:t>
            </w: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0" w:type="dxa"/>
            <w:vAlign w:val="bottom"/>
          </w:tcPr>
          <w:p>
            <w:pPr>
              <w:spacing w:after="0"/>
              <w:rPr>
                <w:sz w:val="1"/>
                <w:szCs w:val="1"/>
                <w:color w:val="auto"/>
              </w:rPr>
            </w:pPr>
          </w:p>
        </w:tc>
      </w:tr>
      <w:tr>
        <w:trPr>
          <w:trHeight w:val="162"/>
        </w:trPr>
        <w:tc>
          <w:tcPr>
            <w:tcW w:w="58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1,285</w:t>
            </w:r>
          </w:p>
        </w:tc>
        <w:tc>
          <w:tcPr>
            <w:tcW w:w="2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56"/>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Income tax benefit</w:t>
            </w:r>
          </w:p>
        </w:tc>
        <w:tc>
          <w:tcPr>
            <w:tcW w:w="50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(11,377)</w:t>
            </w:r>
          </w:p>
        </w:tc>
        <w:tc>
          <w:tcPr>
            <w:tcW w:w="2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(3,527)</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380" w:right="79" w:hanging="330"/>
        <w:spacing w:after="0" w:line="220" w:lineRule="auto"/>
        <w:tabs>
          <w:tab w:leader="none" w:pos="380"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Federal and state income tax includes $0.6 million of income tax expense relating to the revaluation in the Tax Receivable Agreement liability due to fluctuations in state income tax rates for 2023. There were no changes to the Tax Receivable Agreement liability due to fluctuations in state tax rate for the year ended December 31, 2024.</w:t>
      </w:r>
    </w:p>
    <w:p>
      <w:pPr>
        <w:spacing w:after="0" w:line="31" w:lineRule="exact"/>
        <w:rPr>
          <w:rFonts w:ascii="Arial" w:cs="Arial" w:eastAsia="Arial" w:hAnsi="Arial"/>
          <w:sz w:val="22"/>
          <w:szCs w:val="22"/>
          <w:color w:val="auto"/>
          <w:vertAlign w:val="superscript"/>
        </w:rPr>
      </w:pPr>
    </w:p>
    <w:p>
      <w:pPr>
        <w:ind w:left="380" w:hanging="330"/>
        <w:spacing w:after="0"/>
        <w:tabs>
          <w:tab w:leader="none" w:pos="380"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The related income is taxable to the non-controlling interest.</w:t>
      </w:r>
    </w:p>
    <w:p>
      <w:pPr>
        <w:spacing w:after="0" w:line="94" w:lineRule="exact"/>
        <w:rPr>
          <w:rFonts w:ascii="Arial" w:cs="Arial" w:eastAsia="Arial" w:hAnsi="Arial"/>
          <w:sz w:val="22"/>
          <w:szCs w:val="22"/>
          <w:color w:val="auto"/>
          <w:vertAlign w:val="superscript"/>
        </w:rPr>
      </w:pPr>
    </w:p>
    <w:p>
      <w:pPr>
        <w:jc w:val="both"/>
        <w:ind w:left="380" w:right="79" w:hanging="330"/>
        <w:spacing w:after="0" w:line="219" w:lineRule="auto"/>
        <w:tabs>
          <w:tab w:leader="none" w:pos="380"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For 2023, these amounts represent a reduction of $81.7 million to CWH’s outside basis deferred tax assets as a result of the LLC Conversion and $4.1 million related to the entity classification election, which was filed in the third quarter of 2023 with an effective date of January 2, 2023 (defined and discussed below).</w:t>
      </w:r>
    </w:p>
    <w:p>
      <w:pPr>
        <w:spacing w:after="0" w:line="95" w:lineRule="exact"/>
        <w:rPr>
          <w:rFonts w:ascii="Arial" w:cs="Arial" w:eastAsia="Arial" w:hAnsi="Arial"/>
          <w:sz w:val="22"/>
          <w:szCs w:val="22"/>
          <w:color w:val="auto"/>
          <w:vertAlign w:val="superscript"/>
        </w:rPr>
      </w:pPr>
    </w:p>
    <w:p>
      <w:pPr>
        <w:jc w:val="both"/>
        <w:ind w:left="380" w:right="79" w:hanging="330"/>
        <w:spacing w:after="0"/>
        <w:tabs>
          <w:tab w:leader="none" w:pos="380"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For 2024, the decrease in valuation allowance was primarily related to utilization of a portion of the capital loss carryforward. For 2023, the valuation allowance increased by $64.4 million. The valuation allowance increased by $132.2 million related to capital loss carryforward. Additionally, valuation allowance decreased by $52.5 million as a result of the LLC Conversion and its impact on realization of the CWH’s outside basis deferred tax asset and decreased by $15.3 million for activities not related to the LLC Conversion.</w:t>
      </w:r>
    </w:p>
    <w:p>
      <w:pPr>
        <w:spacing w:after="0" w:line="323"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LLC Conversion</w:t>
      </w:r>
    </w:p>
    <w:p>
      <w:pPr>
        <w:spacing w:after="0" w:line="22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Prior to 2023, CW, including certain of its subsidiaries, were taxable as C-Corps and subject to entity-level taxes. CW had historically generated operating losses for tax purposes. Only losses subject to taxes in certain state jurisdictions were available to offset taxable income generated by the Company’s other businesses. The Company completed the steps necessary to convert CW and certain of its subsidiaries from C-Corps to LLCs with an effective date of January 2, 2023 (the “LLC Conversion”). All required filings for conversion to LLC were made by December 31, 2022. Accordingly, certain effects of the LLC Conversion were recorded during the year ended December 31, 2022, as the filings were perfunctory pursuant to the rules prescribed under ASC 740, Income Taxes. Beginning with the year ending December 31, 2023, the operating losses of CW and its subsidiaries have and will offset taxable income generated by the Company’s other LLC businesses. As a result, both income tax expense recognized by CWH and the amount of required tax distributions paid to holders of common units in CWGS, LLC, under the CWGS LLC Agreement, have and will decrease. The LLC Conversion has allowed the Company to more easily integrate its retail and dealership operations and more seamlessly share resources within the RV and Outdoor Retail segment, while providing an expected future cash flow benefit for the operating companies.</w:t>
      </w:r>
    </w:p>
    <w:p>
      <w:pPr>
        <w:spacing w:after="0" w:line="194"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For the year ended December 31, 2023, the Company recorded an additional tax benefit of $2.0 million related to the LLC Conversion. Additionally, the Company recorded an income tax benefit of $4.1 million related</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8"/>
          <w:szCs w:val="18"/>
          <w:color w:val="auto"/>
        </w:rPr>
        <w:t>to an entity classification election that was filed in the third quarter of 2023 with a January 2, 2023 effective date.</w:t>
      </w:r>
    </w:p>
    <w:p>
      <w:pPr>
        <w:spacing w:after="0" w:line="4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Deferred Income Taxes</w:t>
      </w:r>
    </w:p>
    <w:p>
      <w:pPr>
        <w:spacing w:after="0" w:line="22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and operating loss and tax credit carryforwards. Significant items comprising the net deferred tax assets were:</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000" w:type="dxa"/>
            <w:vAlign w:val="bottom"/>
          </w:tcPr>
          <w:p>
            <w:pPr>
              <w:spacing w:after="0"/>
              <w:rPr>
                <w:sz w:val="16"/>
                <w:szCs w:val="16"/>
                <w:color w:val="auto"/>
              </w:rPr>
            </w:pP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624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2024</w:t>
            </w:r>
          </w:p>
        </w:tc>
      </w:tr>
      <w:tr>
        <w:trPr>
          <w:trHeight w:val="224"/>
        </w:trPr>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29"/>
        </w:trPr>
        <w:tc>
          <w:tcPr>
            <w:tcW w:w="6240" w:type="dxa"/>
            <w:vAlign w:val="bottom"/>
            <w:gridSpan w:val="2"/>
          </w:tcPr>
          <w:p>
            <w:pPr>
              <w:spacing w:after="0"/>
              <w:rPr>
                <w:sz w:val="20"/>
                <w:szCs w:val="20"/>
                <w:color w:val="auto"/>
              </w:rPr>
            </w:pPr>
            <w:r>
              <w:rPr>
                <w:rFonts w:ascii="Arial" w:cs="Arial" w:eastAsia="Arial" w:hAnsi="Arial"/>
                <w:sz w:val="18"/>
                <w:szCs w:val="18"/>
                <w:color w:val="auto"/>
              </w:rPr>
              <w:t>Operating lease assets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(5,100)</w:t>
            </w:r>
          </w:p>
        </w:tc>
        <w:tc>
          <w:tcPr>
            <w:tcW w:w="2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(6,068)</w:t>
            </w:r>
          </w:p>
        </w:tc>
      </w:tr>
      <w:tr>
        <w:trPr>
          <w:trHeight w:val="23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60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(5,220)</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(6,173)</w:t>
            </w:r>
          </w:p>
        </w:tc>
      </w:tr>
      <w:tr>
        <w:trPr>
          <w:trHeight w:val="223"/>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240" w:type="dxa"/>
            <w:vAlign w:val="bottom"/>
            <w:gridSpan w:val="2"/>
          </w:tcPr>
          <w:p>
            <w:pPr>
              <w:spacing w:after="0" w:line="230" w:lineRule="exact"/>
              <w:rPr>
                <w:sz w:val="20"/>
                <w:szCs w:val="20"/>
                <w:color w:val="auto"/>
              </w:rPr>
            </w:pPr>
            <w:r>
              <w:rPr>
                <w:rFonts w:ascii="Arial" w:cs="Arial" w:eastAsia="Arial" w:hAnsi="Arial"/>
                <w:sz w:val="18"/>
                <w:szCs w:val="18"/>
                <w:color w:val="auto"/>
              </w:rPr>
              <w:t>Investment in partnership ("Outside Basis Deferred Tax Asset")</w:t>
            </w:r>
            <w:r>
              <w:rPr>
                <w:rFonts w:ascii="Arial" w:cs="Arial" w:eastAsia="Arial" w:hAnsi="Arial"/>
                <w:sz w:val="26"/>
                <w:szCs w:val="26"/>
                <w:color w:val="auto"/>
                <w:vertAlign w:val="superscript"/>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211,229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216,572</w:t>
            </w:r>
          </w:p>
        </w:tc>
      </w:tr>
      <w:tr>
        <w:trPr>
          <w:trHeight w:val="23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loss carryforward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121,962</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131,371</w:t>
            </w:r>
          </w:p>
        </w:tc>
      </w:tr>
      <w:tr>
        <w:trPr>
          <w:trHeight w:val="229"/>
        </w:trPr>
        <w:tc>
          <w:tcPr>
            <w:tcW w:w="6240" w:type="dxa"/>
            <w:vAlign w:val="bottom"/>
            <w:gridSpan w:val="2"/>
          </w:tcPr>
          <w:p>
            <w:pPr>
              <w:spacing w:after="0"/>
              <w:rPr>
                <w:sz w:val="20"/>
                <w:szCs w:val="20"/>
                <w:color w:val="auto"/>
              </w:rPr>
            </w:pPr>
            <w:r>
              <w:rPr>
                <w:rFonts w:ascii="Arial" w:cs="Arial" w:eastAsia="Arial" w:hAnsi="Arial"/>
                <w:sz w:val="18"/>
                <w:szCs w:val="18"/>
                <w:color w:val="auto"/>
              </w:rPr>
              <w:t>Tax Receivable Agreement liability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37,639</w:t>
            </w:r>
          </w:p>
        </w:tc>
      </w:tr>
      <w:tr>
        <w:trPr>
          <w:trHeight w:val="229"/>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6,482</w:t>
            </w: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Business interest expense carryforward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28,084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21,164</w:t>
            </w:r>
          </w:p>
        </w:tc>
      </w:tr>
      <w:tr>
        <w:trPr>
          <w:trHeight w:val="229"/>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 and tax credit carryforward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31,104</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17,472</w:t>
            </w: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18,285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17,011</w:t>
            </w:r>
          </w:p>
        </w:tc>
      </w:tr>
      <w:tr>
        <w:trPr>
          <w:trHeight w:val="23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1,207</w:t>
            </w:r>
          </w:p>
        </w:tc>
      </w:tr>
      <w:tr>
        <w:trPr>
          <w:trHeight w:val="223"/>
        </w:trPr>
        <w:tc>
          <w:tcPr>
            <w:tcW w:w="6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417,696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448,918</w:t>
            </w:r>
          </w:p>
        </w:tc>
      </w:tr>
      <w:tr>
        <w:trPr>
          <w:trHeight w:val="23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(411,050)</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(227,605)</w:t>
            </w: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1,426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215,140</w:t>
            </w:r>
          </w:p>
        </w:tc>
      </w:tr>
      <w:tr>
        <w:trPr>
          <w:trHeight w:val="20"/>
        </w:trPr>
        <w:tc>
          <w:tcPr>
            <w:tcW w:w="6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80" w:right="219" w:hanging="330"/>
        <w:spacing w:after="0" w:line="212" w:lineRule="auto"/>
        <w:tabs>
          <w:tab w:leader="none" w:pos="38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This amount is the deferred tax asset the Company recognizes for its book to tax outside basis difference in its investment in CWGS, LLC.</w:t>
      </w:r>
    </w:p>
    <w:p>
      <w:pPr>
        <w:spacing w:after="0" w:line="192"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The Company evaluates its deferred tax assets on a quarterly basis to determine if they can be realized and establishes valuation allowances when it is not more likely than not that all or a portion of the deferred tax assets can be realized. During the year ended December 31, 2025, management evaluated both positive and negative evidence and concluded that a full valuation allowance was necessary to be recorded against CWH net deferred tax assets due to its actual cumulative historical operating results for income tax purposes over the past several years in each of the tax jurisdictions where it operates. Accordingly, the Company recorded a $182.8 million valuation allowance on its CWH net deferred tax assets during the year ended December 31, 2025. This valuation allowance will be maintained until sufficient positive evidence exists to justify its reversal. In addition, because of the full valuation allowance recorded against CWH’s investment in CWGS, LLC, net deferred tax asset and certain other tax attribute carryforward deferred tax assets, the Company considers the amount calculated related to the remaining Tax Receivable Agreement Liability not probable. As a result, management reversed $149.0 million of the Tax Receivable Agreement liability and reduced the related deferred tax asset by $37.3 million, which were recorded to Tax Receivable Agreement liability adjustment and income tax (expense) benefit, respectively, in the consolidated statements of operations for the year ended December 31, 2025.</w:t>
      </w:r>
    </w:p>
    <w:p>
      <w:pPr>
        <w:spacing w:after="0" w:line="19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of December 31, 2024, the Company recorded a valuation allowance on the Outside Basis Deferred Tax Asset and the capital loss carryforward that are not more likely than not to be realized. The capital loss has a five-year carryforward period. The Company maintains a valuation allowance against the Outside Basis Deferred Tax Asset pertaining to the portion that is not amortizable for tax purposes, since the Company would likely only realize the non-amortizable portion of the Outside Basis Deferred Tax Asset if the investment in CWGS, LLC was divested.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Net Operating Loss and Tax Carryforwards</w:t>
      </w:r>
    </w:p>
    <w:p>
      <w:pPr>
        <w:spacing w:after="0" w:line="22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January 2, 2023, certain subsidiaries of CWH had federal and state net operating loss carryforwards of approximately $151.7 million and $3.9 million, respectively, which are no longer available after the LLC Conversion. The conversion loss generated a net operating loss that was immediately written off as CW’s net operating losses are lost as a result of the conversion. Accordingly, the tax effect of 2023 conversion loss was zero. As of December 31, 2025, the Company accumulated $22.2 million of federal net operating losses which can be carried forward indefinitely and $7.4 million of state net operating losses which will begin to expire in 2028. As of December 31, 2025, the Company had federal general business credit carryforwards of $1.0 million that can be carried forward through 2045.</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Tax Legislation</w:t>
      </w:r>
    </w:p>
    <w:p>
      <w:pPr>
        <w:spacing w:after="0" w:line="223"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On July 4, 2025, H.R.1, the legislation commonly referred to as One Big Beautiful Tax Act (“OBBBA”) was enacted into law, bringing significant amendments to the U.S. tax code. This legislation extends and modifies provisions from the 2017 Tax Cuts and Jobs Act (“TCJA”) and introduced new tax measures that impacted businesses and individuals. One of the notable legislative changes modified the definition of a “motor vehicle” to include trailers or campers which are designed to provide temporary living quarters for recreational, camping, or seasonal use and is designed to be towed by, or affixed to, a motor vehicle. This change allowed the Company to deduct all floor plan interest expense for the year ended December 31, 2025. The OBBBA also makes permanent the computation of the adjusted taxable income without regard to depreciation, amortization, or depletion, which increases the amount of the Company’s deductible interest. While we expect certain provisions of the OBBBA to change the timing of certain tax payments related to the current and future periods, we do not expect the legislation to have a material impact on our consolidated financial statements.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Uncertain Tax Positions</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2025 and 2024, the balance of the Company’s uncertain tax positions was $3.0</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million.</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Tax Receivable Agreement</w:t>
      </w:r>
    </w:p>
    <w:p>
      <w:pPr>
        <w:spacing w:after="0" w:line="223"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The Company is party to a tax receivable agreement (the “Tax Receivable Agreement”) that provides for the payment by the Company to the Continuing Equity Owners and Crestview Partners II GP, L.P. of 85% of the amount of tax benefits, if any, the Company actually realizes, or in some circumstances is deemed to realize, as a result of (i) increases in the tax basis from the purchase of common units from Crestview Partners</w:t>
      </w:r>
    </w:p>
    <w:p>
      <w:pPr>
        <w:spacing w:after="0" w:line="3" w:lineRule="exact"/>
        <w:rPr>
          <w:sz w:val="20"/>
          <w:szCs w:val="20"/>
          <w:color w:val="auto"/>
        </w:rPr>
      </w:pPr>
    </w:p>
    <w:p>
      <w:pPr>
        <w:jc w:val="both"/>
        <w:ind w:left="60" w:right="59" w:hanging="10"/>
        <w:spacing w:after="0" w:line="249" w:lineRule="auto"/>
        <w:tabs>
          <w:tab w:leader="none" w:pos="233" w:val="left"/>
        </w:tabs>
        <w:numPr>
          <w:ilvl w:val="0"/>
          <w:numId w:val="71"/>
        </w:numPr>
        <w:rPr>
          <w:rFonts w:ascii="Arial" w:cs="Arial" w:eastAsia="Arial" w:hAnsi="Arial"/>
          <w:sz w:val="18"/>
          <w:szCs w:val="18"/>
          <w:color w:val="auto"/>
        </w:rPr>
      </w:pPr>
      <w:r>
        <w:rPr>
          <w:rFonts w:ascii="Arial" w:cs="Arial" w:eastAsia="Arial" w:hAnsi="Arial"/>
          <w:sz w:val="18"/>
          <w:szCs w:val="18"/>
          <w:color w:val="auto"/>
        </w:rPr>
        <w:t>GP, L.P. in exchange for Class A common stock in connection with the consummation of the IPO and the related transactions and any future redemptions that are funded by the Company and any future redemptions of common units by Continuing Equity Owners as described above and (ii) certain other tax benefits attributable to payments made under the Tax Receivable Agreement. The above payments are predicated on CWGS, LLC making an election under Section 754 of the Internal Revenue Code effective for each tax year in which a redemption of common units for cash or stock occur. These tax benefit payments are not conditioned upon one or more of the Continuing Equity Owners or Crestview Partners II GP, L.P. maintaining a continued ownership interest in CWGS, LLC. In general, the Continuing Equity Owners’ or Crestview Partners II GP, L.P.’s rights under the Tax Receivable Agreement are assignable, including to transferees of its common units in CWGS, LLC (other than the Company as transferee pursuant to a redemption of common units in CWGS, LLC). The Company has determined it is more likely than not it will not benefit from the entirety of the remaining 15% of the tax benefits, and has remeasured the liability under the Tax Receivable Agreement. The Company has recorded a $149.0 million gain on the reduction in the associated liability, as described above. As of December 31, 2025, the remaining Tax Receivable Agreement liability after this adjustment was $1.4 million, which is expected to be paid during 2026. As of December 31, 2024, the Tax Receivable Agreement liability was $150.4 million. During the years ended December 31, 2025 and 2024, no payments and $13.4 million of payments, respectively, were made under the Tax Receivable Agreement.</w:t>
      </w:r>
    </w:p>
    <w:p>
      <w:pPr>
        <w:spacing w:after="0" w:line="192"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8"/>
          <w:szCs w:val="18"/>
          <w:color w:val="auto"/>
        </w:rPr>
        <w:t>If utilization of the deferred tax assets subject to the Tax Receivable Agreement becomes more likely than not in the future, the Company expects to record additional liability related to the Tax Receivable</w:t>
      </w:r>
    </w:p>
    <w:p>
      <w:pPr>
        <w:sectPr>
          <w:pgSz w:w="11900" w:h="16838" w:orient="portrait"/>
          <w:cols w:equalWidth="0" w:num="1">
            <w:col w:w="9019"/>
          </w:cols>
          <w:pgMar w:left="1440" w:top="513" w:right="1440" w:bottom="1440" w:gutter="0" w:footer="0" w:header="0"/>
        </w:sect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8"/>
          <w:szCs w:val="18"/>
          <w:color w:val="auto"/>
        </w:rPr>
        <w:t>Agreement which will be recognized as an expense and recorded to Tax Receivable Agreement liability adjustment in the consolidated statements of operations.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Income Tax Audits</w:t>
      </w:r>
    </w:p>
    <w:p>
      <w:pPr>
        <w:spacing w:after="0" w:line="22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For tax years beginning on or after January 1, 2018, CWGS, LLC is subject to partnership audit rules enacted as part of the Bipartisan Budget Act of 2015 (the “Centralized Partnership Audit Regime”). Under the Centralized Partnership Audit Regime, any IRS audit of CWGS, LLC would be conducted at the CWGS, LLC level, and if the IRS determines an adjustment, the default rule is that CWGS, LLC would pay an “imputed underpayment” including interest and penalties, if applicable. CWGS, LLC may instead elect to make a “push-out” election, in which case the partners for the year that is under audit would be required to take into account the adjustments on their own personal income tax returns. If CWGS, LLC does not elect to make a “push-out” election, CWGS, LLC has agreements in place requiring former partners to indemnify CWGS, LLC for their share of the imputed underpayment. The partnership agreement does not stipulate how CWGS, LLC will address imputed underpayments. If CWGS, LLC receives an imputed underpayment, a determination will be made based on the relevant facts and circumstances that exist at that time. Any payments that CWGS, LLC ultimately makes on behalf of its current partners will be reflected as a distribution, rather than tax expense, at the time such distribution is declared.</w:t>
      </w:r>
    </w:p>
    <w:p>
      <w:pPr>
        <w:spacing w:after="0" w:line="19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and its subsidiaries file U.S. federal income tax returns and tax returns in various states. During the year ended December 31, 2024, the Company was notified by the state of New York that its 2021 and 2022 state income tax returns were under examination. The Company is not under any other material audits in any jurisdiction. With few exceptions, the Company is no longer subject to U.S. federal, state, and local income tax examinations by tax authorities for years before 2022.</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Fair Value Measurements</w:t>
      </w:r>
    </w:p>
    <w:p>
      <w:pPr>
        <w:spacing w:after="0" w:line="21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Accounting guidance for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Recurring Fair Value Measurements</w:t>
      </w:r>
    </w:p>
    <w:p>
      <w:pPr>
        <w:spacing w:after="0" w:line="237" w:lineRule="exact"/>
        <w:rPr>
          <w:sz w:val="20"/>
          <w:szCs w:val="20"/>
          <w:color w:val="auto"/>
        </w:rPr>
      </w:pPr>
    </w:p>
    <w:p>
      <w:pPr>
        <w:jc w:val="both"/>
        <w:ind w:left="60" w:right="59" w:firstLine="648"/>
        <w:spacing w:after="0" w:line="303" w:lineRule="auto"/>
        <w:rPr>
          <w:sz w:val="20"/>
          <w:szCs w:val="20"/>
          <w:color w:val="auto"/>
        </w:rPr>
      </w:pPr>
      <w:r>
        <w:rPr>
          <w:rFonts w:ascii="Arial" w:cs="Arial" w:eastAsia="Arial" w:hAnsi="Arial"/>
          <w:sz w:val="18"/>
          <w:szCs w:val="18"/>
          <w:color w:val="auto"/>
        </w:rPr>
        <w:t>The following table presents the reported carrying values and the fair values by level of the Company’s assets and liabilities measured at fair value on a recurring basis: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336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3"/>
                <w:szCs w:val="13"/>
                <w:b w:val="1"/>
                <w:bCs w:val="1"/>
                <w:color w:val="auto"/>
              </w:rPr>
              <w:t>December 31, 2025</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3"/>
                <w:szCs w:val="13"/>
                <w:b w:val="1"/>
                <w:bCs w:val="1"/>
                <w:color w:val="auto"/>
              </w:rPr>
              <w:t>December 31, 2024</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40" w:type="dxa"/>
            <w:vAlign w:val="bottom"/>
          </w:tcPr>
          <w:p>
            <w:pPr>
              <w:jc w:val="right"/>
              <w:ind w:right="153"/>
              <w:spacing w:after="0"/>
              <w:rPr>
                <w:sz w:val="20"/>
                <w:szCs w:val="20"/>
                <w:color w:val="auto"/>
              </w:rPr>
            </w:pPr>
            <w:r>
              <w:rPr>
                <w:rFonts w:ascii="Arial" w:cs="Arial" w:eastAsia="Arial" w:hAnsi="Arial"/>
                <w:sz w:val="13"/>
                <w:szCs w:val="13"/>
                <w:b w:val="1"/>
                <w:bCs w:val="1"/>
                <w:color w:val="auto"/>
              </w:rPr>
              <w:t>Carrying Value</w:t>
            </w: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233"/>
              <w:spacing w:after="0"/>
              <w:rPr>
                <w:sz w:val="20"/>
                <w:szCs w:val="20"/>
                <w:color w:val="auto"/>
              </w:rPr>
            </w:pPr>
            <w:r>
              <w:rPr>
                <w:rFonts w:ascii="Arial" w:cs="Arial" w:eastAsia="Arial" w:hAnsi="Arial"/>
                <w:sz w:val="13"/>
                <w:szCs w:val="13"/>
                <w:b w:val="1"/>
                <w:bCs w:val="1"/>
                <w:color w:val="auto"/>
              </w:rPr>
              <w:t>Level 3</w:t>
            </w:r>
          </w:p>
        </w:tc>
        <w:tc>
          <w:tcPr>
            <w:tcW w:w="180" w:type="dxa"/>
            <w:vAlign w:val="bottom"/>
          </w:tcPr>
          <w:p>
            <w:pPr>
              <w:ind w:lef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40" w:type="dxa"/>
            <w:vAlign w:val="bottom"/>
          </w:tcPr>
          <w:p>
            <w:pPr>
              <w:jc w:val="right"/>
              <w:ind w:right="173"/>
              <w:spacing w:after="0"/>
              <w:rPr>
                <w:sz w:val="20"/>
                <w:szCs w:val="20"/>
                <w:color w:val="auto"/>
              </w:rPr>
            </w:pPr>
            <w:r>
              <w:rPr>
                <w:rFonts w:ascii="Arial" w:cs="Arial" w:eastAsia="Arial" w:hAnsi="Arial"/>
                <w:sz w:val="13"/>
                <w:szCs w:val="13"/>
                <w:b w:val="1"/>
                <w:bCs w:val="1"/>
                <w:color w:val="auto"/>
              </w:rPr>
              <w:t>Carrying Value</w:t>
            </w: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33"/>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69"/>
        </w:trPr>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line="176" w:lineRule="exact"/>
              <w:rPr>
                <w:sz w:val="20"/>
                <w:szCs w:val="20"/>
                <w:color w:val="auto"/>
              </w:rPr>
            </w:pPr>
            <w:r>
              <w:rPr>
                <w:rFonts w:ascii="Arial" w:cs="Arial" w:eastAsia="Arial" w:hAnsi="Arial"/>
                <w:sz w:val="13"/>
                <w:szCs w:val="13"/>
                <w:color w:val="auto"/>
              </w:rPr>
              <w:t xml:space="preserve">Derived participation investment </w:t>
            </w:r>
            <w:r>
              <w:rPr>
                <w:rFonts w:ascii="Arial" w:cs="Arial" w:eastAsia="Arial" w:hAnsi="Arial"/>
                <w:sz w:val="20"/>
                <w:szCs w:val="20"/>
                <w:color w:val="auto"/>
                <w:vertAlign w:val="superscript"/>
              </w:rPr>
              <w:t>(1)</w:t>
            </w: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3,321</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3,321</w:t>
            </w: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156</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360" w:type="dxa"/>
            <w:vAlign w:val="bottom"/>
          </w:tcPr>
          <w:p>
            <w:pPr>
              <w:spacing w:after="0"/>
              <w:rPr>
                <w:sz w:val="20"/>
                <w:szCs w:val="20"/>
                <w:color w:val="auto"/>
              </w:rPr>
            </w:pPr>
            <w:r>
              <w:rPr>
                <w:rFonts w:ascii="Arial" w:cs="Arial" w:eastAsia="Arial" w:hAnsi="Arial"/>
                <w:sz w:val="13"/>
                <w:szCs w:val="13"/>
                <w:color w:val="auto"/>
              </w:rPr>
              <w:t xml:space="preserve">Acquisition-related contingent consideration </w:t>
            </w:r>
            <w:r>
              <w:rPr>
                <w:rFonts w:ascii="Arial" w:cs="Arial" w:eastAsia="Arial" w:hAnsi="Arial"/>
                <w:sz w:val="20"/>
                <w:szCs w:val="20"/>
                <w:color w:val="auto"/>
                <w:vertAlign w:val="superscript"/>
              </w:rPr>
              <w:t>(2)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368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80" w:right="239" w:hanging="330"/>
        <w:spacing w:after="0" w:line="219" w:lineRule="auto"/>
        <w:tabs>
          <w:tab w:leader="none" w:pos="38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Derived participation investment was included in other assets in the accompanying consolidated balance sheets as of December 31, 2025 and 2024.</w:t>
      </w:r>
    </w:p>
    <w:p>
      <w:pPr>
        <w:spacing w:after="0" w:line="94" w:lineRule="exact"/>
        <w:rPr>
          <w:rFonts w:ascii="Arial" w:cs="Arial" w:eastAsia="Arial" w:hAnsi="Arial"/>
          <w:sz w:val="22"/>
          <w:szCs w:val="22"/>
          <w:color w:val="auto"/>
          <w:vertAlign w:val="superscript"/>
        </w:rPr>
      </w:pPr>
    </w:p>
    <w:p>
      <w:pPr>
        <w:ind w:left="380" w:right="159" w:hanging="330"/>
        <w:spacing w:after="0" w:line="219" w:lineRule="auto"/>
        <w:tabs>
          <w:tab w:leader="none" w:pos="38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The $0.2 million current and $0.2 million non-current portions of acquisition-related contingent consideration were included in accrued liabilities and other long-term liabilities, respectively, in the accompanying balance sheets as of December 31, 2024.</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fair value measurements using significant unobservable inputs (Level 3):</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Derived Participation</w:t>
            </w:r>
          </w:p>
        </w:tc>
        <w:tc>
          <w:tcPr>
            <w:tcW w:w="120" w:type="dxa"/>
            <w:vAlign w:val="bottom"/>
          </w:tcPr>
          <w:p>
            <w:pPr>
              <w:spacing w:after="0"/>
              <w:rPr>
                <w:sz w:val="15"/>
                <w:szCs w:val="15"/>
                <w:color w:val="auto"/>
              </w:rPr>
            </w:pPr>
          </w:p>
        </w:tc>
        <w:tc>
          <w:tcPr>
            <w:tcW w:w="2200" w:type="dxa"/>
            <w:vAlign w:val="bottom"/>
            <w:gridSpan w:val="2"/>
          </w:tcPr>
          <w:p>
            <w:pPr>
              <w:jc w:val="right"/>
              <w:spacing w:after="0"/>
              <w:rPr>
                <w:sz w:val="20"/>
                <w:szCs w:val="20"/>
                <w:color w:val="auto"/>
              </w:rPr>
            </w:pPr>
            <w:r>
              <w:rPr>
                <w:rFonts w:ascii="Arial" w:cs="Arial" w:eastAsia="Arial" w:hAnsi="Arial"/>
                <w:sz w:val="14"/>
                <w:szCs w:val="14"/>
                <w:b w:val="1"/>
                <w:bCs w:val="1"/>
                <w:color w:val="auto"/>
              </w:rPr>
              <w:t>Acquisition-Related Contingent</w:t>
            </w: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w:t>
            </w:r>
          </w:p>
        </w:tc>
        <w:tc>
          <w:tcPr>
            <w:tcW w:w="20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Investment</w:t>
            </w:r>
          </w:p>
        </w:tc>
        <w:tc>
          <w:tcPr>
            <w:tcW w:w="480" w:type="dxa"/>
            <w:vAlign w:val="bottom"/>
            <w:gridSpan w:val="2"/>
          </w:tcPr>
          <w:p>
            <w:pPr>
              <w:jc w:val="right"/>
              <w:ind w:right="236"/>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512"/>
              <w:spacing w:after="0"/>
              <w:rPr>
                <w:sz w:val="20"/>
                <w:szCs w:val="20"/>
                <w:color w:val="auto"/>
              </w:rPr>
            </w:pPr>
            <w:r>
              <w:rPr>
                <w:rFonts w:ascii="Arial" w:cs="Arial" w:eastAsia="Arial" w:hAnsi="Arial"/>
                <w:sz w:val="14"/>
                <w:szCs w:val="14"/>
                <w:b w:val="1"/>
                <w:bCs w:val="1"/>
                <w:color w:val="auto"/>
              </w:rPr>
              <w:t>Consideration</w:t>
            </w:r>
          </w:p>
        </w:tc>
      </w:tr>
      <w:tr>
        <w:trPr>
          <w:trHeight w:val="224"/>
        </w:trPr>
        <w:tc>
          <w:tcPr>
            <w:tcW w:w="4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Beginning balance as of January 1, 2024</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Business combinations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(5,779)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included in earnings</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Ending balance as of December 31, 2024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(1,766)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 transit exchanges for new securities </w:t>
            </w:r>
            <w:r>
              <w:rPr>
                <w:rFonts w:ascii="Arial" w:cs="Arial" w:eastAsia="Arial" w:hAnsi="Arial"/>
                <w:sz w:val="26"/>
                <w:szCs w:val="26"/>
                <w:color w:val="auto"/>
                <w:vertAlign w:val="superscript"/>
              </w:rPr>
              <w:t>(1)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Gains included in earnings </w:t>
            </w:r>
            <w:r>
              <w:rPr>
                <w:rFonts w:ascii="Arial" w:cs="Arial" w:eastAsia="Arial" w:hAnsi="Arial"/>
                <w:sz w:val="26"/>
                <w:szCs w:val="26"/>
                <w:color w:val="auto"/>
                <w:vertAlign w:val="superscript"/>
              </w:rPr>
              <w:t>(2)</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r>
      <w:tr>
        <w:trPr>
          <w:trHeight w:val="22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as of December 31, 2025</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80" w:hanging="330"/>
        <w:spacing w:after="0"/>
        <w:tabs>
          <w:tab w:leader="none" w:pos="38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Securitization proceeds held by issuer to be exchanged for new investment.</w:t>
      </w:r>
    </w:p>
    <w:p>
      <w:pPr>
        <w:spacing w:after="0" w:line="66" w:lineRule="exact"/>
        <w:rPr>
          <w:rFonts w:ascii="Arial" w:cs="Arial" w:eastAsia="Arial" w:hAnsi="Arial"/>
          <w:sz w:val="22"/>
          <w:szCs w:val="22"/>
          <w:color w:val="auto"/>
          <w:vertAlign w:val="superscript"/>
        </w:rPr>
      </w:pPr>
    </w:p>
    <w:p>
      <w:pPr>
        <w:ind w:left="380" w:right="79" w:hanging="330"/>
        <w:spacing w:after="0" w:line="203" w:lineRule="auto"/>
        <w:tabs>
          <w:tab w:leader="none" w:pos="38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Gains related to the derived participation investment represent an increase in the asset. Gains related to the acquisition-related contingent consideration represent a decrease in the liability.</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Derived Participation Investment</w:t>
      </w:r>
    </w:p>
    <w:p>
      <w:pPr>
        <w:spacing w:after="0" w:line="23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Company has entered into an arrangement with a consumer financing partner to invest in a participation interest in the cash flows of certain financing transactions under the white label financing program with such consumer financing partner (the “Derived Participation Investment”). The fair value of this investment was estimated by discounting the projected cash flows subject to the participation interest. The assumptions in the analysis included loan losses, prepayments, and recoveries derived based on historical observation of such data pertaining to the RV industry, as well as other relevant industries with loan structure similar to that of the RV industry. This is categorized as a Level 3 measurement and there was no significant change in unrealized gains or losses during the year ended December 31, 2025.</w:t>
      </w:r>
    </w:p>
    <w:p>
      <w:pPr>
        <w:spacing w:after="0" w:line="182" w:lineRule="exact"/>
        <w:rPr>
          <w:sz w:val="20"/>
          <w:szCs w:val="20"/>
          <w:color w:val="auto"/>
        </w:rPr>
      </w:pPr>
    </w:p>
    <w:p>
      <w:pPr>
        <w:jc w:val="both"/>
        <w:ind w:left="60" w:right="59" w:firstLine="648"/>
        <w:spacing w:after="0" w:line="278" w:lineRule="auto"/>
        <w:rPr>
          <w:sz w:val="20"/>
          <w:szCs w:val="20"/>
          <w:color w:val="auto"/>
        </w:rPr>
      </w:pPr>
      <w:r>
        <w:rPr>
          <w:rFonts w:ascii="Arial" w:cs="Arial" w:eastAsia="Arial" w:hAnsi="Arial"/>
          <w:sz w:val="18"/>
          <w:szCs w:val="18"/>
          <w:color w:val="auto"/>
        </w:rPr>
        <w:t>Additionally, during the year ended December 31, 2025, the Company paid $7.5 million for an investment in a preferred interest of this consumer financing partner, which operates a captive-as-a-service business specializing in financing for RVs and powersports. Since this investment does not have a readily determinable fair value, it will be recorded at its cost less impairments, if any.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Contingent Consideration</w:t>
      </w:r>
    </w:p>
    <w:p>
      <w:pPr>
        <w:spacing w:after="0" w:line="23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Company’s contingent consideration liability was established as part of the consideration for the acquisition of a tire rescue roadside assistance business in June 2024. The fair value of this liability was estimated as the present value of the probability weighted milestone payments at each of the first two anniversaries of the date of the acquisition for a maximum aggregate payment of $0.5 million if all milestones are reached. The assumptions in the analysis included the Company’s assessment of the probability that the milestones will be reached and a discount rate based primarily on the Company’s credit risk and its ability to pay. This was categorized as a Level 3 measurement and there were no significant change in unrealized gains or losses during the year ended December 31, 2024. Based on milestones reached, the first milestone payment was determined to be $0.1 million and was paid in October 2025. The milestones relating to the second milestone payment cannot be reached and will not result in any further milestone payments.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Other Fair Value Disclosures</w:t>
      </w:r>
    </w:p>
    <w:p>
      <w:pPr>
        <w:spacing w:after="0" w:line="237"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8"/>
          <w:szCs w:val="18"/>
          <w:color w:val="auto"/>
        </w:rPr>
        <w:t>There have been no transfers of assets or liabilities between the fair value measurement levels and there were no material re-measurements to fair value during 2025 and 2024 of assets and liabilities that are not measured at fair value on a recurring basis.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firstLine="648"/>
        <w:spacing w:after="0" w:line="268" w:lineRule="auto"/>
        <w:rPr>
          <w:sz w:val="20"/>
          <w:szCs w:val="20"/>
          <w:color w:val="auto"/>
        </w:rPr>
      </w:pPr>
      <w:r>
        <w:rPr>
          <w:rFonts w:ascii="Arial" w:cs="Arial" w:eastAsia="Arial" w:hAnsi="Arial"/>
          <w:sz w:val="18"/>
          <w:szCs w:val="18"/>
          <w:color w:val="auto"/>
        </w:rPr>
        <w:t>For floor plan notes payable under the Floor Plan Facility, the amounts reported in the accompanying consolidated balance sheets approximate the fair value due to their short-term nature or the existence of variable interest rates that approximate prevailing market rates.</w:t>
      </w:r>
    </w:p>
    <w:p>
      <w:pPr>
        <w:spacing w:after="0" w:line="17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following table presents the reported carrying value and fair value information for the Company’s debt instruments. The fair values shown below for the Term Loan Facility, as applicable, are based on quoted prices in the inactive market for identical assets (Level 2) and the fair values shown below for the Floor Plan Facility, the Real Estate Facilities and the Other Long-Term Debt are estimated by discounting the future contractual cash flows at the current market interest rate that is available based on similar financial instruments.</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127"/>
        </w:trPr>
        <w:tc>
          <w:tcPr>
            <w:tcW w:w="2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ind w:left="280"/>
              <w:spacing w:after="0"/>
              <w:rPr>
                <w:sz w:val="20"/>
                <w:szCs w:val="20"/>
                <w:color w:val="auto"/>
              </w:rPr>
            </w:pPr>
            <w:r>
              <w:rPr>
                <w:rFonts w:ascii="Arial" w:cs="Arial" w:eastAsia="Arial" w:hAnsi="Arial"/>
                <w:sz w:val="10"/>
                <w:szCs w:val="10"/>
                <w:b w:val="1"/>
                <w:bCs w:val="1"/>
                <w:color w:val="auto"/>
              </w:rPr>
              <w:t>Fair Value</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0"/>
                <w:szCs w:val="10"/>
                <w:b w:val="1"/>
                <w:bCs w:val="1"/>
                <w:color w:val="auto"/>
              </w:rPr>
              <w:t>December 31, 2025</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0"/>
                <w:szCs w:val="10"/>
                <w:b w:val="1"/>
                <w:bCs w:val="1"/>
                <w:color w:val="auto"/>
              </w:rPr>
              <w:t>December 31, 2024</w:t>
            </w:r>
          </w:p>
        </w:tc>
      </w:tr>
      <w:tr>
        <w:trPr>
          <w:trHeight w:val="169"/>
        </w:trPr>
        <w:tc>
          <w:tcPr>
            <w:tcW w:w="2840" w:type="dxa"/>
            <w:vAlign w:val="bottom"/>
          </w:tcPr>
          <w:p>
            <w:pPr>
              <w:spacing w:after="0"/>
              <w:rPr>
                <w:sz w:val="20"/>
                <w:szCs w:val="20"/>
                <w:color w:val="auto"/>
              </w:rPr>
            </w:pPr>
            <w:r>
              <w:rPr>
                <w:rFonts w:ascii="Arial" w:cs="Arial" w:eastAsia="Arial" w:hAnsi="Arial"/>
                <w:sz w:val="11"/>
                <w:szCs w:val="11"/>
                <w:color w:val="auto"/>
              </w:rPr>
              <w:t>($ in thousands)</w:t>
            </w:r>
          </w:p>
        </w:tc>
        <w:tc>
          <w:tcPr>
            <w:tcW w:w="1220" w:type="dxa"/>
            <w:vAlign w:val="bottom"/>
            <w:gridSpan w:val="2"/>
          </w:tcPr>
          <w:p>
            <w:pPr>
              <w:ind w:left="8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8"/>
                <w:szCs w:val="8"/>
                <w:b w:val="1"/>
                <w:bCs w:val="1"/>
                <w:color w:val="auto"/>
              </w:rPr>
              <w:t xml:space="preserve">   Measurement</w:t>
            </w:r>
          </w:p>
        </w:tc>
        <w:tc>
          <w:tcPr>
            <w:tcW w:w="280" w:type="dxa"/>
            <w:vAlign w:val="bottom"/>
            <w:gridSpan w:val="2"/>
          </w:tcPr>
          <w:p>
            <w:pPr>
              <w:jc w:val="right"/>
              <w:ind w:right="53"/>
              <w:spacing w:after="0"/>
              <w:rPr>
                <w:sz w:val="20"/>
                <w:szCs w:val="20"/>
                <w:color w:val="auto"/>
              </w:rPr>
            </w:pPr>
            <w:r>
              <w:rPr>
                <w:rFonts w:ascii="Arial" w:cs="Arial" w:eastAsia="Arial" w:hAnsi="Arial"/>
                <w:sz w:val="10"/>
                <w:szCs w:val="10"/>
                <w:b w:val="1"/>
                <w:bCs w:val="1"/>
                <w:color w:val="auto"/>
              </w:rPr>
              <w:t>​​​</w:t>
            </w:r>
          </w:p>
        </w:tc>
        <w:tc>
          <w:tcPr>
            <w:tcW w:w="920" w:type="dxa"/>
            <w:vAlign w:val="bottom"/>
          </w:tcPr>
          <w:p>
            <w:pPr>
              <w:jc w:val="right"/>
              <w:ind w:right="120"/>
              <w:spacing w:after="0"/>
              <w:rPr>
                <w:sz w:val="20"/>
                <w:szCs w:val="20"/>
                <w:color w:val="auto"/>
              </w:rPr>
            </w:pPr>
            <w:r>
              <w:rPr>
                <w:rFonts w:ascii="Arial" w:cs="Arial" w:eastAsia="Arial" w:hAnsi="Arial"/>
                <w:sz w:val="10"/>
                <w:szCs w:val="10"/>
                <w:b w:val="1"/>
                <w:bCs w:val="1"/>
                <w:color w:val="auto"/>
              </w:rPr>
              <w:t>Carrying Value</w:t>
            </w:r>
          </w:p>
        </w:tc>
        <w:tc>
          <w:tcPr>
            <w:tcW w:w="340" w:type="dxa"/>
            <w:vAlign w:val="bottom"/>
            <w:gridSpan w:val="2"/>
          </w:tcPr>
          <w:p>
            <w:pPr>
              <w:jc w:val="right"/>
              <w:ind w:right="113"/>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217"/>
              <w:spacing w:after="0"/>
              <w:rPr>
                <w:sz w:val="20"/>
                <w:szCs w:val="20"/>
                <w:color w:val="auto"/>
              </w:rPr>
            </w:pPr>
            <w:r>
              <w:rPr>
                <w:rFonts w:ascii="Arial" w:cs="Arial" w:eastAsia="Arial" w:hAnsi="Arial"/>
                <w:sz w:val="10"/>
                <w:szCs w:val="10"/>
                <w:b w:val="1"/>
                <w:bCs w:val="1"/>
                <w:color w:val="auto"/>
              </w:rPr>
              <w:t>Fair Value</w:t>
            </w:r>
          </w:p>
        </w:tc>
        <w:tc>
          <w:tcPr>
            <w:tcW w:w="300" w:type="dxa"/>
            <w:vAlign w:val="bottom"/>
            <w:gridSpan w:val="2"/>
          </w:tcPr>
          <w:p>
            <w:pPr>
              <w:jc w:val="right"/>
              <w:ind w:right="89"/>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120"/>
              <w:spacing w:after="0"/>
              <w:rPr>
                <w:sz w:val="20"/>
                <w:szCs w:val="20"/>
                <w:color w:val="auto"/>
              </w:rPr>
            </w:pPr>
            <w:r>
              <w:rPr>
                <w:rFonts w:ascii="Arial" w:cs="Arial" w:eastAsia="Arial" w:hAnsi="Arial"/>
                <w:sz w:val="10"/>
                <w:szCs w:val="10"/>
                <w:b w:val="1"/>
                <w:bCs w:val="1"/>
                <w:color w:val="auto"/>
              </w:rPr>
              <w:t>Carrying Value</w:t>
            </w:r>
          </w:p>
        </w:tc>
        <w:tc>
          <w:tcPr>
            <w:tcW w:w="340" w:type="dxa"/>
            <w:vAlign w:val="bottom"/>
            <w:gridSpan w:val="2"/>
          </w:tcPr>
          <w:p>
            <w:pPr>
              <w:jc w:val="right"/>
              <w:ind w:right="113"/>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37"/>
              <w:spacing w:after="0"/>
              <w:rPr>
                <w:sz w:val="20"/>
                <w:szCs w:val="20"/>
                <w:color w:val="auto"/>
              </w:rPr>
            </w:pPr>
            <w:r>
              <w:rPr>
                <w:rFonts w:ascii="Arial" w:cs="Arial" w:eastAsia="Arial" w:hAnsi="Arial"/>
                <w:sz w:val="10"/>
                <w:szCs w:val="10"/>
                <w:b w:val="1"/>
                <w:bCs w:val="1"/>
                <w:color w:val="auto"/>
              </w:rPr>
              <w:t>Fair Value</w:t>
            </w:r>
          </w:p>
        </w:tc>
      </w:tr>
      <w:tr>
        <w:trPr>
          <w:trHeight w:val="169"/>
        </w:trPr>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Term Loan Facility</w:t>
            </w:r>
          </w:p>
        </w:tc>
        <w:tc>
          <w:tcPr>
            <w:tcW w:w="1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Level 2</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1,308,832</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1,285,475</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1,335,535</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1,320,286</w:t>
            </w:r>
          </w:p>
        </w:tc>
      </w:tr>
      <w:tr>
        <w:trPr>
          <w:trHeight w:val="175"/>
        </w:trPr>
        <w:tc>
          <w:tcPr>
            <w:tcW w:w="2840" w:type="dxa"/>
            <w:vAlign w:val="bottom"/>
          </w:tcPr>
          <w:p>
            <w:pPr>
              <w:spacing w:after="0"/>
              <w:rPr>
                <w:sz w:val="20"/>
                <w:szCs w:val="20"/>
                <w:color w:val="auto"/>
              </w:rPr>
            </w:pPr>
            <w:r>
              <w:rPr>
                <w:rFonts w:ascii="Arial" w:cs="Arial" w:eastAsia="Arial" w:hAnsi="Arial"/>
                <w:sz w:val="13"/>
                <w:szCs w:val="13"/>
                <w:color w:val="auto"/>
              </w:rPr>
              <w:t>Real Estate Facilities</w:t>
            </w:r>
          </w:p>
        </w:tc>
        <w:tc>
          <w:tcPr>
            <w:tcW w:w="180" w:type="dxa"/>
            <w:vAlign w:val="bottom"/>
          </w:tcPr>
          <w:p>
            <w:pPr>
              <w:spacing w:after="0"/>
              <w:rPr>
                <w:sz w:val="15"/>
                <w:szCs w:val="15"/>
                <w:color w:val="auto"/>
              </w:rPr>
            </w:pPr>
          </w:p>
        </w:tc>
        <w:tc>
          <w:tcPr>
            <w:tcW w:w="1040" w:type="dxa"/>
            <w:vAlign w:val="bottom"/>
          </w:tcPr>
          <w:p>
            <w:pPr>
              <w:ind w:left="300"/>
              <w:spacing w:after="0"/>
              <w:rPr>
                <w:sz w:val="20"/>
                <w:szCs w:val="20"/>
                <w:color w:val="auto"/>
              </w:rPr>
            </w:pPr>
            <w:r>
              <w:rPr>
                <w:rFonts w:ascii="Arial" w:cs="Arial" w:eastAsia="Arial" w:hAnsi="Arial"/>
                <w:sz w:val="13"/>
                <w:szCs w:val="13"/>
                <w:color w:val="auto"/>
              </w:rPr>
              <w:t>Level 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155,137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158,203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173,132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176,684</w:t>
            </w:r>
          </w:p>
        </w:tc>
      </w:tr>
      <w:tr>
        <w:trPr>
          <w:trHeight w:val="176"/>
        </w:trPr>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Debt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Level 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7,588</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6,652</w:t>
            </w:r>
          </w:p>
        </w:tc>
      </w:tr>
    </w:tbl>
    <w:p>
      <w:pPr>
        <w:spacing w:after="0" w:line="200" w:lineRule="exact"/>
        <w:rPr>
          <w:sz w:val="20"/>
          <w:szCs w:val="20"/>
          <w:color w:val="auto"/>
        </w:rPr>
      </w:pPr>
    </w:p>
    <w:p>
      <w:pPr>
        <w:spacing w:after="0" w:line="227" w:lineRule="exact"/>
        <w:rPr>
          <w:sz w:val="20"/>
          <w:szCs w:val="20"/>
          <w:color w:val="auto"/>
        </w:rPr>
      </w:pPr>
    </w:p>
    <w:p>
      <w:pPr>
        <w:ind w:left="60" w:right="5819" w:hanging="10"/>
        <w:spacing w:after="0" w:line="522" w:lineRule="auto"/>
        <w:tabs>
          <w:tab w:leader="none" w:pos="36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Sponsorship and Other Agreements</w:t>
      </w:r>
    </w:p>
    <w:p>
      <w:pPr>
        <w:jc w:val="both"/>
        <w:ind w:left="60" w:right="59" w:firstLine="648"/>
        <w:spacing w:after="0" w:line="262" w:lineRule="auto"/>
        <w:rPr>
          <w:sz w:val="20"/>
          <w:szCs w:val="20"/>
          <w:color w:val="auto"/>
        </w:rPr>
      </w:pPr>
      <w:r>
        <w:rPr>
          <w:rFonts w:ascii="Arial" w:cs="Arial" w:eastAsia="Arial" w:hAnsi="Arial"/>
          <w:sz w:val="18"/>
          <w:szCs w:val="18"/>
          <w:color w:val="auto"/>
        </w:rPr>
        <w:t>The Company enters into sponsorship and brand licensing agreements from time to time. Current sponsorship agreements run through 2030. The sponsorship and brand licensing agreements consist of annual fees payable in aggregate of $4.3 million in 2026, $2.2 million in 2027, $1.0 million in 2028, $0.9 million in 2029 and $0.9 million in 2030, which are recognized to expense over the expected benefit period.</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enters into subscription agreements from time to time. Currently there are subscription agreements for future software services consisting of annual fees payable as follows: $28.6 million in 2026, $20.6 million in 2027, $4.3 million in 2028, $ 2.6 million in 2029, $2.4 million in 2030, and $4.1 million thereafter. Expense is recognized ratably over the term of the agreement.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Self-Insurance Program</w:t>
      </w:r>
    </w:p>
    <w:p>
      <w:pPr>
        <w:spacing w:after="0" w:line="22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Self-insurance reserves represent amounts established as a result of insurance programs under which the Company self-insures portions of the business risks. The Company carries substantial premium-paid, traditional risk transfer insurance for various business risks. The Company self-insures and establishes reserves for the retention on workers’ compensation insurance, general liability, automobile liability, and employee health claims. The self-insured claims liability was approximately $35.4 million and $34.7 million as of December 31, 2025 and 2024, respectively. The determination of such claims and expenses and the appropriateness of the related liability are continually reviewed and updated. The self-insurance accruals are calculated by actuaries and are based on claims filed and include estimates for claims incurred but not yet reported. Projections of future losses, including incurred but not reported losses, are inherently uncertain because of the varying nature of insurance claims and could be substantially affected if occurrences and claims differ significantly from these assumptions and historical trends. In addition, the Company has obtained letters of credit as required by insurance carriers. As of December 31, 2025 and December 31, 2024, these letters of credit were $20.3 million and $19.2 million, respectively. This includes $15.4 million and $14.3 million for December 31, 2025 and December 31, 2024, respectively, issued under the Floor Plan Facility (see Note 4 — Inventories and Floor Plan Payables), and the balance issued under the Company’s Senior Secured Credit Facilities (see Note 10 — Long-Term Debt).</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Litigation</w:t>
      </w: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Weissmann Complaint</w:t>
      </w:r>
    </w:p>
    <w:p>
      <w:pPr>
        <w:spacing w:after="0" w:line="237"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8"/>
          <w:szCs w:val="18"/>
          <w:color w:val="auto"/>
        </w:rPr>
        <w:t>On June 22, 2021, FreedomRoads Holding Company, LLC (“FR Holdco”), an indirect wholly-owned subsidiary of CWGS, LLC, filed a one-count complaint captioned FreedomRoads Holding Company, LLC v. Steve Weissmann in the Circuit Court of Cook County, Illinois against Steve Weissmann (“Weissmann”) for</w:t>
      </w:r>
    </w:p>
    <w:p>
      <w:pPr>
        <w:sectPr>
          <w:pgSz w:w="11900" w:h="16838" w:orient="portrait"/>
          <w:cols w:equalWidth="0" w:num="1">
            <w:col w:w="9019"/>
          </w:cols>
          <w:pgMar w:left="1440" w:top="513" w:right="1440" w:bottom="1440" w:gutter="0" w:footer="0" w:header="0"/>
        </w:sect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8"/>
          <w:szCs w:val="18"/>
          <w:color w:val="auto"/>
        </w:rPr>
        <w:t>breach of contractual obligation under note guarantee (the “Note”) (the “Weissmann Complaint”). On October 8, 2021, Weissmann brought a counterclaim against FR Holdco and third-party defendants Marcus A. Lemonis, NBCUniversal Media, LLC, the Consumer National Broadcasting Company, Camping World, Inc. (“CW”), and Machete Productions (“Machete”) (the “Weissmann Counterclaim”), in which he alleges claims in connection with the Note and his appearance on the reality television show The Profit. Weissmann alleges the following causes of action against FR Holdco and all third-party defendants, including CW: (i) fraud; (ii) fraud in the inducement; (iii) fraudulent concealment; (iv) breach of fiduciary duty; (v) defamation; (vi) defamation per se;</w:t>
      </w:r>
    </w:p>
    <w:p>
      <w:pPr>
        <w:spacing w:after="0" w:line="5" w:lineRule="exact"/>
        <w:rPr>
          <w:sz w:val="20"/>
          <w:szCs w:val="20"/>
          <w:color w:val="auto"/>
        </w:rPr>
      </w:pPr>
    </w:p>
    <w:p>
      <w:pPr>
        <w:jc w:val="both"/>
        <w:ind w:left="60" w:right="59" w:hanging="10"/>
        <w:spacing w:after="0" w:line="267" w:lineRule="auto"/>
        <w:tabs>
          <w:tab w:leader="none" w:pos="423" w:val="left"/>
        </w:tabs>
        <w:numPr>
          <w:ilvl w:val="0"/>
          <w:numId w:val="75"/>
        </w:numPr>
        <w:rPr>
          <w:rFonts w:ascii="Arial" w:cs="Arial" w:eastAsia="Arial" w:hAnsi="Arial"/>
          <w:sz w:val="18"/>
          <w:szCs w:val="18"/>
          <w:color w:val="auto"/>
        </w:rPr>
      </w:pPr>
      <w:r>
        <w:rPr>
          <w:rFonts w:ascii="Arial" w:cs="Arial" w:eastAsia="Arial" w:hAnsi="Arial"/>
          <w:sz w:val="18"/>
          <w:szCs w:val="18"/>
          <w:color w:val="auto"/>
        </w:rPr>
        <w:t>false light; (viii) intentional infliction of emotional distress; (ix) negligence; (x) unjust enrichment; and (xi) RICO § 1962. Weissmann seeks costs and damages in an amount to be proven at trial but no less than the amount in the Note (approximately $2.5 million); in connection with his RICO claim, Weissmann asserts he is entitled to damages in the amount of three times the Note. On February 18, 2022, NBCUniversal, CNBC, and Machete filed a motion to compel arbitration (the “NBC Arbitration Motion”). On May 5, 2022, an agreed order was filed staying the litigation in favor of arbitration. On May 31, 2022, FR Holdco filed an arbitration demand against Weissmann for collection on the Note. Weissmann filed his response and counterclaims, and third-party claims against FR Holdco, CW, Marcus A. Lemonis, NBCUniversal, and Machete on July 7, 2022. On or about July 21, 2022, FR Holdco and the other respondents filed their responses and affirmative defenses. On March 11, 2024, FR Holdco’s arbitration demand and the Weissmann arbitration demand were tried before a single arbitrator pursuant to the JAMS streamlined arbitration rules in a confidential arbitration hearing. On May 23, 2024, the arbitrator issued an interim award in favor of FR Holdco in the amount of $4,318,892, plus interest, costs, and attorneys’ fees as set forth in the Tumbleweed bankruptcy plan and to be determined by the arbitrator in subsequent proceedings. On July 31, 2024, the arbitrator heard the parties’ arguments on the amount of attorneys’ fees and costs owed to FR Holdco, after Weissmann conceded in a written briefing the obligation to pay attorneys’ fees and costs to FR Holdco as the prevailing party. On September 12, 2024, the arbitrator issued a final award in favor of FR Holdco in the amount of $4,990,006, in the manner described in the Tumbleweed bankruptcy plan. Weissmann is jointly and severally liable for $4,106,884 of that amount. On September 24, 2024, Weissmann and Tumbleweed filed a Petition to Vacate Arbitration Award in the Superior Court for the State of California, County of Los Angeles. On September 27, 2024, FR Holdco, CW, Marcus A. Lemonis, NBCUniversal, and Machete filed a Petition to Confirm Arbitration Award in the Superior Court for the State of California, County of Los Angeles. On January 16, 2025, Superior Court for the State of California, County of Los Angeles granted the Petition to Confirm Arbitration Award and denied the Petition to Vacate Arbitration Award, concluding the litigation. On July 8, 2025, Superior Court for the State of California, County of Los Angeles entered the Judgment in favor of FR Holdco, CW, Marcus A. Lemonis, NBCUniversal, and Machete. On August 21, 2025, Weissmann and Tumbleweed filed a notice of appeal. On November 25, 2025, Weissmann and Tumbleweed filed their opening brief in the Second Appellate District of the Court of Appeal of the State of California. FR Holdco, CW, Marcus Lemonis, NBCUniversal, and Machete filed their response brief on February 20, 2026. There can be no assurances that we will be able to collect amounts owed pursuant to the Arbitration Award.</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Tumbleweed Complaint</w:t>
      </w:r>
    </w:p>
    <w:p>
      <w:pPr>
        <w:spacing w:after="0" w:line="23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8"/>
          <w:szCs w:val="18"/>
          <w:color w:val="auto"/>
        </w:rPr>
        <w:t>On November 10, 2021, Tumbleweed Tiny House Company, Inc. (“Tumbleweed”) filed a complaint against FR Holdco, CW, Marcus A. Lemonis, NBCUniversal Media, LLC, and Machete Productions in which Tumbleweed alleges claims in connection with the Note and its appearance on the reality television show The Profit (the “Tumbleweed Complaint”), seeking primarily monetary damages. Tumbleweed alleges the following claims against the defendants, including FR Holdco and CW: (i) fraud; (ii) false promise; (iii) breach of fiduciary duty (and aiding and abetting the same); (iv) breach of contract; (v) breach of oral contract; (vi) tortious interference with prospective economic advantage; (vii) fraud in the inducement; (viii) negligent misrepresentation; (ix) fraudulent concealment; (x) conspiracy; (xi) unlawful business practices; (xii) defamation; and (xiii) declaratory judgment. On April 21, 2022, the Court granted a motion to compel arbitration filed by NBCUniversal and joined by all defendants, including FR Holdco, CW, and Marcus A. Lemonis, compelling Tumbleweed’s claims to arbitration. Tumbleweed served its arbitration demand on FR Holdco, CW, and Marcus A. Lemonis on May 17, 2022. FR Holdco, CW, and Marcus A. Lemonis filed responses and affirmative defenses on May 31, 2022. On July 20, 2022, pursuant to the JAMS streamlined arbitration rules,</w:t>
      </w:r>
    </w:p>
    <w:p>
      <w:pPr>
        <w:sectPr>
          <w:pgSz w:w="11900" w:h="16838" w:orient="portrait"/>
          <w:cols w:equalWidth="0" w:num="1">
            <w:col w:w="9019"/>
          </w:cols>
          <w:pgMar w:left="1440" w:top="513"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8"/>
          <w:szCs w:val="18"/>
          <w:color w:val="auto"/>
        </w:rPr>
        <w:t>the Tumbleweed Complaint was consolidated together with the Weissmann Complaint. The parties have exchanged discovery. On March 11, 2024, FR Holdco’s arbitration demand and the Weissman arbitration demand were tried before a single arbitrator pursuant to the JAMS streamlined arbitration rules in a confidential arbitration hearing. On May 23, 2024, the arbitrator issued an interim award in favor of all respondents, including FR Holdco, CW, and Lemonis. On July 31, 2024, the arbitrator heard the parties arguments on the amount of attorneys’ fees and costs owed to FR Holdco, CW, Lemonis, and the other defendants, after Tumbleweed conceded the obligation to pay attorneys’ fees and costs to the prevailing parties. On September 12, 2024, the arbitrator issued a final award in favor of FR Holdco, CW, Lemonis in the amount of $3,793,455 in attorneys’ fees and $626,611 in costs. The arbitrator also awarded $4,990,006 in favor of FR Holdco. On September 24, 2024, Weissmann and Tumbleweed filed a Petition to Vacate Arbitration Award in the Superior Court for the State of California, County of Los Angeles. On September 27, 2024, FR Holdco, CW, Marcus A. Lemonis, NBCUniversal, and Machete filed a Petition to Confirm Arbitration Award in the Superior Court for the State of California, County of Los Angeles. On January 16, 2025, Superior Court for the State of California, County of Los Angeles granted the Petition to Confirm Arbitration Award and denied the Petition to Vacate Arbitration Award, concluding the litigation. On July 8, 2025, Superior Court for the State of California, County of Los Angeles entered the Judgment in favor of FR Holdco, CW, Marcus A. Lemonis, NBCUniversal, and Machete. On August 21, 2025, Weissmann and Tumbleweed filed a notice of appeal. On November 25, 2025, Weissmann and Tumbleweed filed their opening brief in the Second Appellate District of the Court of Appeal of the State of California. FR Holdco, CW, Marcus Lemonis, NBCUniversal, and Machete filed their response brief on February 20, 2026. There can be no assurances that we will be able to collect amounts owed pursuant to the Arbitration Award.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General</w:t>
      </w:r>
    </w:p>
    <w:p>
      <w:pPr>
        <w:spacing w:after="0" w:line="223"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From time to time, the Company is involved in litigation arising in the normal course of business operations including, but not limited to, labor (including federal and state minimum wage and overtime</w:t>
      </w:r>
    </w:p>
    <w:p>
      <w:pPr>
        <w:spacing w:after="0" w:line="1"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requirements), advertising, real estate, promotions, quality of services, intellectual property, tax, import and export, anti-corruption, anti-competition, environmental, health and safety matters. While the outcome of litigation cannot be predicted with certainty, and some of these lawsuits, claims or proceedings may be determined adversely to the Company, management does not believe that the disposition of any such pending matters is likely to have a material adverse effect on the Company’s financial statements. No assurance can be made that these or similar suits will not result in a material financial exposure in excess of insurance coverage, which could have a material adverse effect upon the Company’s financial condition and results of operations.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Supplier Agreement</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the normal course of business, the Company will enter into agreements with its suppliers. In connection with the divestiture of CWDS in May 2024, the Company entered into a Supplier Agreement with the buyer that requires the Company to purchase an aggregate $250.0 million of product over the approximately 10-year term of the Supplier Agreement. Any shortfall under this aggregate purchase threshold results in an extension of the term of the Supplier Agreement and does not otherwise result in financial penalties. See Note 6 — Assets Held for Sale and Business Divestitures for a discussion of the divestiture of CWDS.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The Company has employment agreements with certain officers. The agreements include, among other things, an annual bonus based on certain performance-based criteria and certain severance benefits in the event of a qualifying termination.</w:t>
      </w:r>
    </w:p>
    <w:p>
      <w:pPr>
        <w:spacing w:after="0" w:line="17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On December 2, 2025, Marcus A. Lemonis informed the Board that he would retire as Chief Executive Officer, Chairman of the Board and as a member of the Board, effective December 31, 2025. Following his retirement from his role as Chief Executive Officer and Chairman of the Board, Mr. Lemonis will continue to be employed with the Company in the non-executive role of Co-Founder and Special Advisor through December 31, 2026. In connection with Mr. Lemonis’ transition to the role of Co-Founder and Special Advisor, on</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8"/>
          <w:szCs w:val="18"/>
          <w:color w:val="auto"/>
        </w:rPr>
        <w:t>December 2, 2025, the Board approved a second amended and restated employment agreement with Mr. Lemonis (the “Lemonis Second Employment Agreement”), which superseded and replaced his prior employment agreement effective as of January 1, 2026 (“Lemonis First Employment Agreement”).</w:t>
      </w:r>
    </w:p>
    <w:p>
      <w:pPr>
        <w:spacing w:after="0" w:line="17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deemed the 2026 service conditions relating to the Lemonis Second Employment Agreement to be nonsubstantive for accounting purposes, so the Company accrued Mr. Lemonis’ 2026 salary of $1.5 million as of December 31, 2025, which was the date that Mr. Lemonis retired from the position of Chairman and Chief Executive Officer. See Note 21 — Stock-Based Compensation Plans for details on Mr. Lemonis’ stock-based compensation and other compensation that may be settled in shares.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Assurances</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In the normal course of business, the Company obtains standby letters of credit and surety bonds from financial institutions and other third parties. These instruments guarantee the Company’s own future performance and provide third parties with financial and performance assurance in the event that the Company does not perform. These instruments support a wide variety of the Company’s business activities. As of December 31, 2025 and December 31, 2024, outstanding standby letters of credit issued through our Floor Plan Facility were $15.4 million and $14.3 million, respectively, (see Note 4 — Inventories and Floor Plan Payables) and outstanding standby letters of credit issued through the Senior Secured Credit Facilities were $4.9 million and $4.9 million, respectively (see Note 10 — Long-Term Debt). As of December 31, 2025 and December 31, 2024, outstanding surety bonds were $ 25.0 million and $26.6 million, respectively. The underlying liabilities to which these instruments relate are reflected on the Company’s accompanying consolidated balance sheets, where applicable. Therefore, no additional liability is reflected for the letters of credit and surety bonds themselves.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Related Party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Transactions with Directors, Equity Holders and Executive Officers</w:t>
      </w:r>
    </w:p>
    <w:p>
      <w:pPr>
        <w:spacing w:after="0" w:line="21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FR leased various RV dealership locations from managers and officers. During 2023 the related party lease expense for these locations was $3.4 million. For the years ended December 31, 2024 and 2025, there was no related party lease expense.</w:t>
      </w:r>
    </w:p>
    <w:p>
      <w:pPr>
        <w:spacing w:after="0" w:line="17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January 2012, FR entered into a lease for what is now its previous corporate headquarters in Lincolnshire, Illinois, which was amended as of March 2013, November 2019, October 2020, and October 2021 (the “Lincolnshire Lease”). This lease expired in March 2024. For the years ended December 31, 2024, and 2023, rental payments for the Lincolnshire Lease, including common area maintenance charges, were $0.2 million, and $0.9 million, respectively, and there were no payments for the year ended December 31, 2025. The Company’s former Chairman and Chief Executive Officer had personally guaranteed the Lincolnshire Lease.</w:t>
      </w:r>
    </w:p>
    <w:p>
      <w:pPr>
        <w:spacing w:after="0" w:line="18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In October 2022, the Company purchased a property to be used as office space in Lincolnshire, Illinois, for $4.5 million from the Company’s former Chairman and Chief Executive Officer. This office space became the Company’s corporate headquarters in February 2024.</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Transactions</w:t>
      </w:r>
    </w:p>
    <w:p>
      <w:pPr>
        <w:spacing w:after="0" w:line="225"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The Company paid Adams Outdoor Advertising, Inc., an entity for which Andris A. Baltins served as a member of its Board of Directors, $0.1 million for each of the years ended December 31, 2024 and 2023 for advertising services. Adams Outdoor Advertising, Inc. was not a related party for the year ended December 31, 2025.</w:t>
      </w:r>
    </w:p>
    <w:p>
      <w:pPr>
        <w:spacing w:after="0" w:line="180"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The Company paid Kaplan, Strangis and Kaplan, P.A., of which Andris A. Baltins is a member, and a member of the Company’s Board of Directors, $0.1 million for the year ended December 31, 2023 for legal services. Amounts paid for the year ended December 31, 2024 were immaterial. Kaplan, Strangis and Kaplan, P.A. was not a related party for the year ended December 31,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Acquisitions</w:t>
      </w:r>
    </w:p>
    <w:p>
      <w:pPr>
        <w:spacing w:after="0" w:line="239"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8"/>
          <w:szCs w:val="18"/>
          <w:color w:val="auto"/>
        </w:rPr>
        <w:t>In 2025 and 2024, subsidiaries of the Company acquired the assets of multiple RV dealerships that constituted businesses under GAAP. The Company used cash and borrowings under its Floor Plan Facility to complete the acquisitions. The Company considers acquisitions of independent dealerships to be a fast and capital efficient alternative to opening new greenfield store locations to expand its business and grow its customer base. The acquired businesses were recorded at their estimated fair values under the acquisition method of accounting. The balance of the purchase prices in excess of the fair values of net assets acquired were recorded as goodwill.</w:t>
      </w:r>
    </w:p>
    <w:p>
      <w:pPr>
        <w:spacing w:after="0" w:line="18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8"/>
          <w:szCs w:val="18"/>
          <w:color w:val="auto"/>
        </w:rPr>
        <w:t>In 2025, the RV and Outdoor Retail segment acquired the assets of various RV dealerships comprised of eight locations for an aggregate purchase price of approximately $92.2 million. As a component of the aggregate purchase price to acquire certain of these locations, $10.0 million was paid as a deposit in November 2024, which would convert into shares of Lazydays Holdings, Inc. (“Lazydays”) common stock if the Company completed the acquisition of all seven RV dealerships originally contemplated under the November 2024 agreement with Lazydays. However, the Company acquired only five of the seven Lazydays RV dealerships, so the deposit did not convert to shares of Lazydays common stock. Instead, the deposit was considered a component of the purchase price of those acquisitions. Additionally, a $1.0 million deposit was made in December 2024 for non-Lazydays RV dealership acquisitions that were completed in 2025. Separate from these acquisitions, in 2025, the Company purchased real property for an aggregate purchase price of $123.9 million, inclusive of a $1.1 million note receivable that was forgiven as partial consideration for one of the properties.</w:t>
      </w:r>
    </w:p>
    <w:p>
      <w:pPr>
        <w:spacing w:after="0" w:line="18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 2024, the RV and Outdoor Retail segment acquired the assets of various RV dealerships comprised of nine locations for an aggregate purchase price of approximately $69.4 million. Separate from these acquisitions, during the year ended December 31, 2024, the Company purchased real property for an aggregate purchase price of $9.6 million. Additionally, in June 2024, the Good Sam Services and Plans segment acquired the assets of a tire rescue roadside assistance business for $1.8 million in cash and up to an aggregate $0.5 million of milestone payments of which half is potentially payable at each of the first two anniversaries of the date of the acquisition. These potential milestone payments were recorded as contingent consideration with a fair value of $0.4 million. The tire rescue roadside assistance business includes a robust dispatch platform and strong network of service providers, which provide an opportunity to serve our customer base more effectively and reduce cost.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 estimated fair values of the assets acquired and liabilities assumed for the acquisitions of dealerships and the tire rescue roadside assistance business consist of the following, net of insignificant measurement period adjustments relating to acquisitions from the respective previous year:</w:t>
      </w:r>
    </w:p>
    <w:p>
      <w:pPr>
        <w:spacing w:after="0" w:line="194" w:lineRule="exact"/>
        <w:rPr>
          <w:sz w:val="20"/>
          <w:szCs w:val="20"/>
          <w:color w:val="auto"/>
        </w:rPr>
      </w:pPr>
    </w:p>
    <w:tbl>
      <w:tblPr>
        <w:tblLayout w:type="fixed"/>
        <w:tblInd w:w="240" w:type="dxa"/>
        <w:tblCellMar>
          <w:top w:w="0" w:type="dxa"/>
          <w:left w:w="0" w:type="dxa"/>
          <w:bottom w:w="0" w:type="dxa"/>
          <w:right w:w="0" w:type="dxa"/>
        </w:tblCellMar>
      </w:tblPr>
      <w:tr>
        <w:trPr>
          <w:trHeight w:val="197"/>
        </w:trPr>
        <w:tc>
          <w:tcPr>
            <w:tcW w:w="6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6280" w:type="dxa"/>
            <w:vAlign w:val="bottom"/>
          </w:tcPr>
          <w:p>
            <w:pPr>
              <w:spacing w:after="0"/>
              <w:rPr>
                <w:sz w:val="20"/>
                <w:szCs w:val="20"/>
                <w:color w:val="auto"/>
              </w:rPr>
            </w:pPr>
            <w:r>
              <w:rPr>
                <w:rFonts w:ascii="Arial" w:cs="Arial" w:eastAsia="Arial" w:hAnsi="Arial"/>
                <w:sz w:val="14"/>
                <w:szCs w:val="14"/>
                <w:color w:val="auto"/>
              </w:rPr>
              <w:t>($ in thousands)</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ind w:right="220"/>
              <w:spacing w:after="0"/>
              <w:rPr>
                <w:sz w:val="20"/>
                <w:szCs w:val="20"/>
                <w:color w:val="auto"/>
              </w:rPr>
            </w:pPr>
            <w:r>
              <w:rPr>
                <w:rFonts w:ascii="Arial" w:cs="Arial" w:eastAsia="Arial" w:hAnsi="Arial"/>
                <w:sz w:val="14"/>
                <w:szCs w:val="14"/>
                <w:b w:val="1"/>
                <w:bCs w:val="1"/>
                <w:color w:val="auto"/>
              </w:rPr>
              <w:t>2025</w:t>
            </w:r>
          </w:p>
        </w:tc>
        <w:tc>
          <w:tcPr>
            <w:tcW w:w="400" w:type="dxa"/>
            <w:vAlign w:val="bottom"/>
            <w:gridSpan w:val="3"/>
          </w:tcPr>
          <w:p>
            <w:pPr>
              <w:jc w:val="right"/>
              <w:ind w:right="14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39"/>
              <w:spacing w:after="0"/>
              <w:rPr>
                <w:sz w:val="20"/>
                <w:szCs w:val="20"/>
                <w:color w:val="auto"/>
              </w:rPr>
            </w:pPr>
            <w:r>
              <w:rPr>
                <w:rFonts w:ascii="Arial" w:cs="Arial" w:eastAsia="Arial" w:hAnsi="Arial"/>
                <w:sz w:val="14"/>
                <w:szCs w:val="14"/>
                <w:b w:val="1"/>
                <w:bCs w:val="1"/>
                <w:color w:val="auto"/>
              </w:rPr>
              <w:t>2024</w:t>
            </w:r>
          </w:p>
        </w:tc>
      </w:tr>
      <w:tr>
        <w:trPr>
          <w:trHeight w:val="196"/>
        </w:trPr>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Tangible assets (liabilities) acquired (assumed):</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03"/>
        </w:trPr>
        <w:tc>
          <w:tcPr>
            <w:tcW w:w="628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tcPr>
          <w:p>
            <w:pPr>
              <w:jc w:val="right"/>
              <w:ind w:right="6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3"/>
        </w:trPr>
        <w:tc>
          <w:tcPr>
            <w:tcW w:w="6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Inventories, net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72,637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36,431</w:t>
            </w:r>
          </w:p>
        </w:tc>
      </w:tr>
      <w:tr>
        <w:trPr>
          <w:trHeight w:val="203"/>
        </w:trPr>
        <w:tc>
          <w:tcPr>
            <w:tcW w:w="6280" w:type="dxa"/>
            <w:vAlign w:val="bottom"/>
          </w:tcPr>
          <w:p>
            <w:pPr>
              <w:ind w:left="10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03"/>
        </w:trPr>
        <w:tc>
          <w:tcPr>
            <w:tcW w:w="6280" w:type="dxa"/>
            <w:vAlign w:val="bottom"/>
          </w:tcPr>
          <w:p>
            <w:pPr>
              <w:ind w:left="100"/>
              <w:spacing w:after="0"/>
              <w:rPr>
                <w:sz w:val="20"/>
                <w:szCs w:val="20"/>
                <w:color w:val="auto"/>
              </w:rPr>
            </w:pPr>
            <w:r>
              <w:rPr>
                <w:rFonts w:ascii="Arial" w:cs="Arial" w:eastAsia="Arial" w:hAnsi="Arial"/>
                <w:sz w:val="16"/>
                <w:szCs w:val="16"/>
                <w:color w:val="auto"/>
              </w:rPr>
              <w:t>Operating lease assets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15,328</w:t>
            </w:r>
          </w:p>
        </w:tc>
      </w:tr>
      <w:tr>
        <w:trPr>
          <w:trHeight w:val="203"/>
        </w:trPr>
        <w:tc>
          <w:tcPr>
            <w:tcW w:w="6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6280" w:type="dxa"/>
            <w:vAlign w:val="bottom"/>
          </w:tcPr>
          <w:p>
            <w:pPr>
              <w:ind w:left="10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3"/>
        </w:trPr>
        <w:tc>
          <w:tcPr>
            <w:tcW w:w="6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Current portion of operating lease liabilities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r>
      <w:tr>
        <w:trPr>
          <w:trHeight w:val="203"/>
        </w:trPr>
        <w:tc>
          <w:tcPr>
            <w:tcW w:w="6280" w:type="dxa"/>
            <w:vAlign w:val="bottom"/>
          </w:tcPr>
          <w:p>
            <w:pPr>
              <w:ind w:left="10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3"/>
        </w:trPr>
        <w:tc>
          <w:tcPr>
            <w:tcW w:w="6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lease liabilities, net of current portion</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(14,216)</w:t>
            </w:r>
          </w:p>
        </w:tc>
      </w:tr>
      <w:tr>
        <w:trPr>
          <w:trHeight w:val="196"/>
        </w:trPr>
        <w:tc>
          <w:tcPr>
            <w:tcW w:w="6280" w:type="dxa"/>
            <w:vAlign w:val="bottom"/>
          </w:tcPr>
          <w:p>
            <w:pPr>
              <w:ind w:left="200"/>
              <w:spacing w:after="0"/>
              <w:rPr>
                <w:sz w:val="20"/>
                <w:szCs w:val="20"/>
                <w:color w:val="auto"/>
              </w:rPr>
            </w:pPr>
            <w:r>
              <w:rPr>
                <w:rFonts w:ascii="Arial" w:cs="Arial" w:eastAsia="Arial" w:hAnsi="Arial"/>
                <w:sz w:val="16"/>
                <w:szCs w:val="16"/>
                <w:color w:val="auto"/>
              </w:rPr>
              <w:t>Total tangible net assets acquired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73,491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36,668</w:t>
            </w:r>
          </w:p>
        </w:tc>
      </w:tr>
      <w:tr>
        <w:trPr>
          <w:trHeight w:val="20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acquired: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rPr>
                <w:sz w:val="20"/>
                <w:szCs w:val="20"/>
                <w:color w:val="auto"/>
              </w:rPr>
            </w:pPr>
            <w:r>
              <w:rPr>
                <w:rFonts w:ascii="Arial" w:cs="Arial" w:eastAsia="Arial" w:hAnsi="Arial"/>
                <w:sz w:val="16"/>
                <w:szCs w:val="16"/>
                <w:color w:val="auto"/>
              </w:rPr>
              <w:t>Supplier and customer relationships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2,595</w:t>
            </w:r>
          </w:p>
        </w:tc>
      </w:tr>
      <w:tr>
        <w:trPr>
          <w:trHeight w:val="203"/>
        </w:trPr>
        <w:tc>
          <w:tcPr>
            <w:tcW w:w="6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Websites and developed technology</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196"/>
        </w:trPr>
        <w:tc>
          <w:tcPr>
            <w:tcW w:w="6280" w:type="dxa"/>
            <w:vAlign w:val="bottom"/>
          </w:tcPr>
          <w:p>
            <w:pPr>
              <w:ind w:left="200"/>
              <w:spacing w:after="0"/>
              <w:rPr>
                <w:sz w:val="20"/>
                <w:szCs w:val="20"/>
                <w:color w:val="auto"/>
              </w:rPr>
            </w:pPr>
            <w:r>
              <w:rPr>
                <w:rFonts w:ascii="Arial" w:cs="Arial" w:eastAsia="Arial" w:hAnsi="Arial"/>
                <w:sz w:val="16"/>
                <w:szCs w:val="16"/>
                <w:color w:val="auto"/>
              </w:rPr>
              <w:t>Total intangible assets acquired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3,195</w:t>
            </w:r>
          </w:p>
        </w:tc>
      </w:tr>
      <w:tr>
        <w:trPr>
          <w:trHeight w:val="20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18,712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31,701</w:t>
            </w:r>
          </w:p>
        </w:tc>
      </w:tr>
      <w:tr>
        <w:trPr>
          <w:trHeight w:val="196"/>
        </w:trPr>
        <w:tc>
          <w:tcPr>
            <w:tcW w:w="6280" w:type="dxa"/>
            <w:vAlign w:val="bottom"/>
          </w:tcPr>
          <w:p>
            <w:pPr>
              <w:spacing w:after="0"/>
              <w:rPr>
                <w:sz w:val="20"/>
                <w:szCs w:val="20"/>
                <w:color w:val="auto"/>
              </w:rPr>
            </w:pPr>
            <w:r>
              <w:rPr>
                <w:rFonts w:ascii="Arial" w:cs="Arial" w:eastAsia="Arial" w:hAnsi="Arial"/>
                <w:sz w:val="16"/>
                <w:szCs w:val="16"/>
                <w:color w:val="auto"/>
              </w:rPr>
              <w:t>Purchase price of acquisitions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92,203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71,564</w:t>
            </w:r>
          </w:p>
        </w:tc>
      </w:tr>
      <w:tr>
        <w:trPr>
          <w:trHeight w:val="20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Application of deposit paid in prior period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(8,873)</w:t>
            </w:r>
          </w:p>
        </w:tc>
      </w:tr>
      <w:tr>
        <w:trPr>
          <w:trHeight w:val="203"/>
        </w:trPr>
        <w:tc>
          <w:tcPr>
            <w:tcW w:w="6280" w:type="dxa"/>
            <w:vAlign w:val="bottom"/>
          </w:tcPr>
          <w:p>
            <w:pPr>
              <w:spacing w:after="0"/>
              <w:rPr>
                <w:sz w:val="20"/>
                <w:szCs w:val="20"/>
                <w:color w:val="auto"/>
              </w:rPr>
            </w:pPr>
            <w:r>
              <w:rPr>
                <w:rFonts w:ascii="Arial" w:cs="Arial" w:eastAsia="Arial" w:hAnsi="Arial"/>
                <w:sz w:val="16"/>
                <w:szCs w:val="16"/>
                <w:color w:val="auto"/>
              </w:rPr>
              <w:t>Contingent consideration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(368)</w:t>
            </w:r>
          </w:p>
        </w:tc>
      </w:tr>
      <w:tr>
        <w:trPr>
          <w:trHeight w:val="20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Lazydays acquisition deposit</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196"/>
        </w:trPr>
        <w:tc>
          <w:tcPr>
            <w:tcW w:w="6280" w:type="dxa"/>
            <w:vAlign w:val="bottom"/>
          </w:tcPr>
          <w:p>
            <w:pPr>
              <w:spacing w:after="0"/>
              <w:rPr>
                <w:sz w:val="20"/>
                <w:szCs w:val="20"/>
                <w:color w:val="auto"/>
              </w:rPr>
            </w:pPr>
            <w:r>
              <w:rPr>
                <w:rFonts w:ascii="Arial" w:cs="Arial" w:eastAsia="Arial" w:hAnsi="Arial"/>
                <w:sz w:val="16"/>
                <w:szCs w:val="16"/>
                <w:color w:val="auto"/>
              </w:rPr>
              <w:t>Cash paid for acquisitions, net of cash acquired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81,203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72,323</w:t>
            </w:r>
          </w:p>
        </w:tc>
      </w:tr>
      <w:tr>
        <w:trPr>
          <w:trHeight w:val="20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Inventory purchases financed via floor plan</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(71,181)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(49,162)</w:t>
            </w:r>
          </w:p>
        </w:tc>
      </w:tr>
      <w:tr>
        <w:trPr>
          <w:trHeight w:val="196"/>
        </w:trPr>
        <w:tc>
          <w:tcPr>
            <w:tcW w:w="6280" w:type="dxa"/>
            <w:vAlign w:val="bottom"/>
          </w:tcPr>
          <w:p>
            <w:pPr>
              <w:spacing w:after="0"/>
              <w:rPr>
                <w:sz w:val="20"/>
                <w:szCs w:val="20"/>
                <w:color w:val="auto"/>
              </w:rPr>
            </w:pPr>
            <w:r>
              <w:rPr>
                <w:rFonts w:ascii="Arial" w:cs="Arial" w:eastAsia="Arial" w:hAnsi="Arial"/>
                <w:sz w:val="16"/>
                <w:szCs w:val="16"/>
                <w:color w:val="auto"/>
              </w:rPr>
              <w:t>Cash payment net of floor plan financing</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10,022</w:t>
            </w:r>
          </w:p>
        </w:tc>
        <w:tc>
          <w:tcPr>
            <w:tcW w:w="220" w:type="dxa"/>
            <w:vAlign w:val="bottom"/>
            <w:gridSpan w:val="2"/>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23,161</w:t>
            </w:r>
          </w:p>
        </w:tc>
      </w:tr>
      <w:tr>
        <w:trPr>
          <w:trHeight w:val="20"/>
        </w:trPr>
        <w:tc>
          <w:tcPr>
            <w:tcW w:w="6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fair values above for the year ended December 31, 2025 are preliminary as they are subject to measurement period adjustments for up to one year from the date of acquisition as new information is obtained about facts and circumstances that existed as of the acquisition date relating to the valuation of the acquired assets, primarily the acquired inventories. During the year ended December 31, 2024, the fair values include a measurement period adjustment to record $2.6 million of other intangible assets from a RV dealership acquisition that occurred during the year ended December 31, 2023. These intangible assets had an estimated useful life of 15 years; however, these intangible assets were sold for $2.6 million during the year ended December 31, 2024. Acquired developed technology intangible asset acquired of $0.6 million has an remaining useful life of approximately 3.5 years.</w:t>
      </w:r>
    </w:p>
    <w:p>
      <w:pPr>
        <w:spacing w:after="0" w:line="183"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primary items that generated the goodwill are the value of the expected synergies between the acquired businesses and the Company and the acquired assembled workforce, neither of which qualify for recognition as a separately identified intangible asset. For the years ended December 31, 2025 and 2024, acquired goodwill of $18.7 million and $31.7 million is expected to be deductible for tax purposes.</w:t>
      </w:r>
    </w:p>
    <w:p>
      <w:pPr>
        <w:spacing w:after="0" w:line="18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Included in the consolidated financial results for the years ended December 31, 2025 and 2024 were $198.2 million and $99.6 million of revenue, respectively, and $2.9 million and $0.2 million of pre-tax loss, respectively, from the acquisitions as of their applicable acquisition dates. Pro forma information on these acquisitions has not been included, because the Company has deemed them to not be individually or cumulatively material.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Statements of Cash Flows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disclosures of cash flow information for the following periods: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80" w:type="dxa"/>
            <w:vAlign w:val="bottom"/>
          </w:tcPr>
          <w:p>
            <w:pPr>
              <w:spacing w:after="0"/>
              <w:rPr>
                <w:sz w:val="20"/>
                <w:szCs w:val="20"/>
                <w:color w:val="auto"/>
              </w:rPr>
            </w:pPr>
            <w:r>
              <w:rPr>
                <w:rFonts w:ascii="Arial" w:cs="Arial" w:eastAsia="Arial" w:hAnsi="Arial"/>
                <w:sz w:val="14"/>
                <w:szCs w:val="14"/>
                <w:color w:val="auto"/>
              </w:rPr>
              <w:t>($ in thousands)</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3"/>
        </w:trPr>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Cash paid (received) during the period for:</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680" w:type="dxa"/>
            <w:vAlign w:val="bottom"/>
          </w:tcPr>
          <w:p>
            <w:pPr>
              <w:ind w:left="100"/>
              <w:spacing w:after="0"/>
              <w:rPr>
                <w:sz w:val="20"/>
                <w:szCs w:val="20"/>
                <w:color w:val="auto"/>
              </w:rPr>
            </w:pPr>
            <w:r>
              <w:rPr>
                <w:rFonts w:ascii="Arial" w:cs="Arial" w:eastAsia="Arial" w:hAnsi="Arial"/>
                <w:sz w:val="14"/>
                <w:szCs w:val="14"/>
                <w:color w:val="auto"/>
              </w:rPr>
              <w:t>Interest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192,934</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238,553</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214,082</w:t>
            </w:r>
          </w:p>
        </w:tc>
        <w:tc>
          <w:tcPr>
            <w:tcW w:w="0" w:type="dxa"/>
            <w:vAlign w:val="bottom"/>
          </w:tcPr>
          <w:p>
            <w:pPr>
              <w:spacing w:after="0"/>
              <w:rPr>
                <w:sz w:val="1"/>
                <w:szCs w:val="1"/>
                <w:color w:val="auto"/>
              </w:rPr>
            </w:pPr>
          </w:p>
        </w:tc>
      </w:tr>
      <w:tr>
        <w:trPr>
          <w:trHeight w:val="189"/>
        </w:trPr>
        <w:tc>
          <w:tcPr>
            <w:tcW w:w="5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 taxes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3,352</w:t>
            </w:r>
          </w:p>
        </w:tc>
        <w:tc>
          <w:tcPr>
            <w:tcW w:w="0" w:type="dxa"/>
            <w:vAlign w:val="bottom"/>
          </w:tcPr>
          <w:p>
            <w:pPr>
              <w:spacing w:after="0"/>
              <w:rPr>
                <w:sz w:val="1"/>
                <w:szCs w:val="1"/>
                <w:color w:val="auto"/>
              </w:rPr>
            </w:pPr>
          </w:p>
        </w:tc>
      </w:tr>
      <w:tr>
        <w:trPr>
          <w:trHeight w:val="189"/>
        </w:trPr>
        <w:tc>
          <w:tcPr>
            <w:tcW w:w="5680" w:type="dxa"/>
            <w:vAlign w:val="bottom"/>
          </w:tcPr>
          <w:p>
            <w:pPr>
              <w:spacing w:after="0"/>
              <w:rPr>
                <w:sz w:val="20"/>
                <w:szCs w:val="20"/>
                <w:color w:val="auto"/>
              </w:rPr>
            </w:pPr>
            <w:r>
              <w:rPr>
                <w:rFonts w:ascii="Arial" w:cs="Arial" w:eastAsia="Arial" w:hAnsi="Arial"/>
                <w:sz w:val="14"/>
                <w:szCs w:val="14"/>
                <w:color w:val="auto"/>
              </w:rPr>
              <w:t>Noncash investing and financing activities: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Leasehold improvements paid by lessor</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89"/>
        </w:trPr>
        <w:tc>
          <w:tcPr>
            <w:tcW w:w="5680" w:type="dxa"/>
            <w:vAlign w:val="bottom"/>
          </w:tcPr>
          <w:p>
            <w:pPr>
              <w:ind w:left="100"/>
              <w:spacing w:after="0"/>
              <w:rPr>
                <w:sz w:val="20"/>
                <w:szCs w:val="20"/>
                <w:color w:val="auto"/>
              </w:rPr>
            </w:pPr>
            <w:r>
              <w:rPr>
                <w:rFonts w:ascii="Arial" w:cs="Arial" w:eastAsia="Arial" w:hAnsi="Arial"/>
                <w:sz w:val="14"/>
                <w:szCs w:val="14"/>
                <w:color w:val="auto"/>
              </w:rPr>
              <w:t>Capital expenditures in accounts payable and accrued liabilities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15,256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8,153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5,833</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Prior period deposit applied to portion of purchase price of RV dealership acquisition</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5680" w:type="dxa"/>
            <w:vAlign w:val="bottom"/>
          </w:tcPr>
          <w:p>
            <w:pPr>
              <w:ind w:left="100"/>
              <w:spacing w:after="0"/>
              <w:rPr>
                <w:sz w:val="20"/>
                <w:szCs w:val="20"/>
                <w:color w:val="auto"/>
              </w:rPr>
            </w:pPr>
            <w:r>
              <w:rPr>
                <w:rFonts w:ascii="Arial" w:cs="Arial" w:eastAsia="Arial" w:hAnsi="Arial"/>
                <w:sz w:val="14"/>
                <w:szCs w:val="14"/>
                <w:color w:val="auto"/>
              </w:rPr>
              <w:t>Note receivable forgiven as partial consideration for the purchase of real property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5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Contingent consideration recognized as partial consideration for purchase of a</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business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680" w:type="dxa"/>
            <w:vAlign w:val="bottom"/>
          </w:tcPr>
          <w:p>
            <w:pPr>
              <w:ind w:left="100"/>
              <w:spacing w:after="0"/>
              <w:rPr>
                <w:sz w:val="20"/>
                <w:szCs w:val="20"/>
                <w:color w:val="auto"/>
              </w:rPr>
            </w:pPr>
            <w:r>
              <w:rPr>
                <w:rFonts w:ascii="Arial" w:cs="Arial" w:eastAsia="Arial" w:hAnsi="Arial"/>
                <w:sz w:val="14"/>
                <w:szCs w:val="14"/>
                <w:color w:val="auto"/>
              </w:rPr>
              <w:t>Fair value of holdback receivable recognized as partial consideration for divestiture of a</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933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680" w:type="dxa"/>
            <w:vAlign w:val="bottom"/>
          </w:tcPr>
          <w:p>
            <w:pPr>
              <w:ind w:left="100"/>
              <w:spacing w:after="0"/>
              <w:rPr>
                <w:sz w:val="20"/>
                <w:szCs w:val="20"/>
                <w:color w:val="auto"/>
              </w:rPr>
            </w:pPr>
            <w:r>
              <w:rPr>
                <w:rFonts w:ascii="Arial" w:cs="Arial" w:eastAsia="Arial" w:hAnsi="Arial"/>
                <w:sz w:val="14"/>
                <w:szCs w:val="14"/>
                <w:color w:val="auto"/>
              </w:rPr>
              <w:t>business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Supplier agreement intangible asset recognized as partial consideration for divestiture</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9,500</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of a business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00"/>
              <w:spacing w:after="0"/>
              <w:rPr>
                <w:sz w:val="20"/>
                <w:szCs w:val="20"/>
                <w:color w:val="auto"/>
              </w:rPr>
            </w:pPr>
            <w:r>
              <w:rPr>
                <w:rFonts w:ascii="Arial" w:cs="Arial" w:eastAsia="Arial" w:hAnsi="Arial"/>
                <w:sz w:val="14"/>
                <w:szCs w:val="14"/>
                <w:color w:val="auto"/>
              </w:rPr>
              <w:t>Purchase of real property through assumption of other long-term debt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5,185</w:t>
            </w:r>
          </w:p>
        </w:tc>
        <w:tc>
          <w:tcPr>
            <w:tcW w:w="0" w:type="dxa"/>
            <w:vAlign w:val="bottom"/>
          </w:tcPr>
          <w:p>
            <w:pPr>
              <w:spacing w:after="0"/>
              <w:rPr>
                <w:sz w:val="1"/>
                <w:szCs w:val="1"/>
                <w:color w:val="auto"/>
              </w:rPr>
            </w:pPr>
          </w:p>
        </w:tc>
      </w:tr>
      <w:tr>
        <w:trPr>
          <w:trHeight w:val="234"/>
        </w:trPr>
        <w:tc>
          <w:tcPr>
            <w:tcW w:w="5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Escrow receivable on sale of real property</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45,249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5680" w:type="dxa"/>
            <w:vAlign w:val="bottom"/>
          </w:tcPr>
          <w:p>
            <w:pPr>
              <w:ind w:left="100"/>
              <w:spacing w:after="0"/>
              <w:rPr>
                <w:sz w:val="20"/>
                <w:szCs w:val="20"/>
                <w:color w:val="auto"/>
              </w:rPr>
            </w:pPr>
            <w:r>
              <w:rPr>
                <w:rFonts w:ascii="Arial" w:cs="Arial" w:eastAsia="Arial" w:hAnsi="Arial"/>
                <w:sz w:val="14"/>
                <w:szCs w:val="14"/>
                <w:color w:val="auto"/>
              </w:rPr>
              <w:t>Note receivable exchanged for amounts owed by other investment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2,153</w:t>
            </w:r>
          </w:p>
        </w:tc>
        <w:tc>
          <w:tcPr>
            <w:tcW w:w="0" w:type="dxa"/>
            <w:vAlign w:val="bottom"/>
          </w:tcPr>
          <w:p>
            <w:pPr>
              <w:spacing w:after="0"/>
              <w:rPr>
                <w:sz w:val="1"/>
                <w:szCs w:val="1"/>
                <w:color w:val="auto"/>
              </w:rPr>
            </w:pPr>
          </w:p>
        </w:tc>
      </w:tr>
      <w:tr>
        <w:trPr>
          <w:trHeight w:val="184"/>
        </w:trPr>
        <w:tc>
          <w:tcPr>
            <w:tcW w:w="5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Par value of Class A common stock issued for redemption of common units in CWGS,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5"/>
        </w:trPr>
        <w:tc>
          <w:tcPr>
            <w:tcW w:w="5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LLC</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680" w:type="dxa"/>
            <w:vAlign w:val="bottom"/>
          </w:tcPr>
          <w:p>
            <w:pPr>
              <w:ind w:left="100"/>
              <w:spacing w:after="0"/>
              <w:rPr>
                <w:sz w:val="20"/>
                <w:szCs w:val="20"/>
                <w:color w:val="auto"/>
              </w:rPr>
            </w:pPr>
            <w:r>
              <w:rPr>
                <w:rFonts w:ascii="Arial" w:cs="Arial" w:eastAsia="Arial" w:hAnsi="Arial"/>
                <w:sz w:val="14"/>
                <w:szCs w:val="14"/>
                <w:color w:val="auto"/>
              </w:rPr>
              <w:t>Cost of treasury stock issued for vested restricted stock units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29,542</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Cash paid for income taxes, net of refunds, for the following period:</w:t>
      </w:r>
    </w:p>
    <w:p>
      <w:pPr>
        <w:spacing w:after="0" w:line="194" w:lineRule="exact"/>
        <w:rPr>
          <w:sz w:val="20"/>
          <w:szCs w:val="20"/>
          <w:color w:val="auto"/>
        </w:rPr>
      </w:pPr>
    </w:p>
    <w:tbl>
      <w:tblPr>
        <w:tblLayout w:type="fixed"/>
        <w:tblInd w:w="9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jc w:val="right"/>
              <w:ind w:right="597"/>
              <w:spacing w:after="0"/>
              <w:rPr>
                <w:sz w:val="20"/>
                <w:szCs w:val="20"/>
                <w:color w:val="auto"/>
              </w:rPr>
            </w:pPr>
            <w:r>
              <w:rPr>
                <w:rFonts w:ascii="Arial" w:cs="Arial" w:eastAsia="Arial" w:hAnsi="Arial"/>
                <w:sz w:val="14"/>
                <w:szCs w:val="14"/>
                <w:b w:val="1"/>
                <w:bCs w:val="1"/>
                <w:color w:val="auto"/>
              </w:rPr>
              <w:t>Year Ended</w:t>
            </w:r>
          </w:p>
        </w:tc>
      </w:tr>
      <w:tr>
        <w:trPr>
          <w:trHeight w:val="197"/>
        </w:trPr>
        <w:tc>
          <w:tcPr>
            <w:tcW w:w="460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640" w:type="dxa"/>
            <w:vAlign w:val="bottom"/>
            <w:gridSpan w:val="2"/>
          </w:tcPr>
          <w:p>
            <w:pPr>
              <w:jc w:val="right"/>
              <w:ind w:right="390"/>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337"/>
              <w:spacing w:after="0"/>
              <w:rPr>
                <w:sz w:val="20"/>
                <w:szCs w:val="20"/>
                <w:color w:val="auto"/>
              </w:rPr>
            </w:pPr>
            <w:r>
              <w:rPr>
                <w:rFonts w:ascii="Arial" w:cs="Arial" w:eastAsia="Arial" w:hAnsi="Arial"/>
                <w:sz w:val="14"/>
                <w:szCs w:val="14"/>
                <w:b w:val="1"/>
                <w:bCs w:val="1"/>
                <w:color w:val="auto"/>
              </w:rPr>
              <w:t>December 31, 2025</w:t>
            </w:r>
          </w:p>
        </w:tc>
      </w:tr>
      <w:tr>
        <w:trPr>
          <w:trHeight w:val="224"/>
        </w:trPr>
        <w:tc>
          <w:tcPr>
            <w:tcW w:w="20" w:type="dxa"/>
            <w:vAlign w:val="bottom"/>
          </w:tcPr>
          <w:p>
            <w:pPr>
              <w:spacing w:after="0"/>
              <w:rPr>
                <w:sz w:val="19"/>
                <w:szCs w:val="19"/>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3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w:t>
            </w:r>
          </w:p>
        </w:tc>
      </w:tr>
      <w:tr>
        <w:trPr>
          <w:trHeight w:val="230"/>
        </w:trPr>
        <w:tc>
          <w:tcPr>
            <w:tcW w:w="20" w:type="dxa"/>
            <w:vAlign w:val="bottom"/>
          </w:tcPr>
          <w:p>
            <w:pPr>
              <w:spacing w:after="0"/>
              <w:rPr>
                <w:sz w:val="19"/>
                <w:szCs w:val="19"/>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w:t>
            </w: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Cash paid (received) for income taxes exceeded 5% of total income taxes paid, net of refunds, in the following jurisdictions:</w:t>
      </w:r>
    </w:p>
    <w:p>
      <w:pPr>
        <w:spacing w:after="0" w:line="136" w:lineRule="exact"/>
        <w:rPr>
          <w:sz w:val="20"/>
          <w:szCs w:val="20"/>
          <w:color w:val="auto"/>
        </w:rPr>
      </w:pPr>
    </w:p>
    <w:tbl>
      <w:tblPr>
        <w:tblLayout w:type="fixed"/>
        <w:tblInd w:w="9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jc w:val="right"/>
              <w:ind w:right="595"/>
              <w:spacing w:after="0"/>
              <w:rPr>
                <w:sz w:val="20"/>
                <w:szCs w:val="20"/>
                <w:color w:val="auto"/>
              </w:rPr>
            </w:pPr>
            <w:r>
              <w:rPr>
                <w:rFonts w:ascii="Arial" w:cs="Arial" w:eastAsia="Arial" w:hAnsi="Arial"/>
                <w:sz w:val="14"/>
                <w:szCs w:val="14"/>
                <w:b w:val="1"/>
                <w:bCs w:val="1"/>
                <w:color w:val="auto"/>
              </w:rPr>
              <w:t>Year Ended</w:t>
            </w:r>
          </w:p>
        </w:tc>
      </w:tr>
      <w:tr>
        <w:trPr>
          <w:trHeight w:val="197"/>
        </w:trPr>
        <w:tc>
          <w:tcPr>
            <w:tcW w:w="460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6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335"/>
              <w:spacing w:after="0"/>
              <w:rPr>
                <w:sz w:val="20"/>
                <w:szCs w:val="20"/>
                <w:color w:val="auto"/>
              </w:rPr>
            </w:pPr>
            <w:r>
              <w:rPr>
                <w:rFonts w:ascii="Arial" w:cs="Arial" w:eastAsia="Arial" w:hAnsi="Arial"/>
                <w:sz w:val="14"/>
                <w:szCs w:val="14"/>
                <w:b w:val="1"/>
                <w:bCs w:val="1"/>
                <w:color w:val="auto"/>
              </w:rPr>
              <w:t>December 31, 2025</w:t>
            </w:r>
          </w:p>
        </w:tc>
      </w:tr>
      <w:tr>
        <w:trPr>
          <w:trHeight w:val="224"/>
        </w:trPr>
        <w:tc>
          <w:tcPr>
            <w:tcW w:w="20" w:type="dxa"/>
            <w:vAlign w:val="bottom"/>
          </w:tcPr>
          <w:p>
            <w:pPr>
              <w:spacing w:after="0"/>
              <w:rPr>
                <w:sz w:val="19"/>
                <w:szCs w:val="19"/>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State:</w:t>
            </w:r>
          </w:p>
        </w:tc>
        <w:tc>
          <w:tcPr>
            <w:tcW w:w="3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Florida</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30"/>
        </w:trPr>
        <w:tc>
          <w:tcPr>
            <w:tcW w:w="20" w:type="dxa"/>
            <w:vAlign w:val="bottom"/>
          </w:tcPr>
          <w:p>
            <w:pPr>
              <w:spacing w:after="0"/>
              <w:rPr>
                <w:sz w:val="19"/>
                <w:szCs w:val="19"/>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New Jersey</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30"/>
        </w:trPr>
        <w:tc>
          <w:tcPr>
            <w:tcW w:w="20" w:type="dxa"/>
            <w:vAlign w:val="bottom"/>
          </w:tcPr>
          <w:p>
            <w:pPr>
              <w:spacing w:after="0"/>
              <w:rPr>
                <w:sz w:val="19"/>
                <w:szCs w:val="19"/>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Oregon</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229"/>
        </w:trPr>
        <w:tc>
          <w:tcPr>
            <w:tcW w:w="20" w:type="dxa"/>
            <w:vAlign w:val="bottom"/>
          </w:tcPr>
          <w:p>
            <w:pPr>
              <w:spacing w:after="0"/>
              <w:rPr>
                <w:sz w:val="19"/>
                <w:szCs w:val="19"/>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Tennessee</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230"/>
        </w:trPr>
        <w:tc>
          <w:tcPr>
            <w:tcW w:w="20" w:type="dxa"/>
            <w:vAlign w:val="bottom"/>
          </w:tcPr>
          <w:p>
            <w:pPr>
              <w:spacing w:after="0"/>
              <w:rPr>
                <w:sz w:val="19"/>
                <w:szCs w:val="19"/>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Texas</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30"/>
        </w:trPr>
        <w:tc>
          <w:tcPr>
            <w:tcW w:w="20" w:type="dxa"/>
            <w:vAlign w:val="bottom"/>
          </w:tcPr>
          <w:p>
            <w:pPr>
              <w:spacing w:after="0"/>
              <w:rPr>
                <w:sz w:val="19"/>
                <w:szCs w:val="19"/>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Various</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bl>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Benefit Plan</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Freedom Roads 401(k) Defined Contribution Plan (“FreedomRewards 401(k) Plan”) is qualified under Sections 401(a) and 401(k) of the Internal Revenue Service Code of 1986, as amended. All employees over age 18, including the executive officers, are eligible to participate in the Freedom Rewards 401(k) Plan. Any favorable vesting was permitted for any affected participants pursuant to FreedomRewards 401(k) Plan Amendment No. 3 signed December 15, 2011, and effective January 1, 2012. Non-highly compensated employees may defer up to 75% of their eligible compensation up to the Internal Revenue Service limits. Highly</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8"/>
          <w:szCs w:val="18"/>
          <w:color w:val="auto"/>
        </w:rPr>
        <w:t>compensated employees may defer up to 15% of their eligible compensation up to the Internal Revenue Service limits. The Company contributed $2.8 million to the Company’s 401(k) Plan for 2023. There were no contributions by the Company to the Company’s 401(k) Plan for 2025 or 2024.</w:t>
      </w:r>
    </w:p>
    <w:p>
      <w:pPr>
        <w:spacing w:after="0" w:line="171" w:lineRule="exact"/>
        <w:rPr>
          <w:sz w:val="20"/>
          <w:szCs w:val="20"/>
          <w:color w:val="auto"/>
        </w:rPr>
      </w:pPr>
    </w:p>
    <w:p>
      <w:pPr>
        <w:ind w:left="60" w:right="6879" w:hanging="10"/>
        <w:spacing w:after="0" w:line="530" w:lineRule="auto"/>
        <w:tabs>
          <w:tab w:leader="none" w:pos="36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CWGS, LLC Ownership</w:t>
      </w:r>
    </w:p>
    <w:p>
      <w:pPr>
        <w:spacing w:after="0" w:line="1"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CWH is the sole managing member of CWGS, LLC and has the sole voting power in, and controls the management of, CWGS, LLC (See Note 20 – Non-Controlling Interests for further information about the ownership of CWGS, LLC). The remaining interest in CWGS, LLC, was held by the Continuing Equity Owners, who may redeem at each of their options their common units for, at the Company’s election (determined solely by the Company’s independent directors (within the meaning of the rules of the New York Stock Exchange) who are disinterested), cash or newly issued shares of the Company’s Class A common stock. Accordingly, the Company consolidated the financial results of CWGS, LLC and reported a non-controlling interest in its consolidated financial statements. In accordance with the CWGS LLC Agreement, CWGS, LLC has made cash distributions to all common unit holders of CWGS, LLC in an amount sufficient for 1) CWH to pay the portion of its regular quarterly cash dividend to holders of its Class A common stock that is unrelated to tax distributions, if any, and 2) the common unit holders of CWGS, LLC to pay their income tax obligation on their allocated portion of CWGS, LLC income at the highest tax rate for all common unit holders of CWGS, LLC. The payment of these cash distributions by CWGS, LLC to Continuing Equity Owners are recorded as distributions to holders of CWGS, LLC common units in the accompanying Consolidated Statements of Stockholders’ Equity and Consolidated Statements of Cash Flows. The payment of these cash distributions by CWGS, LLC to CWH are within the consolidated group and, therefore, are not included in the distributions to holders of CWGS, LLC common units in the accompanying Consolidated Statements of Stockholders’ Equity and Consolidated Statements of Cash Flows.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Economic and Voting Rights</w:t>
      </w:r>
    </w:p>
    <w:p>
      <w:pPr>
        <w:spacing w:after="0" w:line="22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Each share of the Company’s Class A common stock and Class B common stock entitles its holders to one vote per share on all matters presented to the Company’s stockholders generally; provided that, for as long as ML Related Parties, directly or indirectly, beneficially own in the aggregate 27.5% or more of all of the outstanding common units of CWGS, LLC, the shares of Class B common stock held by the ML Related Parties will entitle the ML Related Parties to the number of votes necessary such that the ML Related Parties, in the aggregate, cast 47% of the total votes eligible to be cast by all of the Company’s stockholders on all matters presented to a vote of the Company’s stockholders generally. Additionally, the one share of Class C common stock entitles its holder to the number of votes necessary such that the holder casts 5% of the total votes eligible to be cast by all of the Company’s stockholders on all matters presented to a vote of the Company’s stockholders generally. The one share of Class C common stock is owned by ML RV Group, LLC, a Delaware limited liability company, wholly-owned by the Company’s former Chairman and Chief Executive Officer, Marcus A. Lemonis.</w:t>
      </w:r>
    </w:p>
    <w:p>
      <w:pPr>
        <w:spacing w:after="0" w:line="194"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Holders of the Company’s Class B and Class C common stock are not entitled to receive dividends and will not be entitled to receive any distributions upon the liquidation, dissolution or winding up of the Company. Shares of Class B common stock may only be issued to the extent necessary to maintain the one-to-one ratio between the number of common units of CWGS, LLC held by funds controlled by Crestview Partners II GP, L.P. and the ML Related Parties (the “Class B Common Owners”) and the number of shares of Class B common stock held by the Class B Common Owners. Shares of Class B common stock are transferable only together with an equal number of common units of CWGS, LLC. Only permitted transferees of common units held by the Class B Common Owners will be permitted transferees of Class B common stock. Shares of Class B common stock will be canceled on a one-for-one basis upon the redemption of any of the outstanding common units of CWGS, LLC held by the Class B Common Owners. Upon the occurrence of certain change in control events, the Class C common stock would no longer have any voting rights, such share of the Company’s Class C common stock will be cancelled for no consideration and will be retired, and the Company will not reissue such share of Class C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 Company must, at all times, maintain a one-to-one ratio between the number of outstanding shares of Class A common stock and the number of common units of CWGS, LLC owned by CWH (subject to certain exceptions for treasury shares and shares underlying certain convertible or exchangeable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November 2024 Public Offering</w:t>
      </w:r>
    </w:p>
    <w:p>
      <w:pPr>
        <w:spacing w:after="0" w:line="23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On November 1, 2024, the Company completed a public offering (the “November 2024 Public Offering”) in which the Company sold 14,634,146 shares of the Company’s Class A common stock at a public offering price of $20.50 per share (or $19.81 per share after underwriting discounts and commissions). The Company received $289.9 million in proceeds, net of underwriting discounts and commissions, which were used to purchase 14,634,146 common units from CWGS, LLC at a price per unit equal to the public offering price per share of Class A common stock in the November 2024 Public Offering, less underwriting discounts and commissions.</w:t>
      </w:r>
    </w:p>
    <w:p>
      <w:pPr>
        <w:spacing w:after="0" w:line="180"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8"/>
          <w:szCs w:val="18"/>
          <w:color w:val="auto"/>
        </w:rPr>
        <w:t>Additionally, in November 2024, the underwriters exercised their option to purchase an additional 2,195,121 shares of Class A common stock and the Company received $43.5 million in additional proceeds, net of underwriting discounts and commissions, which were used to purchase 2,195,121 common units from CWGS, LLC at a price per unit equal to the public offering price per share of Class A common stock in the November 2024 Public Offering, less underwriting discounts and commissions.</w:t>
      </w:r>
    </w:p>
    <w:p>
      <w:pPr>
        <w:spacing w:after="0" w:line="17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8"/>
          <w:szCs w:val="18"/>
          <w:color w:val="auto"/>
        </w:rPr>
        <w:t>Of the 16,829,267 shares Class A common stock sold in the November 2024 Public Offering, 4,228,700 were issued from treasury stock and the remainder were newly-issued shares. The Company incurred approximately $1.0 million of offering costs that were recorded as a reduction in the additional paid-in capital recorded for the proceeds from the November 2024 Public Offering in the consolidated statement of stockholders’ equity.</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Repurchase Program</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October 2020, the Company’s Board of Directors initially authorized a stock repurchase program for the repurchase of up to $100.0 million of the Company’s Class A common stock, expiring on October 31, 2022. In August 2021 and January 2022, the Company’s Board of Directors authorized increases to the stock repurchase program for the repurchase of up to an additional $125.0 million and $152.7 million, respectively, of the Company’s Class A common stock and extended the stock repurchase program to expire on August 31, 2023 and December 31, 2025, respectively. The stock repurchase program, with approximately $120.2 million of approved amounts for repurchases of Class A common stock remaining, expired on December 31, 2025.</w:t>
      </w:r>
    </w:p>
    <w:p>
      <w:pPr>
        <w:spacing w:after="0" w:line="19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During the years ended December 31, 2025, 2024 and 2023, the Company did not repurchase Class A common stock under the stock repurchase program. During the years ended December 31, 2024 and 2023, the Company reissued 322,271 and 579,176 shares of Class A common stock from treasury stock to settle the exercises of stock options, vesting of RSUs, and settlement of other stock-based awards under the Company’s 2016 Incentive Award Plan (the “2016 Plan”), respectively, (see Note 21 — Stock-Based Compensation Plans). As discussed above, the Company reissued 4,228,700 shares of Class A common stock held as treasury in the November 2024 Public Offering.</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Non-Controlling Interests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described in Note 19 — Stockholders’ Equity, CWH is the sole managing member of CWGS, LLC and, as a result, consolidates the financial results of CWGS, LLC. The Company reports a non-controlling interest representing the common units of CWGS, LLC held by Continuing Equity Owners. Changes in CWH’s ownership interest in CWGS, LLC while CWH retains its controlling interest in CWGS, LLC will be accounted for as equity transactions. As such, future redemptions of common units of CWGS, LLC by the Continuing Equity Owners will result in a change in ownership and reduce or increase the amount recorded as non-controlling interest and increase or decrease additional paid-in capital when CWGS, LLC has positive or negative net assets, respectively. At the end of each period, the Company will record a non-controlling interest adjustment to additional paid-in capital such that the non-controlling interest on the accompanying consolidated</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8"/>
          <w:szCs w:val="18"/>
          <w:color w:val="auto"/>
        </w:rPr>
        <w:t>balance sheet is equal to the non-controlling interest’s ownership share of the underlying CWGS, LLC net assets (see the consolidated statement of stockholders’ equity).</w:t>
      </w:r>
    </w:p>
    <w:p>
      <w:pPr>
        <w:spacing w:after="0" w:line="153"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following table summarizes the CWGS, LLC common unit ownership by CWH and the Continuing Equity Owners: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4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2"/>
                <w:szCs w:val="12"/>
                <w:b w:val="1"/>
                <w:bCs w:val="1"/>
                <w:color w:val="auto"/>
              </w:rPr>
              <w:t>As of December 31, 2025</w:t>
            </w:r>
          </w:p>
        </w:tc>
        <w:tc>
          <w:tcPr>
            <w:tcW w:w="16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2"/>
                <w:szCs w:val="12"/>
                <w:b w:val="1"/>
                <w:bCs w:val="1"/>
                <w:color w:val="auto"/>
              </w:rPr>
              <w:t>As of December 31, 2024</w:t>
            </w: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33"/>
              <w:spacing w:after="0"/>
              <w:rPr>
                <w:sz w:val="20"/>
                <w:szCs w:val="20"/>
                <w:color w:val="auto"/>
              </w:rPr>
            </w:pPr>
            <w:r>
              <w:rPr>
                <w:rFonts w:ascii="Arial" w:cs="Arial" w:eastAsia="Arial" w:hAnsi="Arial"/>
                <w:sz w:val="12"/>
                <w:szCs w:val="12"/>
                <w:b w:val="1"/>
                <w:bCs w:val="1"/>
                <w:color w:val="auto"/>
              </w:rPr>
              <w:t>Common Units</w:t>
            </w:r>
          </w:p>
        </w:tc>
        <w:tc>
          <w:tcPr>
            <w:tcW w:w="1060" w:type="dxa"/>
            <w:vAlign w:val="bottom"/>
            <w:gridSpan w:val="2"/>
          </w:tcPr>
          <w:p>
            <w:pPr>
              <w:jc w:val="right"/>
              <w:ind w:right="8"/>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Ownership %</w:t>
            </w:r>
          </w:p>
        </w:tc>
        <w:tc>
          <w:tcPr>
            <w:tcW w:w="160" w:type="dxa"/>
            <w:vAlign w:val="bottom"/>
          </w:tcPr>
          <w:p>
            <w:pPr>
              <w:ind w:left="6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35"/>
              <w:spacing w:after="0"/>
              <w:rPr>
                <w:sz w:val="20"/>
                <w:szCs w:val="20"/>
                <w:color w:val="auto"/>
              </w:rPr>
            </w:pPr>
            <w:r>
              <w:rPr>
                <w:rFonts w:ascii="Arial" w:cs="Arial" w:eastAsia="Arial" w:hAnsi="Arial"/>
                <w:sz w:val="12"/>
                <w:szCs w:val="12"/>
                <w:b w:val="1"/>
                <w:bCs w:val="1"/>
                <w:color w:val="auto"/>
              </w:rPr>
              <w:t>Common Units</w:t>
            </w:r>
          </w:p>
        </w:tc>
        <w:tc>
          <w:tcPr>
            <w:tcW w:w="1060" w:type="dxa"/>
            <w:vAlign w:val="bottom"/>
            <w:gridSpan w:val="2"/>
          </w:tcPr>
          <w:p>
            <w:pPr>
              <w:jc w:val="right"/>
              <w:ind w:right="8"/>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Ownership %</w:t>
            </w:r>
          </w:p>
        </w:tc>
      </w:tr>
      <w:tr>
        <w:trPr>
          <w:trHeight w:val="183"/>
        </w:trPr>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CWH</w:t>
            </w: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63,436,696</w:t>
            </w: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62,502,096</w:t>
            </w: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w:t>
            </w:r>
          </w:p>
        </w:tc>
      </w:tr>
      <w:tr>
        <w:trPr>
          <w:trHeight w:val="189"/>
        </w:trPr>
        <w:tc>
          <w:tcPr>
            <w:tcW w:w="4580" w:type="dxa"/>
            <w:vAlign w:val="bottom"/>
            <w:gridSpan w:val="2"/>
          </w:tcPr>
          <w:p>
            <w:pPr>
              <w:spacing w:after="0"/>
              <w:rPr>
                <w:sz w:val="20"/>
                <w:szCs w:val="20"/>
                <w:color w:val="auto"/>
              </w:rPr>
            </w:pPr>
            <w:r>
              <w:rPr>
                <w:rFonts w:ascii="Arial" w:cs="Arial" w:eastAsia="Arial" w:hAnsi="Arial"/>
                <w:sz w:val="14"/>
                <w:szCs w:val="14"/>
                <w:color w:val="auto"/>
              </w:rPr>
              <w:t>Continuing Equity Owners</w:t>
            </w:r>
          </w:p>
        </w:tc>
        <w:tc>
          <w:tcPr>
            <w:tcW w:w="1020" w:type="dxa"/>
            <w:vAlign w:val="bottom"/>
          </w:tcPr>
          <w:p>
            <w:pPr>
              <w:jc w:val="right"/>
              <w:spacing w:after="0"/>
              <w:rPr>
                <w:sz w:val="20"/>
                <w:szCs w:val="20"/>
                <w:color w:val="auto"/>
              </w:rPr>
            </w:pPr>
            <w:r>
              <w:rPr>
                <w:rFonts w:ascii="Arial" w:cs="Arial" w:eastAsia="Arial" w:hAnsi="Arial"/>
                <w:sz w:val="14"/>
                <w:szCs w:val="14"/>
                <w:color w:val="auto"/>
              </w:rPr>
              <w:t>39,895,393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38.6%</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39,895,393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39.0%</w:t>
            </w:r>
          </w:p>
        </w:tc>
      </w:tr>
      <w:tr>
        <w:trPr>
          <w:trHeight w:val="183"/>
        </w:trPr>
        <w:tc>
          <w:tcPr>
            <w:tcW w:w="4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103,332,089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102,397,489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20"/>
        </w:trPr>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During the year ended December 31, 2022, CWGS Holding, LLC, a wholly owned subsidiary of ML Acquisition Company, LLC, which is indirectly owned by each of the estate of Stephen Adams, a former member of the Company’s Board of Directors, and Marcus A. Lemonis, the Company’s former Chairman and Chief Executive Officer gifted 2,000,000 common units of CWGS, LLC in total to a college and hospital in 2022 (“2022 Common Unit Giftees”), which resulted in the corresponding 2,000,000 of Class B common stock being transferred to the 2022 Common Unit Giftees. On January 1, 2023, the 2022 Common Unit Giftees redeemed the 2,000,000 common units of CWGS, LLC for 2,000,000 shares of the Company’s Class A common stock, which also resulted in the cancellation of 2,000,000 shares of the Company’s Class B common stock that had been transferred to the 2022 Common Unit Giftees with no additional consideration provided.</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effects of changes in ownership in CWGS, LLC on the Company’s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equity:</w:t>
      </w:r>
    </w:p>
    <w:p>
      <w:pPr>
        <w:spacing w:after="0" w:line="14"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7"/>
          </w:tcPr>
          <w:p>
            <w:pPr>
              <w:jc w:val="right"/>
              <w:ind w:right="428"/>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920" w:type="dxa"/>
            <w:vAlign w:val="bottom"/>
          </w:tcPr>
          <w:p>
            <w:pPr>
              <w:spacing w:after="0"/>
              <w:rPr>
                <w:sz w:val="20"/>
                <w:szCs w:val="20"/>
                <w:color w:val="auto"/>
              </w:rPr>
            </w:pPr>
            <w:r>
              <w:rPr>
                <w:rFonts w:ascii="Arial" w:cs="Arial" w:eastAsia="Arial" w:hAnsi="Arial"/>
                <w:sz w:val="14"/>
                <w:szCs w:val="14"/>
                <w:color w:val="auto"/>
              </w:rPr>
              <w:t>($ in thousands)</w:t>
            </w:r>
          </w:p>
        </w:tc>
        <w:tc>
          <w:tcPr>
            <w:tcW w:w="3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2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32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Net (loss) income attributable to Camping World Holdings, Inc.</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(89,799)</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(38,637)</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33,372</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20" w:type="dxa"/>
            <w:vAlign w:val="bottom"/>
          </w:tcPr>
          <w:p>
            <w:pPr>
              <w:spacing w:after="0"/>
              <w:rPr>
                <w:sz w:val="20"/>
                <w:szCs w:val="20"/>
                <w:color w:val="auto"/>
              </w:rPr>
            </w:pPr>
            <w:r>
              <w:rPr>
                <w:rFonts w:ascii="Arial" w:cs="Arial" w:eastAsia="Arial" w:hAnsi="Arial"/>
                <w:sz w:val="14"/>
                <w:szCs w:val="14"/>
                <w:color w:val="auto"/>
              </w:rPr>
              <w:t>Transfers to non-controlling interests: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Decrease in additional paid-in capital as a result of the purchase of common units from</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(118,798)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CWGS, LLC with proceeds from the public offering</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20" w:type="dxa"/>
            <w:vAlign w:val="bottom"/>
          </w:tcPr>
          <w:p>
            <w:pPr>
              <w:ind w:left="100"/>
              <w:spacing w:after="0"/>
              <w:rPr>
                <w:sz w:val="20"/>
                <w:szCs w:val="20"/>
                <w:color w:val="auto"/>
              </w:rPr>
            </w:pPr>
            <w:r>
              <w:rPr>
                <w:rFonts w:ascii="Arial" w:cs="Arial" w:eastAsia="Arial" w:hAnsi="Arial"/>
                <w:sz w:val="14"/>
                <w:szCs w:val="14"/>
                <w:color w:val="auto"/>
              </w:rPr>
              <w:t>Decrease in additional paid-in capital as a result of the purchase of common units from</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(485)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20" w:type="dxa"/>
            <w:vAlign w:val="bottom"/>
          </w:tcPr>
          <w:p>
            <w:pPr>
              <w:ind w:left="100"/>
              <w:spacing w:after="0"/>
              <w:rPr>
                <w:sz w:val="20"/>
                <w:szCs w:val="20"/>
                <w:color w:val="auto"/>
              </w:rPr>
            </w:pPr>
            <w:r>
              <w:rPr>
                <w:rFonts w:ascii="Arial" w:cs="Arial" w:eastAsia="Arial" w:hAnsi="Arial"/>
                <w:sz w:val="14"/>
                <w:szCs w:val="14"/>
                <w:color w:val="auto"/>
              </w:rPr>
              <w:t>CWGS, LLC with proceeds from the exercise of stock options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Increase (decrease) in additional paid-in capital as a result of the vesting of restricted stock</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3,713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(13,097)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(25,080)</w:t>
            </w:r>
          </w:p>
        </w:tc>
        <w:tc>
          <w:tcPr>
            <w:tcW w:w="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units</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20" w:type="dxa"/>
            <w:vAlign w:val="bottom"/>
          </w:tcPr>
          <w:p>
            <w:pPr>
              <w:ind w:left="100"/>
              <w:spacing w:after="0"/>
              <w:rPr>
                <w:sz w:val="20"/>
                <w:szCs w:val="20"/>
                <w:color w:val="auto"/>
              </w:rPr>
            </w:pPr>
            <w:r>
              <w:rPr>
                <w:rFonts w:ascii="Arial" w:cs="Arial" w:eastAsia="Arial" w:hAnsi="Arial"/>
                <w:sz w:val="14"/>
                <w:szCs w:val="14"/>
                <w:color w:val="auto"/>
              </w:rPr>
              <w:t>(Decrease) increase in additional paid-in capital as a result of repurchases of Class A</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(6,032)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3,016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20" w:type="dxa"/>
            <w:vAlign w:val="bottom"/>
          </w:tcPr>
          <w:p>
            <w:pPr>
              <w:ind w:left="100"/>
              <w:spacing w:after="0"/>
              <w:rPr>
                <w:sz w:val="20"/>
                <w:szCs w:val="20"/>
                <w:color w:val="auto"/>
              </w:rPr>
            </w:pPr>
            <w:r>
              <w:rPr>
                <w:rFonts w:ascii="Arial" w:cs="Arial" w:eastAsia="Arial" w:hAnsi="Arial"/>
                <w:sz w:val="14"/>
                <w:szCs w:val="14"/>
                <w:color w:val="auto"/>
              </w:rPr>
              <w:t>common stock for withholding taxes on vested RSUs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Increase in additional paid-in capital as a result of the stock award to employee</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20" w:type="dxa"/>
            <w:vAlign w:val="bottom"/>
          </w:tcPr>
          <w:p>
            <w:pPr>
              <w:ind w:left="100"/>
              <w:spacing w:after="0"/>
              <w:rPr>
                <w:sz w:val="20"/>
                <w:szCs w:val="20"/>
                <w:color w:val="auto"/>
              </w:rPr>
            </w:pPr>
            <w:r>
              <w:rPr>
                <w:rFonts w:ascii="Arial" w:cs="Arial" w:eastAsia="Arial" w:hAnsi="Arial"/>
                <w:sz w:val="14"/>
                <w:szCs w:val="14"/>
                <w:color w:val="auto"/>
              </w:rPr>
              <w:t>Decrease in additional paid-in capital as a result of repurchases of Class A common stock</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(854)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20" w:type="dxa"/>
            <w:vAlign w:val="bottom"/>
          </w:tcPr>
          <w:p>
            <w:pPr>
              <w:ind w:left="100"/>
              <w:spacing w:after="0"/>
              <w:rPr>
                <w:sz w:val="20"/>
                <w:szCs w:val="20"/>
                <w:color w:val="auto"/>
              </w:rPr>
            </w:pPr>
            <w:r>
              <w:rPr>
                <w:rFonts w:ascii="Arial" w:cs="Arial" w:eastAsia="Arial" w:hAnsi="Arial"/>
                <w:sz w:val="14"/>
                <w:szCs w:val="14"/>
                <w:color w:val="auto"/>
              </w:rPr>
              <w:t>for withholding taxes on stock award to employee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Increase in additional paid-in capital as a result of the redemption of common units of</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CWGS, LLC</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920" w:type="dxa"/>
            <w:vAlign w:val="bottom"/>
          </w:tcPr>
          <w:p>
            <w:pPr>
              <w:ind w:left="100"/>
              <w:spacing w:after="0" w:line="160" w:lineRule="exact"/>
              <w:rPr>
                <w:sz w:val="20"/>
                <w:szCs w:val="20"/>
                <w:color w:val="auto"/>
              </w:rPr>
            </w:pPr>
            <w:r>
              <w:rPr>
                <w:rFonts w:ascii="Arial" w:cs="Arial" w:eastAsia="Arial" w:hAnsi="Arial"/>
                <w:sz w:val="14"/>
                <w:szCs w:val="14"/>
                <w:color w:val="auto"/>
              </w:rPr>
              <w:t>Change from net (loss) income attributable to Camping World Holdings, Inc. and transfers</w:t>
            </w: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(92,408)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 (169,727)</w:t>
            </w: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11,992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920" w:type="dxa"/>
            <w:vAlign w:val="bottom"/>
          </w:tcPr>
          <w:p>
            <w:pPr>
              <w:ind w:left="100"/>
              <w:spacing w:after="0"/>
              <w:rPr>
                <w:sz w:val="20"/>
                <w:szCs w:val="20"/>
                <w:color w:val="auto"/>
              </w:rPr>
            </w:pPr>
            <w:r>
              <w:rPr>
                <w:rFonts w:ascii="Arial" w:cs="Arial" w:eastAsia="Arial" w:hAnsi="Arial"/>
                <w:sz w:val="14"/>
                <w:szCs w:val="14"/>
                <w:color w:val="auto"/>
              </w:rPr>
              <w:t>to non-controlling interests</w:t>
            </w:r>
          </w:p>
        </w:tc>
        <w:tc>
          <w:tcPr>
            <w:tcW w:w="32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21. Stock-Based Compensation Plans</w:t>
      </w:r>
    </w:p>
    <w:p>
      <w:pPr>
        <w:spacing w:after="0" w:line="22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8"/>
          <w:szCs w:val="18"/>
          <w:color w:val="auto"/>
        </w:rPr>
        <w:t>The following table summarizes the stock-based compensation that has been included in the following line items within the consolidated statements of operations during:</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5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5640" w:type="dxa"/>
            <w:vAlign w:val="bottom"/>
          </w:tcPr>
          <w:p>
            <w:pPr>
              <w:spacing w:after="0"/>
              <w:rPr>
                <w:sz w:val="20"/>
                <w:szCs w:val="20"/>
                <w:color w:val="auto"/>
              </w:rPr>
            </w:pPr>
            <w:r>
              <w:rPr>
                <w:rFonts w:ascii="Arial" w:cs="Arial" w:eastAsia="Arial" w:hAnsi="Arial"/>
                <w:sz w:val="14"/>
                <w:szCs w:val="14"/>
                <w:color w:val="auto"/>
              </w:rPr>
              <w:t>($ in thousands)</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44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r>
      <w:tr>
        <w:trPr>
          <w:trHeight w:val="183"/>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Stock-based compensation expense:</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4"/>
                <w:szCs w:val="14"/>
                <w:color w:val="auto"/>
              </w:rPr>
              <w:t>Costs applicable to revenue</w:t>
            </w:r>
          </w:p>
        </w:tc>
        <w:tc>
          <w:tcPr>
            <w:tcW w:w="3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459</w:t>
            </w:r>
          </w:p>
        </w:tc>
        <w:tc>
          <w:tcPr>
            <w:tcW w:w="3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372</w:t>
            </w:r>
          </w:p>
        </w:tc>
        <w:tc>
          <w:tcPr>
            <w:tcW w:w="44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895</w:t>
            </w:r>
          </w:p>
        </w:tc>
        <w:tc>
          <w:tcPr>
            <w:tcW w:w="80" w:type="dxa"/>
            <w:vAlign w:val="bottom"/>
          </w:tcPr>
          <w:p>
            <w:pPr>
              <w:spacing w:after="0"/>
              <w:rPr>
                <w:sz w:val="16"/>
                <w:szCs w:val="16"/>
                <w:color w:val="auto"/>
              </w:rPr>
            </w:pPr>
          </w:p>
        </w:tc>
      </w:tr>
      <w:tr>
        <w:trPr>
          <w:trHeight w:val="189"/>
        </w:trPr>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43,819</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21,213</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23,191</w:t>
            </w:r>
          </w:p>
        </w:tc>
        <w:tc>
          <w:tcPr>
            <w:tcW w:w="80" w:type="dxa"/>
            <w:vAlign w:val="bottom"/>
            <w:shd w:val="clear" w:color="auto" w:fill="CCEEFF"/>
          </w:tcPr>
          <w:p>
            <w:pPr>
              <w:spacing w:after="0"/>
              <w:rPr>
                <w:sz w:val="16"/>
                <w:szCs w:val="16"/>
                <w:color w:val="auto"/>
              </w:rPr>
            </w:pPr>
          </w:p>
        </w:tc>
      </w:tr>
      <w:tr>
        <w:trPr>
          <w:trHeight w:val="223"/>
        </w:trPr>
        <w:tc>
          <w:tcPr>
            <w:tcW w:w="56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stock-based compensation expense</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44,278</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21,585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24,086</w:t>
            </w:r>
          </w:p>
        </w:tc>
        <w:tc>
          <w:tcPr>
            <w:tcW w:w="80" w:type="dxa"/>
            <w:vAlign w:val="bottom"/>
            <w:tcBorders>
              <w:bottom w:val="single" w:sz="8" w:color="CCEEFF"/>
            </w:tcBorders>
          </w:tcPr>
          <w:p>
            <w:pPr>
              <w:spacing w:after="0"/>
              <w:rPr>
                <w:sz w:val="19"/>
                <w:szCs w:val="19"/>
                <w:color w:val="auto"/>
              </w:rPr>
            </w:pPr>
          </w:p>
        </w:tc>
      </w:tr>
      <w:tr>
        <w:trPr>
          <w:trHeight w:val="169"/>
        </w:trPr>
        <w:tc>
          <w:tcPr>
            <w:tcW w:w="56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3"/>
                <w:szCs w:val="13"/>
                <w:color w:val="auto"/>
              </w:rPr>
              <w:t>Total income tax benefit recognized related to stock-based compensation</w:t>
            </w:r>
            <w:r>
              <w:rPr>
                <w:rFonts w:ascii="Arial" w:cs="Arial" w:eastAsia="Arial" w:hAnsi="Arial"/>
                <w:sz w:val="19"/>
                <w:szCs w:val="19"/>
                <w:color w:val="auto"/>
                <w:vertAlign w:val="superscript"/>
              </w:rPr>
              <w:t>(1)</w:t>
            </w: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2,963</w:t>
            </w:r>
          </w:p>
        </w:tc>
        <w:tc>
          <w:tcPr>
            <w:tcW w:w="2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3,205</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
        </w:trPr>
        <w:tc>
          <w:tcPr>
            <w:tcW w:w="5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380" w:right="79" w:hanging="330"/>
        <w:spacing w:after="0" w:line="242" w:lineRule="auto"/>
        <w:tabs>
          <w:tab w:leader="none" w:pos="380" w:val="left"/>
        </w:tabs>
        <w:numPr>
          <w:ilvl w:val="0"/>
          <w:numId w:val="77"/>
        </w:numPr>
        <w:rPr>
          <w:rFonts w:ascii="Arial" w:cs="Arial" w:eastAsia="Arial" w:hAnsi="Arial"/>
          <w:sz w:val="22"/>
          <w:szCs w:val="22"/>
          <w:color w:val="auto"/>
          <w:vertAlign w:val="superscript"/>
        </w:rPr>
      </w:pPr>
      <w:r>
        <w:rPr>
          <w:rFonts w:ascii="Arial" w:cs="Arial" w:eastAsia="Arial" w:hAnsi="Arial"/>
          <w:sz w:val="18"/>
          <w:szCs w:val="18"/>
          <w:color w:val="auto"/>
        </w:rPr>
        <w:t>For the year ended December 31, 2025, $6.8 million of tax benefits relating to stock-based compensation expense could not be recognized as a result of the full valuation allowance against the net deferred tax assets of the public holding company, CWH. See Note 12 — Income Taxes for additional information.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2016 Incentive Award Plan</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The Company’s 2016 Plan was amended and restated effective May 15, 2025. Under the 2016 Plan, the Company may grant up to 14,693,518 stock options, RSUs, and other types of stock-based awards to employees, consultants or non-employee directors of the Company, although no incentive stock options may be granted after March 24, 2035. The Company does not intend to use cash to settle any of its stock-based awards. Upon the exercise of a stock option award, the vesting of a RSU or the award of common stock or restricted stock, shares of Class A common stock are issued from authorized but unissued shares or from shares held in treasury. Stock options and RSUs granted to employees generally vest in equal annual installments over a three to five-year period and are canceled upon termination of employment, although vested stock options may generally be exercised for a limited period of time after termination. Stock options are granted with an exercise price equal to the fair market value of the Company’s Class A common stock on the date of grant. Stock option grants expire after ten years unless canceled earlier due to termination of employment. RSUs granted to non-employee directors vest in equal annual installments over a one-year or three-year period subject to voluntary deferral elections made prior to the grant.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223"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8"/>
          <w:szCs w:val="18"/>
          <w:color w:val="auto"/>
        </w:rPr>
        <w:t>The Company did not grant any stock options during the years ended December 31, 2025, 2024 and 2023. A summary of stock option activity for the year ended December 31, 2025 is as follows: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25"/>
              <w:spacing w:after="0"/>
              <w:rPr>
                <w:sz w:val="20"/>
                <w:szCs w:val="20"/>
                <w:color w:val="auto"/>
              </w:rPr>
            </w:pPr>
            <w:r>
              <w:rPr>
                <w:rFonts w:ascii="Arial" w:cs="Arial" w:eastAsia="Arial" w:hAnsi="Arial"/>
                <w:sz w:val="14"/>
                <w:szCs w:val="14"/>
                <w:b w:val="1"/>
                <w:bCs w:val="1"/>
                <w:color w:val="auto"/>
              </w:rPr>
              <w:t>Aggregate</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Stock Options</w:t>
            </w:r>
          </w:p>
        </w:tc>
        <w:tc>
          <w:tcPr>
            <w:tcW w:w="1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Weighted Average</w:t>
            </w:r>
          </w:p>
        </w:tc>
        <w:tc>
          <w:tcPr>
            <w:tcW w:w="16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Intrinsic Value</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Contractual Life</w:t>
            </w:r>
          </w:p>
        </w:tc>
        <w:tc>
          <w:tcPr>
            <w:tcW w:w="0" w:type="dxa"/>
            <w:vAlign w:val="bottom"/>
          </w:tcPr>
          <w:p>
            <w:pPr>
              <w:spacing w:after="0"/>
              <w:rPr>
                <w:sz w:val="1"/>
                <w:szCs w:val="1"/>
                <w:color w:val="auto"/>
              </w:rPr>
            </w:pPr>
          </w:p>
        </w:tc>
      </w:tr>
      <w:tr>
        <w:trPr>
          <w:trHeight w:val="197"/>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(in thousands)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54"/>
              <w:spacing w:after="0"/>
              <w:rPr>
                <w:sz w:val="20"/>
                <w:szCs w:val="20"/>
                <w:color w:val="auto"/>
              </w:rPr>
            </w:pPr>
            <w:r>
              <w:rPr>
                <w:rFonts w:ascii="Arial" w:cs="Arial" w:eastAsia="Arial" w:hAnsi="Arial"/>
                <w:sz w:val="14"/>
                <w:szCs w:val="14"/>
                <w:b w:val="1"/>
                <w:bCs w:val="1"/>
                <w:color w:val="auto"/>
              </w:rPr>
              <w:t>Exercise Price</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right="25"/>
              <w:spacing w:after="0"/>
              <w:rPr>
                <w:sz w:val="20"/>
                <w:szCs w:val="20"/>
                <w:color w:val="auto"/>
              </w:rPr>
            </w:pPr>
            <w:r>
              <w:rPr>
                <w:rFonts w:ascii="Arial" w:cs="Arial" w:eastAsia="Arial" w:hAnsi="Arial"/>
                <w:sz w:val="13"/>
                <w:szCs w:val="13"/>
                <w:color w:val="auto"/>
                <w:w w:val="97"/>
              </w:rPr>
              <w:t>(in thousands)</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40" w:type="dxa"/>
            <w:vAlign w:val="bottom"/>
          </w:tcPr>
          <w:p>
            <w:pPr>
              <w:jc w:val="center"/>
              <w:ind w:right="6"/>
              <w:spacing w:after="0"/>
              <w:rPr>
                <w:sz w:val="20"/>
                <w:szCs w:val="20"/>
                <w:color w:val="auto"/>
              </w:rPr>
            </w:pPr>
            <w:r>
              <w:rPr>
                <w:rFonts w:ascii="Arial" w:cs="Arial" w:eastAsia="Arial" w:hAnsi="Arial"/>
                <w:sz w:val="13"/>
                <w:szCs w:val="13"/>
                <w:color w:val="auto"/>
                <w:w w:val="98"/>
              </w:rPr>
              <w:t>(years)</w:t>
            </w:r>
          </w:p>
        </w:tc>
        <w:tc>
          <w:tcPr>
            <w:tcW w:w="0" w:type="dxa"/>
            <w:vAlign w:val="bottom"/>
          </w:tcPr>
          <w:p>
            <w:pPr>
              <w:spacing w:after="0"/>
              <w:rPr>
                <w:sz w:val="1"/>
                <w:szCs w:val="1"/>
                <w:color w:val="auto"/>
              </w:rPr>
            </w:pPr>
          </w:p>
        </w:tc>
      </w:tr>
      <w:tr>
        <w:trPr>
          <w:trHeight w:val="224"/>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2024</w:t>
            </w: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Exercised</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780" w:type="dxa"/>
            <w:vAlign w:val="bottom"/>
          </w:tcPr>
          <w:p>
            <w:pPr>
              <w:spacing w:after="0" w:line="204" w:lineRule="exact"/>
              <w:rPr>
                <w:sz w:val="20"/>
                <w:szCs w:val="20"/>
                <w:color w:val="auto"/>
              </w:rPr>
            </w:pPr>
            <w:r>
              <w:rPr>
                <w:rFonts w:ascii="Arial" w:cs="Arial" w:eastAsia="Arial" w:hAnsi="Arial"/>
                <w:sz w:val="18"/>
                <w:szCs w:val="18"/>
                <w:color w:val="auto"/>
              </w:rPr>
              <w:t>Outstanding and exercisable at</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780" w:type="dxa"/>
            <w:vAlign w:val="bottom"/>
          </w:tcPr>
          <w:p>
            <w:pPr>
              <w:spacing w:after="0"/>
              <w:rPr>
                <w:sz w:val="20"/>
                <w:szCs w:val="20"/>
                <w:color w:val="auto"/>
              </w:rPr>
            </w:pPr>
            <w:r>
              <w:rPr>
                <w:rFonts w:ascii="Arial" w:cs="Arial" w:eastAsia="Arial" w:hAnsi="Arial"/>
                <w:sz w:val="18"/>
                <w:szCs w:val="18"/>
                <w:color w:val="auto"/>
              </w:rPr>
              <w:t>December 31, 2025</w:t>
            </w:r>
          </w:p>
        </w:tc>
        <w:tc>
          <w:tcPr>
            <w:tcW w:w="1120" w:type="dxa"/>
            <w:vAlign w:val="bottom"/>
            <w:gridSpan w:val="2"/>
            <w:vMerge w:val="continue"/>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of December 31, 2025, 2024 and 2023, all stock options were fully vested. The intrinsic value of stock options exercised was insignificant for the years ended December 31, 2025 and 2024. The intrinsic value of stock options exercised was $0.1 million for the year ended December 31, 2023. The actual tax benefit for the tax deductions from the exercise of stock options was not significant for the years ended December 31, 2025, 2024 and 2023.</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RSUs</w:t>
      </w:r>
    </w:p>
    <w:p>
      <w:pPr>
        <w:spacing w:after="0" w:line="2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RSU activity for the year ended December 31, 2025 is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Restricted</w:t>
            </w:r>
          </w:p>
        </w:tc>
        <w:tc>
          <w:tcPr>
            <w:tcW w:w="12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89"/>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Stock Units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95"/>
              <w:spacing w:after="0"/>
              <w:rPr>
                <w:sz w:val="20"/>
                <w:szCs w:val="20"/>
                <w:color w:val="auto"/>
              </w:rPr>
            </w:pPr>
            <w:r>
              <w:rPr>
                <w:rFonts w:ascii="Arial" w:cs="Arial" w:eastAsia="Arial" w:hAnsi="Arial"/>
                <w:sz w:val="14"/>
                <w:szCs w:val="14"/>
                <w:b w:val="1"/>
                <w:bCs w:val="1"/>
                <w:color w:val="auto"/>
              </w:rPr>
              <w:t>Grant Date</w:t>
            </w:r>
          </w:p>
        </w:tc>
      </w:tr>
      <w:tr>
        <w:trPr>
          <w:trHeight w:val="197"/>
        </w:trPr>
        <w:tc>
          <w:tcPr>
            <w:tcW w:w="6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(in thousands)</w:t>
            </w:r>
          </w:p>
        </w:tc>
        <w:tc>
          <w:tcPr>
            <w:tcW w:w="32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right="115"/>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2024</w:t>
            </w:r>
          </w:p>
        </w:tc>
        <w:tc>
          <w:tcPr>
            <w:tcW w:w="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w:t>
            </w:r>
          </w:p>
        </w:tc>
      </w:tr>
      <w:tr>
        <w:trPr>
          <w:trHeight w:val="229"/>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1,713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17.85</w:t>
            </w:r>
          </w:p>
        </w:tc>
      </w:tr>
      <w:tr>
        <w:trPr>
          <w:trHeight w:val="23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r>
      <w:tr>
        <w:trPr>
          <w:trHeight w:val="229"/>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26.47</w:t>
            </w:r>
          </w:p>
        </w:tc>
      </w:tr>
      <w:tr>
        <w:trPr>
          <w:trHeight w:val="223"/>
        </w:trPr>
        <w:tc>
          <w:tcPr>
            <w:tcW w:w="6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weighted-average grant date fair value of RSUs granted during the years ended December 31, 2025, 2024 and 2023 was $17.85, $21.51, and $ 19.72, respectively. As of December 31, 2025, the intrinsic value of unvested RSUs was $18.6 million. As of December 31, 2025, total unrecognized compensation cost related to unvested RSUs was $30.6 million and is expected to be recognized over a weighted-average period of 2.9 years.</w:t>
      </w:r>
    </w:p>
    <w:p>
      <w:pPr>
        <w:spacing w:after="0" w:line="17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fair value of RSUs that vested during the years ended December 31, 2025, 2024 and 2023 was $16.8 million, $16.2 million, and $20.7 million, respectively. The actual tax benefit for the tax deductions from the vesting of RSUs was $2.9 million, $2.2 million, and $2.8 million for the years ended December 31, 2025, 2024, and 2023, respectively. For the year ended December 31, 2025, a portion of the actual tax benefit for tax deductions from the vesting of RSUs was subject to limitations on deductibility of executive compensation and almost all of the tax benefits relating to vesting of RSUs could not be recognized as a result of the full valuation allowance against the net deferred tax assets of the public holding company, CWH (see Note 12 — Income Taxes for additional information).</w:t>
      </w:r>
    </w:p>
    <w:p>
      <w:pPr>
        <w:spacing w:after="0" w:line="17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RSUs that vested were typically net share settled such that the Company withheld shares with value equivalent to the employees’ statutory obligation for the applicable income and other employment taxes, and remitted the cash to the appropriate taxing authorities. The total shares withheld were based on the value of the RSUs on their respective vesting dates as determined by the Company’s closing stock price. Total payments for the employees’ tax obligations to taxing authorities are reflected as a financing activity within the Consolidated Statements of Cash Flows. These net share settlements had the effect of share repurchases by the Company as they reduced the number of shares that would have otherwise been issued as a result of the vesting and did not represent an expense to the Company.</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January 2025, pursuant to the Lemonis First Employment Agreement, the Company granted Mr. Lemonis an award of 600,000 RSUs with a grant date fair value of $22.13 per RSU to be recognized, net of forfeitures, over a vesting period through November 15, 2027. In December 2025, in connection with the Lemonis Second Employment Agreement, the remaining unvested 400,000 RSUs from the January 2025 RSU grant were accelerated to vest on December 15, 2025 resulting in stock-based compensation expense of $6.7 million during the year ended December 31, 2025.</w:t>
      </w:r>
    </w:p>
    <w:p>
      <w:pPr>
        <w:spacing w:after="0" w:line="169"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In December 2025, in conjunction with the amended and restated employment agreement with Matthew D. Wagner, the Company granted Mr. Wagner 465,000 RSUs with a vesting period through November 15, 2028 and an effective date of January 1, 2026 to coincide with his appointment as the Company’s Chief Executive Officer and member of the Board. Also, in December 2025, Brent Moody was appointed as Chairman of the Board effective January 1, 2026 and the Company granted Mr. Moody RSUs with an aggregate grant date fair value of $550,000 with a vesting period of one year and an effective date of January 1, 2026. Although the effective date of Mr. Wagner’s and Mr. Moody’s RSU grants were January 1, 2026, these RSU grants met the criteria for a grant date for accounting purposes during December 2025. The 465,000 and 59,518 RSUs granted to Mr. Wagner and Mr. Moody, respectively, were recorded as if they were granted during the year ended December 31,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Performance Stock Units</w:t>
      </w:r>
    </w:p>
    <w:p>
      <w:pPr>
        <w:spacing w:after="0" w:line="2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performance stock unit activity for the year ended December 31, 2025 is as follows: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5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c>
          <w:tcPr>
            <w:tcW w:w="20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229"/>
        </w:trPr>
        <w:tc>
          <w:tcPr>
            <w:tcW w:w="65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c>
          <w:tcPr>
            <w:tcW w:w="40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right="95"/>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232"/>
        </w:trPr>
        <w:tc>
          <w:tcPr>
            <w:tcW w:w="65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(in thousands)</w:t>
            </w:r>
          </w:p>
        </w:tc>
        <w:tc>
          <w:tcPr>
            <w:tcW w:w="400" w:type="dxa"/>
            <w:vAlign w:val="bottom"/>
            <w:gridSpan w:val="2"/>
            <w:vMerge w:val="continue"/>
          </w:tcPr>
          <w:p>
            <w:pPr>
              <w:spacing w:after="0"/>
              <w:rPr>
                <w:sz w:val="20"/>
                <w:szCs w:val="20"/>
                <w:color w:val="auto"/>
              </w:rPr>
            </w:pPr>
          </w:p>
        </w:tc>
        <w:tc>
          <w:tcPr>
            <w:tcW w:w="1080" w:type="dxa"/>
            <w:vAlign w:val="bottom"/>
          </w:tcPr>
          <w:p>
            <w:pPr>
              <w:jc w:val="center"/>
              <w:ind w:right="1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January 2025, pursuant to the Lemonis First Employment Agreement, the Company granted Mr. Lemonis an award of performance stock units (“PSU”) under the 2016 Plan with respect to 750,000 PSUs if earned at “target” levels of performance, which will be eligible to vest based on the achievement of specified stock price hurdles over what was originally a three year performance period ending on December 31, 2027. However, if the Lemonis Second Employment Agreement is not extended, the end of the post-termination measurement period will be February 16, 2027 and any tranche that has not met its stock price target will be forfeited.</w:t>
      </w:r>
    </w:p>
    <w:p>
      <w:pPr>
        <w:spacing w:after="0" w:line="18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PSUs are comprised of four tranches of 187,500 PSUs with hurdles ranging from $ 32.50 per share to $47.50 per share in $5.00 per share increments. The achievement of the stock price hurdles is based on the average 30 consecutive trading day closing stock price of the Company’s Class A common stock. The grant date fair value was estimated using a Monte Carlo simulation to simulate stock price trajectories over the performance period. Key inputs to the model as of the date of grant included the duration of the performance period, the risk-free interest rate, and the closing stock price, volatility and dividend yield of the Company’s Class A common stock. The PSUs had a weighted-average grant date fair value of $13.84 per PSU, which will be recognized over a weighted-average derived service period of approximately one year, net of any forfeitures for termination of employment prior to the completion of the derived service period for any tranches with unsatisfied vesting conditions. As of December 31, 2025, total unrecognized compensation cost related to unvested PSUs was $1.6 million and is expected to be recognized over a remaining derived service period of 0.5 years.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Liability-Classified Share-Based Awards</w:t>
      </w:r>
    </w:p>
    <w:p>
      <w:pPr>
        <w:spacing w:after="0" w:line="22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connection with the Lemonis Second Employment Agreement, Mr. Lemonis’ compensation included a $2.3 million bonus relating to 2025 (“2025 Bonus”), a $2.3 million bonus relating to 2026 (“2026 Bonus”), and an additional $3.8 million lump-sum payment at the end of the term of the Lemonis Second Employment Agreement in December 2026 (“Final Payment”), each of which can be settled in cash or shares based on the closing stock price on the settlement date. Since the 2025 Bonus, 2026 Bonus, and the Final Payment may be settled in cash or shares, are expected to be settled in shares, and a settlement in shares would result in a variable number of shares based on a fixed monetary amount, these payments will each be recorded as liability-classified share-based awards (“Liability-Classified Awards”).</w:t>
      </w:r>
    </w:p>
    <w:p>
      <w:pPr>
        <w:spacing w:after="0" w:line="185"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8"/>
          <w:szCs w:val="18"/>
          <w:color w:val="auto"/>
        </w:rPr>
        <w:t>The Company deemed the 2026 service conditions relating to the Lemonis Second Employment Agreement to be nonsubstantive for accounting purposes, so all of the stock-based compensation expense relating to the Liability-Classified Awards was recognized by December 31, 2025, which was the date that Mr. Lemonis retired from the position of Chairman and Chief Executive Officer.</w:t>
      </w:r>
    </w:p>
    <w:p>
      <w:pPr>
        <w:spacing w:after="0" w:line="17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2025 Bonus was settled in December 2025 through the issuance of 217,391 shares of Class A common stock with a fair value on the settlement date of $ 2.3 million, which was recorded as stock-based compensation. Of this share issuance amount, 85,543 shares of Class A common stock were withheld to cover Mr. Lemonis’ associated tax withholding obligations.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8" w:name="page139"/>
    <w:bookmarkEnd w:id="138"/>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80" w:right="60" w:firstLine="648"/>
        <w:spacing w:after="0" w:line="268" w:lineRule="auto"/>
        <w:rPr>
          <w:sz w:val="20"/>
          <w:szCs w:val="20"/>
          <w:color w:val="auto"/>
        </w:rPr>
      </w:pPr>
      <w:r>
        <w:rPr>
          <w:rFonts w:ascii="Arial" w:cs="Arial" w:eastAsia="Arial" w:hAnsi="Arial"/>
          <w:sz w:val="18"/>
          <w:szCs w:val="18"/>
          <w:color w:val="auto"/>
        </w:rPr>
        <w:t>Although both the 2026 Bonus and Final Payment are expected to settle in December 2026, if they had settled on December 31, 2025 in shares, the Company would have issued 231,243 and 385,405 shares of Class A common stock,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22. (Loss) Earnings Per Share</w:t>
      </w:r>
    </w:p>
    <w:p>
      <w:pPr>
        <w:spacing w:after="0" w:line="158" w:lineRule="exact"/>
        <w:rPr>
          <w:sz w:val="20"/>
          <w:szCs w:val="20"/>
          <w:color w:val="auto"/>
        </w:rPr>
      </w:pPr>
    </w:p>
    <w:p>
      <w:pPr>
        <w:jc w:val="both"/>
        <w:ind w:left="80" w:right="60" w:firstLine="648"/>
        <w:spacing w:after="0" w:line="255" w:lineRule="auto"/>
        <w:rPr>
          <w:sz w:val="20"/>
          <w:szCs w:val="20"/>
          <w:color w:val="auto"/>
        </w:rPr>
      </w:pPr>
      <w:r>
        <w:rPr>
          <w:rFonts w:ascii="Arial" w:cs="Arial" w:eastAsia="Arial" w:hAnsi="Arial"/>
          <w:sz w:val="18"/>
          <w:szCs w:val="18"/>
          <w:color w:val="auto"/>
        </w:rPr>
        <w:t>Basic (loss) earnings per share of Class A common stock is computed by dividing net (loss) income available to Camping World Holdings, Inc. by the weighted-average number of shares of Class A common stock outstanding during the period. Diluted (loss) earnings per share of Class A common stock is computed by dividing net (loss) income available to Camping World Holdings, Inc. by the weighted-average number of shares of Class A common stock outstanding adjusted to give effect to potentially dilutive securities.</w:t>
      </w:r>
    </w:p>
    <w:p>
      <w:pPr>
        <w:spacing w:after="0" w:line="183" w:lineRule="exact"/>
        <w:rPr>
          <w:sz w:val="20"/>
          <w:szCs w:val="20"/>
          <w:color w:val="auto"/>
        </w:rPr>
      </w:pPr>
    </w:p>
    <w:p>
      <w:pPr>
        <w:jc w:val="both"/>
        <w:ind w:left="80" w:right="60" w:firstLine="648"/>
        <w:spacing w:after="0" w:line="287" w:lineRule="auto"/>
        <w:rPr>
          <w:sz w:val="20"/>
          <w:szCs w:val="20"/>
          <w:color w:val="auto"/>
        </w:rPr>
      </w:pPr>
      <w:r>
        <w:rPr>
          <w:rFonts w:ascii="Arial" w:cs="Arial" w:eastAsia="Arial" w:hAnsi="Arial"/>
          <w:sz w:val="18"/>
          <w:szCs w:val="18"/>
          <w:color w:val="auto"/>
        </w:rPr>
        <w:t>The following table sets forth reconciliations of the numerators and denominators used to compute basic and diluted (loss) earnings per share of Class A common stock:</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8"/>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4"/>
        </w:trPr>
        <w:tc>
          <w:tcPr>
            <w:tcW w:w="6080" w:type="dxa"/>
            <w:vAlign w:val="bottom"/>
            <w:gridSpan w:val="2"/>
          </w:tcPr>
          <w:p>
            <w:pPr>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Numerator:</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Net (loss) income</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(105,638)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(78,880)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52,929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Less: net (loss) income attributable to non-controlling interests</w:t>
            </w:r>
          </w:p>
        </w:tc>
        <w:tc>
          <w:tcPr>
            <w:tcW w:w="2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15,839</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40,243</w:t>
            </w:r>
          </w:p>
        </w:tc>
        <w:tc>
          <w:tcPr>
            <w:tcW w:w="2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(19,557)</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60" w:type="dxa"/>
            <w:vAlign w:val="bottom"/>
          </w:tcPr>
          <w:p>
            <w:pPr>
              <w:ind w:left="200"/>
              <w:spacing w:after="0"/>
              <w:rPr>
                <w:sz w:val="20"/>
                <w:szCs w:val="20"/>
                <w:color w:val="auto"/>
              </w:rPr>
            </w:pPr>
            <w:r>
              <w:rPr>
                <w:rFonts w:ascii="Arial" w:cs="Arial" w:eastAsia="Arial" w:hAnsi="Arial"/>
                <w:sz w:val="14"/>
                <w:szCs w:val="14"/>
                <w:color w:val="auto"/>
              </w:rPr>
              <w:t>Net (loss) income attributable to Camping World Holdings, Inc. — basic</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(89,799)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(38,637)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33,372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Add: reallocation of net (loss) income attributable to non-controlling interests from the</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assumed redemption of common units of CWGS, LLC for Class A common stock</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15,392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60" w:type="dxa"/>
            <w:vAlign w:val="bottom"/>
          </w:tcPr>
          <w:p>
            <w:pPr>
              <w:ind w:left="420"/>
              <w:spacing w:after="0"/>
              <w:rPr>
                <w:sz w:val="20"/>
                <w:szCs w:val="20"/>
                <w:color w:val="auto"/>
              </w:rPr>
            </w:pPr>
            <w:r>
              <w:rPr>
                <w:rFonts w:ascii="Arial" w:cs="Arial" w:eastAsia="Arial" w:hAnsi="Arial"/>
                <w:sz w:val="14"/>
                <w:szCs w:val="14"/>
                <w:color w:val="auto"/>
              </w:rPr>
              <w:t>Net (loss) income attributable to Camping World Holdings, Inc. — diluted</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(89,799)</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(38,637)</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48,764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Denominator:</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Weighted-average shares of Class A common stock outstanding — basic</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62,724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48,005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44,626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Dilutive options to purchase Class A common stock</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200"/>
              <w:spacing w:after="0"/>
              <w:rPr>
                <w:sz w:val="20"/>
                <w:szCs w:val="20"/>
                <w:color w:val="auto"/>
              </w:rPr>
            </w:pPr>
            <w:r>
              <w:rPr>
                <w:rFonts w:ascii="Arial" w:cs="Arial" w:eastAsia="Arial" w:hAnsi="Arial"/>
                <w:sz w:val="14"/>
                <w:szCs w:val="14"/>
                <w:color w:val="auto"/>
              </w:rPr>
              <w:t>Dilutive restricted stock units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Dilutive common units of CWGS, LLC that are convertible into Class A common stock</w:t>
            </w:r>
          </w:p>
        </w:tc>
        <w:tc>
          <w:tcPr>
            <w:tcW w:w="2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40,045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60" w:type="dxa"/>
            <w:vAlign w:val="bottom"/>
          </w:tcPr>
          <w:p>
            <w:pPr>
              <w:ind w:left="320"/>
              <w:spacing w:after="0"/>
              <w:rPr>
                <w:sz w:val="20"/>
                <w:szCs w:val="20"/>
                <w:color w:val="auto"/>
              </w:rPr>
            </w:pPr>
            <w:r>
              <w:rPr>
                <w:rFonts w:ascii="Arial" w:cs="Arial" w:eastAsia="Arial" w:hAnsi="Arial"/>
                <w:sz w:val="14"/>
                <w:szCs w:val="14"/>
                <w:color w:val="auto"/>
              </w:rPr>
              <w:t>Weighted-average shares of Class A common stock outstanding — diluted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62,724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48,005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84,972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(Loss) earnings per share of Class A common stock — basic</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(1.43)</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(0.80)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(Loss) earnings per share of Class A common stock — diluted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0.57</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anti-dilutive securities excluded from the computation of diluted (loss)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earnings per share of Class A common stock:</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Stock options to purchase Class A common 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Liability-classified awards</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Restricted stock units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2,338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1,979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1,364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units of CWGS, LLC that are convertible into Class A common stock</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40,007</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contingently issuable shares excluded from the computation of diluted (loss)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earnings per share of Class A common stock since all necessary conditions had not been</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satisfied:</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Performance stock units</w:t>
            </w:r>
            <w:r>
              <w:rPr>
                <w:rFonts w:ascii="Arial" w:cs="Arial" w:eastAsia="Arial" w:hAnsi="Arial"/>
                <w:sz w:val="21"/>
                <w:szCs w:val="21"/>
                <w:color w:val="auto"/>
                <w:vertAlign w:val="superscript"/>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00" w:hanging="330"/>
        <w:spacing w:after="0"/>
        <w:tabs>
          <w:tab w:leader="none" w:pos="400" w:val="left"/>
        </w:tabs>
        <w:numPr>
          <w:ilvl w:val="0"/>
          <w:numId w:val="78"/>
        </w:numPr>
        <w:rPr>
          <w:rFonts w:ascii="Arial" w:cs="Arial" w:eastAsia="Arial" w:hAnsi="Arial"/>
          <w:sz w:val="22"/>
          <w:szCs w:val="22"/>
          <w:color w:val="auto"/>
          <w:vertAlign w:val="superscript"/>
        </w:rPr>
      </w:pPr>
      <w:r>
        <w:rPr>
          <w:rFonts w:ascii="Arial" w:cs="Arial" w:eastAsia="Arial" w:hAnsi="Arial"/>
          <w:sz w:val="18"/>
          <w:szCs w:val="18"/>
          <w:color w:val="auto"/>
        </w:rPr>
        <w:t>See Note 21 – Stock-Based Compensation Plans for further details of PSUs.</w:t>
      </w:r>
    </w:p>
    <w:p>
      <w:pPr>
        <w:spacing w:after="0" w:line="193" w:lineRule="exact"/>
        <w:rPr>
          <w:sz w:val="20"/>
          <w:szCs w:val="20"/>
          <w:color w:val="auto"/>
        </w:rPr>
      </w:pPr>
    </w:p>
    <w:p>
      <w:pPr>
        <w:jc w:val="both"/>
        <w:ind w:left="80" w:right="80" w:firstLine="648"/>
        <w:spacing w:after="0" w:line="287" w:lineRule="auto"/>
        <w:rPr>
          <w:sz w:val="20"/>
          <w:szCs w:val="20"/>
          <w:color w:val="auto"/>
        </w:rPr>
      </w:pPr>
      <w:r>
        <w:rPr>
          <w:rFonts w:ascii="Arial" w:cs="Arial" w:eastAsia="Arial" w:hAnsi="Arial"/>
          <w:sz w:val="18"/>
          <w:szCs w:val="18"/>
          <w:color w:val="auto"/>
        </w:rPr>
        <w:t>The Liability-Classified Awards are considered equity-classified share-based awards under the treasury stock method for purposes of calculating diluted (loss) earnings per share.</w:t>
      </w:r>
    </w:p>
    <w:p>
      <w:pPr>
        <w:spacing w:after="0" w:line="153" w:lineRule="exact"/>
        <w:rPr>
          <w:sz w:val="20"/>
          <w:szCs w:val="20"/>
          <w:color w:val="auto"/>
        </w:rPr>
      </w:pPr>
    </w:p>
    <w:p>
      <w:pPr>
        <w:jc w:val="both"/>
        <w:ind w:left="80" w:right="60" w:firstLine="648"/>
        <w:spacing w:after="0" w:line="257" w:lineRule="auto"/>
        <w:rPr>
          <w:sz w:val="20"/>
          <w:szCs w:val="20"/>
          <w:color w:val="auto"/>
        </w:rPr>
      </w:pPr>
      <w:r>
        <w:rPr>
          <w:rFonts w:ascii="Arial" w:cs="Arial" w:eastAsia="Arial" w:hAnsi="Arial"/>
          <w:sz w:val="18"/>
          <w:szCs w:val="18"/>
          <w:color w:val="auto"/>
        </w:rPr>
        <w:t>Shares of the Company’s Class B common stock and Class C common stock do not share in the earnings or losses of the Company and are therefore not participating securities. As such, separate presentation of basic and diluted (loss) earnings per share of Class B common stock or Class C common stock under the two-class method has not been presented.</w:t>
      </w:r>
    </w:p>
    <w:p>
      <w:pPr>
        <w:sectPr>
          <w:pgSz w:w="11900" w:h="16838" w:orient="portrait"/>
          <w:cols w:equalWidth="0" w:num="1">
            <w:col w:w="9040"/>
          </w:cols>
          <w:pgMar w:left="1420" w:top="513"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367665</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type w:val="continuous"/>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23. Segment Information</w:t>
      </w:r>
    </w:p>
    <w:p>
      <w:pPr>
        <w:spacing w:after="0" w:line="225" w:lineRule="exact"/>
        <w:rPr>
          <w:sz w:val="20"/>
          <w:szCs w:val="20"/>
          <w:color w:val="auto"/>
        </w:rPr>
      </w:pPr>
    </w:p>
    <w:p>
      <w:pPr>
        <w:jc w:val="both"/>
        <w:ind w:left="60" w:right="79" w:firstLine="648"/>
        <w:spacing w:after="0" w:line="268" w:lineRule="auto"/>
        <w:rPr>
          <w:sz w:val="20"/>
          <w:szCs w:val="20"/>
          <w:color w:val="auto"/>
        </w:rPr>
      </w:pPr>
      <w:r>
        <w:rPr>
          <w:rFonts w:ascii="Arial" w:cs="Arial" w:eastAsia="Arial" w:hAnsi="Arial"/>
          <w:sz w:val="18"/>
          <w:szCs w:val="18"/>
          <w:color w:val="auto"/>
        </w:rPr>
        <w:t>The Company has the following two reportable segments: (i) Good Sam Services and Plans, and (ii) RV and Outdoor Retail (see Note 1 – Summary of Significant Accounting Policies – Description of the Business for a discussion of the primary revenue generating activities of each segment).</w:t>
      </w:r>
    </w:p>
    <w:p>
      <w:pPr>
        <w:spacing w:after="0" w:line="17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reportable segments identified above represent operating segments that are the business activities of the Company for which discrete financial information is available and for which operating results are regularly reviewed by the Company’s chief operating decision maker (“CODM”) to allocate resources and assess performance. As of December 31, 2025, the Company’s CODM was Marcus A. Lemonis, the Company’s Chief Executive Officer during 2025.</w:t>
      </w:r>
    </w:p>
    <w:p>
      <w:pPr>
        <w:spacing w:after="0" w:line="183"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The accounting policies of the reportable segments are the same as those described in Note 1 – Summary of Significant Accounting Policies except intersegment receivables and investments in intersegment entities, which are eliminated in the Company’s consolidated balance sheets, are not included in segment assets. Intersegment revenues consist of segment revenues that are eliminated in the Company’s consolidated statements of operations. Intersegment revenues include transactions with other segments and revenue recognition that differs between a segment standalone basis versus a consolidated basis, such as point-in-time recognition versus over-time recognition. The reportable segments generally account for intersegment revenues with other segments at prices that approximate wholesale prices or discounted pricing to a third party depending on the nature of the intersegment sale. As of December 31, 2025, the Company accrued $1.5 million relating to Mr. Lemonis’ 2026 salary under the Lemonis Second Employment Agreement, which was considered a corporate expense and was not allocated to the segments (See Note 14 — Commitments and Contingencies).</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evaluates performance for all of its reportable segments based on Segment Adjusted EBITDA. The Company defines “Segment Adjusted EBITDA” as the reportable segments’ total revenue less segment expenses which are comprised of (i) adjusted costs applicable to revenue, (ii) intersegment costs applicable to revenues, (iii) adjusted selling, general, and administrative expense, (iv) floor plan interest expense, and (v) other segment items. Segment expenses exclude depreciation and amortization and certain noncash and other items that the CODM does not consider in his evaluation of ongoing operating performance. These excluded items include (a) stock-based compensation, (b) restructuring costs related to the Active Sports Restructuring and the 2019 Strategic Shift, and (c) loss and/or impairment on investments in equity securities. For periods beginning after December 31, 2022 for the 2019 Strategic Shift and for periods beginning after December 31, 2023 for the Active Sports Restructuring, the other associated costs category of expenses relating to those restructuring activities were not excluded from Segment Adjusted EBITDA as restructuring costs, since these costs are not expected to be significant in future periods.</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The CODM uses Segment Adjusted EBITDA to allocate resources (including employees, property, and financial or other capital resources) for each segment predominantly in the annual budget and forecasting process. The CODM considers budget-to-actual and/or forecast-to-actual Segment Adjusted EBITDA variances on a monthly basis when making decisions about allocating capital and personnel to the segments. The CODM will also use Segment Adjusted EBITDA as a component of the compensation for certain employees and when considering opening new greenfield or acquired RV dealership locations, new Good Sam services, or changes to Good Sam service partners.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8"/>
          <w:szCs w:val="18"/>
          <w:color w:val="auto"/>
        </w:rPr>
        <w:t>Reportable segment revenue, Segment Adjusted EBITDA, depreciation and amortization, other interest expense, net, total assets, and capital expenditures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2"/>
                <w:szCs w:val="12"/>
                <w:b w:val="1"/>
                <w:bCs w:val="1"/>
                <w:color w:val="auto"/>
              </w:rPr>
              <w:t>Year Ended December 31, 2025</w:t>
            </w:r>
          </w:p>
        </w:tc>
        <w:tc>
          <w:tcPr>
            <w:tcW w:w="1840" w:type="dxa"/>
            <w:vAlign w:val="bottom"/>
            <w:tcBorders>
              <w:bottom w:val="single" w:sz="8" w:color="auto"/>
            </w:tcBorders>
            <w:gridSpan w:val="5"/>
          </w:tcPr>
          <w:p>
            <w:pPr>
              <w:ind w:left="60"/>
              <w:spacing w:after="0"/>
              <w:rPr>
                <w:sz w:val="20"/>
                <w:szCs w:val="20"/>
                <w:color w:val="auto"/>
              </w:rPr>
            </w:pPr>
            <w:r>
              <w:rPr>
                <w:rFonts w:ascii="Arial" w:cs="Arial" w:eastAsia="Arial" w:hAnsi="Arial"/>
                <w:sz w:val="12"/>
                <w:szCs w:val="12"/>
                <w:b w:val="1"/>
                <w:bCs w:val="1"/>
                <w:color w:val="auto"/>
                <w:w w:val="99"/>
              </w:rPr>
              <w:t>Year Ended December 31, 2024</w:t>
            </w:r>
          </w:p>
        </w:tc>
        <w:tc>
          <w:tcPr>
            <w:tcW w:w="40" w:type="dxa"/>
            <w:vAlign w:val="bottom"/>
          </w:tcPr>
          <w:p>
            <w:pPr>
              <w:spacing w:after="0"/>
              <w:rPr>
                <w:sz w:val="13"/>
                <w:szCs w:val="13"/>
                <w:color w:val="auto"/>
              </w:rPr>
            </w:pPr>
          </w:p>
        </w:tc>
        <w:tc>
          <w:tcPr>
            <w:tcW w:w="188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2"/>
                <w:szCs w:val="12"/>
                <w:b w:val="1"/>
                <w:bCs w:val="1"/>
                <w:color w:val="auto"/>
              </w:rPr>
              <w:t>Year Ended December 31, 2023</w:t>
            </w:r>
          </w:p>
        </w:tc>
      </w:tr>
      <w:tr>
        <w:trPr>
          <w:trHeight w:val="174"/>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5"/>
              </w:rPr>
              <w:t>Good Sam</w:t>
            </w:r>
          </w:p>
        </w:tc>
        <w:tc>
          <w:tcPr>
            <w:tcW w:w="180" w:type="dxa"/>
            <w:vAlign w:val="bottom"/>
          </w:tcPr>
          <w:p>
            <w:pPr>
              <w:spacing w:after="0"/>
              <w:rPr>
                <w:sz w:val="15"/>
                <w:szCs w:val="15"/>
                <w:color w:val="auto"/>
              </w:rPr>
            </w:pPr>
          </w:p>
        </w:tc>
        <w:tc>
          <w:tcPr>
            <w:tcW w:w="740" w:type="dxa"/>
            <w:vAlign w:val="bottom"/>
          </w:tcPr>
          <w:p>
            <w:pPr>
              <w:jc w:val="center"/>
              <w:ind w:right="130"/>
              <w:spacing w:after="0"/>
              <w:rPr>
                <w:sz w:val="20"/>
                <w:szCs w:val="20"/>
                <w:color w:val="auto"/>
              </w:rPr>
            </w:pPr>
            <w:r>
              <w:rPr>
                <w:rFonts w:ascii="Arial" w:cs="Arial" w:eastAsia="Arial" w:hAnsi="Arial"/>
                <w:sz w:val="13"/>
                <w:szCs w:val="13"/>
                <w:b w:val="1"/>
                <w:bCs w:val="1"/>
                <w:color w:val="auto"/>
                <w:w w:val="93"/>
              </w:rPr>
              <w:t>RV and</w:t>
            </w:r>
          </w:p>
        </w:tc>
        <w:tc>
          <w:tcPr>
            <w:tcW w:w="9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8"/>
              </w:rPr>
              <w:t>Good Sam</w:t>
            </w:r>
          </w:p>
        </w:tc>
        <w:tc>
          <w:tcPr>
            <w:tcW w:w="16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RV and</w:t>
            </w:r>
          </w:p>
        </w:tc>
        <w:tc>
          <w:tcPr>
            <w:tcW w:w="9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Good Sam</w:t>
            </w:r>
          </w:p>
        </w:tc>
        <w:tc>
          <w:tcPr>
            <w:tcW w:w="180" w:type="dxa"/>
            <w:vAlign w:val="bottom"/>
          </w:tcPr>
          <w:p>
            <w:pPr>
              <w:spacing w:after="0"/>
              <w:rPr>
                <w:sz w:val="15"/>
                <w:szCs w:val="15"/>
                <w:color w:val="auto"/>
              </w:rPr>
            </w:pPr>
          </w:p>
        </w:tc>
        <w:tc>
          <w:tcPr>
            <w:tcW w:w="760" w:type="dxa"/>
            <w:vAlign w:val="bottom"/>
          </w:tcPr>
          <w:p>
            <w:pPr>
              <w:jc w:val="center"/>
              <w:ind w:right="110"/>
              <w:spacing w:after="0"/>
              <w:rPr>
                <w:sz w:val="20"/>
                <w:szCs w:val="20"/>
                <w:color w:val="auto"/>
              </w:rPr>
            </w:pPr>
            <w:r>
              <w:rPr>
                <w:rFonts w:ascii="Arial" w:cs="Arial" w:eastAsia="Arial" w:hAnsi="Arial"/>
                <w:sz w:val="13"/>
                <w:szCs w:val="13"/>
                <w:b w:val="1"/>
                <w:bCs w:val="1"/>
                <w:color w:val="auto"/>
                <w:w w:val="93"/>
              </w:rPr>
              <w:t>RV and</w:t>
            </w:r>
          </w:p>
        </w:tc>
      </w:tr>
      <w:tr>
        <w:trPr>
          <w:trHeight w:val="193"/>
        </w:trPr>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Services</w:t>
            </w:r>
          </w:p>
        </w:tc>
        <w:tc>
          <w:tcPr>
            <w:tcW w:w="180" w:type="dxa"/>
            <w:vAlign w:val="bottom"/>
          </w:tcPr>
          <w:p>
            <w:pPr>
              <w:spacing w:after="0"/>
              <w:rPr>
                <w:sz w:val="16"/>
                <w:szCs w:val="16"/>
                <w:color w:val="auto"/>
              </w:rPr>
            </w:pPr>
          </w:p>
        </w:tc>
        <w:tc>
          <w:tcPr>
            <w:tcW w:w="740" w:type="dxa"/>
            <w:vAlign w:val="bottom"/>
          </w:tcPr>
          <w:p>
            <w:pPr>
              <w:jc w:val="center"/>
              <w:ind w:right="130"/>
              <w:spacing w:after="0"/>
              <w:rPr>
                <w:sz w:val="20"/>
                <w:szCs w:val="20"/>
                <w:color w:val="auto"/>
              </w:rPr>
            </w:pPr>
            <w:r>
              <w:rPr>
                <w:rFonts w:ascii="Arial" w:cs="Arial" w:eastAsia="Arial" w:hAnsi="Arial"/>
                <w:sz w:val="13"/>
                <w:szCs w:val="13"/>
                <w:b w:val="1"/>
                <w:bCs w:val="1"/>
                <w:color w:val="auto"/>
                <w:w w:val="97"/>
              </w:rPr>
              <w:t>Outdoor</w:t>
            </w:r>
          </w:p>
        </w:tc>
        <w:tc>
          <w:tcPr>
            <w:tcW w:w="140" w:type="dxa"/>
            <w:vAlign w:val="bottom"/>
          </w:tcPr>
          <w:p>
            <w:pPr>
              <w:spacing w:after="0"/>
              <w:rPr>
                <w:sz w:val="16"/>
                <w:szCs w:val="16"/>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Services</w:t>
            </w:r>
          </w:p>
        </w:tc>
        <w:tc>
          <w:tcPr>
            <w:tcW w:w="16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Outdoor</w:t>
            </w:r>
          </w:p>
        </w:tc>
        <w:tc>
          <w:tcPr>
            <w:tcW w:w="140" w:type="dxa"/>
            <w:vAlign w:val="bottom"/>
          </w:tcPr>
          <w:p>
            <w:pPr>
              <w:spacing w:after="0"/>
              <w:rPr>
                <w:sz w:val="16"/>
                <w:szCs w:val="16"/>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Services</w:t>
            </w:r>
          </w:p>
        </w:tc>
        <w:tc>
          <w:tcPr>
            <w:tcW w:w="180" w:type="dxa"/>
            <w:vAlign w:val="bottom"/>
          </w:tcPr>
          <w:p>
            <w:pPr>
              <w:spacing w:after="0"/>
              <w:rPr>
                <w:sz w:val="16"/>
                <w:szCs w:val="16"/>
                <w:color w:val="auto"/>
              </w:rPr>
            </w:pPr>
          </w:p>
        </w:tc>
        <w:tc>
          <w:tcPr>
            <w:tcW w:w="760" w:type="dxa"/>
            <w:vAlign w:val="bottom"/>
          </w:tcPr>
          <w:p>
            <w:pPr>
              <w:jc w:val="center"/>
              <w:ind w:right="110"/>
              <w:spacing w:after="0"/>
              <w:rPr>
                <w:sz w:val="20"/>
                <w:szCs w:val="20"/>
                <w:color w:val="auto"/>
              </w:rPr>
            </w:pPr>
            <w:r>
              <w:rPr>
                <w:rFonts w:ascii="Arial" w:cs="Arial" w:eastAsia="Arial" w:hAnsi="Arial"/>
                <w:sz w:val="13"/>
                <w:szCs w:val="13"/>
                <w:b w:val="1"/>
                <w:bCs w:val="1"/>
                <w:color w:val="auto"/>
                <w:w w:val="97"/>
              </w:rPr>
              <w:t>Outdoor</w:t>
            </w:r>
          </w:p>
        </w:tc>
      </w:tr>
      <w:tr>
        <w:trPr>
          <w:trHeight w:val="180"/>
        </w:trPr>
        <w:tc>
          <w:tcPr>
            <w:tcW w:w="3300" w:type="dxa"/>
            <w:vAlign w:val="bottom"/>
            <w:gridSpan w:val="2"/>
          </w:tcPr>
          <w:p>
            <w:pPr>
              <w:spacing w:after="0"/>
              <w:rPr>
                <w:sz w:val="20"/>
                <w:szCs w:val="20"/>
                <w:color w:val="auto"/>
              </w:rPr>
            </w:pPr>
            <w:r>
              <w:rPr>
                <w:rFonts w:ascii="Arial" w:cs="Arial" w:eastAsia="Arial" w:hAnsi="Arial"/>
                <w:sz w:val="11"/>
                <w:szCs w:val="11"/>
                <w:b w:val="1"/>
                <w:bCs w:val="1"/>
                <w:color w:val="auto"/>
              </w:rPr>
              <w:t>($ in thousands)</w:t>
            </w:r>
          </w:p>
        </w:tc>
        <w:tc>
          <w:tcPr>
            <w:tcW w:w="9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and Plans</w:t>
            </w:r>
          </w:p>
        </w:tc>
        <w:tc>
          <w:tcPr>
            <w:tcW w:w="180" w:type="dxa"/>
            <w:vAlign w:val="bottom"/>
          </w:tcPr>
          <w:p>
            <w:pPr>
              <w:spacing w:after="0"/>
              <w:rPr>
                <w:sz w:val="15"/>
                <w:szCs w:val="15"/>
                <w:color w:val="auto"/>
              </w:rPr>
            </w:pPr>
          </w:p>
        </w:tc>
        <w:tc>
          <w:tcPr>
            <w:tcW w:w="740" w:type="dxa"/>
            <w:vAlign w:val="bottom"/>
          </w:tcPr>
          <w:p>
            <w:pPr>
              <w:jc w:val="center"/>
              <w:ind w:right="130"/>
              <w:spacing w:after="0"/>
              <w:rPr>
                <w:sz w:val="20"/>
                <w:szCs w:val="20"/>
                <w:color w:val="auto"/>
              </w:rPr>
            </w:pPr>
            <w:r>
              <w:rPr>
                <w:rFonts w:ascii="Arial" w:cs="Arial" w:eastAsia="Arial" w:hAnsi="Arial"/>
                <w:sz w:val="13"/>
                <w:szCs w:val="13"/>
                <w:b w:val="1"/>
                <w:bCs w:val="1"/>
                <w:color w:val="auto"/>
                <w:w w:val="95"/>
              </w:rPr>
              <w:t>Retail</w:t>
            </w:r>
          </w:p>
        </w:tc>
        <w:tc>
          <w:tcPr>
            <w:tcW w:w="9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7"/>
              </w:rPr>
              <w:t>and Plans</w:t>
            </w:r>
          </w:p>
        </w:tc>
        <w:tc>
          <w:tcPr>
            <w:tcW w:w="16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Retail</w:t>
            </w:r>
          </w:p>
        </w:tc>
        <w:tc>
          <w:tcPr>
            <w:tcW w:w="9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4"/>
              </w:rPr>
              <w:t>and Plans</w:t>
            </w:r>
          </w:p>
        </w:tc>
        <w:tc>
          <w:tcPr>
            <w:tcW w:w="180" w:type="dxa"/>
            <w:vAlign w:val="bottom"/>
          </w:tcPr>
          <w:p>
            <w:pPr>
              <w:spacing w:after="0"/>
              <w:rPr>
                <w:sz w:val="15"/>
                <w:szCs w:val="15"/>
                <w:color w:val="auto"/>
              </w:rPr>
            </w:pPr>
          </w:p>
        </w:tc>
        <w:tc>
          <w:tcPr>
            <w:tcW w:w="760" w:type="dxa"/>
            <w:vAlign w:val="bottom"/>
          </w:tcPr>
          <w:p>
            <w:pPr>
              <w:jc w:val="center"/>
              <w:ind w:right="110"/>
              <w:spacing w:after="0"/>
              <w:rPr>
                <w:sz w:val="20"/>
                <w:szCs w:val="20"/>
                <w:color w:val="auto"/>
              </w:rPr>
            </w:pPr>
            <w:r>
              <w:rPr>
                <w:rFonts w:ascii="Arial" w:cs="Arial" w:eastAsia="Arial" w:hAnsi="Arial"/>
                <w:sz w:val="13"/>
                <w:szCs w:val="13"/>
                <w:b w:val="1"/>
                <w:bCs w:val="1"/>
                <w:color w:val="auto"/>
                <w:w w:val="95"/>
              </w:rPr>
              <w:t>Retail</w:t>
            </w:r>
          </w:p>
        </w:tc>
      </w:tr>
      <w:tr>
        <w:trPr>
          <w:trHeight w:val="183"/>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r>
      <w:tr>
        <w:trPr>
          <w:trHeight w:val="189"/>
        </w:trPr>
        <w:tc>
          <w:tcPr>
            <w:tcW w:w="3300" w:type="dxa"/>
            <w:vAlign w:val="bottom"/>
            <w:gridSpan w:val="2"/>
          </w:tcPr>
          <w:p>
            <w:pPr>
              <w:ind w:left="100"/>
              <w:spacing w:after="0"/>
              <w:rPr>
                <w:sz w:val="20"/>
                <w:szCs w:val="20"/>
                <w:color w:val="auto"/>
              </w:rPr>
            </w:pPr>
            <w:r>
              <w:rPr>
                <w:rFonts w:ascii="Arial" w:cs="Arial" w:eastAsia="Arial" w:hAnsi="Arial"/>
                <w:sz w:val="14"/>
                <w:szCs w:val="14"/>
                <w:color w:val="auto"/>
              </w:rPr>
              <w:t>Good Sam Services and Plans</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199,751</w:t>
            </w:r>
          </w:p>
        </w:tc>
        <w:tc>
          <w:tcPr>
            <w:tcW w:w="1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194,575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193,827</w:t>
            </w:r>
          </w:p>
        </w:tc>
        <w:tc>
          <w:tcPr>
            <w:tcW w:w="1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3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New vehicles</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2,761,149</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2,825,640</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2,576,278</w:t>
            </w:r>
          </w:p>
        </w:tc>
      </w:tr>
      <w:tr>
        <w:trPr>
          <w:trHeight w:val="189"/>
        </w:trPr>
        <w:tc>
          <w:tcPr>
            <w:tcW w:w="3300" w:type="dxa"/>
            <w:vAlign w:val="bottom"/>
            <w:gridSpan w:val="2"/>
          </w:tcPr>
          <w:p>
            <w:pPr>
              <w:ind w:left="100"/>
              <w:spacing w:after="0"/>
              <w:rPr>
                <w:sz w:val="20"/>
                <w:szCs w:val="20"/>
                <w:color w:val="auto"/>
              </w:rPr>
            </w:pPr>
            <w:r>
              <w:rPr>
                <w:rFonts w:ascii="Arial" w:cs="Arial" w:eastAsia="Arial" w:hAnsi="Arial"/>
                <w:sz w:val="14"/>
                <w:szCs w:val="14"/>
                <w:color w:val="auto"/>
              </w:rPr>
              <w:t>Used vehicles</w:t>
            </w:r>
          </w:p>
        </w:tc>
        <w:tc>
          <w:tcPr>
            <w:tcW w:w="140" w:type="dxa"/>
            <w:vAlign w:val="bottom"/>
          </w:tcPr>
          <w:p>
            <w:pPr>
              <w:spacing w:after="0"/>
              <w:rPr>
                <w:sz w:val="16"/>
                <w:szCs w:val="16"/>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1,970,224</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1,613,849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1,979,632</w:t>
            </w:r>
          </w:p>
        </w:tc>
      </w:tr>
      <w:tr>
        <w:trPr>
          <w:trHeight w:val="189"/>
        </w:trPr>
        <w:tc>
          <w:tcPr>
            <w:tcW w:w="3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Products, service and other</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756,984</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820,111</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870,038</w:t>
            </w:r>
          </w:p>
        </w:tc>
      </w:tr>
      <w:tr>
        <w:trPr>
          <w:trHeight w:val="189"/>
        </w:trPr>
        <w:tc>
          <w:tcPr>
            <w:tcW w:w="3300" w:type="dxa"/>
            <w:vAlign w:val="bottom"/>
            <w:gridSpan w:val="2"/>
          </w:tcPr>
          <w:p>
            <w:pPr>
              <w:ind w:left="100"/>
              <w:spacing w:after="0"/>
              <w:rPr>
                <w:sz w:val="20"/>
                <w:szCs w:val="20"/>
                <w:color w:val="auto"/>
              </w:rPr>
            </w:pPr>
            <w:r>
              <w:rPr>
                <w:rFonts w:ascii="Arial" w:cs="Arial" w:eastAsia="Arial" w:hAnsi="Arial"/>
                <w:sz w:val="14"/>
                <w:szCs w:val="14"/>
                <w:color w:val="auto"/>
              </w:rPr>
              <w:t>Finance and insurance, net</w:t>
            </w:r>
          </w:p>
        </w:tc>
        <w:tc>
          <w:tcPr>
            <w:tcW w:w="140" w:type="dxa"/>
            <w:vAlign w:val="bottom"/>
          </w:tcPr>
          <w:p>
            <w:pPr>
              <w:spacing w:after="0"/>
              <w:rPr>
                <w:sz w:val="16"/>
                <w:szCs w:val="16"/>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639,544</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599,718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562,256</w:t>
            </w:r>
          </w:p>
        </w:tc>
      </w:tr>
      <w:tr>
        <w:trPr>
          <w:trHeight w:val="189"/>
        </w:trPr>
        <w:tc>
          <w:tcPr>
            <w:tcW w:w="3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Good Sam Club</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41,497</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46,081</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44,516</w:t>
            </w:r>
          </w:p>
        </w:tc>
      </w:tr>
      <w:tr>
        <w:trPr>
          <w:trHeight w:val="189"/>
        </w:trPr>
        <w:tc>
          <w:tcPr>
            <w:tcW w:w="3300" w:type="dxa"/>
            <w:vAlign w:val="bottom"/>
            <w:tcBorders>
              <w:bottom w:val="single" w:sz="8" w:color="CCEEFF"/>
            </w:tcBorders>
            <w:gridSpan w:val="2"/>
          </w:tcPr>
          <w:p>
            <w:pPr>
              <w:ind w:left="100"/>
              <w:spacing w:after="0" w:line="189" w:lineRule="exact"/>
              <w:rPr>
                <w:sz w:val="20"/>
                <w:szCs w:val="20"/>
                <w:color w:val="auto"/>
              </w:rPr>
            </w:pPr>
            <w:r>
              <w:rPr>
                <w:rFonts w:ascii="Arial" w:cs="Arial" w:eastAsia="Arial" w:hAnsi="Arial"/>
                <w:sz w:val="14"/>
                <w:szCs w:val="14"/>
                <w:color w:val="auto"/>
              </w:rPr>
              <w:t>Intersegment revenue</w:t>
            </w:r>
            <w:r>
              <w:rPr>
                <w:rFonts w:ascii="Arial" w:cs="Arial" w:eastAsia="Arial" w:hAnsi="Arial"/>
                <w:sz w:val="21"/>
                <w:szCs w:val="21"/>
                <w:color w:val="auto"/>
                <w:vertAlign w:val="superscript"/>
              </w:rPr>
              <w:t>(1)</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1,181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10,932</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11,358</w:t>
            </w: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12,154</w:t>
            </w:r>
          </w:p>
        </w:tc>
      </w:tr>
      <w:tr>
        <w:trPr>
          <w:trHeight w:val="183"/>
        </w:trPr>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revenue before intersegment eliminations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200,932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6,180,330</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195,630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5,916,757</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194,827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6,044,874</w:t>
            </w:r>
          </w:p>
        </w:tc>
      </w:tr>
      <w:tr>
        <w:trPr>
          <w:trHeight w:val="189"/>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Segment expenses:</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330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4"/>
                <w:szCs w:val="14"/>
                <w:color w:val="auto"/>
              </w:rPr>
              <w:t>Adjusted costs applicable to revenue</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84,082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4,407,456</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70,557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4,203,549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58,765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4,283,700</w:t>
            </w:r>
          </w:p>
        </w:tc>
      </w:tr>
      <w:tr>
        <w:trPr>
          <w:trHeight w:val="189"/>
        </w:trPr>
        <w:tc>
          <w:tcPr>
            <w:tcW w:w="3300" w:type="dxa"/>
            <w:vAlign w:val="bottom"/>
            <w:gridSpan w:val="2"/>
          </w:tcPr>
          <w:p>
            <w:pPr>
              <w:ind w:left="100"/>
              <w:spacing w:after="0" w:line="189" w:lineRule="exact"/>
              <w:rPr>
                <w:sz w:val="20"/>
                <w:szCs w:val="20"/>
                <w:color w:val="auto"/>
              </w:rPr>
            </w:pPr>
            <w:r>
              <w:rPr>
                <w:rFonts w:ascii="Arial" w:cs="Arial" w:eastAsia="Arial" w:hAnsi="Arial"/>
                <w:sz w:val="14"/>
                <w:szCs w:val="14"/>
                <w:color w:val="auto"/>
              </w:rPr>
              <w:t>Intersegment costs applicable to revenue</w:t>
            </w:r>
            <w:r>
              <w:rPr>
                <w:rFonts w:ascii="Arial" w:cs="Arial" w:eastAsia="Arial" w:hAnsi="Arial"/>
                <w:sz w:val="21"/>
                <w:szCs w:val="21"/>
                <w:color w:val="auto"/>
                <w:vertAlign w:val="superscript"/>
              </w:rPr>
              <w:t>(3)</w:t>
            </w:r>
          </w:p>
        </w:tc>
        <w:tc>
          <w:tcPr>
            <w:tcW w:w="1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742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11,615</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9,780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9,814</w:t>
            </w:r>
          </w:p>
        </w:tc>
      </w:tr>
      <w:tr>
        <w:trPr>
          <w:trHeight w:val="189"/>
        </w:trPr>
        <w:tc>
          <w:tcPr>
            <w:tcW w:w="330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4"/>
                <w:szCs w:val="14"/>
                <w:color w:val="auto"/>
              </w:rPr>
              <w:t>Adjusted selling, general and administrative</w:t>
            </w:r>
            <w:r>
              <w:rPr>
                <w:rFonts w:ascii="Arial" w:cs="Arial" w:eastAsia="Arial" w:hAnsi="Arial"/>
                <w:sz w:val="21"/>
                <w:szCs w:val="21"/>
                <w:color w:val="auto"/>
                <w:vertAlign w:val="superscript"/>
              </w:rPr>
              <w:t>(4)</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30,432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1,514,890</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29,774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1,509,557</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24,273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1,479,642</w:t>
            </w:r>
          </w:p>
        </w:tc>
      </w:tr>
      <w:tr>
        <w:trPr>
          <w:trHeight w:val="189"/>
        </w:trPr>
        <w:tc>
          <w:tcPr>
            <w:tcW w:w="3300" w:type="dxa"/>
            <w:vAlign w:val="bottom"/>
            <w:gridSpan w:val="2"/>
          </w:tcPr>
          <w:p>
            <w:pPr>
              <w:ind w:left="100"/>
              <w:spacing w:after="0"/>
              <w:rPr>
                <w:sz w:val="20"/>
                <w:szCs w:val="20"/>
                <w:color w:val="auto"/>
              </w:rPr>
            </w:pPr>
            <w:r>
              <w:rPr>
                <w:rFonts w:ascii="Arial" w:cs="Arial" w:eastAsia="Arial" w:hAnsi="Arial"/>
                <w:sz w:val="14"/>
                <w:szCs w:val="14"/>
                <w:color w:val="auto"/>
              </w:rPr>
              <w:t>Floor plan interest expense</w:t>
            </w:r>
          </w:p>
        </w:tc>
        <w:tc>
          <w:tcPr>
            <w:tcW w:w="140" w:type="dxa"/>
            <w:vAlign w:val="bottom"/>
          </w:tcPr>
          <w:p>
            <w:pPr>
              <w:spacing w:after="0"/>
              <w:rPr>
                <w:sz w:val="16"/>
                <w:szCs w:val="16"/>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76,786</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95,121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83,075</w:t>
            </w:r>
          </w:p>
        </w:tc>
      </w:tr>
      <w:tr>
        <w:trPr>
          <w:trHeight w:val="189"/>
        </w:trPr>
        <w:tc>
          <w:tcPr>
            <w:tcW w:w="330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4"/>
                <w:szCs w:val="14"/>
                <w:color w:val="auto"/>
              </w:rPr>
              <w:t>Other segment items</w:t>
            </w:r>
            <w:r>
              <w:rPr>
                <w:rFonts w:ascii="Arial" w:cs="Arial" w:eastAsia="Arial" w:hAnsi="Arial"/>
                <w:sz w:val="21"/>
                <w:szCs w:val="21"/>
                <w:color w:val="auto"/>
                <w:vertAlign w:val="superscript"/>
              </w:rPr>
              <w:t>(5)</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r>
      <w:tr>
        <w:trPr>
          <w:trHeight w:val="183"/>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Segment Adjusted EBITDA</w:t>
            </w: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85,676</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169,738</w:t>
            </w:r>
          </w:p>
        </w:tc>
        <w:tc>
          <w:tcPr>
            <w:tcW w:w="1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94,515</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98,562</w:t>
            </w: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110,880</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188,329</w:t>
            </w:r>
          </w:p>
        </w:tc>
      </w:tr>
      <w:tr>
        <w:trPr>
          <w:trHeight w:val="20"/>
        </w:trPr>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80" w:hanging="330"/>
        <w:spacing w:after="0"/>
        <w:tabs>
          <w:tab w:leader="none" w:pos="380" w:val="left"/>
        </w:tabs>
        <w:numPr>
          <w:ilvl w:val="0"/>
          <w:numId w:val="79"/>
        </w:numPr>
        <w:rPr>
          <w:rFonts w:ascii="Arial" w:cs="Arial" w:eastAsia="Arial" w:hAnsi="Arial"/>
          <w:sz w:val="22"/>
          <w:szCs w:val="22"/>
          <w:color w:val="auto"/>
          <w:vertAlign w:val="superscript"/>
        </w:rPr>
      </w:pPr>
      <w:r>
        <w:rPr>
          <w:rFonts w:ascii="Arial" w:cs="Arial" w:eastAsia="Arial" w:hAnsi="Arial"/>
          <w:sz w:val="14"/>
          <w:szCs w:val="14"/>
          <w:color w:val="auto"/>
        </w:rPr>
        <w:t>Intersegment revenue consists of segment revenue that is eliminated in our consolidated statements of operations.</w:t>
      </w:r>
    </w:p>
    <w:p>
      <w:pPr>
        <w:spacing w:after="0" w:line="94" w:lineRule="exact"/>
        <w:rPr>
          <w:rFonts w:ascii="Arial" w:cs="Arial" w:eastAsia="Arial" w:hAnsi="Arial"/>
          <w:sz w:val="22"/>
          <w:szCs w:val="22"/>
          <w:color w:val="auto"/>
          <w:vertAlign w:val="superscript"/>
        </w:rPr>
      </w:pPr>
    </w:p>
    <w:p>
      <w:pPr>
        <w:ind w:left="380" w:right="79" w:hanging="330"/>
        <w:spacing w:after="0" w:line="211" w:lineRule="auto"/>
        <w:tabs>
          <w:tab w:leader="none" w:pos="380" w:val="left"/>
        </w:tabs>
        <w:numPr>
          <w:ilvl w:val="0"/>
          <w:numId w:val="79"/>
        </w:numPr>
        <w:rPr>
          <w:rFonts w:ascii="Arial" w:cs="Arial" w:eastAsia="Arial" w:hAnsi="Arial"/>
          <w:sz w:val="22"/>
          <w:szCs w:val="22"/>
          <w:color w:val="auto"/>
          <w:vertAlign w:val="superscript"/>
        </w:rPr>
      </w:pPr>
      <w:r>
        <w:rPr>
          <w:rFonts w:ascii="Arial" w:cs="Arial" w:eastAsia="Arial" w:hAnsi="Arial"/>
          <w:sz w:val="14"/>
          <w:szCs w:val="14"/>
          <w:color w:val="auto"/>
        </w:rPr>
        <w:t>Adjusted costs applicable to revenue exclude stock-based compensation expense, restructuring costs, and intersegment costs applicable to revenue.</w:t>
      </w:r>
    </w:p>
    <w:p>
      <w:pPr>
        <w:spacing w:after="0" w:line="80" w:lineRule="exact"/>
        <w:rPr>
          <w:rFonts w:ascii="Arial" w:cs="Arial" w:eastAsia="Arial" w:hAnsi="Arial"/>
          <w:sz w:val="22"/>
          <w:szCs w:val="22"/>
          <w:color w:val="auto"/>
          <w:vertAlign w:val="superscript"/>
        </w:rPr>
      </w:pPr>
    </w:p>
    <w:p>
      <w:pPr>
        <w:ind w:left="380" w:right="79" w:hanging="330"/>
        <w:spacing w:after="0" w:line="212" w:lineRule="auto"/>
        <w:tabs>
          <w:tab w:leader="none" w:pos="380" w:val="left"/>
        </w:tabs>
        <w:numPr>
          <w:ilvl w:val="0"/>
          <w:numId w:val="79"/>
        </w:numPr>
        <w:rPr>
          <w:rFonts w:ascii="Arial" w:cs="Arial" w:eastAsia="Arial" w:hAnsi="Arial"/>
          <w:sz w:val="22"/>
          <w:szCs w:val="22"/>
          <w:color w:val="auto"/>
          <w:vertAlign w:val="superscript"/>
        </w:rPr>
      </w:pPr>
      <w:r>
        <w:rPr>
          <w:rFonts w:ascii="Arial" w:cs="Arial" w:eastAsia="Arial" w:hAnsi="Arial"/>
          <w:sz w:val="14"/>
          <w:szCs w:val="14"/>
          <w:color w:val="auto"/>
        </w:rPr>
        <w:t>Intersegment costs applicable to revenue consist of segment costs applicable to revenue that are eliminated in our consolidated statements of operations.</w:t>
      </w:r>
    </w:p>
    <w:p>
      <w:pPr>
        <w:spacing w:after="0" w:line="79" w:lineRule="exact"/>
        <w:rPr>
          <w:rFonts w:ascii="Arial" w:cs="Arial" w:eastAsia="Arial" w:hAnsi="Arial"/>
          <w:sz w:val="22"/>
          <w:szCs w:val="22"/>
          <w:color w:val="auto"/>
          <w:vertAlign w:val="superscript"/>
        </w:rPr>
      </w:pPr>
    </w:p>
    <w:p>
      <w:pPr>
        <w:ind w:left="380" w:right="79" w:hanging="330"/>
        <w:spacing w:after="0" w:line="212" w:lineRule="auto"/>
        <w:tabs>
          <w:tab w:leader="none" w:pos="380" w:val="left"/>
        </w:tabs>
        <w:numPr>
          <w:ilvl w:val="0"/>
          <w:numId w:val="79"/>
        </w:numPr>
        <w:rPr>
          <w:rFonts w:ascii="Arial" w:cs="Arial" w:eastAsia="Arial" w:hAnsi="Arial"/>
          <w:sz w:val="22"/>
          <w:szCs w:val="22"/>
          <w:color w:val="auto"/>
          <w:vertAlign w:val="superscript"/>
        </w:rPr>
      </w:pPr>
      <w:r>
        <w:rPr>
          <w:rFonts w:ascii="Arial" w:cs="Arial" w:eastAsia="Arial" w:hAnsi="Arial"/>
          <w:sz w:val="14"/>
          <w:szCs w:val="14"/>
          <w:color w:val="auto"/>
        </w:rPr>
        <w:t>Adjusted selling, general, and administrative expenses excludes stock-based compensation expense, restructuring costs, and intersegment operating expenses.</w:t>
      </w:r>
    </w:p>
    <w:p>
      <w:pPr>
        <w:spacing w:after="0" w:line="79" w:lineRule="exact"/>
        <w:rPr>
          <w:rFonts w:ascii="Arial" w:cs="Arial" w:eastAsia="Arial" w:hAnsi="Arial"/>
          <w:sz w:val="22"/>
          <w:szCs w:val="22"/>
          <w:color w:val="auto"/>
          <w:vertAlign w:val="superscript"/>
        </w:rPr>
      </w:pPr>
    </w:p>
    <w:p>
      <w:pPr>
        <w:ind w:left="380" w:right="79" w:hanging="330"/>
        <w:spacing w:after="0" w:line="212" w:lineRule="auto"/>
        <w:tabs>
          <w:tab w:leader="none" w:pos="380" w:val="left"/>
        </w:tabs>
        <w:numPr>
          <w:ilvl w:val="0"/>
          <w:numId w:val="79"/>
        </w:numPr>
        <w:rPr>
          <w:rFonts w:ascii="Arial" w:cs="Arial" w:eastAsia="Arial" w:hAnsi="Arial"/>
          <w:sz w:val="22"/>
          <w:szCs w:val="22"/>
          <w:color w:val="auto"/>
          <w:vertAlign w:val="superscript"/>
        </w:rPr>
      </w:pPr>
      <w:r>
        <w:rPr>
          <w:rFonts w:ascii="Arial" w:cs="Arial" w:eastAsia="Arial" w:hAnsi="Arial"/>
          <w:sz w:val="14"/>
          <w:szCs w:val="14"/>
          <w:color w:val="auto"/>
        </w:rPr>
        <w:t>Other segment items include (i) intersegment operating expenses, which are eliminated in our consolidated statements of operations, and (ii) other expense, net excluding loss and/or impairment on investments in equity securities.</w:t>
      </w:r>
    </w:p>
    <w:p>
      <w:pPr>
        <w:spacing w:after="0" w:line="363"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4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4"/>
              </w:rPr>
              <w:t>Year Ended December 31,</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83"/>
        </w:trPr>
        <w:tc>
          <w:tcPr>
            <w:tcW w:w="4340" w:type="dxa"/>
            <w:vAlign w:val="bottom"/>
          </w:tcPr>
          <w:p>
            <w:pPr>
              <w:spacing w:after="0"/>
              <w:rPr>
                <w:sz w:val="20"/>
                <w:szCs w:val="20"/>
                <w:color w:val="auto"/>
              </w:rPr>
            </w:pPr>
            <w:r>
              <w:rPr>
                <w:rFonts w:ascii="Arial" w:cs="Arial" w:eastAsia="Arial" w:hAnsi="Arial"/>
                <w:sz w:val="11"/>
                <w:szCs w:val="11"/>
                <w:color w:val="auto"/>
              </w:rPr>
              <w:t>($ in thousands)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69"/>
              <w:spacing w:after="0"/>
              <w:rPr>
                <w:sz w:val="20"/>
                <w:szCs w:val="20"/>
                <w:color w:val="auto"/>
              </w:rPr>
            </w:pPr>
            <w:r>
              <w:rPr>
                <w:rFonts w:ascii="Arial" w:cs="Arial" w:eastAsia="Arial" w:hAnsi="Arial"/>
                <w:sz w:val="12"/>
                <w:szCs w:val="12"/>
                <w:b w:val="1"/>
                <w:bCs w:val="1"/>
                <w:color w:val="auto"/>
              </w:rPr>
              <w:t>2025</w:t>
            </w: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69"/>
              <w:spacing w:after="0"/>
              <w:rPr>
                <w:sz w:val="20"/>
                <w:szCs w:val="20"/>
                <w:color w:val="auto"/>
              </w:rPr>
            </w:pPr>
            <w:r>
              <w:rPr>
                <w:rFonts w:ascii="Arial" w:cs="Arial" w:eastAsia="Arial" w:hAnsi="Arial"/>
                <w:sz w:val="12"/>
                <w:szCs w:val="12"/>
                <w:b w:val="1"/>
                <w:bCs w:val="1"/>
                <w:color w:val="auto"/>
              </w:rPr>
              <w:t>2024</w:t>
            </w:r>
          </w:p>
        </w:tc>
        <w:tc>
          <w:tcPr>
            <w:tcW w:w="460" w:type="dxa"/>
            <w:vAlign w:val="bottom"/>
            <w:gridSpan w:val="3"/>
          </w:tcPr>
          <w:p>
            <w:pPr>
              <w:jc w:val="right"/>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69"/>
              <w:spacing w:after="0"/>
              <w:rPr>
                <w:sz w:val="20"/>
                <w:szCs w:val="20"/>
                <w:color w:val="auto"/>
              </w:rPr>
            </w:pPr>
            <w:r>
              <w:rPr>
                <w:rFonts w:ascii="Arial" w:cs="Arial" w:eastAsia="Arial" w:hAnsi="Arial"/>
                <w:sz w:val="12"/>
                <w:szCs w:val="12"/>
                <w:b w:val="1"/>
                <w:bCs w:val="1"/>
                <w:color w:val="auto"/>
              </w:rPr>
              <w:t>2023</w:t>
            </w:r>
          </w:p>
        </w:tc>
      </w:tr>
      <w:tr>
        <w:trPr>
          <w:trHeight w:val="183"/>
        </w:trPr>
        <w:tc>
          <w:tcPr>
            <w:tcW w:w="4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r>
      <w:tr>
        <w:trPr>
          <w:trHeight w:val="189"/>
        </w:trPr>
        <w:tc>
          <w:tcPr>
            <w:tcW w:w="4340" w:type="dxa"/>
            <w:vAlign w:val="bottom"/>
          </w:tcPr>
          <w:p>
            <w:pPr>
              <w:ind w:left="100"/>
              <w:spacing w:after="0"/>
              <w:rPr>
                <w:sz w:val="20"/>
                <w:szCs w:val="20"/>
                <w:color w:val="auto"/>
              </w:rPr>
            </w:pPr>
            <w:r>
              <w:rPr>
                <w:rFonts w:ascii="Arial" w:cs="Arial" w:eastAsia="Arial" w:hAnsi="Arial"/>
                <w:sz w:val="14"/>
                <w:szCs w:val="14"/>
                <w:color w:val="auto"/>
              </w:rPr>
              <w:t>Good Sam Services and Plans Segment</w:t>
            </w: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200,932</w:t>
            </w:r>
          </w:p>
        </w:tc>
        <w:tc>
          <w:tcPr>
            <w:tcW w:w="160" w:type="dxa"/>
            <w:vAlign w:val="bottom"/>
          </w:tcPr>
          <w:p>
            <w:pPr>
              <w:spacing w:after="0"/>
              <w:rPr>
                <w:sz w:val="16"/>
                <w:szCs w:val="16"/>
                <w:color w:val="auto"/>
              </w:rPr>
            </w:pP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195,630</w:t>
            </w:r>
          </w:p>
        </w:tc>
        <w:tc>
          <w:tcPr>
            <w:tcW w:w="460" w:type="dxa"/>
            <w:vAlign w:val="bottom"/>
            <w:gridSpan w:val="3"/>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194,827</w:t>
            </w:r>
          </w:p>
        </w:tc>
      </w:tr>
      <w:tr>
        <w:trPr>
          <w:trHeight w:val="189"/>
        </w:trPr>
        <w:tc>
          <w:tcPr>
            <w:tcW w:w="43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RV and Outdoor Retail Segment</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6,180,330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5,916,757</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6,044,874</w:t>
            </w:r>
          </w:p>
        </w:tc>
      </w:tr>
      <w:tr>
        <w:trPr>
          <w:trHeight w:val="183"/>
        </w:trPr>
        <w:tc>
          <w:tcPr>
            <w:tcW w:w="4340" w:type="dxa"/>
            <w:vAlign w:val="bottom"/>
          </w:tcPr>
          <w:p>
            <w:pPr>
              <w:spacing w:after="0"/>
              <w:rPr>
                <w:sz w:val="20"/>
                <w:szCs w:val="20"/>
                <w:color w:val="auto"/>
              </w:rPr>
            </w:pPr>
            <w:r>
              <w:rPr>
                <w:rFonts w:ascii="Arial" w:cs="Arial" w:eastAsia="Arial" w:hAnsi="Arial"/>
                <w:sz w:val="14"/>
                <w:szCs w:val="14"/>
                <w:color w:val="auto"/>
              </w:rPr>
              <w:t>Total segment revenue</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6,381,262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6,112,387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6,239,701</w:t>
            </w:r>
          </w:p>
        </w:tc>
      </w:tr>
      <w:tr>
        <w:trPr>
          <w:trHeight w:val="189"/>
        </w:trPr>
        <w:tc>
          <w:tcPr>
            <w:tcW w:w="43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Intersegment eliminations</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(12,113)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(13,154)</w:t>
            </w:r>
          </w:p>
        </w:tc>
      </w:tr>
      <w:tr>
        <w:trPr>
          <w:trHeight w:val="183"/>
        </w:trPr>
        <w:tc>
          <w:tcPr>
            <w:tcW w:w="4340" w:type="dxa"/>
            <w:vAlign w:val="bottom"/>
          </w:tcPr>
          <w:p>
            <w:pPr>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6,369,149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6,099,974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6,226,547</w:t>
            </w:r>
          </w:p>
        </w:tc>
      </w:tr>
      <w:tr>
        <w:trPr>
          <w:trHeight w:val="189"/>
        </w:trPr>
        <w:tc>
          <w:tcPr>
            <w:tcW w:w="4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Segment Adjusted EBITDA:</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4340" w:type="dxa"/>
            <w:vAlign w:val="bottom"/>
          </w:tcPr>
          <w:p>
            <w:pPr>
              <w:ind w:left="100"/>
              <w:spacing w:after="0"/>
              <w:rPr>
                <w:sz w:val="20"/>
                <w:szCs w:val="20"/>
                <w:color w:val="auto"/>
              </w:rPr>
            </w:pPr>
            <w:r>
              <w:rPr>
                <w:rFonts w:ascii="Arial" w:cs="Arial" w:eastAsia="Arial" w:hAnsi="Arial"/>
                <w:sz w:val="14"/>
                <w:szCs w:val="14"/>
                <w:color w:val="auto"/>
              </w:rPr>
              <w:t>Good Sam Services and Plans Segment</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85,676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94,515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110,880</w:t>
            </w:r>
          </w:p>
        </w:tc>
      </w:tr>
      <w:tr>
        <w:trPr>
          <w:trHeight w:val="189"/>
        </w:trPr>
        <w:tc>
          <w:tcPr>
            <w:tcW w:w="43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RV and Outdoor Retail Segment</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169,738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98,562</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188,329</w:t>
            </w:r>
          </w:p>
        </w:tc>
      </w:tr>
      <w:tr>
        <w:trPr>
          <w:trHeight w:val="183"/>
        </w:trPr>
        <w:tc>
          <w:tcPr>
            <w:tcW w:w="4340" w:type="dxa"/>
            <w:vAlign w:val="bottom"/>
          </w:tcPr>
          <w:p>
            <w:pPr>
              <w:spacing w:after="0"/>
              <w:rPr>
                <w:sz w:val="20"/>
                <w:szCs w:val="20"/>
                <w:color w:val="auto"/>
              </w:rPr>
            </w:pPr>
            <w:r>
              <w:rPr>
                <w:rFonts w:ascii="Arial" w:cs="Arial" w:eastAsia="Arial" w:hAnsi="Arial"/>
                <w:sz w:val="14"/>
                <w:szCs w:val="14"/>
                <w:color w:val="auto"/>
              </w:rPr>
              <w:t>Total Segment Adjusted EBITDA</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255,414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193,077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299,209</w:t>
            </w:r>
          </w:p>
        </w:tc>
      </w:tr>
      <w:tr>
        <w:trPr>
          <w:trHeight w:val="189"/>
        </w:trPr>
        <w:tc>
          <w:tcPr>
            <w:tcW w:w="4340" w:type="dxa"/>
            <w:vAlign w:val="bottom"/>
            <w:shd w:val="clear" w:color="auto" w:fill="CCEEFF"/>
          </w:tcPr>
          <w:p>
            <w:pPr>
              <w:ind w:left="100"/>
              <w:spacing w:after="0" w:line="189" w:lineRule="exact"/>
              <w:rPr>
                <w:sz w:val="20"/>
                <w:szCs w:val="20"/>
                <w:color w:val="auto"/>
              </w:rPr>
            </w:pPr>
            <w:r>
              <w:rPr>
                <w:rFonts w:ascii="Arial" w:cs="Arial" w:eastAsia="Arial" w:hAnsi="Arial"/>
                <w:sz w:val="14"/>
                <w:szCs w:val="14"/>
                <w:color w:val="auto"/>
              </w:rPr>
              <w:t>Corporate SG&amp;A excluding SBC</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(10,880)</w:t>
            </w:r>
          </w:p>
        </w:tc>
      </w:tr>
      <w:tr>
        <w:trPr>
          <w:trHeight w:val="189"/>
        </w:trPr>
        <w:tc>
          <w:tcPr>
            <w:tcW w:w="434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(95,335)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(81,190)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(68,643)</w:t>
            </w:r>
          </w:p>
        </w:tc>
      </w:tr>
      <w:tr>
        <w:trPr>
          <w:trHeight w:val="189"/>
        </w:trPr>
        <w:tc>
          <w:tcPr>
            <w:tcW w:w="43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Long-lived asset impairment</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(9,269)</w:t>
            </w:r>
          </w:p>
        </w:tc>
      </w:tr>
      <w:tr>
        <w:trPr>
          <w:trHeight w:val="189"/>
        </w:trPr>
        <w:tc>
          <w:tcPr>
            <w:tcW w:w="4340" w:type="dxa"/>
            <w:vAlign w:val="bottom"/>
          </w:tcPr>
          <w:p>
            <w:pPr>
              <w:ind w:left="100"/>
              <w:spacing w:after="0"/>
              <w:rPr>
                <w:sz w:val="20"/>
                <w:szCs w:val="20"/>
                <w:color w:val="auto"/>
              </w:rPr>
            </w:pPr>
            <w:r>
              <w:rPr>
                <w:rFonts w:ascii="Arial" w:cs="Arial" w:eastAsia="Arial" w:hAnsi="Arial"/>
                <w:sz w:val="14"/>
                <w:szCs w:val="14"/>
                <w:color w:val="auto"/>
              </w:rPr>
              <w:t>Gain on lease termination and/or remeasurement</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1,996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2,297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189"/>
        </w:trPr>
        <w:tc>
          <w:tcPr>
            <w:tcW w:w="43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Gain (loss) on sale or disposal of assets</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(9,855)</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5,222</w:t>
            </w:r>
          </w:p>
        </w:tc>
      </w:tr>
      <w:tr>
        <w:trPr>
          <w:trHeight w:val="189"/>
        </w:trPr>
        <w:tc>
          <w:tcPr>
            <w:tcW w:w="4340" w:type="dxa"/>
            <w:vAlign w:val="bottom"/>
          </w:tcPr>
          <w:p>
            <w:pPr>
              <w:ind w:left="100"/>
              <w:spacing w:after="0" w:line="189" w:lineRule="exact"/>
              <w:rPr>
                <w:sz w:val="20"/>
                <w:szCs w:val="20"/>
                <w:color w:val="auto"/>
              </w:rPr>
            </w:pPr>
            <w:r>
              <w:rPr>
                <w:rFonts w:ascii="Arial" w:cs="Arial" w:eastAsia="Arial" w:hAnsi="Arial"/>
                <w:sz w:val="14"/>
                <w:szCs w:val="14"/>
                <w:color w:val="auto"/>
              </w:rPr>
              <w:t>Stock-based compensation</w:t>
            </w:r>
            <w:r>
              <w:rPr>
                <w:rFonts w:ascii="Arial" w:cs="Arial" w:eastAsia="Arial" w:hAnsi="Arial"/>
                <w:sz w:val="21"/>
                <w:szCs w:val="21"/>
                <w:color w:val="auto"/>
                <w:vertAlign w:val="superscript"/>
              </w:rPr>
              <w:t>(2)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(44,278)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(21,585)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(24,086)</w:t>
            </w:r>
          </w:p>
        </w:tc>
      </w:tr>
      <w:tr>
        <w:trPr>
          <w:trHeight w:val="189"/>
        </w:trPr>
        <w:tc>
          <w:tcPr>
            <w:tcW w:w="4340" w:type="dxa"/>
            <w:vAlign w:val="bottom"/>
            <w:shd w:val="clear" w:color="auto" w:fill="CCEEFF"/>
          </w:tcPr>
          <w:p>
            <w:pPr>
              <w:ind w:left="100"/>
              <w:spacing w:after="0" w:line="189" w:lineRule="exact"/>
              <w:rPr>
                <w:sz w:val="20"/>
                <w:szCs w:val="20"/>
                <w:color w:val="auto"/>
              </w:rPr>
            </w:pPr>
            <w:r>
              <w:rPr>
                <w:rFonts w:ascii="Arial" w:cs="Arial" w:eastAsia="Arial" w:hAnsi="Arial"/>
                <w:sz w:val="14"/>
                <w:szCs w:val="14"/>
                <w:color w:val="auto"/>
              </w:rPr>
              <w:t>Restructuring costs</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(5,540)</w:t>
            </w:r>
          </w:p>
        </w:tc>
      </w:tr>
      <w:tr>
        <w:trPr>
          <w:trHeight w:val="189"/>
        </w:trPr>
        <w:tc>
          <w:tcPr>
            <w:tcW w:w="4340" w:type="dxa"/>
            <w:vAlign w:val="bottom"/>
          </w:tcPr>
          <w:p>
            <w:pPr>
              <w:ind w:left="100"/>
              <w:spacing w:after="0" w:line="189" w:lineRule="exact"/>
              <w:rPr>
                <w:sz w:val="20"/>
                <w:szCs w:val="20"/>
                <w:color w:val="auto"/>
              </w:rPr>
            </w:pPr>
            <w:r>
              <w:rPr>
                <w:rFonts w:ascii="Arial" w:cs="Arial" w:eastAsia="Arial" w:hAnsi="Arial"/>
                <w:sz w:val="14"/>
                <w:szCs w:val="14"/>
                <w:color w:val="auto"/>
              </w:rPr>
              <w:t>Loss and impairment on investments in equity securities</w:t>
            </w:r>
            <w:r>
              <w:rPr>
                <w:rFonts w:ascii="Arial" w:cs="Arial" w:eastAsia="Arial" w:hAnsi="Arial"/>
                <w:sz w:val="21"/>
                <w:szCs w:val="21"/>
                <w:color w:val="auto"/>
                <w:vertAlign w:val="superscript"/>
              </w:rPr>
              <w:t>(4)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(10,379)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(3,262)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(1,770)</w:t>
            </w:r>
          </w:p>
        </w:tc>
      </w:tr>
      <w:tr>
        <w:trPr>
          <w:trHeight w:val="189"/>
        </w:trPr>
        <w:tc>
          <w:tcPr>
            <w:tcW w:w="43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interest expense, net</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(140,444)</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(135,270)</w:t>
            </w:r>
          </w:p>
        </w:tc>
      </w:tr>
      <w:tr>
        <w:trPr>
          <w:trHeight w:val="189"/>
        </w:trPr>
        <w:tc>
          <w:tcPr>
            <w:tcW w:w="4340" w:type="dxa"/>
            <w:vAlign w:val="bottom"/>
          </w:tcPr>
          <w:p>
            <w:pPr>
              <w:ind w:left="100"/>
              <w:spacing w:after="0"/>
              <w:rPr>
                <w:sz w:val="20"/>
                <w:szCs w:val="20"/>
                <w:color w:val="auto"/>
              </w:rPr>
            </w:pPr>
            <w:r>
              <w:rPr>
                <w:rFonts w:ascii="Arial" w:cs="Arial" w:eastAsia="Arial" w:hAnsi="Arial"/>
                <w:sz w:val="14"/>
                <w:szCs w:val="14"/>
                <w:color w:val="auto"/>
              </w:rPr>
              <w:t>Tax Receivable Agreement liability adjustment</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148,956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2,442</w:t>
            </w:r>
          </w:p>
        </w:tc>
      </w:tr>
      <w:tr>
        <w:trPr>
          <w:trHeight w:val="189"/>
        </w:trPr>
        <w:tc>
          <w:tcPr>
            <w:tcW w:w="4340" w:type="dxa"/>
            <w:vAlign w:val="bottom"/>
            <w:shd w:val="clear" w:color="auto" w:fill="CCEEFF"/>
          </w:tcPr>
          <w:p>
            <w:pPr>
              <w:ind w:left="100"/>
              <w:spacing w:after="0" w:line="189" w:lineRule="exact"/>
              <w:rPr>
                <w:sz w:val="20"/>
                <w:szCs w:val="20"/>
                <w:color w:val="auto"/>
              </w:rPr>
            </w:pPr>
            <w:r>
              <w:rPr>
                <w:rFonts w:ascii="Arial" w:cs="Arial" w:eastAsia="Arial" w:hAnsi="Arial"/>
                <w:sz w:val="14"/>
                <w:szCs w:val="14"/>
                <w:color w:val="auto"/>
              </w:rPr>
              <w:t>Intersegment eliminations</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(2,116)</w:t>
            </w:r>
          </w:p>
        </w:tc>
      </w:tr>
      <w:tr>
        <w:trPr>
          <w:trHeight w:val="183"/>
        </w:trPr>
        <w:tc>
          <w:tcPr>
            <w:tcW w:w="434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16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120,159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(90,257)</w:t>
            </w:r>
          </w:p>
        </w:tc>
        <w:tc>
          <w:tcPr>
            <w:tcW w:w="180" w:type="dxa"/>
            <w:vAlign w:val="bottom"/>
            <w:gridSpan w:val="2"/>
          </w:tcPr>
          <w:p>
            <w:pPr>
              <w:spacing w:after="0"/>
              <w:rPr>
                <w:sz w:val="15"/>
                <w:szCs w:val="15"/>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49,402</w:t>
            </w:r>
          </w:p>
        </w:tc>
      </w:tr>
      <w:tr>
        <w:trPr>
          <w:trHeight w:val="20"/>
        </w:trPr>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left="380" w:right="79" w:hanging="330"/>
        <w:spacing w:after="0" w:line="231" w:lineRule="auto"/>
        <w:tabs>
          <w:tab w:leader="none" w:pos="380"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Corporate selling, general, and administrative excluding stock-based compensation represents corporate selling, general, and administrative expenses that are not allocated to the segments and are comprised primarily of the costs associated with being a public company. This amount excludes the stock-based compensation that is not allocated to the segments, such as stock-based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0" w:right="79"/>
        <w:spacing w:after="0" w:line="325" w:lineRule="auto"/>
        <w:rPr>
          <w:sz w:val="20"/>
          <w:szCs w:val="20"/>
          <w:color w:val="auto"/>
        </w:rPr>
      </w:pPr>
      <w:r>
        <w:rPr>
          <w:rFonts w:ascii="Arial" w:cs="Arial" w:eastAsia="Arial" w:hAnsi="Arial"/>
          <w:sz w:val="14"/>
          <w:szCs w:val="14"/>
          <w:color w:val="auto"/>
        </w:rPr>
        <w:t>compensation relating to the Board of Directors for their service as board members, since it is presented as part of the stock-based compensation reconciling line item in this table.</w:t>
      </w:r>
    </w:p>
    <w:p>
      <w:pPr>
        <w:spacing w:after="0" w:line="36" w:lineRule="exact"/>
        <w:rPr>
          <w:sz w:val="20"/>
          <w:szCs w:val="20"/>
          <w:color w:val="auto"/>
        </w:rPr>
      </w:pPr>
    </w:p>
    <w:p>
      <w:pPr>
        <w:jc w:val="both"/>
        <w:ind w:left="380" w:right="79" w:hanging="330"/>
        <w:spacing w:after="0" w:line="237" w:lineRule="auto"/>
        <w:tabs>
          <w:tab w:leader="none" w:pos="38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This stock-based compensation amount includes stock-based compensation allocated to the segments and stock-based compensation relating to the Board of Directors for their service as board members that is not allocated to the segments (See Note 21 — Stock-Based Compensation Plans).</w:t>
      </w:r>
    </w:p>
    <w:p>
      <w:pPr>
        <w:spacing w:after="0" w:line="93" w:lineRule="exact"/>
        <w:rPr>
          <w:rFonts w:ascii="Arial" w:cs="Arial" w:eastAsia="Arial" w:hAnsi="Arial"/>
          <w:sz w:val="22"/>
          <w:szCs w:val="22"/>
          <w:color w:val="auto"/>
          <w:vertAlign w:val="superscript"/>
        </w:rPr>
      </w:pPr>
    </w:p>
    <w:p>
      <w:pPr>
        <w:jc w:val="both"/>
        <w:ind w:left="380" w:right="79" w:hanging="330"/>
        <w:spacing w:after="0" w:line="243" w:lineRule="auto"/>
        <w:tabs>
          <w:tab w:leader="none" w:pos="38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Represents restructuring costs relating to the Active Sports Restructuring for periods ended on or before December 31, 2023 and excludes our 2019 Strategic Shift. These restructuring costs include one-time employee termination benefits, incremental inventory reserve charges, and other associated costs. These costs exclude lease termination costs, which are presented as a separate reconciling line item. See Note 5 – Restructuring and Long-Lived Asset Impairment for additional information.</w:t>
      </w:r>
    </w:p>
    <w:p>
      <w:pPr>
        <w:spacing w:after="0" w:line="105" w:lineRule="exact"/>
        <w:rPr>
          <w:rFonts w:ascii="Arial" w:cs="Arial" w:eastAsia="Arial" w:hAnsi="Arial"/>
          <w:sz w:val="22"/>
          <w:szCs w:val="22"/>
          <w:color w:val="auto"/>
          <w:vertAlign w:val="superscript"/>
        </w:rPr>
      </w:pPr>
    </w:p>
    <w:p>
      <w:pPr>
        <w:ind w:left="380" w:right="79" w:hanging="330"/>
        <w:spacing w:after="0" w:line="219" w:lineRule="auto"/>
        <w:tabs>
          <w:tab w:leader="none" w:pos="38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Represents loss and/or impairment on investments in equity securities and interest income relating to any notes receivables with those investments.</w:t>
      </w:r>
    </w:p>
    <w:p>
      <w:pPr>
        <w:spacing w:after="0" w:line="32" w:lineRule="exact"/>
        <w:rPr>
          <w:rFonts w:ascii="Arial" w:cs="Arial" w:eastAsia="Arial" w:hAnsi="Arial"/>
          <w:sz w:val="22"/>
          <w:szCs w:val="22"/>
          <w:color w:val="auto"/>
          <w:vertAlign w:val="superscript"/>
        </w:rPr>
      </w:pPr>
    </w:p>
    <w:p>
      <w:pPr>
        <w:ind w:left="380" w:hanging="330"/>
        <w:spacing w:after="0"/>
        <w:tabs>
          <w:tab w:leader="none" w:pos="38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Represents the net impact of intersegment eliminations on income (loss) before income taxes.</w:t>
      </w:r>
    </w:p>
    <w:p>
      <w:pPr>
        <w:spacing w:after="0" w:line="200" w:lineRule="exact"/>
        <w:rPr>
          <w:sz w:val="20"/>
          <w:szCs w:val="20"/>
          <w:color w:val="auto"/>
        </w:rPr>
      </w:pPr>
    </w:p>
    <w:p>
      <w:pPr>
        <w:spacing w:after="0" w:line="312"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3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0"/>
          </w:tcPr>
          <w:p>
            <w:pPr>
              <w:jc w:val="center"/>
              <w:ind w:right="68"/>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400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26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5"/>
          </w:tcPr>
          <w:p>
            <w:pPr>
              <w:jc w:val="center"/>
              <w:ind w:left="108"/>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0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Depreciation and amortization:</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4000" w:type="dxa"/>
            <w:vAlign w:val="bottom"/>
            <w:gridSpan w:val="2"/>
          </w:tcPr>
          <w:p>
            <w:pPr>
              <w:ind w:left="100"/>
              <w:spacing w:after="0"/>
              <w:rPr>
                <w:sz w:val="20"/>
                <w:szCs w:val="20"/>
                <w:color w:val="auto"/>
              </w:rPr>
            </w:pPr>
            <w:r>
              <w:rPr>
                <w:rFonts w:ascii="Arial" w:cs="Arial" w:eastAsia="Arial" w:hAnsi="Arial"/>
                <w:sz w:val="14"/>
                <w:szCs w:val="14"/>
                <w:color w:val="auto"/>
              </w:rPr>
              <w:t>Good Sam Services and Plans</w:t>
            </w:r>
          </w:p>
        </w:tc>
        <w:tc>
          <w:tcPr>
            <w:tcW w:w="380" w:type="dxa"/>
            <w:vAlign w:val="bottom"/>
            <w:gridSpan w:val="4"/>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4,843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3,280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gridSpan w:val="3"/>
          </w:tcPr>
          <w:p>
            <w:pPr>
              <w:ind w:left="20"/>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3,278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90,492</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77,910</w:t>
            </w: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65,365</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4000" w:type="dxa"/>
            <w:vAlign w:val="bottom"/>
            <w:gridSpan w:val="2"/>
          </w:tcPr>
          <w:p>
            <w:pPr>
              <w:spacing w:after="0"/>
              <w:rPr>
                <w:sz w:val="20"/>
                <w:szCs w:val="20"/>
                <w:color w:val="auto"/>
              </w:rPr>
            </w:pPr>
            <w:r>
              <w:rPr>
                <w:rFonts w:ascii="Arial" w:cs="Arial" w:eastAsia="Arial" w:hAnsi="Arial"/>
                <w:sz w:val="14"/>
                <w:szCs w:val="14"/>
                <w:color w:val="auto"/>
              </w:rPr>
              <w:t>Total depreciation and amortization</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95,335</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81,190</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68,643</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3"/>
        </w:trPr>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0"/>
          </w:tcPr>
          <w:p>
            <w:pPr>
              <w:jc w:val="center"/>
              <w:ind w:right="108"/>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400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5"/>
          </w:tcPr>
          <w:p>
            <w:pPr>
              <w:jc w:val="center"/>
              <w:ind w:left="68"/>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160" w:type="dxa"/>
            <w:vAlign w:val="bottom"/>
            <w:gridSpan w:val="2"/>
          </w:tcPr>
          <w:p>
            <w:pPr>
              <w:ind w:left="40"/>
              <w:spacing w:after="0"/>
              <w:rPr>
                <w:sz w:val="20"/>
                <w:szCs w:val="20"/>
                <w:color w:val="auto"/>
              </w:rPr>
            </w:pPr>
            <w:r>
              <w:rPr>
                <w:rFonts w:ascii="Arial" w:cs="Arial" w:eastAsia="Arial" w:hAnsi="Arial"/>
                <w:sz w:val="14"/>
                <w:szCs w:val="14"/>
                <w:color w:val="auto"/>
              </w:rPr>
              <w:t>​​​</w:t>
            </w:r>
          </w:p>
        </w:tc>
      </w:tr>
      <w:tr>
        <w:trPr>
          <w:trHeight w:val="183"/>
        </w:trPr>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Other interest expense, net:</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4000" w:type="dxa"/>
            <w:vAlign w:val="bottom"/>
            <w:gridSpan w:val="2"/>
          </w:tcPr>
          <w:p>
            <w:pPr>
              <w:ind w:left="100"/>
              <w:spacing w:after="0"/>
              <w:rPr>
                <w:sz w:val="20"/>
                <w:szCs w:val="20"/>
                <w:color w:val="auto"/>
              </w:rPr>
            </w:pPr>
            <w:r>
              <w:rPr>
                <w:rFonts w:ascii="Arial" w:cs="Arial" w:eastAsia="Arial" w:hAnsi="Arial"/>
                <w:sz w:val="14"/>
                <w:szCs w:val="14"/>
                <w:color w:val="auto"/>
              </w:rPr>
              <w:t>Good Sam Services and Plans</w:t>
            </w:r>
          </w:p>
        </w:tc>
        <w:tc>
          <w:tcPr>
            <w:tcW w:w="380" w:type="dxa"/>
            <w:vAlign w:val="bottom"/>
            <w:gridSpan w:val="4"/>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(95)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(77)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gridSpan w:val="3"/>
          </w:tcPr>
          <w:p>
            <w:pPr>
              <w:jc w:val="right"/>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25,144</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30,373</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27,131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4000" w:type="dxa"/>
            <w:vAlign w:val="bottom"/>
            <w:gridSpan w:val="2"/>
          </w:tcPr>
          <w:p>
            <w:pPr>
              <w:ind w:left="100"/>
              <w:spacing w:after="0"/>
              <w:rPr>
                <w:sz w:val="20"/>
                <w:szCs w:val="20"/>
                <w:color w:val="auto"/>
              </w:rPr>
            </w:pPr>
            <w:r>
              <w:rPr>
                <w:rFonts w:ascii="Arial" w:cs="Arial" w:eastAsia="Arial" w:hAnsi="Arial"/>
                <w:sz w:val="14"/>
                <w:szCs w:val="14"/>
                <w:color w:val="auto"/>
              </w:rPr>
              <w:t>Subtotal</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25,049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30,296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26,927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4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Corporate &amp; other</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96,787</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110,148</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108,343</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4000" w:type="dxa"/>
            <w:vAlign w:val="bottom"/>
            <w:gridSpan w:val="2"/>
          </w:tcPr>
          <w:p>
            <w:pPr>
              <w:ind w:left="100"/>
              <w:spacing w:after="0"/>
              <w:rPr>
                <w:sz w:val="20"/>
                <w:szCs w:val="20"/>
                <w:color w:val="auto"/>
              </w:rPr>
            </w:pPr>
            <w:r>
              <w:rPr>
                <w:rFonts w:ascii="Arial" w:cs="Arial" w:eastAsia="Arial" w:hAnsi="Arial"/>
                <w:sz w:val="14"/>
                <w:szCs w:val="14"/>
                <w:color w:val="auto"/>
              </w:rPr>
              <w:t>Total other interest expense, net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121,836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140,444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76"/>
              </w:rPr>
              <w:t>$</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135,270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5"/>
        </w:trPr>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9"/>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7"/>
        </w:trPr>
        <w:tc>
          <w:tcPr>
            <w:tcW w:w="400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2025</w:t>
            </w:r>
          </w:p>
        </w:tc>
        <w:tc>
          <w:tcPr>
            <w:tcW w:w="460" w:type="dxa"/>
            <w:vAlign w:val="bottom"/>
          </w:tcPr>
          <w:p>
            <w:pPr>
              <w:spacing w:after="0"/>
              <w:rPr>
                <w:sz w:val="17"/>
                <w:szCs w:val="17"/>
                <w:color w:val="auto"/>
              </w:rPr>
            </w:pPr>
          </w:p>
        </w:tc>
        <w:tc>
          <w:tcPr>
            <w:tcW w:w="200" w:type="dxa"/>
            <w:vAlign w:val="bottom"/>
            <w:gridSpan w:val="3"/>
          </w:tcPr>
          <w:p>
            <w:pPr>
              <w:ind w:left="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40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4000" w:type="dxa"/>
            <w:vAlign w:val="bottom"/>
            <w:gridSpan w:val="2"/>
          </w:tcPr>
          <w:p>
            <w:pPr>
              <w:ind w:left="100"/>
              <w:spacing w:after="0"/>
              <w:rPr>
                <w:sz w:val="20"/>
                <w:szCs w:val="20"/>
                <w:color w:val="auto"/>
              </w:rPr>
            </w:pPr>
            <w:r>
              <w:rPr>
                <w:rFonts w:ascii="Arial" w:cs="Arial" w:eastAsia="Arial" w:hAnsi="Arial"/>
                <w:sz w:val="14"/>
                <w:szCs w:val="14"/>
                <w:color w:val="auto"/>
              </w:rPr>
              <w:t>Good Sam Services and Plans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5"/>
          </w:tcPr>
          <w:p>
            <w:pPr>
              <w:jc w:val="right"/>
              <w:spacing w:after="0"/>
              <w:rPr>
                <w:sz w:val="20"/>
                <w:szCs w:val="20"/>
                <w:color w:val="auto"/>
              </w:rPr>
            </w:pPr>
            <w:r>
              <w:rPr>
                <w:rFonts w:ascii="Arial" w:cs="Arial" w:eastAsia="Arial" w:hAnsi="Arial"/>
                <w:sz w:val="14"/>
                <w:szCs w:val="14"/>
                <w:color w:val="auto"/>
              </w:rPr>
              <w:t>127,282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121,876</w:t>
            </w:r>
          </w:p>
        </w:tc>
        <w:tc>
          <w:tcPr>
            <w:tcW w:w="20" w:type="dxa"/>
            <w:vAlign w:val="bottom"/>
          </w:tcPr>
          <w:p>
            <w:pPr>
              <w:spacing w:after="0"/>
              <w:rPr>
                <w:sz w:val="16"/>
                <w:szCs w:val="16"/>
                <w:color w:val="auto"/>
              </w:rPr>
            </w:pPr>
          </w:p>
        </w:tc>
      </w:tr>
      <w:tr>
        <w:trPr>
          <w:trHeight w:val="189"/>
        </w:trPr>
        <w:tc>
          <w:tcPr>
            <w:tcW w:w="4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4"/>
                <w:szCs w:val="14"/>
                <w:color w:val="auto"/>
              </w:rPr>
              <w:t>4,906,137</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4,509,509</w:t>
            </w:r>
          </w:p>
        </w:tc>
        <w:tc>
          <w:tcPr>
            <w:tcW w:w="20" w:type="dxa"/>
            <w:vAlign w:val="bottom"/>
          </w:tcPr>
          <w:p>
            <w:pPr>
              <w:spacing w:after="0"/>
              <w:rPr>
                <w:sz w:val="16"/>
                <w:szCs w:val="16"/>
                <w:color w:val="auto"/>
              </w:rPr>
            </w:pPr>
          </w:p>
        </w:tc>
      </w:tr>
      <w:tr>
        <w:trPr>
          <w:trHeight w:val="183"/>
        </w:trPr>
        <w:tc>
          <w:tcPr>
            <w:tcW w:w="4000" w:type="dxa"/>
            <w:vAlign w:val="bottom"/>
            <w:gridSpan w:val="2"/>
          </w:tcPr>
          <w:p>
            <w:pPr>
              <w:ind w:left="100"/>
              <w:spacing w:after="0"/>
              <w:rPr>
                <w:sz w:val="20"/>
                <w:szCs w:val="20"/>
                <w:color w:val="auto"/>
              </w:rPr>
            </w:pPr>
            <w:r>
              <w:rPr>
                <w:rFonts w:ascii="Arial" w:cs="Arial" w:eastAsia="Arial" w:hAnsi="Arial"/>
                <w:sz w:val="14"/>
                <w:szCs w:val="14"/>
                <w:color w:val="auto"/>
              </w:rPr>
              <w:t>Subtotal</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5"/>
          </w:tcPr>
          <w:p>
            <w:pPr>
              <w:jc w:val="right"/>
              <w:spacing w:after="0"/>
              <w:rPr>
                <w:sz w:val="20"/>
                <w:szCs w:val="20"/>
                <w:color w:val="auto"/>
              </w:rPr>
            </w:pPr>
            <w:r>
              <w:rPr>
                <w:rFonts w:ascii="Arial" w:cs="Arial" w:eastAsia="Arial" w:hAnsi="Arial"/>
                <w:sz w:val="14"/>
                <w:szCs w:val="14"/>
                <w:color w:val="auto"/>
              </w:rPr>
              <w:t>5,033,419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4,631,385</w:t>
            </w:r>
          </w:p>
        </w:tc>
        <w:tc>
          <w:tcPr>
            <w:tcW w:w="20" w:type="dxa"/>
            <w:vAlign w:val="bottom"/>
          </w:tcPr>
          <w:p>
            <w:pPr>
              <w:spacing w:after="0"/>
              <w:rPr>
                <w:sz w:val="15"/>
                <w:szCs w:val="15"/>
                <w:color w:val="auto"/>
              </w:rPr>
            </w:pPr>
          </w:p>
        </w:tc>
      </w:tr>
      <w:tr>
        <w:trPr>
          <w:trHeight w:val="189"/>
        </w:trPr>
        <w:tc>
          <w:tcPr>
            <w:tcW w:w="4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Corporate &amp; other</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4"/>
                <w:szCs w:val="14"/>
                <w:color w:val="auto"/>
              </w:rPr>
              <w:t>10,915</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231,892</w:t>
            </w:r>
          </w:p>
        </w:tc>
        <w:tc>
          <w:tcPr>
            <w:tcW w:w="20" w:type="dxa"/>
            <w:vAlign w:val="bottom"/>
          </w:tcPr>
          <w:p>
            <w:pPr>
              <w:spacing w:after="0"/>
              <w:rPr>
                <w:sz w:val="16"/>
                <w:szCs w:val="16"/>
                <w:color w:val="auto"/>
              </w:rPr>
            </w:pPr>
          </w:p>
        </w:tc>
      </w:tr>
      <w:tr>
        <w:trPr>
          <w:trHeight w:val="183"/>
        </w:trPr>
        <w:tc>
          <w:tcPr>
            <w:tcW w:w="4000" w:type="dxa"/>
            <w:vAlign w:val="bottom"/>
            <w:gridSpan w:val="2"/>
          </w:tcPr>
          <w:p>
            <w:pPr>
              <w:ind w:left="100"/>
              <w:spacing w:after="0"/>
              <w:rPr>
                <w:sz w:val="20"/>
                <w:szCs w:val="20"/>
                <w:color w:val="auto"/>
              </w:rPr>
            </w:pPr>
            <w:r>
              <w:rPr>
                <w:rFonts w:ascii="Arial" w:cs="Arial" w:eastAsia="Arial" w:hAnsi="Arial"/>
                <w:sz w:val="14"/>
                <w:szCs w:val="14"/>
                <w:color w:val="auto"/>
              </w:rPr>
              <w:t>Total assets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5,044,334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4,863,277</w:t>
            </w:r>
          </w:p>
        </w:tc>
        <w:tc>
          <w:tcPr>
            <w:tcW w:w="20" w:type="dxa"/>
            <w:vAlign w:val="bottom"/>
          </w:tcPr>
          <w:p>
            <w:pPr>
              <w:spacing w:after="0"/>
              <w:rPr>
                <w:sz w:val="15"/>
                <w:szCs w:val="15"/>
                <w:color w:val="auto"/>
              </w:rPr>
            </w:pPr>
          </w:p>
        </w:tc>
      </w:tr>
      <w:tr>
        <w:trPr>
          <w:trHeight w:val="20"/>
        </w:trPr>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4"/>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2"/>
        </w:trPr>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18"/>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400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4"/>
          </w:tcPr>
          <w:p>
            <w:pPr>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40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Capital expenditures:</w:t>
            </w:r>
          </w:p>
        </w:tc>
        <w:tc>
          <w:tcPr>
            <w:tcW w:w="2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4000" w:type="dxa"/>
            <w:vAlign w:val="bottom"/>
            <w:gridSpan w:val="2"/>
          </w:tcPr>
          <w:p>
            <w:pPr>
              <w:ind w:left="100"/>
              <w:spacing w:after="0"/>
              <w:rPr>
                <w:sz w:val="20"/>
                <w:szCs w:val="20"/>
                <w:color w:val="auto"/>
              </w:rPr>
            </w:pPr>
            <w:r>
              <w:rPr>
                <w:rFonts w:ascii="Arial" w:cs="Arial" w:eastAsia="Arial" w:hAnsi="Arial"/>
                <w:sz w:val="14"/>
                <w:szCs w:val="14"/>
                <w:color w:val="auto"/>
              </w:rPr>
              <w:t>Good Sam Services and Plans</w:t>
            </w:r>
          </w:p>
        </w:tc>
        <w:tc>
          <w:tcPr>
            <w:tcW w:w="5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5"/>
          </w:tcPr>
          <w:p>
            <w:pPr>
              <w:jc w:val="right"/>
              <w:spacing w:after="0"/>
              <w:rPr>
                <w:sz w:val="20"/>
                <w:szCs w:val="20"/>
                <w:color w:val="auto"/>
              </w:rPr>
            </w:pPr>
            <w:r>
              <w:rPr>
                <w:rFonts w:ascii="Arial" w:cs="Arial" w:eastAsia="Arial" w:hAnsi="Arial"/>
                <w:sz w:val="14"/>
                <w:szCs w:val="14"/>
                <w:color w:val="auto"/>
              </w:rPr>
              <w:t>11,230</w:t>
            </w:r>
          </w:p>
        </w:tc>
        <w:tc>
          <w:tcPr>
            <w:tcW w:w="480" w:type="dxa"/>
            <w:vAlign w:val="bottom"/>
            <w:gridSpan w:val="4"/>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gridSpan w:val="5"/>
          </w:tcPr>
          <w:p>
            <w:pPr>
              <w:jc w:val="right"/>
              <w:spacing w:after="0"/>
              <w:rPr>
                <w:sz w:val="20"/>
                <w:szCs w:val="20"/>
                <w:color w:val="auto"/>
              </w:rPr>
            </w:pPr>
            <w:r>
              <w:rPr>
                <w:rFonts w:ascii="Arial" w:cs="Arial" w:eastAsia="Arial" w:hAnsi="Arial"/>
                <w:sz w:val="14"/>
                <w:szCs w:val="14"/>
                <w:color w:val="auto"/>
              </w:rPr>
              <w:t>8,534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gridSpan w:val="5"/>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4,040</w:t>
            </w:r>
          </w:p>
        </w:tc>
        <w:tc>
          <w:tcPr>
            <w:tcW w:w="20" w:type="dxa"/>
            <w:vAlign w:val="bottom"/>
          </w:tcPr>
          <w:p>
            <w:pPr>
              <w:spacing w:after="0"/>
              <w:rPr>
                <w:sz w:val="16"/>
                <w:szCs w:val="16"/>
                <w:color w:val="auto"/>
              </w:rPr>
            </w:pPr>
          </w:p>
        </w:tc>
      </w:tr>
      <w:tr>
        <w:trPr>
          <w:trHeight w:val="189"/>
        </w:trPr>
        <w:tc>
          <w:tcPr>
            <w:tcW w:w="4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4"/>
                <w:szCs w:val="14"/>
                <w:color w:val="auto"/>
              </w:rPr>
              <w:t>241,054</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4"/>
                <w:szCs w:val="14"/>
                <w:color w:val="auto"/>
              </w:rPr>
              <w:t>91,905</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194,234</w:t>
            </w:r>
          </w:p>
        </w:tc>
        <w:tc>
          <w:tcPr>
            <w:tcW w:w="20" w:type="dxa"/>
            <w:vAlign w:val="bottom"/>
          </w:tcPr>
          <w:p>
            <w:pPr>
              <w:spacing w:after="0"/>
              <w:rPr>
                <w:sz w:val="16"/>
                <w:szCs w:val="16"/>
                <w:color w:val="auto"/>
              </w:rPr>
            </w:pPr>
          </w:p>
        </w:tc>
      </w:tr>
      <w:tr>
        <w:trPr>
          <w:trHeight w:val="183"/>
        </w:trPr>
        <w:tc>
          <w:tcPr>
            <w:tcW w:w="4000" w:type="dxa"/>
            <w:vAlign w:val="bottom"/>
            <w:gridSpan w:val="2"/>
          </w:tcPr>
          <w:p>
            <w:pPr>
              <w:ind w:left="100"/>
              <w:spacing w:after="0"/>
              <w:rPr>
                <w:sz w:val="20"/>
                <w:szCs w:val="20"/>
                <w:color w:val="auto"/>
              </w:rPr>
            </w:pPr>
            <w:r>
              <w:rPr>
                <w:rFonts w:ascii="Arial" w:cs="Arial" w:eastAsia="Arial" w:hAnsi="Arial"/>
                <w:sz w:val="14"/>
                <w:szCs w:val="14"/>
                <w:color w:val="auto"/>
              </w:rPr>
              <w:t>Total capital expenditures</w:t>
            </w:r>
          </w:p>
        </w:tc>
        <w:tc>
          <w:tcPr>
            <w:tcW w:w="2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5"/>
          </w:tcPr>
          <w:p>
            <w:pPr>
              <w:jc w:val="right"/>
              <w:spacing w:after="0"/>
              <w:rPr>
                <w:sz w:val="20"/>
                <w:szCs w:val="20"/>
                <w:color w:val="auto"/>
              </w:rPr>
            </w:pPr>
            <w:r>
              <w:rPr>
                <w:rFonts w:ascii="Arial" w:cs="Arial" w:eastAsia="Arial" w:hAnsi="Arial"/>
                <w:sz w:val="14"/>
                <w:szCs w:val="14"/>
                <w:color w:val="auto"/>
              </w:rPr>
              <w:t>252,284</w:t>
            </w:r>
          </w:p>
        </w:tc>
        <w:tc>
          <w:tcPr>
            <w:tcW w:w="160" w:type="dxa"/>
            <w:vAlign w:val="bottom"/>
            <w:gridSpan w:val="3"/>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760" w:type="dxa"/>
            <w:vAlign w:val="bottom"/>
            <w:gridSpan w:val="5"/>
          </w:tcPr>
          <w:p>
            <w:pPr>
              <w:jc w:val="right"/>
              <w:spacing w:after="0"/>
              <w:rPr>
                <w:sz w:val="20"/>
                <w:szCs w:val="20"/>
                <w:color w:val="auto"/>
              </w:rPr>
            </w:pPr>
            <w:r>
              <w:rPr>
                <w:rFonts w:ascii="Arial" w:cs="Arial" w:eastAsia="Arial" w:hAnsi="Arial"/>
                <w:sz w:val="14"/>
                <w:szCs w:val="14"/>
                <w:color w:val="auto"/>
              </w:rPr>
              <w:t>100,439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198,274</w:t>
            </w:r>
          </w:p>
        </w:tc>
        <w:tc>
          <w:tcPr>
            <w:tcW w:w="20" w:type="dxa"/>
            <w:vAlign w:val="bottom"/>
          </w:tcPr>
          <w:p>
            <w:pPr>
              <w:spacing w:after="0"/>
              <w:rPr>
                <w:sz w:val="15"/>
                <w:szCs w:val="15"/>
                <w:color w:val="auto"/>
              </w:rPr>
            </w:pPr>
          </w:p>
        </w:tc>
      </w:tr>
      <w:tr>
        <w:trPr>
          <w:trHeight w:val="20"/>
        </w:trPr>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I: Condensed Financial Information of Registrant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Camping World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6700" w:type="dxa"/>
            <w:vAlign w:val="bottom"/>
          </w:tcPr>
          <w:p>
            <w:pPr>
              <w:ind w:left="66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3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2024</w:t>
            </w:r>
          </w:p>
        </w:tc>
      </w:tr>
      <w:tr>
        <w:trPr>
          <w:trHeight w:val="18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10,141</w:t>
            </w:r>
          </w:p>
        </w:tc>
      </w:tr>
      <w:tr>
        <w:trPr>
          <w:trHeight w:val="189"/>
        </w:trPr>
        <w:tc>
          <w:tcPr>
            <w:tcW w:w="6700" w:type="dxa"/>
            <w:vAlign w:val="bottom"/>
          </w:tcPr>
          <w:p>
            <w:pPr>
              <w:ind w:left="120"/>
              <w:spacing w:after="0"/>
              <w:rPr>
                <w:sz w:val="20"/>
                <w:szCs w:val="20"/>
                <w:color w:val="auto"/>
              </w:rPr>
            </w:pPr>
            <w:r>
              <w:rPr>
                <w:rFonts w:ascii="Arial" w:cs="Arial" w:eastAsia="Arial" w:hAnsi="Arial"/>
                <w:sz w:val="14"/>
                <w:szCs w:val="14"/>
                <w:color w:val="auto"/>
              </w:rPr>
              <w:t>Affiliate Loan</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6,000</w:t>
            </w:r>
          </w:p>
        </w:tc>
      </w:tr>
      <w:tr>
        <w:trPr>
          <w:trHeight w:val="189"/>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income taxes and other</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2,817</w:t>
            </w: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6,183</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18,958</w:t>
            </w:r>
          </w:p>
        </w:tc>
      </w:tr>
      <w:tr>
        <w:trPr>
          <w:trHeight w:val="189"/>
        </w:trPr>
        <w:tc>
          <w:tcPr>
            <w:tcW w:w="6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Deferred tax asset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213,642</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subsidiaries</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227,722</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248,127</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233,905</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480,727</w:t>
            </w:r>
          </w:p>
        </w:tc>
      </w:tr>
      <w:tr>
        <w:trPr>
          <w:trHeight w:val="170"/>
        </w:trPr>
        <w:tc>
          <w:tcPr>
            <w:tcW w:w="6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9"/>
        </w:trPr>
        <w:tc>
          <w:tcPr>
            <w:tcW w:w="6700" w:type="dxa"/>
            <w:vAlign w:val="bottom"/>
          </w:tcPr>
          <w:p>
            <w:pPr>
              <w:ind w:left="120"/>
              <w:spacing w:after="0"/>
              <w:rPr>
                <w:sz w:val="20"/>
                <w:szCs w:val="20"/>
                <w:color w:val="auto"/>
              </w:rPr>
            </w:pPr>
            <w:r>
              <w:rPr>
                <w:rFonts w:ascii="Arial" w:cs="Arial" w:eastAsia="Arial" w:hAnsi="Arial"/>
                <w:sz w:val="14"/>
                <w:szCs w:val="14"/>
                <w:color w:val="auto"/>
              </w:rPr>
              <w:t>Accrued liabilities</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89"/>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portion of liabilities under Tax Receivable Agreement</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1,416</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89"/>
        </w:trPr>
        <w:tc>
          <w:tcPr>
            <w:tcW w:w="6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Liabilities under Tax Receivable Agreement, net of current portion</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150,372</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3,899</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3,697</w:t>
            </w: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5,315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154,165</w:t>
            </w:r>
          </w:p>
        </w:tc>
      </w:tr>
      <w:tr>
        <w:trPr>
          <w:trHeight w:val="189"/>
        </w:trPr>
        <w:tc>
          <w:tcPr>
            <w:tcW w:w="6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6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66"/>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stock, par value $0.01 per share – 20,000 shares authorized; none issued and outstanding</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8"/>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as of December 31, 2025 and 2024</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6"/>
        </w:trPr>
        <w:tc>
          <w:tcPr>
            <w:tcW w:w="6700" w:type="dxa"/>
            <w:vAlign w:val="bottom"/>
          </w:tcPr>
          <w:p>
            <w:pPr>
              <w:ind w:left="120"/>
              <w:spacing w:after="0"/>
              <w:rPr>
                <w:sz w:val="20"/>
                <w:szCs w:val="20"/>
                <w:color w:val="auto"/>
              </w:rPr>
            </w:pPr>
            <w:r>
              <w:rPr>
                <w:rFonts w:ascii="Arial" w:cs="Arial" w:eastAsia="Arial" w:hAnsi="Arial"/>
                <w:sz w:val="14"/>
                <w:szCs w:val="14"/>
                <w:color w:val="auto"/>
              </w:rPr>
              <w:t>Class A common stock, par value $0.01 per share – 250,000 shares authorized; 63,437 and 62,502</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4"/>
        </w:trPr>
        <w:tc>
          <w:tcPr>
            <w:tcW w:w="6700" w:type="dxa"/>
            <w:vAlign w:val="bottom"/>
          </w:tcPr>
          <w:p>
            <w:pPr>
              <w:ind w:left="120"/>
              <w:spacing w:after="0"/>
              <w:rPr>
                <w:sz w:val="20"/>
                <w:szCs w:val="20"/>
                <w:color w:val="auto"/>
              </w:rPr>
            </w:pPr>
            <w:r>
              <w:rPr>
                <w:rFonts w:ascii="Arial" w:cs="Arial" w:eastAsia="Arial" w:hAnsi="Arial"/>
                <w:sz w:val="14"/>
                <w:szCs w:val="14"/>
                <w:color w:val="auto"/>
              </w:rPr>
              <w:t>shares issued and outstanding, respectively</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625</w:t>
            </w:r>
          </w:p>
        </w:tc>
      </w:tr>
      <w:tr>
        <w:trPr>
          <w:trHeight w:val="170"/>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Class B common stock, par value $0.0001 per share – 75,000 shares authorized; 39,466 shares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8"/>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issued and outstanding</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66"/>
        </w:trPr>
        <w:tc>
          <w:tcPr>
            <w:tcW w:w="6700" w:type="dxa"/>
            <w:vAlign w:val="bottom"/>
          </w:tcPr>
          <w:p>
            <w:pPr>
              <w:ind w:left="120"/>
              <w:spacing w:after="0"/>
              <w:rPr>
                <w:sz w:val="20"/>
                <w:szCs w:val="20"/>
                <w:color w:val="auto"/>
              </w:rPr>
            </w:pPr>
            <w:r>
              <w:rPr>
                <w:rFonts w:ascii="Arial" w:cs="Arial" w:eastAsia="Arial" w:hAnsi="Arial"/>
                <w:sz w:val="14"/>
                <w:szCs w:val="14"/>
                <w:color w:val="auto"/>
              </w:rPr>
              <w:t>Class C common stock, par value $0.0001 per share – 0.001 share authorized, issued and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4"/>
        </w:trPr>
        <w:tc>
          <w:tcPr>
            <w:tcW w:w="6700" w:type="dxa"/>
            <w:vAlign w:val="bottom"/>
          </w:tcPr>
          <w:p>
            <w:pPr>
              <w:ind w:left="120"/>
              <w:spacing w:after="0"/>
              <w:rPr>
                <w:sz w:val="20"/>
                <w:szCs w:val="20"/>
                <w:color w:val="auto"/>
              </w:rPr>
            </w:pPr>
            <w:r>
              <w:rPr>
                <w:rFonts w:ascii="Arial" w:cs="Arial" w:eastAsia="Arial" w:hAnsi="Arial"/>
                <w:sz w:val="14"/>
                <w:szCs w:val="14"/>
                <w:color w:val="auto"/>
              </w:rPr>
              <w:t>outstanding as of December 31, 2025 and 2024</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216,944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193,692</w:t>
            </w:r>
          </w:p>
        </w:tc>
      </w:tr>
      <w:tr>
        <w:trPr>
          <w:trHeight w:val="189"/>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Retained earnings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11,008</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132,241</w:t>
            </w: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228,590</w:t>
            </w:r>
          </w:p>
        </w:tc>
        <w:tc>
          <w:tcPr>
            <w:tcW w:w="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326,562</w:t>
            </w: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233,905</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480,727</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I: Condensed Financial Information of Registrant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Camping World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8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880" w:type="dxa"/>
            <w:vAlign w:val="bottom"/>
          </w:tcPr>
          <w:p>
            <w:pPr>
              <w:ind w:left="57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6"/>
                <w:szCs w:val="16"/>
                <w:color w:val="auto"/>
              </w:rPr>
            </w:pPr>
          </w:p>
        </w:tc>
        <w:tc>
          <w:tcPr>
            <w:tcW w:w="3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6"/>
                <w:szCs w:val="16"/>
                <w:color w:val="auto"/>
              </w:rPr>
            </w:pPr>
          </w:p>
        </w:tc>
        <w:tc>
          <w:tcPr>
            <w:tcW w:w="4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120"/>
              <w:spacing w:after="0"/>
              <w:rPr>
                <w:sz w:val="20"/>
                <w:szCs w:val="20"/>
                <w:color w:val="auto"/>
              </w:rPr>
            </w:pPr>
            <w:r>
              <w:rPr>
                <w:rFonts w:ascii="Arial" w:cs="Arial" w:eastAsia="Arial" w:hAnsi="Arial"/>
                <w:sz w:val="14"/>
                <w:szCs w:val="14"/>
                <w:color w:val="auto"/>
              </w:rPr>
              <w:t>Intercompany revenue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27,023</w:t>
            </w:r>
          </w:p>
        </w:tc>
        <w:tc>
          <w:tcPr>
            <w:tcW w:w="40" w:type="dxa"/>
            <w:vAlign w:val="bottom"/>
          </w:tcPr>
          <w:p>
            <w:pPr>
              <w:spacing w:after="0"/>
              <w:rPr>
                <w:sz w:val="16"/>
                <w:szCs w:val="16"/>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12,637</w:t>
            </w:r>
          </w:p>
        </w:tc>
        <w:tc>
          <w:tcPr>
            <w:tcW w:w="40" w:type="dxa"/>
            <w:vAlign w:val="bottom"/>
          </w:tcPr>
          <w:p>
            <w:pPr>
              <w:spacing w:after="0"/>
              <w:rPr>
                <w:sz w:val="16"/>
                <w:szCs w:val="16"/>
                <w:color w:val="auto"/>
              </w:rPr>
            </w:pPr>
          </w:p>
        </w:tc>
        <w:tc>
          <w:tcPr>
            <w:tcW w:w="4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10,584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27,023</w:t>
            </w: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12,637</w:t>
            </w: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27,023</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12,715</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27,023</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12,715</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(78)</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net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Affiliate Loan interest income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Receivable Agreement liability adjustment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148,956</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Equity in net (loss) income of subsidiaries</w:t>
            </w:r>
          </w:p>
        </w:tc>
        <w:tc>
          <w:tcPr>
            <w:tcW w:w="1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(25,219)</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(53,442)</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21,463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8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124,123</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(52,170)</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25,308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(213,922)</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13,533</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8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(89,799)</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(38,637)</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33,372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I: Condensed Financial Information of Registrant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340" w:type="dxa"/>
            <w:vAlign w:val="bottom"/>
            <w:vMerge w:val="restart"/>
          </w:tcPr>
          <w:p>
            <w:pPr>
              <w:ind w:left="5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9"/>
          </w:tcPr>
          <w:p>
            <w:pPr>
              <w:jc w:val="right"/>
              <w:ind w:right="511"/>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3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460" w:type="dxa"/>
            <w:vAlign w:val="bottom"/>
            <w:gridSpan w:val="3"/>
          </w:tcPr>
          <w:p>
            <w:pPr>
              <w:jc w:val="right"/>
              <w:ind w:right="187"/>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(loss) income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(89,799)</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(38,637)</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33,372</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Adjustments to reconcile net (loss) income to net cash used in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3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income of subsidiaries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25,219</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53,442</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Deferred tax expense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213,642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(12,846)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Receivable Agreement liability adjustment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(148,956)</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Change in assets and liabilities, net of acquisitions: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income taxes and other assets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ind w:left="300"/>
              <w:spacing w:after="0"/>
              <w:rPr>
                <w:sz w:val="20"/>
                <w:szCs w:val="20"/>
                <w:color w:val="auto"/>
              </w:rPr>
            </w:pPr>
            <w:r>
              <w:rPr>
                <w:rFonts w:ascii="Arial" w:cs="Arial" w:eastAsia="Arial" w:hAnsi="Arial"/>
                <w:sz w:val="18"/>
                <w:szCs w:val="18"/>
                <w:color w:val="auto"/>
              </w:rPr>
              <w:t>Accounts payable and other accrued liabilities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Payment pursuant to Tax Receivable Agreement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in operating activities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Purchases of LLC Interest from CWGS, LLC</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(333,905)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received from CWGS, LLC</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20,507</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Lent funds under Affiliate Loan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(79,000)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Repaid funds under Affiliate Loan</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103,000</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24,302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(289,398)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Class A common stock sold in a</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net of underwriter discounts and commissions</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333,356</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Dividends paid to Class A common stockholders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(31,434)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(24,749)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(66,831)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(31,434)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309,156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(66,442)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(5,221)</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8,236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Cash and cash equivalents at end of the year</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4,920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10,141</w:t>
            </w:r>
          </w:p>
        </w:tc>
        <w:tc>
          <w:tcPr>
            <w:tcW w:w="34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I: Condensed Financial Information of Registrant (continued)</w:t>
      </w:r>
    </w:p>
    <w:p>
      <w:pPr>
        <w:spacing w:after="0" w:line="19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Camping World Holdings, Inc.</w:t>
      </w:r>
    </w:p>
    <w:p>
      <w:pPr>
        <w:jc w:val="center"/>
        <w:spacing w:after="0" w:line="234" w:lineRule="auto"/>
        <w:rPr>
          <w:sz w:val="20"/>
          <w:szCs w:val="20"/>
          <w:color w:val="auto"/>
        </w:rPr>
      </w:pPr>
      <w:r>
        <w:rPr>
          <w:rFonts w:ascii="Arial" w:cs="Arial" w:eastAsia="Arial" w:hAnsi="Arial"/>
          <w:sz w:val="18"/>
          <w:szCs w:val="18"/>
          <w:b w:val="1"/>
          <w:bCs w:val="1"/>
          <w:color w:val="auto"/>
        </w:rPr>
        <w:t>Notes to Condensed Financial Information</w:t>
      </w:r>
    </w:p>
    <w:p>
      <w:pPr>
        <w:jc w:val="center"/>
        <w:spacing w:after="0" w:line="235" w:lineRule="auto"/>
        <w:rPr>
          <w:sz w:val="20"/>
          <w:szCs w:val="20"/>
          <w:color w:val="auto"/>
        </w:rPr>
      </w:pPr>
      <w:r>
        <w:rPr>
          <w:rFonts w:ascii="Arial" w:cs="Arial" w:eastAsia="Arial" w:hAnsi="Arial"/>
          <w:sz w:val="18"/>
          <w:szCs w:val="18"/>
          <w:b w:val="1"/>
          <w:bCs w:val="1"/>
          <w:color w:val="auto"/>
        </w:rPr>
        <w:t>(Parent Company Only)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2025</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w:t>
      </w:r>
    </w:p>
    <w:p>
      <w:pPr>
        <w:spacing w:after="0" w:line="185" w:lineRule="exact"/>
        <w:rPr>
          <w:sz w:val="20"/>
          <w:szCs w:val="20"/>
          <w:color w:val="auto"/>
        </w:rPr>
      </w:pPr>
    </w:p>
    <w:p>
      <w:pPr>
        <w:ind w:left="60" w:right="59" w:firstLine="648"/>
        <w:spacing w:after="0" w:line="245" w:lineRule="auto"/>
        <w:rPr>
          <w:sz w:val="20"/>
          <w:szCs w:val="20"/>
          <w:color w:val="auto"/>
        </w:rPr>
      </w:pPr>
      <w:r>
        <w:rPr>
          <w:rFonts w:ascii="Arial" w:cs="Arial" w:eastAsia="Arial" w:hAnsi="Arial"/>
          <w:sz w:val="18"/>
          <w:szCs w:val="18"/>
          <w:color w:val="auto"/>
        </w:rPr>
        <w:t>Camping World Holdings, Inc. (the “Parent Company”) was formed on March 8, 2016 as a Delaware corporation and is a holding company with no direct operations. The Parent Company's assets consist primarily</w:t>
      </w:r>
    </w:p>
    <w:p>
      <w:pPr>
        <w:ind w:left="60" w:right="79"/>
        <w:spacing w:after="0" w:line="237" w:lineRule="auto"/>
        <w:rPr>
          <w:sz w:val="20"/>
          <w:szCs w:val="20"/>
          <w:color w:val="auto"/>
        </w:rPr>
      </w:pPr>
      <w:r>
        <w:rPr>
          <w:rFonts w:ascii="Arial" w:cs="Arial" w:eastAsia="Arial" w:hAnsi="Arial"/>
          <w:sz w:val="18"/>
          <w:szCs w:val="18"/>
          <w:color w:val="auto"/>
        </w:rPr>
        <w:t>of cash and cash equivalents, its equity interest in CWGS Enterprises, LLC ("CWGS, LLC”), its Affiliate Loan (as defined in Note 3 – Affiliate Loan), and certain deferred tax assets.</w:t>
      </w:r>
    </w:p>
    <w:p>
      <w:pPr>
        <w:spacing w:after="0" w:line="167" w:lineRule="exact"/>
        <w:rPr>
          <w:sz w:val="20"/>
          <w:szCs w:val="20"/>
          <w:color w:val="auto"/>
        </w:rPr>
      </w:pPr>
    </w:p>
    <w:p>
      <w:pPr>
        <w:ind w:left="60" w:right="59" w:firstLine="648"/>
        <w:spacing w:after="0" w:line="237" w:lineRule="auto"/>
        <w:rPr>
          <w:sz w:val="20"/>
          <w:szCs w:val="20"/>
          <w:color w:val="auto"/>
        </w:rPr>
      </w:pPr>
      <w:r>
        <w:rPr>
          <w:rFonts w:ascii="Arial" w:cs="Arial" w:eastAsia="Arial" w:hAnsi="Arial"/>
          <w:sz w:val="18"/>
          <w:szCs w:val="18"/>
          <w:color w:val="auto"/>
        </w:rPr>
        <w:t>The Parent Company's cash inflows are primarily from cash dividends or distributions and other transfers from CWGS, LLC. The amounts available to the Parent Company to fulfill cash commitments and pay</w:t>
      </w:r>
    </w:p>
    <w:p>
      <w:pPr>
        <w:spacing w:after="0" w:line="1" w:lineRule="exact"/>
        <w:rPr>
          <w:sz w:val="20"/>
          <w:szCs w:val="20"/>
          <w:color w:val="auto"/>
        </w:rPr>
      </w:pPr>
    </w:p>
    <w:p>
      <w:pPr>
        <w:ind w:left="60" w:right="59"/>
        <w:spacing w:after="0" w:line="250" w:lineRule="auto"/>
        <w:rPr>
          <w:sz w:val="20"/>
          <w:szCs w:val="20"/>
          <w:color w:val="auto"/>
        </w:rPr>
      </w:pPr>
      <w:r>
        <w:rPr>
          <w:rFonts w:ascii="Arial" w:cs="Arial" w:eastAsia="Arial" w:hAnsi="Arial"/>
          <w:sz w:val="18"/>
          <w:szCs w:val="18"/>
          <w:color w:val="auto"/>
        </w:rPr>
        <w:t>cash dividends on its common stock are subject to certain restrictions in CWGS, LLC’s Senior Secured Credit Facilities. See Note 10 to the consolidated financial statements.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w:t>
      </w:r>
    </w:p>
    <w:p>
      <w:pPr>
        <w:spacing w:after="0" w:line="185" w:lineRule="exact"/>
        <w:rPr>
          <w:sz w:val="20"/>
          <w:szCs w:val="20"/>
          <w:color w:val="auto"/>
        </w:rPr>
      </w:pPr>
    </w:p>
    <w:p>
      <w:pPr>
        <w:jc w:val="both"/>
        <w:ind w:left="60" w:right="59" w:firstLine="648"/>
        <w:spacing w:after="0" w:line="245" w:lineRule="auto"/>
        <w:rPr>
          <w:sz w:val="20"/>
          <w:szCs w:val="20"/>
          <w:color w:val="auto"/>
        </w:rPr>
      </w:pPr>
      <w:r>
        <w:rPr>
          <w:rFonts w:ascii="Arial" w:cs="Arial" w:eastAsia="Arial" w:hAnsi="Arial"/>
          <w:sz w:val="18"/>
          <w:szCs w:val="18"/>
          <w:color w:val="auto"/>
        </w:rPr>
        <w:t>These condensed parent company financial statements should be read in conjunction with the consolidated financial statements of Camping World Holdings, Inc. and the accompanying notes thereto,</w:t>
      </w:r>
    </w:p>
    <w:p>
      <w:pPr>
        <w:ind w:left="60" w:right="59"/>
        <w:spacing w:after="0"/>
        <w:rPr>
          <w:sz w:val="20"/>
          <w:szCs w:val="20"/>
          <w:color w:val="auto"/>
        </w:rPr>
      </w:pPr>
      <w:r>
        <w:rPr>
          <w:rFonts w:ascii="Arial" w:cs="Arial" w:eastAsia="Arial" w:hAnsi="Arial"/>
          <w:sz w:val="17"/>
          <w:szCs w:val="17"/>
          <w:color w:val="auto"/>
        </w:rPr>
        <w:t>included in this Form 10-K. For purposes of this condensed financial information, the Parent Company's interest in CWGS, LLC is recorded based upon its proportionate share of CWGS, LLC's net assets (similar to presenting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them on the equity method).</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Parent Company is the sole managing member of CWGS, LLC, and pursuant to the Amended and</w:t>
      </w:r>
    </w:p>
    <w:p>
      <w:pPr>
        <w:spacing w:after="0" w:line="14" w:lineRule="exact"/>
        <w:rPr>
          <w:sz w:val="20"/>
          <w:szCs w:val="20"/>
          <w:color w:val="auto"/>
        </w:rPr>
      </w:pPr>
    </w:p>
    <w:p>
      <w:pPr>
        <w:ind w:left="60" w:right="59"/>
        <w:spacing w:after="0" w:line="226" w:lineRule="auto"/>
        <w:rPr>
          <w:sz w:val="20"/>
          <w:szCs w:val="20"/>
          <w:color w:val="auto"/>
        </w:rPr>
      </w:pPr>
      <w:r>
        <w:rPr>
          <w:rFonts w:ascii="Arial" w:cs="Arial" w:eastAsia="Arial" w:hAnsi="Arial"/>
          <w:sz w:val="18"/>
          <w:szCs w:val="18"/>
          <w:color w:val="auto"/>
        </w:rPr>
        <w:t>Restated LLC Agreement of CWGS, LLC (the “LLC Agreement”), receives compensation in the form of reimbursements for all costs associated with being a public company. Intercompany revenue consists of these</w:t>
      </w:r>
    </w:p>
    <w:p>
      <w:pPr>
        <w:ind w:left="60"/>
        <w:spacing w:after="0" w:line="236" w:lineRule="auto"/>
        <w:rPr>
          <w:sz w:val="20"/>
          <w:szCs w:val="20"/>
          <w:color w:val="auto"/>
        </w:rPr>
      </w:pPr>
      <w:r>
        <w:rPr>
          <w:rFonts w:ascii="Arial" w:cs="Arial" w:eastAsia="Arial" w:hAnsi="Arial"/>
          <w:sz w:val="18"/>
          <w:szCs w:val="18"/>
          <w:color w:val="auto"/>
        </w:rPr>
        <w:t>reimbursement payments and is recognized when the corresponding expense to which it relates is recognized.</w:t>
      </w:r>
    </w:p>
    <w:p>
      <w:pPr>
        <w:spacing w:after="0" w:line="1" w:lineRule="exact"/>
        <w:rPr>
          <w:sz w:val="20"/>
          <w:szCs w:val="20"/>
          <w:color w:val="auto"/>
        </w:rPr>
      </w:pPr>
    </w:p>
    <w:p>
      <w:pPr>
        <w:ind w:left="60" w:right="59"/>
        <w:spacing w:after="0" w:line="226" w:lineRule="auto"/>
        <w:rPr>
          <w:sz w:val="20"/>
          <w:szCs w:val="20"/>
          <w:color w:val="auto"/>
        </w:rPr>
      </w:pPr>
      <w:r>
        <w:rPr>
          <w:rFonts w:ascii="Arial" w:cs="Arial" w:eastAsia="Arial" w:hAnsi="Arial"/>
          <w:sz w:val="18"/>
          <w:szCs w:val="18"/>
          <w:color w:val="auto"/>
        </w:rPr>
        <w:t>For the year ended December 31, 2025, these amounts include stock-based compensation expense of $12.7 million related to the Second Amended and Restated Employment Agreement (“Lemonis Second Employment</w:t>
      </w:r>
    </w:p>
    <w:p>
      <w:pPr>
        <w:ind w:left="60"/>
        <w:spacing w:after="0" w:line="236" w:lineRule="auto"/>
        <w:rPr>
          <w:sz w:val="20"/>
          <w:szCs w:val="20"/>
          <w:color w:val="auto"/>
        </w:rPr>
      </w:pPr>
      <w:r>
        <w:rPr>
          <w:rFonts w:ascii="Arial" w:cs="Arial" w:eastAsia="Arial" w:hAnsi="Arial"/>
          <w:sz w:val="18"/>
          <w:szCs w:val="18"/>
          <w:color w:val="auto"/>
        </w:rPr>
        <w:t>Agreement”) for Marcus A. Lemonis, the Parent Company’s former Chairman and Chief Executive Officer, for</w:t>
      </w:r>
    </w:p>
    <w:p>
      <w:pPr>
        <w:spacing w:after="0" w:line="1" w:lineRule="exact"/>
        <w:rPr>
          <w:sz w:val="20"/>
          <w:szCs w:val="20"/>
          <w:color w:val="auto"/>
        </w:rPr>
      </w:pPr>
    </w:p>
    <w:p>
      <w:pPr>
        <w:ind w:left="60" w:right="59"/>
        <w:spacing w:after="0" w:line="226" w:lineRule="auto"/>
        <w:rPr>
          <w:sz w:val="20"/>
          <w:szCs w:val="20"/>
          <w:color w:val="auto"/>
        </w:rPr>
      </w:pPr>
      <w:r>
        <w:rPr>
          <w:rFonts w:ascii="Arial" w:cs="Arial" w:eastAsia="Arial" w:hAnsi="Arial"/>
          <w:sz w:val="18"/>
          <w:szCs w:val="18"/>
          <w:color w:val="auto"/>
        </w:rPr>
        <w:t>the acceleration of the vesting of restricted stock units and other 2026 compensation that may be settled in shares (see Note 8 – Liability-Classified Share-Based Awards) and an additional $1.5 million for an accrual of</w:t>
      </w:r>
    </w:p>
    <w:p>
      <w:pPr>
        <w:spacing w:after="0" w:line="2" w:lineRule="exact"/>
        <w:rPr>
          <w:sz w:val="20"/>
          <w:szCs w:val="20"/>
          <w:color w:val="auto"/>
        </w:rPr>
      </w:pPr>
    </w:p>
    <w:p>
      <w:pPr>
        <w:ind w:left="60" w:right="79"/>
        <w:spacing w:after="0" w:line="266" w:lineRule="auto"/>
        <w:rPr>
          <w:sz w:val="20"/>
          <w:szCs w:val="20"/>
          <w:color w:val="auto"/>
        </w:rPr>
      </w:pPr>
      <w:r>
        <w:rPr>
          <w:rFonts w:ascii="Arial" w:cs="Arial" w:eastAsia="Arial" w:hAnsi="Arial"/>
          <w:sz w:val="18"/>
          <w:szCs w:val="18"/>
          <w:color w:val="auto"/>
        </w:rPr>
        <w:t>Mr. Lemonis’ 2026 salary, since the Parent Company deemed the 2026 service conditions relating to the Lemonis Second Employment Agreement to be nonsubstantive for accounting purposes.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Certain intercompany balances presented in these condensed Parent Company financial statements</w:t>
      </w:r>
    </w:p>
    <w:p>
      <w:pPr>
        <w:spacing w:after="0" w:line="14" w:lineRule="exact"/>
        <w:rPr>
          <w:sz w:val="20"/>
          <w:szCs w:val="20"/>
          <w:color w:val="auto"/>
        </w:rPr>
      </w:pPr>
    </w:p>
    <w:p>
      <w:pPr>
        <w:ind w:left="60" w:right="59"/>
        <w:spacing w:after="0" w:line="226" w:lineRule="auto"/>
        <w:rPr>
          <w:sz w:val="20"/>
          <w:szCs w:val="20"/>
          <w:color w:val="auto"/>
        </w:rPr>
      </w:pPr>
      <w:r>
        <w:rPr>
          <w:rFonts w:ascii="Arial" w:cs="Arial" w:eastAsia="Arial" w:hAnsi="Arial"/>
          <w:sz w:val="18"/>
          <w:szCs w:val="18"/>
          <w:color w:val="auto"/>
        </w:rPr>
        <w:t>are eliminated in the consolidated financial statements. For the years ended December 31, 2025, 2024, and 2023, the full amounts of intercompany revenue and equity in net income of subsidiaries in the accompanying</w:t>
      </w:r>
    </w:p>
    <w:p>
      <w:pPr>
        <w:ind w:left="60"/>
        <w:spacing w:after="0" w:line="236" w:lineRule="auto"/>
        <w:rPr>
          <w:sz w:val="20"/>
          <w:szCs w:val="20"/>
          <w:color w:val="auto"/>
        </w:rPr>
      </w:pPr>
      <w:r>
        <w:rPr>
          <w:rFonts w:ascii="Arial" w:cs="Arial" w:eastAsia="Arial" w:hAnsi="Arial"/>
          <w:sz w:val="18"/>
          <w:szCs w:val="18"/>
          <w:color w:val="auto"/>
        </w:rPr>
        <w:t>Parent Company Statements of Operations were eliminated in consolidation. No intercompany receivable was</w:t>
      </w:r>
    </w:p>
    <w:p>
      <w:pPr>
        <w:spacing w:after="0" w:line="1" w:lineRule="exact"/>
        <w:rPr>
          <w:sz w:val="20"/>
          <w:szCs w:val="20"/>
          <w:color w:val="auto"/>
        </w:rPr>
      </w:pPr>
    </w:p>
    <w:p>
      <w:pPr>
        <w:ind w:left="60" w:right="59"/>
        <w:spacing w:after="0" w:line="226" w:lineRule="auto"/>
        <w:rPr>
          <w:sz w:val="20"/>
          <w:szCs w:val="20"/>
          <w:color w:val="auto"/>
        </w:rPr>
      </w:pPr>
      <w:r>
        <w:rPr>
          <w:rFonts w:ascii="Arial" w:cs="Arial" w:eastAsia="Arial" w:hAnsi="Arial"/>
          <w:sz w:val="18"/>
          <w:szCs w:val="18"/>
          <w:color w:val="auto"/>
        </w:rPr>
        <w:t>owed to the Parent Company by CWGS, LLC as of December 31, 2025 (see Note 3 – Affiliate Loan for other amounts owed to the Parent Company). Related party amounts that were not eliminated in the consolidated</w:t>
      </w:r>
    </w:p>
    <w:p>
      <w:pPr>
        <w:spacing w:after="0" w:line="2" w:lineRule="exact"/>
        <w:rPr>
          <w:sz w:val="20"/>
          <w:szCs w:val="20"/>
          <w:color w:val="auto"/>
        </w:rPr>
      </w:pPr>
    </w:p>
    <w:p>
      <w:pPr>
        <w:ind w:left="60" w:right="59"/>
        <w:spacing w:after="0" w:line="250" w:lineRule="auto"/>
        <w:rPr>
          <w:sz w:val="20"/>
          <w:szCs w:val="20"/>
          <w:color w:val="auto"/>
        </w:rPr>
      </w:pPr>
      <w:r>
        <w:rPr>
          <w:rFonts w:ascii="Arial" w:cs="Arial" w:eastAsia="Arial" w:hAnsi="Arial"/>
          <w:sz w:val="18"/>
          <w:szCs w:val="18"/>
          <w:color w:val="auto"/>
        </w:rPr>
        <w:t>financial statements include the Parent Company's liabilities under the tax receivable agreement, which totaled $1.4 million and $150.4 million as of December 31, 2025 and 2024, respectively.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Affiliate Loan</w:t>
      </w:r>
    </w:p>
    <w:p>
      <w:pPr>
        <w:spacing w:after="0" w:line="185" w:lineRule="exact"/>
        <w:rPr>
          <w:sz w:val="20"/>
          <w:szCs w:val="20"/>
          <w:color w:val="auto"/>
        </w:rPr>
      </w:pPr>
    </w:p>
    <w:p>
      <w:pPr>
        <w:ind w:left="60" w:right="59" w:firstLine="648"/>
        <w:spacing w:after="0" w:line="245" w:lineRule="auto"/>
        <w:rPr>
          <w:sz w:val="20"/>
          <w:szCs w:val="20"/>
          <w:color w:val="auto"/>
        </w:rPr>
      </w:pPr>
      <w:r>
        <w:rPr>
          <w:rFonts w:ascii="Arial" w:cs="Arial" w:eastAsia="Arial" w:hAnsi="Arial"/>
          <w:sz w:val="18"/>
          <w:szCs w:val="18"/>
          <w:color w:val="auto"/>
        </w:rPr>
        <w:t>In December 2023, the Parent Company (the “Lender”) and CWGS Group, LLC (the “Borrower”), a wholly-owned subsidiary of CWGS, LLC, entered into a loan agreement (the “Affiliate Loan”) whereby the</w:t>
      </w:r>
    </w:p>
    <w:p>
      <w:pPr>
        <w:ind w:left="60" w:right="79"/>
        <w:spacing w:after="0"/>
        <w:rPr>
          <w:sz w:val="20"/>
          <w:szCs w:val="20"/>
          <w:color w:val="auto"/>
        </w:rPr>
      </w:pPr>
      <w:r>
        <w:rPr>
          <w:rFonts w:ascii="Arial" w:cs="Arial" w:eastAsia="Arial" w:hAnsi="Arial"/>
          <w:sz w:val="17"/>
          <w:szCs w:val="17"/>
          <w:color w:val="auto"/>
        </w:rPr>
        <w:t>Borrower may borrow up to $40.0 million from the Lender at an interest rate of the Secured Overnight Financing Rate (“SOFR”) plus 6.50% per annum. The Lender may demand repayment with thirty-day notice, there are no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prepayment restrictions or penalties, and the Affiliate Loan expired in December 2025.</w:t>
      </w:r>
    </w:p>
    <w:p>
      <w:pPr>
        <w:spacing w:after="0" w:line="167" w:lineRule="exact"/>
        <w:rPr>
          <w:sz w:val="20"/>
          <w:szCs w:val="20"/>
          <w:color w:val="auto"/>
        </w:rPr>
      </w:pPr>
    </w:p>
    <w:p>
      <w:pPr>
        <w:ind w:left="60" w:right="59" w:firstLine="648"/>
        <w:spacing w:after="0" w:line="245" w:lineRule="auto"/>
        <w:rPr>
          <w:sz w:val="20"/>
          <w:szCs w:val="20"/>
          <w:color w:val="auto"/>
        </w:rPr>
      </w:pPr>
      <w:r>
        <w:rPr>
          <w:rFonts w:ascii="Arial" w:cs="Arial" w:eastAsia="Arial" w:hAnsi="Arial"/>
          <w:sz w:val="18"/>
          <w:szCs w:val="18"/>
          <w:color w:val="auto"/>
        </w:rPr>
        <w:t>As of December 31, 2024, the Borrower had an outstanding balance of $6.0 million under the Affiliate Loan that was repaid with accrued interest early in January of the following year. As of December 31, 2024, the</w:t>
      </w:r>
    </w:p>
    <w:p>
      <w:pPr>
        <w:ind w:left="60" w:right="59"/>
        <w:spacing w:after="0" w:line="237" w:lineRule="auto"/>
        <w:rPr>
          <w:sz w:val="20"/>
          <w:szCs w:val="20"/>
          <w:color w:val="auto"/>
        </w:rPr>
      </w:pPr>
      <w:r>
        <w:rPr>
          <w:rFonts w:ascii="Arial" w:cs="Arial" w:eastAsia="Arial" w:hAnsi="Arial"/>
          <w:sz w:val="18"/>
          <w:szCs w:val="18"/>
          <w:color w:val="auto"/>
        </w:rPr>
        <w:t>interest rate on the Affiliate Loan was 10.86% and accrued interest was less than $0.1 million as of December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Commitments and Contingencies</w:t>
      </w:r>
    </w:p>
    <w:p>
      <w:pPr>
        <w:spacing w:after="0" w:line="198" w:lineRule="exact"/>
        <w:rPr>
          <w:sz w:val="20"/>
          <w:szCs w:val="20"/>
          <w:color w:val="auto"/>
        </w:rPr>
      </w:pPr>
    </w:p>
    <w:p>
      <w:pPr>
        <w:ind w:left="60" w:right="59" w:firstLine="648"/>
        <w:spacing w:after="0" w:line="237" w:lineRule="auto"/>
        <w:rPr>
          <w:sz w:val="20"/>
          <w:szCs w:val="20"/>
          <w:color w:val="auto"/>
        </w:rPr>
      </w:pPr>
      <w:r>
        <w:rPr>
          <w:rFonts w:ascii="Arial" w:cs="Arial" w:eastAsia="Arial" w:hAnsi="Arial"/>
          <w:sz w:val="18"/>
          <w:szCs w:val="18"/>
          <w:color w:val="auto"/>
        </w:rPr>
        <w:t>The Parent Company is party to a tax receivable agreement with certain holders of common units in CWGS, LLC (the "Continuing Equity Owners") that provides for the payment by the Parent Company to the</w:t>
      </w:r>
    </w:p>
    <w:p>
      <w:pPr>
        <w:ind w:left="60"/>
        <w:spacing w:after="0" w:line="235" w:lineRule="auto"/>
        <w:rPr>
          <w:sz w:val="20"/>
          <w:szCs w:val="20"/>
          <w:color w:val="auto"/>
        </w:rPr>
      </w:pPr>
      <w:r>
        <w:rPr>
          <w:rFonts w:ascii="Arial" w:cs="Arial" w:eastAsia="Arial" w:hAnsi="Arial"/>
          <w:sz w:val="18"/>
          <w:szCs w:val="18"/>
          <w:color w:val="auto"/>
        </w:rPr>
        <w:t>Continuing Equity Owners of 85% of the amount of any tax benefits that the Parent Company actually realizes,</w:t>
      </w:r>
    </w:p>
    <w:p>
      <w:pPr>
        <w:spacing w:after="0" w:line="1" w:lineRule="exact"/>
        <w:rPr>
          <w:sz w:val="20"/>
          <w:szCs w:val="20"/>
          <w:color w:val="auto"/>
        </w:rPr>
      </w:pPr>
    </w:p>
    <w:p>
      <w:pPr>
        <w:ind w:left="60" w:right="59"/>
        <w:spacing w:after="0" w:line="226" w:lineRule="auto"/>
        <w:rPr>
          <w:sz w:val="20"/>
          <w:szCs w:val="20"/>
          <w:color w:val="auto"/>
        </w:rPr>
      </w:pPr>
      <w:r>
        <w:rPr>
          <w:rFonts w:ascii="Arial" w:cs="Arial" w:eastAsia="Arial" w:hAnsi="Arial"/>
          <w:sz w:val="18"/>
          <w:szCs w:val="18"/>
          <w:color w:val="auto"/>
        </w:rPr>
        <w:t>or in some cases are deemed to realize, as a result of certain transactions. See Note 12 to the consolidated financial statements for more information regarding the Parent Company's tax receivable agreement. As</w:t>
      </w:r>
    </w:p>
    <w:p>
      <w:pPr>
        <w:ind w:left="60"/>
        <w:spacing w:after="0" w:line="236" w:lineRule="auto"/>
        <w:rPr>
          <w:sz w:val="20"/>
          <w:szCs w:val="20"/>
          <w:color w:val="auto"/>
        </w:rPr>
      </w:pPr>
      <w:r>
        <w:rPr>
          <w:rFonts w:ascii="Arial" w:cs="Arial" w:eastAsia="Arial" w:hAnsi="Arial"/>
          <w:sz w:val="18"/>
          <w:szCs w:val="18"/>
          <w:color w:val="auto"/>
        </w:rPr>
        <w:t>described in Note 12 to the consolidated financial statements, amounts payable under the tax receivable</w:t>
      </w:r>
    </w:p>
    <w:p>
      <w:pPr>
        <w:spacing w:after="0" w:line="1" w:lineRule="exact"/>
        <w:rPr>
          <w:sz w:val="20"/>
          <w:szCs w:val="20"/>
          <w:color w:val="auto"/>
        </w:rPr>
      </w:pPr>
    </w:p>
    <w:p>
      <w:pPr>
        <w:ind w:left="60" w:right="59"/>
        <w:spacing w:after="0" w:line="226" w:lineRule="auto"/>
        <w:rPr>
          <w:sz w:val="20"/>
          <w:szCs w:val="20"/>
          <w:color w:val="auto"/>
        </w:rPr>
      </w:pPr>
      <w:r>
        <w:rPr>
          <w:rFonts w:ascii="Arial" w:cs="Arial" w:eastAsia="Arial" w:hAnsi="Arial"/>
          <w:sz w:val="18"/>
          <w:szCs w:val="18"/>
          <w:color w:val="auto"/>
        </w:rPr>
        <w:t>agreement are contingent upon, among other things, (i) generation of future taxable income of Camping World Holdings, Inc. over the term of the tax receivable agreement and (ii) future changes in tax laws. During the year</w:t>
      </w:r>
    </w:p>
    <w:p>
      <w:pPr>
        <w:ind w:left="60"/>
        <w:spacing w:after="0" w:line="236" w:lineRule="auto"/>
        <w:rPr>
          <w:sz w:val="20"/>
          <w:szCs w:val="20"/>
          <w:color w:val="auto"/>
        </w:rPr>
      </w:pPr>
      <w:r>
        <w:rPr>
          <w:rFonts w:ascii="Arial" w:cs="Arial" w:eastAsia="Arial" w:hAnsi="Arial"/>
          <w:sz w:val="18"/>
          <w:szCs w:val="18"/>
          <w:color w:val="auto"/>
        </w:rPr>
        <w:t>ended December 31, 2025, the Parent Company determined it is more likely than not it will not benefit from the</w:t>
      </w:r>
    </w:p>
    <w:p>
      <w:pPr>
        <w:spacing w:after="0" w:line="1"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entirety of the remaining 15% of the tax benefits, and remeasured the liability under the Tax Receivable Agreement, which included a $149.0 million gain on the reduction in the associated liability. As of December 31,</w:t>
      </w:r>
    </w:p>
    <w:p>
      <w:pPr>
        <w:spacing w:after="0" w:line="2" w:lineRule="exact"/>
        <w:rPr>
          <w:sz w:val="20"/>
          <w:szCs w:val="20"/>
          <w:color w:val="auto"/>
        </w:rPr>
      </w:pPr>
    </w:p>
    <w:p>
      <w:pPr>
        <w:ind w:left="60" w:right="59"/>
        <w:spacing w:after="0" w:line="250" w:lineRule="auto"/>
        <w:rPr>
          <w:sz w:val="20"/>
          <w:szCs w:val="20"/>
          <w:color w:val="auto"/>
        </w:rPr>
      </w:pPr>
      <w:r>
        <w:rPr>
          <w:rFonts w:ascii="Arial" w:cs="Arial" w:eastAsia="Arial" w:hAnsi="Arial"/>
          <w:sz w:val="18"/>
          <w:szCs w:val="18"/>
          <w:color w:val="auto"/>
        </w:rPr>
        <w:t>2025 and 2024, liabilities under the tax receivable agreement totaled $1.4 million and $150.4 million, respectively.</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 14 to the consolidated financial statements for information regarding pending and threatened</w:t>
      </w:r>
    </w:p>
    <w:p>
      <w:pPr>
        <w:spacing w:after="0" w:line="1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litigation. Pursuant to the LLC Agreement, the Parent Company receives reimbursements for all costs associated with being a public company, which includes costs of litigation and cybersecurity incidents.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Income Taxes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CWGS, LLC completed the steps necessary to convert Camping World, Inc. (“CW”) and certain of its</w:t>
      </w:r>
    </w:p>
    <w:p>
      <w:pPr>
        <w:spacing w:after="0" w:line="14"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subsidiaries from Subchapter C Corporations to limited liability companies (“LLCs”) with an effective date of January 2, 2023 (the “LLC Conversion”). All required filings for conversion to LLC were made by December 31,</w:t>
      </w:r>
    </w:p>
    <w:p>
      <w:pPr>
        <w:ind w:left="60"/>
        <w:spacing w:after="0" w:line="236" w:lineRule="auto"/>
        <w:rPr>
          <w:sz w:val="20"/>
          <w:szCs w:val="20"/>
          <w:color w:val="auto"/>
        </w:rPr>
      </w:pPr>
      <w:r>
        <w:rPr>
          <w:rFonts w:ascii="Arial" w:cs="Arial" w:eastAsia="Arial" w:hAnsi="Arial"/>
          <w:sz w:val="18"/>
          <w:szCs w:val="18"/>
          <w:color w:val="auto"/>
        </w:rPr>
        <w:t>2022. Accordingly, the effect of the LLC Conversion was recorded during the year ended December 31, 2022,</w:t>
      </w:r>
    </w:p>
    <w:p>
      <w:pPr>
        <w:spacing w:after="0" w:line="1" w:lineRule="exact"/>
        <w:rPr>
          <w:sz w:val="20"/>
          <w:szCs w:val="20"/>
          <w:color w:val="auto"/>
        </w:rPr>
      </w:pPr>
    </w:p>
    <w:p>
      <w:pPr>
        <w:ind w:left="60" w:right="59"/>
        <w:spacing w:after="0" w:line="226" w:lineRule="auto"/>
        <w:rPr>
          <w:sz w:val="20"/>
          <w:szCs w:val="20"/>
          <w:color w:val="auto"/>
        </w:rPr>
      </w:pPr>
      <w:r>
        <w:rPr>
          <w:rFonts w:ascii="Arial" w:cs="Arial" w:eastAsia="Arial" w:hAnsi="Arial"/>
          <w:sz w:val="18"/>
          <w:szCs w:val="18"/>
          <w:color w:val="auto"/>
        </w:rPr>
        <w:t>as the filings were perfunctory pursuant to the rules prescribed under ASC 740, Income Taxes. Beginning with the year ending December 31, 2023, the operating losses of CW and its subsidiaries will offset taxable income</w:t>
      </w:r>
    </w:p>
    <w:p>
      <w:pPr>
        <w:spacing w:after="0" w:line="2"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generated by CWGS, LLC’s other LLC businesses. As a result, both income tax expense recognized by the Parent Company and the amount of required tax distributions paid to holders of common units in CWGS, LLC,</w:t>
      </w:r>
    </w:p>
    <w:p>
      <w:pPr>
        <w:ind w:left="60"/>
        <w:spacing w:after="0" w:line="236" w:lineRule="auto"/>
        <w:rPr>
          <w:sz w:val="20"/>
          <w:szCs w:val="20"/>
          <w:color w:val="auto"/>
        </w:rPr>
      </w:pPr>
      <w:r>
        <w:rPr>
          <w:rFonts w:ascii="Arial" w:cs="Arial" w:eastAsia="Arial" w:hAnsi="Arial"/>
          <w:sz w:val="18"/>
          <w:szCs w:val="18"/>
          <w:color w:val="auto"/>
        </w:rPr>
        <w:t>under the CWGS LLC Agreement, will decrease. The LLC Conversion will allow CWGS, LLC to more easily</w:t>
      </w:r>
    </w:p>
    <w:p>
      <w:pPr>
        <w:spacing w:after="0" w:line="1"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integrate its retail and dealership operations and more seamlessly share resources within the RV and Outdoor Retail segment, while providing an expected future cash flow benefit for the operating companies.</w:t>
      </w:r>
    </w:p>
    <w:p>
      <w:pPr>
        <w:spacing w:after="0" w:line="167" w:lineRule="exact"/>
        <w:rPr>
          <w:sz w:val="20"/>
          <w:szCs w:val="20"/>
          <w:color w:val="auto"/>
        </w:rPr>
      </w:pPr>
    </w:p>
    <w:p>
      <w:pPr>
        <w:ind w:left="60" w:right="59" w:firstLine="648"/>
        <w:spacing w:after="0" w:line="237" w:lineRule="auto"/>
        <w:rPr>
          <w:sz w:val="20"/>
          <w:szCs w:val="20"/>
          <w:color w:val="auto"/>
        </w:rPr>
      </w:pPr>
      <w:r>
        <w:rPr>
          <w:rFonts w:ascii="Arial" w:cs="Arial" w:eastAsia="Arial" w:hAnsi="Arial"/>
          <w:sz w:val="18"/>
          <w:szCs w:val="18"/>
          <w:color w:val="auto"/>
        </w:rPr>
        <w:t>During the year ended December 31, 2023, the above LLC Conversion resulted in additional income tax benefit for the Parent Company of $3.1 million. Additionally, the Parent Company recorded an income tax</w:t>
      </w:r>
    </w:p>
    <w:p>
      <w:pPr>
        <w:spacing w:after="0" w:line="1" w:lineRule="exact"/>
        <w:rPr>
          <w:sz w:val="20"/>
          <w:szCs w:val="20"/>
          <w:color w:val="auto"/>
        </w:rPr>
      </w:pPr>
    </w:p>
    <w:p>
      <w:pPr>
        <w:ind w:left="60" w:right="59"/>
        <w:spacing w:after="0" w:line="250" w:lineRule="auto"/>
        <w:rPr>
          <w:sz w:val="20"/>
          <w:szCs w:val="20"/>
          <w:color w:val="auto"/>
        </w:rPr>
      </w:pPr>
      <w:r>
        <w:rPr>
          <w:rFonts w:ascii="Arial" w:cs="Arial" w:eastAsia="Arial" w:hAnsi="Arial"/>
          <w:sz w:val="18"/>
          <w:szCs w:val="18"/>
          <w:color w:val="auto"/>
        </w:rPr>
        <w:t>benefit of $4.1 million related to an entity classification election that was filed in the third quarter of 2023 with a January 2, 2023 effective date.</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the year ended December 31, 2025, management evaluated both positive and negative</w:t>
      </w:r>
    </w:p>
    <w:p>
      <w:pPr>
        <w:spacing w:after="0" w:line="14" w:lineRule="exact"/>
        <w:rPr>
          <w:sz w:val="20"/>
          <w:szCs w:val="20"/>
          <w:color w:val="auto"/>
        </w:rPr>
      </w:pPr>
    </w:p>
    <w:p>
      <w:pPr>
        <w:ind w:left="60" w:right="79"/>
        <w:spacing w:after="0" w:line="226" w:lineRule="auto"/>
        <w:rPr>
          <w:sz w:val="20"/>
          <w:szCs w:val="20"/>
          <w:color w:val="auto"/>
        </w:rPr>
      </w:pPr>
      <w:r>
        <w:rPr>
          <w:rFonts w:ascii="Arial" w:cs="Arial" w:eastAsia="Arial" w:hAnsi="Arial"/>
          <w:sz w:val="18"/>
          <w:szCs w:val="18"/>
          <w:color w:val="auto"/>
        </w:rPr>
        <w:t>evidence and concluded that a full valuation allowance was necessary to be recorded against the Parent Company’s net deferred tax assets due to its actual cumulative historical operating results for income tax</w:t>
      </w:r>
    </w:p>
    <w:p>
      <w:pPr>
        <w:ind w:left="60"/>
        <w:spacing w:after="0" w:line="236" w:lineRule="auto"/>
        <w:rPr>
          <w:sz w:val="20"/>
          <w:szCs w:val="20"/>
          <w:color w:val="auto"/>
        </w:rPr>
      </w:pPr>
      <w:r>
        <w:rPr>
          <w:rFonts w:ascii="Arial" w:cs="Arial" w:eastAsia="Arial" w:hAnsi="Arial"/>
          <w:sz w:val="18"/>
          <w:szCs w:val="18"/>
          <w:color w:val="auto"/>
        </w:rPr>
        <w:t>purposes over the past several years in each of the tax jurisdictions where it operates. Accordingly, the Parent</w:t>
      </w:r>
    </w:p>
    <w:p>
      <w:pPr>
        <w:spacing w:after="0" w:line="1" w:lineRule="exact"/>
        <w:rPr>
          <w:sz w:val="20"/>
          <w:szCs w:val="20"/>
          <w:color w:val="auto"/>
        </w:rPr>
      </w:pPr>
    </w:p>
    <w:p>
      <w:pPr>
        <w:ind w:left="60" w:right="59"/>
        <w:spacing w:after="0" w:line="226" w:lineRule="auto"/>
        <w:rPr>
          <w:sz w:val="20"/>
          <w:szCs w:val="20"/>
          <w:color w:val="auto"/>
        </w:rPr>
      </w:pPr>
      <w:r>
        <w:rPr>
          <w:rFonts w:ascii="Arial" w:cs="Arial" w:eastAsia="Arial" w:hAnsi="Arial"/>
          <w:sz w:val="18"/>
          <w:szCs w:val="18"/>
          <w:color w:val="auto"/>
        </w:rPr>
        <w:t>Company recorded a $182.8 million valuation allowance on its Parent Company net deferred tax assets during the year ended December 31, 2025. This valuation allowance will be maintained until sufficient positive</w:t>
      </w:r>
    </w:p>
    <w:p>
      <w:pPr>
        <w:ind w:left="60"/>
        <w:spacing w:after="0" w:line="236" w:lineRule="auto"/>
        <w:rPr>
          <w:sz w:val="20"/>
          <w:szCs w:val="20"/>
          <w:color w:val="auto"/>
        </w:rPr>
      </w:pPr>
      <w:r>
        <w:rPr>
          <w:rFonts w:ascii="Arial" w:cs="Arial" w:eastAsia="Arial" w:hAnsi="Arial"/>
          <w:sz w:val="18"/>
          <w:szCs w:val="18"/>
          <w:color w:val="auto"/>
        </w:rPr>
        <w:t>evidence exists to justify its reversal. In addition, because of the full valuation allowance recorded against the</w:t>
      </w:r>
    </w:p>
    <w:p>
      <w:pPr>
        <w:spacing w:after="0" w:line="1" w:lineRule="exact"/>
        <w:rPr>
          <w:sz w:val="20"/>
          <w:szCs w:val="20"/>
          <w:color w:val="auto"/>
        </w:rPr>
      </w:pPr>
    </w:p>
    <w:p>
      <w:pPr>
        <w:ind w:left="60" w:right="59"/>
        <w:spacing w:after="0" w:line="226" w:lineRule="auto"/>
        <w:rPr>
          <w:sz w:val="20"/>
          <w:szCs w:val="20"/>
          <w:color w:val="auto"/>
        </w:rPr>
      </w:pPr>
      <w:r>
        <w:rPr>
          <w:rFonts w:ascii="Arial" w:cs="Arial" w:eastAsia="Arial" w:hAnsi="Arial"/>
          <w:sz w:val="18"/>
          <w:szCs w:val="18"/>
          <w:color w:val="auto"/>
        </w:rPr>
        <w:t>Parent Company’s investment in CWGS, LLC net deferred tax asset and certain other tax attribute carryforward deferred tax assets, the Company considers the amount calculated related to the remaining Tax Receivable</w:t>
      </w:r>
    </w:p>
    <w:p>
      <w:pPr>
        <w:ind w:left="60"/>
        <w:spacing w:after="0" w:line="236" w:lineRule="auto"/>
        <w:rPr>
          <w:sz w:val="20"/>
          <w:szCs w:val="20"/>
          <w:color w:val="auto"/>
        </w:rPr>
      </w:pPr>
      <w:r>
        <w:rPr>
          <w:rFonts w:ascii="Arial" w:cs="Arial" w:eastAsia="Arial" w:hAnsi="Arial"/>
          <w:sz w:val="18"/>
          <w:szCs w:val="18"/>
          <w:color w:val="auto"/>
        </w:rPr>
        <w:t>Agreement (as discussed above) liability not probable. As a result, management reversed $149.0 million of the</w:t>
      </w:r>
    </w:p>
    <w:p>
      <w:pPr>
        <w:spacing w:after="0" w:line="1" w:lineRule="exact"/>
        <w:rPr>
          <w:sz w:val="20"/>
          <w:szCs w:val="20"/>
          <w:color w:val="auto"/>
        </w:rPr>
      </w:pPr>
    </w:p>
    <w:p>
      <w:pPr>
        <w:ind w:left="60" w:right="59"/>
        <w:spacing w:after="0" w:line="226" w:lineRule="auto"/>
        <w:rPr>
          <w:sz w:val="20"/>
          <w:szCs w:val="20"/>
          <w:color w:val="auto"/>
        </w:rPr>
      </w:pPr>
      <w:r>
        <w:rPr>
          <w:rFonts w:ascii="Arial" w:cs="Arial" w:eastAsia="Arial" w:hAnsi="Arial"/>
          <w:sz w:val="18"/>
          <w:szCs w:val="18"/>
          <w:color w:val="auto"/>
        </w:rPr>
        <w:t>Tax Receivable Agreement liability and reduced the related deferred tax asset by $37.3 million, which were recorded to Tax Receivable Agreement liability adjustment and income tax (expense) benefit, respectively, in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condensed statements of operations for the year ended December 31, 2025.</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November 2024 Public Offering</w:t>
      </w:r>
    </w:p>
    <w:p>
      <w:pPr>
        <w:spacing w:after="0" w:line="198" w:lineRule="exact"/>
        <w:rPr>
          <w:sz w:val="20"/>
          <w:szCs w:val="20"/>
          <w:color w:val="auto"/>
        </w:rPr>
      </w:pPr>
    </w:p>
    <w:p>
      <w:pPr>
        <w:ind w:left="60" w:right="59" w:firstLine="648"/>
        <w:spacing w:after="0" w:line="237" w:lineRule="auto"/>
        <w:rPr>
          <w:sz w:val="20"/>
          <w:szCs w:val="20"/>
          <w:color w:val="auto"/>
        </w:rPr>
      </w:pPr>
      <w:r>
        <w:rPr>
          <w:rFonts w:ascii="Arial" w:cs="Arial" w:eastAsia="Arial" w:hAnsi="Arial"/>
          <w:sz w:val="18"/>
          <w:szCs w:val="18"/>
          <w:color w:val="auto"/>
        </w:rPr>
        <w:t>On November 1, 2024, the Parent Company completed a public offering (the “November 2024 Public Offering”) in which the Parent Company sold 14,634,146 shares of the Parent Company’s Class A common</w:t>
      </w:r>
    </w:p>
    <w:p>
      <w:pPr>
        <w:ind w:left="60"/>
        <w:spacing w:after="0" w:line="235" w:lineRule="auto"/>
        <w:rPr>
          <w:sz w:val="20"/>
          <w:szCs w:val="20"/>
          <w:color w:val="auto"/>
        </w:rPr>
      </w:pPr>
      <w:r>
        <w:rPr>
          <w:rFonts w:ascii="Arial" w:cs="Arial" w:eastAsia="Arial" w:hAnsi="Arial"/>
          <w:sz w:val="18"/>
          <w:szCs w:val="18"/>
          <w:color w:val="auto"/>
        </w:rPr>
        <w:t>stock at a public offering price of $20.50 per share (or $19.81 per share after underwriting discounts and</w:t>
      </w:r>
    </w:p>
    <w:p>
      <w:pPr>
        <w:spacing w:after="0" w:line="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commissions). The Parent Company received $289.9 million in proceeds, net of underwriting discounts and commissions, which were used to purchase 14,634,146 common units from CWGS, LLC at a price per unit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equal to the public offering price per share of Class A common stock in the November 2024 Public Offering, less underwriting discounts and commissions.</w:t>
      </w:r>
    </w:p>
    <w:p>
      <w:pPr>
        <w:spacing w:after="0" w:line="127" w:lineRule="exact"/>
        <w:rPr>
          <w:sz w:val="20"/>
          <w:szCs w:val="20"/>
          <w:color w:val="auto"/>
        </w:rPr>
      </w:pPr>
    </w:p>
    <w:p>
      <w:pPr>
        <w:ind w:left="60" w:right="59" w:firstLine="648"/>
        <w:spacing w:after="0" w:line="245" w:lineRule="auto"/>
        <w:rPr>
          <w:sz w:val="20"/>
          <w:szCs w:val="20"/>
          <w:color w:val="auto"/>
        </w:rPr>
      </w:pPr>
      <w:r>
        <w:rPr>
          <w:rFonts w:ascii="Arial" w:cs="Arial" w:eastAsia="Arial" w:hAnsi="Arial"/>
          <w:sz w:val="18"/>
          <w:szCs w:val="18"/>
          <w:color w:val="auto"/>
        </w:rPr>
        <w:t>Additionally, in November 2024, the underwriters exercised their option to purchase an additional 2,195,121 shares of Class A common stock and the Parent Company received $43.5 million in additional</w:t>
      </w:r>
    </w:p>
    <w:p>
      <w:pPr>
        <w:ind w:left="60" w:right="59"/>
        <w:spacing w:after="0" w:line="226" w:lineRule="auto"/>
        <w:rPr>
          <w:sz w:val="20"/>
          <w:szCs w:val="20"/>
          <w:color w:val="auto"/>
        </w:rPr>
      </w:pPr>
      <w:r>
        <w:rPr>
          <w:rFonts w:ascii="Arial" w:cs="Arial" w:eastAsia="Arial" w:hAnsi="Arial"/>
          <w:sz w:val="18"/>
          <w:szCs w:val="18"/>
          <w:color w:val="auto"/>
        </w:rPr>
        <w:t>proceeds, net of underwriting discounts and commissions, which were used to purchase 2,195,121 common units from CWGS, LLC at a price per unit equal to the public offering price per share of Class A common stock</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the November 2024 Public Offering, less underwriting discounts and commissions.</w:t>
      </w:r>
    </w:p>
    <w:p>
      <w:pPr>
        <w:spacing w:after="0" w:line="167" w:lineRule="exact"/>
        <w:rPr>
          <w:sz w:val="20"/>
          <w:szCs w:val="20"/>
          <w:color w:val="auto"/>
        </w:rPr>
      </w:pPr>
    </w:p>
    <w:p>
      <w:pPr>
        <w:ind w:left="60" w:right="59" w:firstLine="648"/>
        <w:spacing w:after="0" w:line="245" w:lineRule="auto"/>
        <w:rPr>
          <w:sz w:val="20"/>
          <w:szCs w:val="20"/>
          <w:color w:val="auto"/>
        </w:rPr>
      </w:pPr>
      <w:r>
        <w:rPr>
          <w:rFonts w:ascii="Arial" w:cs="Arial" w:eastAsia="Arial" w:hAnsi="Arial"/>
          <w:sz w:val="18"/>
          <w:szCs w:val="18"/>
          <w:color w:val="auto"/>
        </w:rPr>
        <w:t>Of the 16,829,267 shares Class A common stock sold in the November 2024 Public Offering, 4,228,700 were issued from treasury stock and the remainder were newly-issued shares. CWGS, LLC, on behalf of the</w:t>
      </w:r>
    </w:p>
    <w:p>
      <w:pPr>
        <w:ind w:left="60" w:right="59"/>
        <w:spacing w:after="0" w:line="226" w:lineRule="auto"/>
        <w:rPr>
          <w:sz w:val="20"/>
          <w:szCs w:val="20"/>
          <w:color w:val="auto"/>
        </w:rPr>
      </w:pPr>
      <w:r>
        <w:rPr>
          <w:rFonts w:ascii="Arial" w:cs="Arial" w:eastAsia="Arial" w:hAnsi="Arial"/>
          <w:sz w:val="18"/>
          <w:szCs w:val="18"/>
          <w:color w:val="auto"/>
        </w:rPr>
        <w:t>Parent Company, incurred approximately $1.0 million of offering costs that were recorded as a reduction in the additional paid-in capital recorded by the Parent Company for the proceeds from the November 2024 Public</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Offering.</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Stock Repurchase Program</w:t>
      </w:r>
    </w:p>
    <w:p>
      <w:pPr>
        <w:spacing w:after="0" w:line="198"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During the years ended December 31, 2025 and 2024, the Parent Company did not repurchase Class A common stock under the stock repurchase program. During the years ended December 31, 2024 and 2023,</w:t>
      </w:r>
    </w:p>
    <w:p>
      <w:pPr>
        <w:ind w:left="60"/>
        <w:spacing w:after="0" w:line="235" w:lineRule="auto"/>
        <w:rPr>
          <w:sz w:val="20"/>
          <w:szCs w:val="20"/>
          <w:color w:val="auto"/>
        </w:rPr>
      </w:pPr>
      <w:r>
        <w:rPr>
          <w:rFonts w:ascii="Arial" w:cs="Arial" w:eastAsia="Arial" w:hAnsi="Arial"/>
          <w:sz w:val="18"/>
          <w:szCs w:val="18"/>
          <w:color w:val="auto"/>
        </w:rPr>
        <w:t>the Parent Company reissued 322,271 and 579,176 shares of Class A common stock, respectively, from</w:t>
      </w:r>
    </w:p>
    <w:p>
      <w:pPr>
        <w:spacing w:after="0" w:line="1" w:lineRule="exact"/>
        <w:rPr>
          <w:sz w:val="20"/>
          <w:szCs w:val="20"/>
          <w:color w:val="auto"/>
        </w:rPr>
      </w:pPr>
    </w:p>
    <w:p>
      <w:pPr>
        <w:ind w:left="60" w:right="59"/>
        <w:spacing w:after="0" w:line="226" w:lineRule="auto"/>
        <w:rPr>
          <w:sz w:val="20"/>
          <w:szCs w:val="20"/>
          <w:color w:val="auto"/>
        </w:rPr>
      </w:pPr>
      <w:r>
        <w:rPr>
          <w:rFonts w:ascii="Arial" w:cs="Arial" w:eastAsia="Arial" w:hAnsi="Arial"/>
          <w:sz w:val="18"/>
          <w:szCs w:val="18"/>
          <w:color w:val="auto"/>
        </w:rPr>
        <w:t>treasury stock to settle the exercises of stock options, vesting of restricted stock units, and settlement of other stock-based awards under the Parent Company’s 2016 Incentive Award Plan. As discussed in Note 6 —</w:t>
      </w:r>
    </w:p>
    <w:p>
      <w:pPr>
        <w:ind w:left="60"/>
        <w:spacing w:after="0" w:line="236" w:lineRule="auto"/>
        <w:rPr>
          <w:sz w:val="20"/>
          <w:szCs w:val="20"/>
          <w:color w:val="auto"/>
        </w:rPr>
      </w:pPr>
      <w:r>
        <w:rPr>
          <w:rFonts w:ascii="Arial" w:cs="Arial" w:eastAsia="Arial" w:hAnsi="Arial"/>
          <w:sz w:val="18"/>
          <w:szCs w:val="18"/>
          <w:color w:val="auto"/>
        </w:rPr>
        <w:t>November 2024 Public Offering, the Company reissued 4,228,700 shares of Class A common stock held as</w:t>
      </w:r>
    </w:p>
    <w:p>
      <w:pPr>
        <w:spacing w:after="0" w:line="1"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treasury in the November 2024 Public Offering. The stock repurchase program, with approximately $120.2 million of approved amounts for repurchases of Class A common stock remaining, expired on December 31,</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2025.</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Statements of Cash Flows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disclosures of cash flow information are as follows: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5820" w:type="dxa"/>
            <w:vAlign w:val="bottom"/>
            <w:vMerge w:val="restart"/>
          </w:tcPr>
          <w:p>
            <w:pPr>
              <w:ind w:left="20"/>
              <w:spacing w:after="0"/>
              <w:rPr>
                <w:sz w:val="20"/>
                <w:szCs w:val="20"/>
                <w:color w:val="auto"/>
              </w:rPr>
            </w:pPr>
            <w:r>
              <w:rPr>
                <w:rFonts w:ascii="Arial" w:cs="Arial" w:eastAsia="Arial" w:hAnsi="Arial"/>
                <w:sz w:val="14"/>
                <w:szCs w:val="14"/>
                <w:color w:val="auto"/>
              </w:rPr>
              <w:t>($ in thousands)</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9"/>
          </w:tcPr>
          <w:p>
            <w:pPr>
              <w:jc w:val="right"/>
              <w:ind w:right="45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4"/>
        </w:trPr>
        <w:tc>
          <w:tcPr>
            <w:tcW w:w="58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refunded during the period for:</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20"/>
              <w:spacing w:after="0"/>
              <w:rPr>
                <w:sz w:val="20"/>
                <w:szCs w:val="20"/>
                <w:color w:val="auto"/>
              </w:rPr>
            </w:pPr>
            <w:r>
              <w:rPr>
                <w:rFonts w:ascii="Arial" w:cs="Arial" w:eastAsia="Arial" w:hAnsi="Arial"/>
                <w:sz w:val="18"/>
                <w:szCs w:val="18"/>
                <w:color w:val="auto"/>
              </w:rPr>
              <w:t>Interest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Noncash financing activities: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 value of Class A common stock issued for redemption of common</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units in CWGS, LLC</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9"/>
        </w:trPr>
        <w:tc>
          <w:tcPr>
            <w:tcW w:w="5820" w:type="dxa"/>
            <w:vAlign w:val="bottom"/>
          </w:tcPr>
          <w:p>
            <w:pPr>
              <w:ind w:left="220"/>
              <w:spacing w:after="0"/>
              <w:rPr>
                <w:sz w:val="20"/>
                <w:szCs w:val="20"/>
                <w:color w:val="auto"/>
              </w:rPr>
            </w:pPr>
            <w:r>
              <w:rPr>
                <w:rFonts w:ascii="Arial" w:cs="Arial" w:eastAsia="Arial" w:hAnsi="Arial"/>
                <w:sz w:val="18"/>
                <w:szCs w:val="18"/>
                <w:color w:val="auto"/>
              </w:rPr>
              <w:t>Cost of treasury stock issued for vested restricted stock units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15,320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29,542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Cash paid for income taxes, net of refunds, for the following period:</w:t>
      </w:r>
    </w:p>
    <w:p>
      <w:pPr>
        <w:spacing w:after="0" w:line="208" w:lineRule="exact"/>
        <w:rPr>
          <w:sz w:val="20"/>
          <w:szCs w:val="20"/>
          <w:color w:val="auto"/>
        </w:rPr>
      </w:pPr>
    </w:p>
    <w:tbl>
      <w:tblPr>
        <w:tblLayout w:type="fixed"/>
        <w:tblInd w:w="9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jc w:val="right"/>
              <w:ind w:right="597"/>
              <w:spacing w:after="0"/>
              <w:rPr>
                <w:sz w:val="20"/>
                <w:szCs w:val="20"/>
                <w:color w:val="auto"/>
              </w:rPr>
            </w:pPr>
            <w:r>
              <w:rPr>
                <w:rFonts w:ascii="Arial" w:cs="Arial" w:eastAsia="Arial" w:hAnsi="Arial"/>
                <w:sz w:val="14"/>
                <w:szCs w:val="14"/>
                <w:b w:val="1"/>
                <w:bCs w:val="1"/>
                <w:color w:val="auto"/>
              </w:rPr>
              <w:t>Year Ended</w:t>
            </w:r>
          </w:p>
        </w:tc>
      </w:tr>
      <w:tr>
        <w:trPr>
          <w:trHeight w:val="197"/>
        </w:trPr>
        <w:tc>
          <w:tcPr>
            <w:tcW w:w="460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640" w:type="dxa"/>
            <w:vAlign w:val="bottom"/>
            <w:gridSpan w:val="2"/>
          </w:tcPr>
          <w:p>
            <w:pPr>
              <w:jc w:val="right"/>
              <w:ind w:right="390"/>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337"/>
              <w:spacing w:after="0"/>
              <w:rPr>
                <w:sz w:val="20"/>
                <w:szCs w:val="20"/>
                <w:color w:val="auto"/>
              </w:rPr>
            </w:pPr>
            <w:r>
              <w:rPr>
                <w:rFonts w:ascii="Arial" w:cs="Arial" w:eastAsia="Arial" w:hAnsi="Arial"/>
                <w:sz w:val="14"/>
                <w:szCs w:val="14"/>
                <w:b w:val="1"/>
                <w:bCs w:val="1"/>
                <w:color w:val="auto"/>
              </w:rPr>
              <w:t>December 31, 2025</w:t>
            </w:r>
          </w:p>
        </w:tc>
      </w:tr>
      <w:tr>
        <w:trPr>
          <w:trHeight w:val="20"/>
        </w:trPr>
        <w:tc>
          <w:tcPr>
            <w:tcW w:w="2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600" w:type="dxa"/>
            <w:vAlign w:val="bottom"/>
            <w:gridSpan w:val="2"/>
          </w:tcPr>
          <w:p>
            <w:pPr>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(1,473)</w:t>
            </w:r>
          </w:p>
        </w:tc>
      </w:tr>
      <w:tr>
        <w:trPr>
          <w:trHeight w:val="223"/>
        </w:trPr>
        <w:tc>
          <w:tcPr>
            <w:tcW w:w="20" w:type="dxa"/>
            <w:vAlign w:val="bottom"/>
          </w:tcPr>
          <w:p>
            <w:pPr>
              <w:spacing w:after="0"/>
              <w:rPr>
                <w:sz w:val="19"/>
                <w:szCs w:val="19"/>
                <w:color w:val="auto"/>
              </w:rPr>
            </w:pPr>
          </w:p>
        </w:tc>
        <w:tc>
          <w:tcPr>
            <w:tcW w:w="45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8"/>
          <w:szCs w:val="18"/>
          <w:color w:val="auto"/>
        </w:rPr>
        <w:t>Cash paid (received) for income taxes exceeded 5% of total income taxes paid, net of refunds, in the following jurisdictions:</w:t>
      </w:r>
    </w:p>
    <w:p>
      <w:pPr>
        <w:spacing w:after="0" w:line="136" w:lineRule="exact"/>
        <w:rPr>
          <w:sz w:val="20"/>
          <w:szCs w:val="20"/>
          <w:color w:val="auto"/>
        </w:rPr>
      </w:pPr>
    </w:p>
    <w:tbl>
      <w:tblPr>
        <w:tblLayout w:type="fixed"/>
        <w:tblInd w:w="9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jc w:val="right"/>
              <w:ind w:right="594"/>
              <w:spacing w:after="0"/>
              <w:rPr>
                <w:sz w:val="20"/>
                <w:szCs w:val="20"/>
                <w:color w:val="auto"/>
              </w:rPr>
            </w:pPr>
            <w:r>
              <w:rPr>
                <w:rFonts w:ascii="Arial" w:cs="Arial" w:eastAsia="Arial" w:hAnsi="Arial"/>
                <w:sz w:val="14"/>
                <w:szCs w:val="14"/>
                <w:b w:val="1"/>
                <w:bCs w:val="1"/>
                <w:color w:val="auto"/>
              </w:rPr>
              <w:t>Year Ended</w:t>
            </w:r>
          </w:p>
        </w:tc>
      </w:tr>
      <w:tr>
        <w:trPr>
          <w:trHeight w:val="197"/>
        </w:trPr>
        <w:tc>
          <w:tcPr>
            <w:tcW w:w="460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6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334"/>
              <w:spacing w:after="0"/>
              <w:rPr>
                <w:sz w:val="20"/>
                <w:szCs w:val="20"/>
                <w:color w:val="auto"/>
              </w:rPr>
            </w:pPr>
            <w:r>
              <w:rPr>
                <w:rFonts w:ascii="Arial" w:cs="Arial" w:eastAsia="Arial" w:hAnsi="Arial"/>
                <w:sz w:val="14"/>
                <w:szCs w:val="14"/>
                <w:b w:val="1"/>
                <w:bCs w:val="1"/>
                <w:color w:val="auto"/>
              </w:rPr>
              <w:t>December 31, 2025</w:t>
            </w:r>
          </w:p>
        </w:tc>
      </w:tr>
      <w:tr>
        <w:trPr>
          <w:trHeight w:val="251"/>
        </w:trPr>
        <w:tc>
          <w:tcPr>
            <w:tcW w:w="20" w:type="dxa"/>
            <w:vAlign w:val="bottom"/>
          </w:tcPr>
          <w:p>
            <w:pPr>
              <w:spacing w:after="0"/>
              <w:rPr>
                <w:sz w:val="21"/>
                <w:szCs w:val="21"/>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State:</w:t>
            </w:r>
          </w:p>
        </w:tc>
        <w:tc>
          <w:tcPr>
            <w:tcW w:w="3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880" w:type="dxa"/>
            <w:vAlign w:val="bottom"/>
            <w:tcBorders>
              <w:top w:val="single" w:sz="8" w:color="auto"/>
            </w:tcBorders>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Florida</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Idaho</w:t>
            </w:r>
          </w:p>
        </w:tc>
        <w:tc>
          <w:tcPr>
            <w:tcW w:w="3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57"/>
        </w:trPr>
        <w:tc>
          <w:tcPr>
            <w:tcW w:w="20" w:type="dxa"/>
            <w:vAlign w:val="bottom"/>
          </w:tcPr>
          <w:p>
            <w:pPr>
              <w:spacing w:after="0"/>
              <w:rPr>
                <w:sz w:val="22"/>
                <w:szCs w:val="22"/>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Illinois</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56"/>
        </w:trPr>
        <w:tc>
          <w:tcPr>
            <w:tcW w:w="20" w:type="dxa"/>
            <w:vAlign w:val="bottom"/>
          </w:tcPr>
          <w:p>
            <w:pPr>
              <w:spacing w:after="0"/>
              <w:rPr>
                <w:sz w:val="22"/>
                <w:szCs w:val="22"/>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Minnesota</w:t>
            </w:r>
          </w:p>
        </w:tc>
        <w:tc>
          <w:tcPr>
            <w:tcW w:w="3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57"/>
        </w:trPr>
        <w:tc>
          <w:tcPr>
            <w:tcW w:w="20" w:type="dxa"/>
            <w:vAlign w:val="bottom"/>
          </w:tcPr>
          <w:p>
            <w:pPr>
              <w:spacing w:after="0"/>
              <w:rPr>
                <w:sz w:val="22"/>
                <w:szCs w:val="22"/>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New Jersey</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Oregon</w:t>
            </w:r>
          </w:p>
        </w:tc>
        <w:tc>
          <w:tcPr>
            <w:tcW w:w="3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57"/>
        </w:trPr>
        <w:tc>
          <w:tcPr>
            <w:tcW w:w="20" w:type="dxa"/>
            <w:vAlign w:val="bottom"/>
          </w:tcPr>
          <w:p>
            <w:pPr>
              <w:spacing w:after="0"/>
              <w:rPr>
                <w:sz w:val="22"/>
                <w:szCs w:val="22"/>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Virginia</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56"/>
        </w:trPr>
        <w:tc>
          <w:tcPr>
            <w:tcW w:w="20" w:type="dxa"/>
            <w:vAlign w:val="bottom"/>
          </w:tcPr>
          <w:p>
            <w:pPr>
              <w:spacing w:after="0"/>
              <w:rPr>
                <w:sz w:val="22"/>
                <w:szCs w:val="22"/>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Various</w:t>
            </w:r>
          </w:p>
        </w:tc>
        <w:tc>
          <w:tcPr>
            <w:tcW w:w="3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920" w:type="dxa"/>
            <w:vAlign w:val="bottom"/>
            <w:gridSpan w:val="7"/>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Balance at</w:t>
            </w:r>
            <w:r>
              <w:rPr>
                <w:rFonts w:ascii="Arial" w:cs="Arial" w:eastAsia="Arial" w:hAnsi="Arial"/>
                <w:sz w:val="14"/>
                <w:szCs w:val="14"/>
                <w:color w:val="auto"/>
              </w:rPr>
              <w:t xml:space="preserve"> ​​​ </w:t>
            </w:r>
            <w:r>
              <w:rPr>
                <w:rFonts w:ascii="Arial" w:cs="Arial" w:eastAsia="Arial" w:hAnsi="Arial"/>
                <w:sz w:val="14"/>
                <w:szCs w:val="14"/>
                <w:b w:val="1"/>
                <w:bCs w:val="1"/>
                <w:color w:val="auto"/>
              </w:rPr>
              <w:t>Additions</w:t>
            </w:r>
          </w:p>
        </w:tc>
        <w:tc>
          <w:tcPr>
            <w:tcW w:w="2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2"/>
              <w:spacing w:after="0"/>
              <w:rPr>
                <w:sz w:val="20"/>
                <w:szCs w:val="20"/>
                <w:color w:val="auto"/>
              </w:rPr>
            </w:pPr>
            <w:r>
              <w:rPr>
                <w:rFonts w:ascii="Arial" w:cs="Arial" w:eastAsia="Arial" w:hAnsi="Arial"/>
                <w:sz w:val="14"/>
                <w:szCs w:val="14"/>
                <w:b w:val="1"/>
                <w:bCs w:val="1"/>
                <w:color w:val="auto"/>
                <w:w w:val="98"/>
              </w:rPr>
              <w:t>Charged</w:t>
            </w: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Charges</w:t>
            </w:r>
          </w:p>
        </w:tc>
        <w:tc>
          <w:tcPr>
            <w:tcW w:w="880" w:type="dxa"/>
            <w:vAlign w:val="bottom"/>
            <w:gridSpan w:val="3"/>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Balance</w:t>
            </w:r>
          </w:p>
        </w:tc>
      </w:tr>
      <w:tr>
        <w:trPr>
          <w:trHeight w:val="189"/>
        </w:trPr>
        <w:tc>
          <w:tcPr>
            <w:tcW w:w="4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Beginning</w:t>
            </w:r>
          </w:p>
        </w:tc>
        <w:tc>
          <w:tcPr>
            <w:tcW w:w="1000" w:type="dxa"/>
            <w:vAlign w:val="bottom"/>
            <w:gridSpan w:val="5"/>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Charged to</w:t>
            </w:r>
          </w:p>
        </w:tc>
        <w:tc>
          <w:tcPr>
            <w:tcW w:w="2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2"/>
              <w:spacing w:after="0"/>
              <w:rPr>
                <w:sz w:val="20"/>
                <w:szCs w:val="20"/>
                <w:color w:val="auto"/>
              </w:rPr>
            </w:pPr>
            <w:r>
              <w:rPr>
                <w:rFonts w:ascii="Arial" w:cs="Arial" w:eastAsia="Arial" w:hAnsi="Arial"/>
                <w:sz w:val="14"/>
                <w:szCs w:val="14"/>
                <w:b w:val="1"/>
                <w:bCs w:val="1"/>
                <w:color w:val="auto"/>
                <w:w w:val="99"/>
              </w:rPr>
              <w:t>to Other</w:t>
            </w: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Utilized</w:t>
            </w:r>
          </w:p>
        </w:tc>
        <w:tc>
          <w:tcPr>
            <w:tcW w:w="2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5"/>
              <w:spacing w:after="0"/>
              <w:rPr>
                <w:sz w:val="20"/>
                <w:szCs w:val="20"/>
                <w:color w:val="auto"/>
              </w:rPr>
            </w:pPr>
            <w:r>
              <w:rPr>
                <w:rFonts w:ascii="Arial" w:cs="Arial" w:eastAsia="Arial" w:hAnsi="Arial"/>
                <w:sz w:val="14"/>
                <w:szCs w:val="14"/>
                <w:b w:val="1"/>
                <w:bCs w:val="1"/>
                <w:color w:val="auto"/>
              </w:rPr>
              <w:t>at End</w:t>
            </w:r>
          </w:p>
        </w:tc>
      </w:tr>
      <w:tr>
        <w:trPr>
          <w:trHeight w:val="144"/>
        </w:trPr>
        <w:tc>
          <w:tcPr>
            <w:tcW w:w="4180" w:type="dxa"/>
            <w:vAlign w:val="bottom"/>
          </w:tcPr>
          <w:p>
            <w:pPr>
              <w:ind w:left="20"/>
              <w:spacing w:after="0" w:line="145" w:lineRule="exact"/>
              <w:rPr>
                <w:sz w:val="20"/>
                <w:szCs w:val="20"/>
                <w:color w:val="auto"/>
              </w:rPr>
            </w:pPr>
            <w:r>
              <w:rPr>
                <w:rFonts w:ascii="Arial" w:cs="Arial" w:eastAsia="Arial" w:hAnsi="Arial"/>
                <w:sz w:val="14"/>
                <w:szCs w:val="14"/>
                <w:color w:val="auto"/>
              </w:rPr>
              <w:t>($ in thousands)</w:t>
            </w:r>
          </w:p>
        </w:tc>
        <w:tc>
          <w:tcPr>
            <w:tcW w:w="92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of Period</w:t>
            </w:r>
          </w:p>
        </w:tc>
        <w:tc>
          <w:tcPr>
            <w:tcW w:w="20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(1)</w:t>
            </w:r>
          </w:p>
        </w:tc>
        <w:tc>
          <w:tcPr>
            <w:tcW w:w="40" w:type="dxa"/>
            <w:vAlign w:val="bottom"/>
          </w:tcPr>
          <w:p>
            <w:pPr>
              <w:spacing w:after="0"/>
              <w:rPr>
                <w:sz w:val="12"/>
                <w:szCs w:val="12"/>
                <w:color w:val="auto"/>
              </w:rPr>
            </w:pPr>
          </w:p>
        </w:tc>
        <w:tc>
          <w:tcPr>
            <w:tcW w:w="260" w:type="dxa"/>
            <w:vAlign w:val="bottom"/>
            <w:gridSpan w:val="2"/>
          </w:tcPr>
          <w:p>
            <w:pPr>
              <w:ind w:left="40"/>
              <w:spacing w:after="0" w:line="14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w:t>
            </w:r>
          </w:p>
        </w:tc>
        <w:tc>
          <w:tcPr>
            <w:tcW w:w="980" w:type="dxa"/>
            <w:vAlign w:val="bottom"/>
            <w:gridSpan w:val="4"/>
          </w:tcPr>
          <w:p>
            <w:pPr>
              <w:ind w:left="80"/>
              <w:spacing w:after="0" w:line="145"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(Write-offs)</w:t>
            </w:r>
          </w:p>
        </w:tc>
        <w:tc>
          <w:tcPr>
            <w:tcW w:w="88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of Period</w:t>
            </w:r>
          </w:p>
        </w:tc>
      </w:tr>
      <w:tr>
        <w:trPr>
          <w:trHeight w:val="54"/>
        </w:trPr>
        <w:tc>
          <w:tcPr>
            <w:tcW w:w="4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gridSpan w:val="3"/>
          </w:tcPr>
          <w:p>
            <w:pPr>
              <w:ind w:left="20"/>
              <w:spacing w:after="0" w:line="54" w:lineRule="exact"/>
              <w:rPr>
                <w:sz w:val="20"/>
                <w:szCs w:val="20"/>
                <w:color w:val="auto"/>
              </w:rPr>
            </w:pPr>
            <w:r>
              <w:rPr>
                <w:rFonts w:ascii="Arial" w:cs="Arial" w:eastAsia="Arial" w:hAnsi="Arial"/>
                <w:sz w:val="6"/>
                <w:szCs w:val="6"/>
                <w:b w:val="1"/>
                <w:bCs w:val="1"/>
                <w:color w:val="auto"/>
              </w:rPr>
              <w:t>Expense</w:t>
            </w:r>
          </w:p>
        </w:tc>
        <w:tc>
          <w:tcPr>
            <w:tcW w:w="140" w:type="dxa"/>
            <w:vAlign w:val="bottom"/>
          </w:tcPr>
          <w:p>
            <w:pPr>
              <w:spacing w:after="0"/>
              <w:rPr>
                <w:sz w:val="4"/>
                <w:szCs w:val="4"/>
                <w:color w:val="auto"/>
              </w:rPr>
            </w:pPr>
          </w:p>
        </w:tc>
        <w:tc>
          <w:tcPr>
            <w:tcW w:w="800" w:type="dxa"/>
            <w:vAlign w:val="bottom"/>
            <w:gridSpan w:val="2"/>
          </w:tcPr>
          <w:p>
            <w:pPr>
              <w:ind w:left="20"/>
              <w:spacing w:after="0" w:line="54" w:lineRule="exact"/>
              <w:rPr>
                <w:sz w:val="20"/>
                <w:szCs w:val="20"/>
                <w:color w:val="auto"/>
              </w:rPr>
            </w:pPr>
            <w:r>
              <w:rPr>
                <w:rFonts w:ascii="Arial" w:cs="Arial" w:eastAsia="Arial" w:hAnsi="Arial"/>
                <w:sz w:val="6"/>
                <w:szCs w:val="6"/>
                <w:b w:val="1"/>
                <w:bCs w:val="1"/>
                <w:color w:val="auto"/>
              </w:rPr>
              <w:t>Accounts</w:t>
            </w: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23"/>
        </w:trPr>
        <w:tc>
          <w:tcPr>
            <w:tcW w:w="418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7"/>
                <w:szCs w:val="17"/>
                <w:b w:val="1"/>
                <w:bCs w:val="1"/>
                <w:color w:val="auto"/>
              </w:rPr>
              <w:t>Accounts receivable allowance</w:t>
            </w:r>
            <w:r>
              <w:rPr>
                <w:rFonts w:ascii="Arial" w:cs="Arial" w:eastAsia="Arial" w:hAnsi="Arial"/>
                <w:sz w:val="25"/>
                <w:szCs w:val="25"/>
                <w:b w:val="1"/>
                <w:bCs w:val="1"/>
                <w:color w:val="auto"/>
                <w:vertAlign w:val="superscript"/>
              </w:rPr>
              <w:t>(3)</w:t>
            </w:r>
            <w:r>
              <w:rPr>
                <w:rFonts w:ascii="Arial" w:cs="Arial" w:eastAsia="Arial" w:hAnsi="Arial"/>
                <w:sz w:val="17"/>
                <w:szCs w:val="17"/>
                <w:b w:val="1"/>
                <w:bCs w:val="1"/>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Year ended December 31, 2025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  2,748</w:t>
            </w:r>
          </w:p>
        </w:tc>
        <w:tc>
          <w:tcPr>
            <w:tcW w:w="3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1,461</w:t>
            </w:r>
          </w:p>
        </w:tc>
        <w:tc>
          <w:tcPr>
            <w:tcW w:w="40" w:type="dxa"/>
            <w:vAlign w:val="bottom"/>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(787)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3,422</w:t>
            </w: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2,978</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r>
      <w:tr>
        <w:trPr>
          <w:trHeight w:val="239"/>
        </w:trPr>
        <w:tc>
          <w:tcPr>
            <w:tcW w:w="4180" w:type="dxa"/>
            <w:vAlign w:val="bottom"/>
          </w:tcPr>
          <w:p>
            <w:pPr>
              <w:ind w:left="20"/>
              <w:spacing w:after="0"/>
              <w:rPr>
                <w:sz w:val="20"/>
                <w:szCs w:val="20"/>
                <w:color w:val="auto"/>
              </w:rPr>
            </w:pPr>
            <w:r>
              <w:rPr>
                <w:rFonts w:ascii="Arial" w:cs="Arial" w:eastAsia="Arial" w:hAnsi="Arial"/>
                <w:sz w:val="18"/>
                <w:szCs w:val="18"/>
                <w:color w:val="auto"/>
              </w:rPr>
              <w:t>Year ended December 31, 2023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4,222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(954)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2,978</w:t>
            </w:r>
          </w:p>
        </w:tc>
      </w:tr>
    </w:tbl>
    <w:p>
      <w:pPr>
        <w:spacing w:after="0" w:line="211" w:lineRule="exact"/>
        <w:rPr>
          <w:sz w:val="20"/>
          <w:szCs w:val="20"/>
          <w:color w:val="auto"/>
        </w:rPr>
      </w:pPr>
    </w:p>
    <w:p>
      <w:pPr>
        <w:ind w:left="380" w:hanging="330"/>
        <w:spacing w:after="0"/>
        <w:tabs>
          <w:tab w:leader="none" w:pos="3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Additions to allowance for credit losses are charged to expense.</w:t>
      </w:r>
    </w:p>
    <w:p>
      <w:pPr>
        <w:spacing w:after="0" w:line="28" w:lineRule="exact"/>
        <w:rPr>
          <w:rFonts w:ascii="Arial" w:cs="Arial" w:eastAsia="Arial" w:hAnsi="Arial"/>
          <w:sz w:val="14"/>
          <w:szCs w:val="14"/>
          <w:color w:val="auto"/>
        </w:rPr>
      </w:pPr>
    </w:p>
    <w:p>
      <w:pPr>
        <w:ind w:left="380" w:hanging="330"/>
        <w:spacing w:after="0"/>
        <w:tabs>
          <w:tab w:leader="none" w:pos="3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Additions to returns allowances are credited against revenue.</w:t>
      </w:r>
    </w:p>
    <w:p>
      <w:pPr>
        <w:spacing w:after="0" w:line="14" w:lineRule="exact"/>
        <w:rPr>
          <w:rFonts w:ascii="Arial" w:cs="Arial" w:eastAsia="Arial" w:hAnsi="Arial"/>
          <w:sz w:val="14"/>
          <w:szCs w:val="14"/>
          <w:color w:val="auto"/>
        </w:rPr>
      </w:pPr>
    </w:p>
    <w:p>
      <w:pPr>
        <w:ind w:left="380" w:hanging="330"/>
        <w:spacing w:after="0"/>
        <w:tabs>
          <w:tab w:leader="none" w:pos="3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Accounts receivable allowance includes the allowance for credit losses.</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2480" w:type="dxa"/>
            <w:vAlign w:val="bottom"/>
          </w:tcPr>
          <w:p>
            <w:pPr>
              <w:ind w:left="16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Balance at</w:t>
            </w:r>
          </w:p>
        </w:tc>
        <w:tc>
          <w:tcPr>
            <w:tcW w:w="94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Additions</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Charged</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right="28"/>
              <w:spacing w:after="0"/>
              <w:rPr>
                <w:sz w:val="20"/>
                <w:szCs w:val="20"/>
                <w:color w:val="auto"/>
              </w:rPr>
            </w:pPr>
            <w:r>
              <w:rPr>
                <w:rFonts w:ascii="Arial" w:cs="Arial" w:eastAsia="Arial" w:hAnsi="Arial"/>
                <w:sz w:val="14"/>
                <w:szCs w:val="14"/>
                <w:b w:val="1"/>
                <w:bCs w:val="1"/>
                <w:color w:val="auto"/>
              </w:rPr>
              <w:t>Charges</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Balance</w:t>
            </w:r>
          </w:p>
        </w:tc>
      </w:tr>
      <w:tr>
        <w:trPr>
          <w:trHeight w:val="189"/>
        </w:trPr>
        <w:tc>
          <w:tcPr>
            <w:tcW w:w="2620" w:type="dxa"/>
            <w:vAlign w:val="bottom"/>
          </w:tcPr>
          <w:p>
            <w:pPr>
              <w:spacing w:after="0"/>
              <w:rPr>
                <w:sz w:val="16"/>
                <w:szCs w:val="16"/>
                <w:color w:val="auto"/>
              </w:rPr>
            </w:pPr>
          </w:p>
        </w:tc>
        <w:tc>
          <w:tcPr>
            <w:tcW w:w="2480" w:type="dxa"/>
            <w:vAlign w:val="bottom"/>
          </w:tcPr>
          <w:p>
            <w:pPr>
              <w:ind w:left="16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Beginning</w:t>
            </w:r>
          </w:p>
        </w:tc>
        <w:tc>
          <w:tcPr>
            <w:tcW w:w="94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Charged to</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740" w:type="dxa"/>
            <w:vAlign w:val="bottom"/>
          </w:tcPr>
          <w:p>
            <w:pPr>
              <w:ind w:left="60"/>
              <w:spacing w:after="0"/>
              <w:rPr>
                <w:sz w:val="20"/>
                <w:szCs w:val="20"/>
                <w:color w:val="auto"/>
              </w:rPr>
            </w:pPr>
            <w:r>
              <w:rPr>
                <w:rFonts w:ascii="Arial" w:cs="Arial" w:eastAsia="Arial" w:hAnsi="Arial"/>
                <w:sz w:val="14"/>
                <w:szCs w:val="14"/>
                <w:b w:val="1"/>
                <w:bCs w:val="1"/>
                <w:color w:val="auto"/>
              </w:rPr>
              <w:t>to Other</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right="28"/>
              <w:spacing w:after="0"/>
              <w:rPr>
                <w:sz w:val="20"/>
                <w:szCs w:val="20"/>
                <w:color w:val="auto"/>
              </w:rPr>
            </w:pPr>
            <w:r>
              <w:rPr>
                <w:rFonts w:ascii="Arial" w:cs="Arial" w:eastAsia="Arial" w:hAnsi="Arial"/>
                <w:sz w:val="14"/>
                <w:szCs w:val="14"/>
                <w:b w:val="1"/>
                <w:bCs w:val="1"/>
                <w:color w:val="auto"/>
              </w:rPr>
              <w:t>Utilized</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at End</w:t>
            </w:r>
          </w:p>
        </w:tc>
      </w:tr>
      <w:tr>
        <w:trPr>
          <w:trHeight w:val="196"/>
        </w:trPr>
        <w:tc>
          <w:tcPr>
            <w:tcW w:w="2620" w:type="dxa"/>
            <w:vAlign w:val="bottom"/>
          </w:tcPr>
          <w:p>
            <w:pPr>
              <w:spacing w:after="0"/>
              <w:rPr>
                <w:sz w:val="20"/>
                <w:szCs w:val="20"/>
                <w:color w:val="auto"/>
              </w:rPr>
            </w:pPr>
            <w:r>
              <w:rPr>
                <w:rFonts w:ascii="Arial" w:cs="Arial" w:eastAsia="Arial" w:hAnsi="Arial"/>
                <w:sz w:val="14"/>
                <w:szCs w:val="14"/>
                <w:color w:val="auto"/>
              </w:rPr>
              <w:t>($ in thousands)</w:t>
            </w:r>
          </w:p>
        </w:tc>
        <w:tc>
          <w:tcPr>
            <w:tcW w:w="2480" w:type="dxa"/>
            <w:vAlign w:val="bottom"/>
          </w:tcPr>
          <w:p>
            <w:pPr>
              <w:ind w:left="16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of Period</w:t>
            </w:r>
          </w:p>
        </w:tc>
        <w:tc>
          <w:tcPr>
            <w:tcW w:w="94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Expense</w:t>
            </w:r>
          </w:p>
        </w:tc>
        <w:tc>
          <w:tcPr>
            <w:tcW w:w="960" w:type="dxa"/>
            <w:vAlign w:val="bottom"/>
            <w:gridSpan w:val="2"/>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Accounts</w:t>
            </w:r>
          </w:p>
        </w:tc>
        <w:tc>
          <w:tcPr>
            <w:tcW w:w="980" w:type="dxa"/>
            <w:vAlign w:val="bottom"/>
            <w:gridSpan w:val="2"/>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(Write-offs)</w:t>
            </w: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of Period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wp:posOffset>
            </wp:positionV>
            <wp:extent cx="564896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b w:val="1"/>
          <w:bCs w:val="1"/>
          <w:color w:val="auto"/>
        </w:rPr>
        <w:t>Noncurrent other assets allowance:</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3460" w:type="dxa"/>
            <w:vAlign w:val="bottom"/>
          </w:tcPr>
          <w:p>
            <w:pPr>
              <w:ind w:left="20"/>
              <w:spacing w:after="0"/>
              <w:rPr>
                <w:sz w:val="20"/>
                <w:szCs w:val="20"/>
                <w:color w:val="auto"/>
              </w:rPr>
            </w:pPr>
            <w:r>
              <w:rPr>
                <w:rFonts w:ascii="Arial" w:cs="Arial" w:eastAsia="Arial" w:hAnsi="Arial"/>
                <w:sz w:val="18"/>
                <w:szCs w:val="18"/>
                <w:color w:val="auto"/>
              </w:rPr>
              <w:t>Year ended December 31, 2025</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  4,157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  (1,000)</w:t>
            </w:r>
          </w:p>
        </w:tc>
        <w:tc>
          <w:tcPr>
            <w:tcW w:w="820" w:type="dxa"/>
            <w:vAlign w:val="bottom"/>
          </w:tcPr>
          <w:p>
            <w:pPr>
              <w:jc w:val="right"/>
              <w:spacing w:after="0"/>
              <w:rPr>
                <w:sz w:val="20"/>
                <w:szCs w:val="20"/>
                <w:color w:val="auto"/>
              </w:rPr>
            </w:pPr>
            <w:r>
              <w:rPr>
                <w:rFonts w:ascii="Arial" w:cs="Arial" w:eastAsia="Arial" w:hAnsi="Arial"/>
                <w:sz w:val="18"/>
                <w:szCs w:val="18"/>
                <w:color w:val="auto"/>
              </w:rPr>
              <w:t>$  3,157</w:t>
            </w: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2024</w:t>
            </w: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3460" w:type="dxa"/>
            <w:vAlign w:val="bottom"/>
          </w:tcPr>
          <w:p>
            <w:pPr>
              <w:ind w:left="20"/>
              <w:spacing w:after="0"/>
              <w:rPr>
                <w:sz w:val="20"/>
                <w:szCs w:val="20"/>
                <w:color w:val="auto"/>
              </w:rPr>
            </w:pPr>
            <w:r>
              <w:rPr>
                <w:rFonts w:ascii="Arial" w:cs="Arial" w:eastAsia="Arial" w:hAnsi="Arial"/>
                <w:sz w:val="18"/>
                <w:szCs w:val="18"/>
                <w:color w:val="auto"/>
              </w:rPr>
              <w:t>Year ended December 31, 2023</w:t>
            </w:r>
          </w:p>
        </w:tc>
        <w:tc>
          <w:tcPr>
            <w:tcW w:w="118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440" w:type="dxa"/>
            <w:vAlign w:val="bottom"/>
          </w:tcPr>
          <w:p>
            <w:pPr>
              <w:spacing w:after="0"/>
              <w:rPr>
                <w:sz w:val="20"/>
                <w:szCs w:val="20"/>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Tax Valuation</w:t>
            </w:r>
          </w:p>
        </w:tc>
        <w:tc>
          <w:tcPr>
            <w:tcW w:w="160" w:type="dxa"/>
            <w:vAlign w:val="bottom"/>
          </w:tcPr>
          <w:p>
            <w:pPr>
              <w:spacing w:after="0"/>
              <w:rPr>
                <w:sz w:val="16"/>
                <w:szCs w:val="16"/>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Tax Valuation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19"/>
              <w:spacing w:after="0"/>
              <w:rPr>
                <w:sz w:val="20"/>
                <w:szCs w:val="20"/>
                <w:color w:val="auto"/>
              </w:rPr>
            </w:pPr>
            <w:r>
              <w:rPr>
                <w:rFonts w:ascii="Arial" w:cs="Arial" w:eastAsia="Arial" w:hAnsi="Arial"/>
                <w:sz w:val="14"/>
                <w:szCs w:val="14"/>
                <w:b w:val="1"/>
                <w:bCs w:val="1"/>
                <w:color w:val="auto"/>
              </w:rPr>
              <w:t>Allowance</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Allowance</w:t>
            </w:r>
          </w:p>
        </w:tc>
        <w:tc>
          <w:tcPr>
            <w:tcW w:w="120" w:type="dxa"/>
            <w:vAlign w:val="bottom"/>
          </w:tcPr>
          <w:p>
            <w:pPr>
              <w:spacing w:after="0"/>
              <w:rPr>
                <w:sz w:val="16"/>
                <w:szCs w:val="16"/>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Charged or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19"/>
              <w:spacing w:after="0"/>
              <w:rPr>
                <w:sz w:val="20"/>
                <w:szCs w:val="20"/>
                <w:color w:val="auto"/>
              </w:rPr>
            </w:pPr>
            <w:r>
              <w:rPr>
                <w:rFonts w:ascii="Arial" w:cs="Arial" w:eastAsia="Arial" w:hAnsi="Arial"/>
                <w:sz w:val="14"/>
                <w:szCs w:val="14"/>
                <w:b w:val="1"/>
                <w:bCs w:val="1"/>
                <w:color w:val="auto"/>
              </w:rPr>
              <w:t>Charged to</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Credited to</w:t>
            </w:r>
          </w:p>
        </w:tc>
        <w:tc>
          <w:tcPr>
            <w:tcW w:w="120" w:type="dxa"/>
            <w:vAlign w:val="bottom"/>
          </w:tcPr>
          <w:p>
            <w:pPr>
              <w:spacing w:after="0"/>
              <w:rPr>
                <w:sz w:val="16"/>
                <w:szCs w:val="16"/>
                <w:color w:val="auto"/>
              </w:rPr>
            </w:pPr>
          </w:p>
        </w:tc>
        <w:tc>
          <w:tcPr>
            <w:tcW w:w="860" w:type="dxa"/>
            <w:vAlign w:val="bottom"/>
            <w:gridSpan w:val="4"/>
          </w:tcPr>
          <w:p>
            <w:pPr>
              <w:ind w:left="80"/>
              <w:spacing w:after="0"/>
              <w:rPr>
                <w:sz w:val="20"/>
                <w:szCs w:val="20"/>
                <w:color w:val="auto"/>
              </w:rPr>
            </w:pPr>
            <w:r>
              <w:rPr>
                <w:rFonts w:ascii="Arial" w:cs="Arial" w:eastAsia="Arial" w:hAnsi="Arial"/>
                <w:sz w:val="14"/>
                <w:szCs w:val="14"/>
                <w:b w:val="1"/>
                <w:bCs w:val="1"/>
                <w:color w:val="auto"/>
              </w:rPr>
              <w:t>(Credited)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rPr>
              <w:t>Balance</w:t>
            </w:r>
          </w:p>
        </w:tc>
      </w:tr>
      <w:tr>
        <w:trPr>
          <w:trHeight w:val="189"/>
        </w:trPr>
        <w:tc>
          <w:tcPr>
            <w:tcW w:w="3580" w:type="dxa"/>
            <w:vAlign w:val="bottom"/>
          </w:tcPr>
          <w:p>
            <w:pPr>
              <w:spacing w:after="0"/>
              <w:rPr>
                <w:sz w:val="16"/>
                <w:szCs w:val="16"/>
                <w:color w:val="auto"/>
              </w:rPr>
            </w:pP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Beginning</w:t>
            </w:r>
          </w:p>
        </w:tc>
        <w:tc>
          <w:tcPr>
            <w:tcW w:w="1140" w:type="dxa"/>
            <w:vAlign w:val="bottom"/>
            <w:gridSpan w:val="3"/>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Income Tax</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Tax</w:t>
            </w: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 Other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rPr>
              <w:t>at End</w:t>
            </w:r>
          </w:p>
        </w:tc>
      </w:tr>
      <w:tr>
        <w:trPr>
          <w:trHeight w:val="144"/>
        </w:trPr>
        <w:tc>
          <w:tcPr>
            <w:tcW w:w="3580" w:type="dxa"/>
            <w:vAlign w:val="bottom"/>
          </w:tcPr>
          <w:p>
            <w:pPr>
              <w:ind w:left="20"/>
              <w:spacing w:after="0" w:line="145" w:lineRule="exact"/>
              <w:rPr>
                <w:sz w:val="20"/>
                <w:szCs w:val="20"/>
                <w:color w:val="auto"/>
              </w:rPr>
            </w:pPr>
            <w:r>
              <w:rPr>
                <w:rFonts w:ascii="Arial" w:cs="Arial" w:eastAsia="Arial" w:hAnsi="Arial"/>
                <w:sz w:val="14"/>
                <w:szCs w:val="14"/>
                <w:color w:val="auto"/>
              </w:rPr>
              <w:t>($ in thousands)</w:t>
            </w:r>
          </w:p>
        </w:tc>
        <w:tc>
          <w:tcPr>
            <w:tcW w:w="26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w:t>
            </w:r>
          </w:p>
        </w:tc>
        <w:tc>
          <w:tcPr>
            <w:tcW w:w="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of Period</w:t>
            </w:r>
          </w:p>
        </w:tc>
        <w:tc>
          <w:tcPr>
            <w:tcW w:w="28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w:t>
            </w:r>
          </w:p>
        </w:tc>
        <w:tc>
          <w:tcPr>
            <w:tcW w:w="860" w:type="dxa"/>
            <w:vAlign w:val="bottom"/>
          </w:tcPr>
          <w:p>
            <w:pPr>
              <w:jc w:val="center"/>
              <w:ind w:right="39"/>
              <w:spacing w:after="0" w:line="145" w:lineRule="exact"/>
              <w:rPr>
                <w:sz w:val="20"/>
                <w:szCs w:val="20"/>
                <w:color w:val="auto"/>
              </w:rPr>
            </w:pPr>
            <w:r>
              <w:rPr>
                <w:rFonts w:ascii="Arial" w:cs="Arial" w:eastAsia="Arial" w:hAnsi="Arial"/>
                <w:sz w:val="14"/>
                <w:szCs w:val="14"/>
                <w:b w:val="1"/>
                <w:bCs w:val="1"/>
                <w:color w:val="auto"/>
              </w:rPr>
              <w:t>Provision</w:t>
            </w:r>
          </w:p>
        </w:tc>
        <w:tc>
          <w:tcPr>
            <w:tcW w:w="22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rPr>
              <w:t>Provision</w:t>
            </w:r>
          </w:p>
        </w:tc>
        <w:tc>
          <w:tcPr>
            <w:tcW w:w="240" w:type="dxa"/>
            <w:vAlign w:val="bottom"/>
            <w:gridSpan w:val="2"/>
          </w:tcPr>
          <w:p>
            <w:pPr>
              <w:ind w:left="40"/>
              <w:spacing w:after="0" w:line="145"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w w:val="74"/>
              </w:rPr>
              <w:t>(1)</w:t>
            </w:r>
          </w:p>
        </w:tc>
        <w:tc>
          <w:tcPr>
            <w:tcW w:w="40" w:type="dxa"/>
            <w:vAlign w:val="bottom"/>
          </w:tcPr>
          <w:p>
            <w:pPr>
              <w:spacing w:after="0"/>
              <w:rPr>
                <w:sz w:val="12"/>
                <w:szCs w:val="12"/>
                <w:color w:val="auto"/>
              </w:rPr>
            </w:pPr>
          </w:p>
        </w:tc>
        <w:tc>
          <w:tcPr>
            <w:tcW w:w="24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w:t>
            </w:r>
          </w:p>
        </w:tc>
        <w:tc>
          <w:tcPr>
            <w:tcW w:w="800" w:type="dxa"/>
            <w:vAlign w:val="bottom"/>
          </w:tcPr>
          <w:p>
            <w:pPr>
              <w:jc w:val="center"/>
              <w:ind w:right="19"/>
              <w:spacing w:after="0" w:line="145" w:lineRule="exact"/>
              <w:rPr>
                <w:sz w:val="20"/>
                <w:szCs w:val="20"/>
                <w:color w:val="auto"/>
              </w:rPr>
            </w:pPr>
            <w:r>
              <w:rPr>
                <w:rFonts w:ascii="Arial" w:cs="Arial" w:eastAsia="Arial" w:hAnsi="Arial"/>
                <w:sz w:val="14"/>
                <w:szCs w:val="14"/>
                <w:b w:val="1"/>
                <w:bCs w:val="1"/>
                <w:color w:val="auto"/>
              </w:rPr>
              <w:t>of Period</w:t>
            </w:r>
          </w:p>
        </w:tc>
      </w:tr>
      <w:tr>
        <w:trPr>
          <w:trHeight w:val="54"/>
        </w:trPr>
        <w:tc>
          <w:tcPr>
            <w:tcW w:w="35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gridSpan w:val="2"/>
          </w:tcPr>
          <w:p>
            <w:pPr>
              <w:ind w:left="20"/>
              <w:spacing w:after="0" w:line="54" w:lineRule="exact"/>
              <w:rPr>
                <w:sz w:val="20"/>
                <w:szCs w:val="20"/>
                <w:color w:val="auto"/>
              </w:rPr>
            </w:pPr>
            <w:r>
              <w:rPr>
                <w:rFonts w:ascii="Arial" w:cs="Arial" w:eastAsia="Arial" w:hAnsi="Arial"/>
                <w:sz w:val="6"/>
                <w:szCs w:val="6"/>
                <w:b w:val="1"/>
                <w:bCs w:val="1"/>
                <w:color w:val="auto"/>
              </w:rPr>
              <w:t>Accounts</w:t>
            </w: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31"/>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Valuation allowance for deferred tax</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1"/>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Year ended December 31, 2025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227,605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184,058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(613)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411,050</w:t>
            </w: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192,686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36,487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227,605</w:t>
            </w:r>
          </w:p>
        </w:tc>
      </w:tr>
      <w:tr>
        <w:trPr>
          <w:trHeight w:val="239"/>
        </w:trPr>
        <w:tc>
          <w:tcPr>
            <w:tcW w:w="3580" w:type="dxa"/>
            <w:vAlign w:val="bottom"/>
          </w:tcPr>
          <w:p>
            <w:pPr>
              <w:ind w:left="20"/>
              <w:spacing w:after="0"/>
              <w:rPr>
                <w:sz w:val="20"/>
                <w:szCs w:val="20"/>
                <w:color w:val="auto"/>
              </w:rPr>
            </w:pPr>
            <w:r>
              <w:rPr>
                <w:rFonts w:ascii="Arial" w:cs="Arial" w:eastAsia="Arial" w:hAnsi="Arial"/>
                <w:sz w:val="18"/>
                <w:szCs w:val="18"/>
                <w:color w:val="auto"/>
              </w:rPr>
              <w:t>Year ended December 31, 2023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106,052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64,351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6"/>
              <w:spacing w:after="0"/>
              <w:rPr>
                <w:sz w:val="20"/>
                <w:szCs w:val="20"/>
                <w:color w:val="auto"/>
              </w:rPr>
            </w:pPr>
            <w:r>
              <w:rPr>
                <w:rFonts w:ascii="Arial" w:cs="Arial" w:eastAsia="Arial" w:hAnsi="Arial"/>
                <w:sz w:val="18"/>
                <w:szCs w:val="18"/>
                <w:color w:val="auto"/>
              </w:rPr>
              <w:t>22,283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192,686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62865</wp:posOffset>
            </wp:positionV>
            <wp:extent cx="141414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7" w:lineRule="exact"/>
        <w:rPr>
          <w:sz w:val="20"/>
          <w:szCs w:val="20"/>
          <w:color w:val="auto"/>
        </w:rPr>
      </w:pPr>
    </w:p>
    <w:p>
      <w:pPr>
        <w:ind w:left="560" w:hanging="321"/>
        <w:spacing w:after="0"/>
        <w:tabs>
          <w:tab w:leader="none" w:pos="5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Amounts charged to additional paid-in capital relating to the outside basis in the investment in CWGS,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22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effective can provide only reasonable assurance with respect to financial statement preparation and presentation.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10"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Our management carried out an evaluation, under the supervision and participation of our Chief Executive Officer (principal executive officer) and our Chief Financial Officer (principal financial officer), of the effectiveness of our disclosure controls and procedures (as defined in Rules 13a-15(e) and 15d-15(e) under the Securities Exchange Act of 1934, as amended (“Exchange Act”)) as of December 31, 2025. Based on our management’s evaluation, our Chief Executive Officer (principal executive officer) and our Chief Financial Officer (principal financial officer) concluded that our disclosure controls and procedures were effective at the reasonable assurance level as of December 31, 2025.</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financial reporting and the preparation of financial statements for external purposes in accordance with U.S. GAAP.</w:t>
      </w:r>
    </w:p>
    <w:p>
      <w:pPr>
        <w:spacing w:after="0" w:line="181"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Under the supervision and participation of our Chief Executive Officer and our Chief Financial Officer, our management conducted an assessment of the effectiveness of our internal control over financial reporting as of December 31, 2025, based on the criteria set forth in Internal Control-Integrated Framework issued by the Committee of Sponsoring Organizations of the Treadway Commission (2013 framework).</w:t>
      </w:r>
    </w:p>
    <w:p>
      <w:pPr>
        <w:spacing w:after="0" w:line="1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Based on their assessment, our management concluded that our internal control over financial reporting was effective as of December 31, 2025.</w:t>
      </w:r>
    </w:p>
    <w:p>
      <w:pPr>
        <w:spacing w:after="0" w:line="13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The Company’s independent registered public accounting firm, Deloitte &amp; Touche LLP, has audited the consolidated financial statements included in this Annual Report on Form 10-K and has issued an attestation report on our internal control over financial reporting as of December 31, 2025</w:t>
      </w:r>
      <w:r>
        <w:rPr>
          <w:rFonts w:ascii="Arial" w:cs="Arial" w:eastAsia="Arial" w:hAnsi="Arial"/>
          <w:sz w:val="19"/>
          <w:szCs w:val="19"/>
          <w:color w:val="auto"/>
        </w:rPr>
        <w: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During the quarter ended December 31, 2025, we completed the process of incorporating the internal controls for the tire rescue roadside assistance business we acquired in 2024 (the “2024 Excluded Acquisition”), into our internal control over financial reporting and extending our Section 404 compliance program under the Sarbanes-Oxley Act of 2002 and the applicable rules and regulations under such Act to include the 2024 Excluded Acquisition.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Other than changes made to address the previously disclosed material weakness or otherwise described above, there was no change in our internal control over financial reporting (as defined in Rules 13a-15(f) and 15d-15(f) under the Exchange Act) identified in connection with the evaluation of our internal control performed during the fiscal quarter ended December 31,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Camping World Holdings, Inc., and subsidiaries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8"/>
          <w:szCs w:val="18"/>
          <w:color w:val="auto"/>
        </w:rPr>
        <w:t xml:space="preserve">We have audited the internal control over financial reporting of Camping World Holdings, Inc., and subsidiaries (the "Company") as of December 31, 2025,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(COSO). In our opinion, the Company maintained, in all material respects, effective internal control over financial reporting as of December 31, 2025,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COSO.</w:t>
      </w:r>
    </w:p>
    <w:p>
      <w:pPr>
        <w:spacing w:after="0" w:line="180"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27, 2026, expressed an unqualified opinion on those financial statements.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Chicago, Illinois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27, 2026</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ind w:left="1040" w:hanging="315"/>
        <w:spacing w:after="0"/>
        <w:tabs>
          <w:tab w:leader="none" w:pos="10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jc w:val="both"/>
        <w:ind w:left="1040" w:right="79" w:hanging="315"/>
        <w:spacing w:after="0" w:line="261" w:lineRule="auto"/>
        <w:tabs>
          <w:tab w:leader="none" w:pos="10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During the three months ended December 31,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have adopted a written code of business conduct and ethics, which applies to all of our directors, officers and employees, including our principal executive officer and our principal financial and accounting officer. Our Code of Business Conduct and Ethics is available on our website www.campingworld.com in the “Investor Relations” section under “Governance.” In addition, we intend to post on our website all disclosures that are required by law or New York Stock Exchange listing rules concerning any amendments to, or waivers from, any provision of our Code of Business Conduct and Ethics. The information contained on our website is not incorporated by reference into this Form 10-K.</w:t>
      </w:r>
    </w:p>
    <w:p>
      <w:pPr>
        <w:spacing w:after="0" w:line="18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information concerning our executive officers and directors in response to this item is contained above in part under the caption “Information About Our Executive Officers and Directors” at the end of Part I of this Form 10-K. Other Information required by this item will be included under the captions “Proposal 1: Election of Directors”, “Corporate Governance”, “Committees of the Board”, and, if applicable, “Delinquent Section 16(a) Reports” in our Proxy Statement for our 2026 Annual Meeting of Stockholders and, upon filing,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The information required by this item will be included under the captions “Executive Compensation”, ”Director Compensation”, “Compensation Committee Report”, “CEO Pay Ratio”, and “Compensation Committee Interlocks and Insider Participation” in our Proxy Statement for our 2026 Annual Meeting of Stockholders and, upon filing,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right="279"/>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4"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8"/>
          <w:szCs w:val="18"/>
          <w:color w:val="auto"/>
        </w:rPr>
        <w:t>The following table provides information about our compensation plans under which our Class A common stock is authorized for issuance, as of December 31, 2025:</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ind w:right="23"/>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center"/>
              <w:ind w:right="3"/>
              <w:spacing w:after="0"/>
              <w:rPr>
                <w:sz w:val="20"/>
                <w:szCs w:val="20"/>
                <w:color w:val="auto"/>
              </w:rPr>
            </w:pPr>
            <w:r>
              <w:rPr>
                <w:rFonts w:ascii="Arial" w:cs="Arial" w:eastAsia="Arial" w:hAnsi="Arial"/>
                <w:sz w:val="14"/>
                <w:szCs w:val="14"/>
                <w:b w:val="1"/>
                <w:bCs w:val="1"/>
                <w:color w:val="auto"/>
              </w:rPr>
              <w:t>securities to be</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center"/>
              <w:ind w:right="23"/>
              <w:spacing w:after="0"/>
              <w:rPr>
                <w:sz w:val="20"/>
                <w:szCs w:val="20"/>
                <w:color w:val="auto"/>
              </w:rPr>
            </w:pPr>
            <w:r>
              <w:rPr>
                <w:rFonts w:ascii="Arial" w:cs="Arial" w:eastAsia="Arial" w:hAnsi="Arial"/>
                <w:sz w:val="14"/>
                <w:szCs w:val="14"/>
                <w:b w:val="1"/>
                <w:bCs w:val="1"/>
                <w:color w:val="auto"/>
              </w:rPr>
              <w:t>issued upon</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jc w:val="center"/>
              <w:ind w:right="1"/>
              <w:spacing w:after="0"/>
              <w:rPr>
                <w:sz w:val="20"/>
                <w:szCs w:val="20"/>
                <w:color w:val="auto"/>
              </w:rPr>
            </w:pPr>
            <w:r>
              <w:rPr>
                <w:rFonts w:ascii="Arial" w:cs="Arial" w:eastAsia="Arial" w:hAnsi="Arial"/>
                <w:sz w:val="14"/>
                <w:szCs w:val="14"/>
                <w:b w:val="1"/>
                <w:bCs w:val="1"/>
                <w:color w:val="auto"/>
              </w:rPr>
              <w:t>Weighted-average</w:t>
            </w: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securities remaining</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ind w:right="23"/>
              <w:spacing w:after="0"/>
              <w:rPr>
                <w:sz w:val="20"/>
                <w:szCs w:val="20"/>
                <w:color w:val="auto"/>
              </w:rPr>
            </w:pPr>
            <w:r>
              <w:rPr>
                <w:rFonts w:ascii="Arial" w:cs="Arial" w:eastAsia="Arial" w:hAnsi="Arial"/>
                <w:sz w:val="14"/>
                <w:szCs w:val="14"/>
                <w:b w:val="1"/>
                <w:bCs w:val="1"/>
                <w:color w:val="auto"/>
              </w:rPr>
              <w:t>exercise of</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jc w:val="center"/>
              <w:ind w:right="1"/>
              <w:spacing w:after="0"/>
              <w:rPr>
                <w:sz w:val="20"/>
                <w:szCs w:val="20"/>
                <w:color w:val="auto"/>
              </w:rPr>
            </w:pPr>
            <w:r>
              <w:rPr>
                <w:rFonts w:ascii="Arial" w:cs="Arial" w:eastAsia="Arial" w:hAnsi="Arial"/>
                <w:sz w:val="14"/>
                <w:szCs w:val="14"/>
                <w:b w:val="1"/>
                <w:bCs w:val="1"/>
                <w:color w:val="auto"/>
              </w:rPr>
              <w:t>exercise price of</w:t>
            </w:r>
          </w:p>
        </w:tc>
        <w:tc>
          <w:tcPr>
            <w:tcW w:w="1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available for future</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ind w:right="3"/>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jc w:val="center"/>
              <w:ind w:right="1"/>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issuances under</w:t>
            </w: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center"/>
              <w:ind w:right="23"/>
              <w:spacing w:after="0"/>
              <w:rPr>
                <w:sz w:val="20"/>
                <w:szCs w:val="20"/>
                <w:color w:val="auto"/>
              </w:rPr>
            </w:pPr>
            <w:r>
              <w:rPr>
                <w:rFonts w:ascii="Arial" w:cs="Arial" w:eastAsia="Arial" w:hAnsi="Arial"/>
                <w:sz w:val="14"/>
                <w:szCs w:val="14"/>
                <w:b w:val="1"/>
                <w:bCs w:val="1"/>
                <w:color w:val="auto"/>
              </w:rPr>
              <w:t>options, warrants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options, warrants</w:t>
            </w: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418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340" w:type="dxa"/>
            <w:vAlign w:val="bottom"/>
          </w:tcPr>
          <w:p>
            <w:pPr>
              <w:jc w:val="center"/>
              <w:ind w:right="3"/>
              <w:spacing w:after="0"/>
              <w:rPr>
                <w:sz w:val="20"/>
                <w:szCs w:val="20"/>
                <w:color w:val="auto"/>
              </w:rPr>
            </w:pPr>
            <w:r>
              <w:rPr>
                <w:rFonts w:ascii="Arial" w:cs="Arial" w:eastAsia="Arial" w:hAnsi="Arial"/>
                <w:sz w:val="14"/>
                <w:szCs w:val="14"/>
                <w:b w:val="1"/>
                <w:bCs w:val="1"/>
                <w:color w:val="auto"/>
              </w:rPr>
              <w:t>and rights</w:t>
            </w:r>
          </w:p>
        </w:tc>
        <w:tc>
          <w:tcPr>
            <w:tcW w:w="2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340" w:type="dxa"/>
            <w:vAlign w:val="bottom"/>
          </w:tcPr>
          <w:p>
            <w:pPr>
              <w:jc w:val="center"/>
              <w:ind w:right="1"/>
              <w:spacing w:after="0"/>
              <w:rPr>
                <w:sz w:val="20"/>
                <w:szCs w:val="20"/>
                <w:color w:val="auto"/>
              </w:rPr>
            </w:pPr>
            <w:r>
              <w:rPr>
                <w:rFonts w:ascii="Arial" w:cs="Arial" w:eastAsia="Arial" w:hAnsi="Arial"/>
                <w:sz w:val="14"/>
                <w:szCs w:val="14"/>
                <w:b w:val="1"/>
                <w:bCs w:val="1"/>
                <w:color w:val="auto"/>
              </w:rPr>
              <w:t>and rights</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70"/>
        </w:trPr>
        <w:tc>
          <w:tcPr>
            <w:tcW w:w="418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Equity compensation plans approved by security</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2,803,195</w:t>
            </w: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60" w:type="dxa"/>
            <w:vAlign w:val="bottom"/>
            <w:tcBorders>
              <w:top w:val="single" w:sz="8" w:color="CCEEFF"/>
            </w:tcBorders>
            <w:vMerge w:val="restart"/>
            <w:shd w:val="clear" w:color="auto" w:fill="CCEEFF"/>
          </w:tcPr>
          <w:p>
            <w:pPr>
              <w:spacing w:after="0"/>
              <w:rPr>
                <w:sz w:val="14"/>
                <w:szCs w:val="14"/>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4,189,886</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spacing w:after="0" w:line="228" w:lineRule="exact"/>
              <w:rPr>
                <w:sz w:val="20"/>
                <w:szCs w:val="20"/>
                <w:color w:val="auto"/>
              </w:rPr>
            </w:pPr>
            <w:r>
              <w:rPr>
                <w:rFonts w:ascii="Arial" w:cs="Arial" w:eastAsia="Arial" w:hAnsi="Arial"/>
                <w:sz w:val="18"/>
                <w:szCs w:val="18"/>
                <w:color w:val="auto"/>
              </w:rPr>
              <w:t>holders</w:t>
            </w:r>
            <w:r>
              <w:rPr>
                <w:rFonts w:ascii="Arial" w:cs="Arial" w:eastAsia="Arial" w:hAnsi="Arial"/>
                <w:sz w:val="26"/>
                <w:szCs w:val="26"/>
                <w:color w:val="auto"/>
                <w:vertAlign w:val="superscript"/>
              </w:rPr>
              <w:t>(1)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w w:val="99"/>
              </w:rPr>
              <w:t>Equity compensation plans not approved by security</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holders</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2,803,195</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4,189,886</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80" w:right="79" w:hanging="330"/>
        <w:spacing w:after="0" w:line="269" w:lineRule="auto"/>
        <w:tabs>
          <w:tab w:leader="none" w:pos="3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Includes awards granted and available to be granted under our 2016 Plan, as amended from time to time. Does not include liability-classified awards that are expected to settle in December 2026 and may be settled in cash or shares. If those liability-classified awards had settled in shares on December 31, 2025, the Company would have issued 616,648 shares of Class A common stock under our 2016 Plan.</w:t>
      </w:r>
    </w:p>
    <w:p>
      <w:pPr>
        <w:spacing w:after="0" w:line="173"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8"/>
          <w:szCs w:val="18"/>
          <w:color w:val="auto"/>
        </w:rPr>
        <w:t>Other information required by this item with respect to security ownership of certain beneficial owners and management will be included under the caption “Security Ownership of Certain Beneficial Owners and</w:t>
      </w:r>
    </w:p>
    <w:p>
      <w:pPr>
        <w:sectPr>
          <w:pgSz w:w="11900" w:h="16838" w:orient="portrait"/>
          <w:cols w:equalWidth="0" w:num="1">
            <w:col w:w="9019"/>
          </w:cols>
          <w:pgMar w:left="1440" w:top="513" w:right="1440" w:bottom="1440" w:gutter="0" w:footer="0" w:header="0"/>
        </w:sect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8"/>
          <w:szCs w:val="18"/>
          <w:color w:val="auto"/>
        </w:rPr>
        <w:t>Management” and “Equity Compensation Plan Information” in our Proxy Statement for our 2026 Annual Meeting of Stockholders and, upon filing, is incorporated herein by reference.</w:t>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 information required by this item will be included under the captions “Certain Relationships and Related Person Transactions” and “Corporate Governance—Director Independence” in our Proxy Statement for our 2026 Annual Meeting of Stockholders and, upon filing,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The information required by this item will be included under the caption “Independent Registered Public Accounting Firm Fees and Other Matters” in our Proxy Statement for our 2026 Annual Meeting of Stockholders and, upon filing,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Statements and Schedules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See the table of contents under “Item 8. Financial Statements and Supplementary Data” in Part II of this Form 10-K above for the list of financial statements filed as part of this report.</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4660" w:type="dxa"/>
            <w:vAlign w:val="bottom"/>
            <w:gridSpan w:val="5"/>
          </w:tcPr>
          <w:p>
            <w:pPr>
              <w:spacing w:after="0"/>
              <w:rPr>
                <w:sz w:val="20"/>
                <w:szCs w:val="20"/>
                <w:color w:val="auto"/>
              </w:rPr>
            </w:pPr>
            <w:r>
              <w:rPr>
                <w:rFonts w:ascii="Arial" w:cs="Arial" w:eastAsia="Arial" w:hAnsi="Arial"/>
                <w:sz w:val="18"/>
                <w:szCs w:val="18"/>
                <w:color w:val="auto"/>
              </w:rPr>
              <w:t>(a)(2) Financial Statement Schedules.</w:t>
            </w: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1"/>
        </w:trPr>
        <w:tc>
          <w:tcPr>
            <w:tcW w:w="4660" w:type="dxa"/>
            <w:vAlign w:val="bottom"/>
            <w:gridSpan w:val="5"/>
          </w:tcPr>
          <w:p>
            <w:pPr>
              <w:spacing w:after="0"/>
              <w:rPr>
                <w:sz w:val="20"/>
                <w:szCs w:val="20"/>
                <w:color w:val="auto"/>
              </w:rPr>
            </w:pPr>
            <w:r>
              <w:rPr>
                <w:rFonts w:ascii="Arial" w:cs="Arial" w:eastAsia="Arial" w:hAnsi="Arial"/>
                <w:sz w:val="18"/>
                <w:szCs w:val="18"/>
                <w:color w:val="0000EE"/>
                <w:w w:val="99"/>
              </w:rPr>
              <w:t>Schedule I</w:t>
            </w:r>
            <w:r>
              <w:rPr>
                <w:rFonts w:ascii="Arial" w:cs="Arial" w:eastAsia="Arial" w:hAnsi="Arial"/>
                <w:sz w:val="18"/>
                <w:szCs w:val="18"/>
                <w:color w:val="000000"/>
                <w:w w:val="99"/>
              </w:rPr>
              <w:t>:</w:t>
            </w:r>
            <w:r>
              <w:rPr>
                <w:rFonts w:ascii="Arial" w:cs="Arial" w:eastAsia="Arial" w:hAnsi="Arial"/>
                <w:sz w:val="18"/>
                <w:szCs w:val="18"/>
                <w:color w:val="0000EE"/>
                <w:w w:val="99"/>
              </w:rPr>
              <w:t xml:space="preserve"> Condensed Financial Information of Registrant</w:t>
            </w:r>
          </w:p>
        </w:tc>
        <w:tc>
          <w:tcPr>
            <w:tcW w:w="424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24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line="20" w:lineRule="exact"/>
              <w:rPr>
                <w:sz w:val="1"/>
                <w:szCs w:val="1"/>
                <w:color w:val="auto"/>
              </w:rPr>
            </w:pPr>
          </w:p>
        </w:tc>
      </w:tr>
      <w:tr>
        <w:trPr>
          <w:trHeight w:val="196"/>
        </w:trPr>
        <w:tc>
          <w:tcPr>
            <w:tcW w:w="4660" w:type="dxa"/>
            <w:vAlign w:val="bottom"/>
            <w:gridSpan w:val="5"/>
          </w:tcPr>
          <w:p>
            <w:pPr>
              <w:spacing w:after="0" w:line="196" w:lineRule="exact"/>
              <w:rPr>
                <w:sz w:val="20"/>
                <w:szCs w:val="20"/>
                <w:color w:val="auto"/>
              </w:rPr>
            </w:pPr>
            <w:r>
              <w:rPr>
                <w:rFonts w:ascii="Arial" w:cs="Arial" w:eastAsia="Arial" w:hAnsi="Arial"/>
                <w:sz w:val="18"/>
                <w:szCs w:val="18"/>
                <w:color w:val="0000EE"/>
              </w:rPr>
              <w:t>Schedule II</w:t>
            </w:r>
            <w:r>
              <w:rPr>
                <w:rFonts w:ascii="Arial" w:cs="Arial" w:eastAsia="Arial" w:hAnsi="Arial"/>
                <w:sz w:val="18"/>
                <w:szCs w:val="18"/>
                <w:color w:val="000000"/>
              </w:rPr>
              <w:t>:</w:t>
            </w:r>
            <w:r>
              <w:rPr>
                <w:rFonts w:ascii="Arial" w:cs="Arial" w:eastAsia="Arial" w:hAnsi="Arial"/>
                <w:sz w:val="18"/>
                <w:szCs w:val="18"/>
                <w:color w:val="0000EE"/>
              </w:rPr>
              <w:t xml:space="preserve"> Valuation and Qualifying Accounts</w:t>
            </w:r>
          </w:p>
        </w:tc>
        <w:tc>
          <w:tcPr>
            <w:tcW w:w="4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All other schedules have been omitted because they are not required or because the required information is given in the Consolidated Financial Statements or Notes thereto set forth above under “Item 8. Financial Statements and Supplementary Data” in Part II of this Form 10-K, beginning on page 86.</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(a)(3)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color w:val="auto"/>
              </w:rPr>
              <w:t>Incorporated by Reference</w:t>
            </w: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Exhibit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Filed/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Furnished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Number</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15"/>
          </w:tcPr>
          <w:p>
            <w:pPr>
              <w:ind w:left="220"/>
              <w:spacing w:after="0"/>
              <w:rPr>
                <w:sz w:val="20"/>
                <w:szCs w:val="20"/>
                <w:color w:val="auto"/>
              </w:rPr>
            </w:pPr>
            <w:r>
              <w:rPr>
                <w:rFonts w:ascii="Arial" w:cs="Arial" w:eastAsia="Arial" w:hAnsi="Arial"/>
                <w:sz w:val="14"/>
                <w:szCs w:val="14"/>
                <w:color w:val="auto"/>
              </w:rPr>
              <w:t>Exhibit Description</w:t>
            </w:r>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Form</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File No.</w:t>
            </w:r>
          </w:p>
        </w:tc>
        <w:tc>
          <w:tcPr>
            <w:tcW w:w="62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Filing Date</w:t>
            </w:r>
          </w:p>
        </w:tc>
        <w:tc>
          <w:tcPr>
            <w:tcW w:w="780" w:type="dxa"/>
            <w:vAlign w:val="bottom"/>
          </w:tcPr>
          <w:p>
            <w:pPr>
              <w:jc w:val="center"/>
              <w:spacing w:after="0"/>
              <w:rPr>
                <w:sz w:val="20"/>
                <w:szCs w:val="20"/>
                <w:color w:val="auto"/>
              </w:rPr>
            </w:pPr>
            <w:r>
              <w:rPr>
                <w:rFonts w:ascii="Arial" w:cs="Arial" w:eastAsia="Arial" w:hAnsi="Arial"/>
                <w:sz w:val="14"/>
                <w:szCs w:val="14"/>
                <w:color w:val="auto"/>
              </w:rPr>
              <w:t>Herewith</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 w:type="dxa"/>
            <w:vAlign w:val="bottom"/>
            <w:tcBorders>
              <w:top w:val="single" w:sz="8" w:color="auto"/>
            </w:tcBorders>
          </w:tcPr>
          <w:p>
            <w:pPr>
              <w:spacing w:after="0" w:line="146" w:lineRule="exact"/>
              <w:rPr>
                <w:sz w:val="20"/>
                <w:szCs w:val="20"/>
                <w:color w:val="auto"/>
              </w:rPr>
            </w:pPr>
            <w:r>
              <w:rPr>
                <w:rFonts w:ascii="Arial" w:cs="Arial" w:eastAsia="Arial" w:hAnsi="Arial"/>
                <w:sz w:val="14"/>
                <w:szCs w:val="14"/>
                <w:color w:val="auto"/>
              </w:rPr>
              <w:t>3.1</w:t>
            </w:r>
          </w:p>
        </w:tc>
        <w:tc>
          <w:tcPr>
            <w:tcW w:w="160" w:type="dxa"/>
            <w:vAlign w:val="bottom"/>
          </w:tcPr>
          <w:p>
            <w:pPr>
              <w:spacing w:after="0"/>
              <w:rPr>
                <w:sz w:val="12"/>
                <w:szCs w:val="12"/>
                <w:color w:val="auto"/>
              </w:rPr>
            </w:pPr>
          </w:p>
        </w:tc>
        <w:tc>
          <w:tcPr>
            <w:tcW w:w="2340" w:type="dxa"/>
            <w:vAlign w:val="bottom"/>
            <w:tcBorders>
              <w:top w:val="single" w:sz="8" w:color="auto"/>
              <w:bottom w:val="single" w:sz="8" w:color="0000EE"/>
            </w:tcBorders>
            <w:gridSpan w:val="11"/>
          </w:tcPr>
          <w:p>
            <w:pPr>
              <w:spacing w:after="0" w:line="146" w:lineRule="exact"/>
              <w:rPr>
                <w:rFonts w:ascii="Arial" w:cs="Arial" w:eastAsia="Arial" w:hAnsi="Arial"/>
                <w:sz w:val="14"/>
                <w:szCs w:val="14"/>
                <w:color w:val="0000EE"/>
              </w:rPr>
            </w:pPr>
            <w:hyperlink r:id="rId191">
              <w:r>
                <w:rPr>
                  <w:rFonts w:ascii="Arial" w:cs="Arial" w:eastAsia="Arial" w:hAnsi="Arial"/>
                  <w:sz w:val="14"/>
                  <w:szCs w:val="14"/>
                  <w:color w:val="0000EE"/>
                </w:rPr>
                <w:t>Amended and Restated Certificate of</w:t>
              </w:r>
            </w:hyperlink>
          </w:p>
        </w:tc>
        <w:tc>
          <w:tcPr>
            <w:tcW w:w="420" w:type="dxa"/>
            <w:vAlign w:val="bottom"/>
            <w:tcBorders>
              <w:top w:val="single" w:sz="8" w:color="auto"/>
            </w:tcBorders>
            <w:gridSpan w:val="7"/>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top w:val="single" w:sz="8" w:color="auto"/>
            </w:tcBorders>
          </w:tcPr>
          <w:p>
            <w:pPr>
              <w:jc w:val="center"/>
              <w:ind w:left="428"/>
              <w:spacing w:after="0" w:line="146" w:lineRule="exact"/>
              <w:rPr>
                <w:sz w:val="20"/>
                <w:szCs w:val="20"/>
                <w:color w:val="auto"/>
              </w:rPr>
            </w:pPr>
            <w:r>
              <w:rPr>
                <w:rFonts w:ascii="Arial" w:cs="Arial" w:eastAsia="Arial" w:hAnsi="Arial"/>
                <w:sz w:val="14"/>
                <w:szCs w:val="14"/>
                <w:color w:val="auto"/>
              </w:rPr>
              <w:t>10-Q</w:t>
            </w: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12"/>
                <w:szCs w:val="12"/>
                <w:color w:val="auto"/>
              </w:rPr>
            </w:pPr>
          </w:p>
        </w:tc>
        <w:tc>
          <w:tcPr>
            <w:tcW w:w="48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4"/>
                <w:szCs w:val="14"/>
                <w:color w:val="auto"/>
              </w:rPr>
              <w:t>3.1</w:t>
            </w:r>
          </w:p>
        </w:tc>
        <w:tc>
          <w:tcPr>
            <w:tcW w:w="140" w:type="dxa"/>
            <w:vAlign w:val="bottom"/>
          </w:tcPr>
          <w:p>
            <w:pPr>
              <w:spacing w:after="0"/>
              <w:rPr>
                <w:sz w:val="12"/>
                <w:szCs w:val="12"/>
                <w:color w:val="auto"/>
              </w:rPr>
            </w:pPr>
          </w:p>
        </w:tc>
        <w:tc>
          <w:tcPr>
            <w:tcW w:w="74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4"/>
                <w:szCs w:val="14"/>
                <w:color w:val="auto"/>
                <w:w w:val="99"/>
              </w:rPr>
              <w:t>11/10/16</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gridSpan w:val="19"/>
          </w:tcPr>
          <w:p>
            <w:pPr>
              <w:spacing w:after="0"/>
              <w:rPr>
                <w:rFonts w:ascii="Arial" w:cs="Arial" w:eastAsia="Arial" w:hAnsi="Arial"/>
                <w:sz w:val="14"/>
                <w:szCs w:val="14"/>
                <w:color w:val="0000EE"/>
              </w:rPr>
            </w:pPr>
            <w:hyperlink r:id="rId191">
              <w:r>
                <w:rPr>
                  <w:rFonts w:ascii="Arial" w:cs="Arial" w:eastAsia="Arial" w:hAnsi="Arial"/>
                  <w:sz w:val="14"/>
                  <w:szCs w:val="14"/>
                  <w:color w:val="0000EE"/>
                </w:rPr>
                <w:t>Incorporation of Camping World Holdings,</w:t>
              </w:r>
            </w:hyperlink>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40" w:type="dxa"/>
            <w:vAlign w:val="bottom"/>
            <w:tcBorders>
              <w:top w:val="single" w:sz="8" w:color="0000EE"/>
            </w:tcBorders>
            <w:gridSpan w:val="15"/>
          </w:tcPr>
          <w:p>
            <w:pPr>
              <w:spacing w:after="0" w:line="155" w:lineRule="exact"/>
              <w:rPr>
                <w:rFonts w:ascii="Arial" w:cs="Arial" w:eastAsia="Arial" w:hAnsi="Arial"/>
                <w:sz w:val="14"/>
                <w:szCs w:val="14"/>
                <w:color w:val="0000EE"/>
              </w:rPr>
            </w:pPr>
            <w:hyperlink r:id="rId191">
              <w:r>
                <w:rPr>
                  <w:rFonts w:ascii="Arial" w:cs="Arial" w:eastAsia="Arial" w:hAnsi="Arial"/>
                  <w:sz w:val="14"/>
                  <w:szCs w:val="14"/>
                  <w:color w:val="0000EE"/>
                </w:rPr>
                <w:t>Inc.</w:t>
              </w:r>
            </w:hyperlink>
          </w:p>
        </w:tc>
        <w:tc>
          <w:tcPr>
            <w:tcW w:w="280" w:type="dxa"/>
            <w:vAlign w:val="bottom"/>
            <w:gridSpan w:val="4"/>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gridSpan w:val="2"/>
          </w:tcPr>
          <w:p>
            <w:pPr>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24"/>
                <w:szCs w:val="24"/>
                <w:color w:val="auto"/>
              </w:rPr>
            </w:pPr>
          </w:p>
        </w:tc>
        <w:tc>
          <w:tcPr>
            <w:tcW w:w="2700" w:type="dxa"/>
            <w:vAlign w:val="bottom"/>
            <w:tcBorders>
              <w:bottom w:val="single" w:sz="8" w:color="0000EE"/>
            </w:tcBorders>
            <w:gridSpan w:val="17"/>
          </w:tcPr>
          <w:p>
            <w:pPr>
              <w:spacing w:after="0"/>
              <w:rPr>
                <w:rFonts w:ascii="Arial" w:cs="Arial" w:eastAsia="Arial" w:hAnsi="Arial"/>
                <w:sz w:val="14"/>
                <w:szCs w:val="14"/>
                <w:color w:val="0000EE"/>
              </w:rPr>
            </w:pPr>
            <w:hyperlink r:id="rId192">
              <w:r>
                <w:rPr>
                  <w:rFonts w:ascii="Arial" w:cs="Arial" w:eastAsia="Arial" w:hAnsi="Arial"/>
                  <w:sz w:val="14"/>
                  <w:szCs w:val="14"/>
                  <w:color w:val="0000EE"/>
                </w:rPr>
                <w:t>Certificate of Amendment to Amended and</w:t>
              </w:r>
            </w:hyperlink>
          </w:p>
        </w:tc>
        <w:tc>
          <w:tcPr>
            <w:tcW w:w="220" w:type="dxa"/>
            <w:vAlign w:val="bottom"/>
            <w:gridSpan w:val="2"/>
          </w:tcPr>
          <w:p>
            <w:pPr>
              <w:spacing w:after="0"/>
              <w:rPr>
                <w:sz w:val="24"/>
                <w:szCs w:val="2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8-K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5/19/25</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tcBorders>
              <w:bottom w:val="single" w:sz="8" w:color="0000EE"/>
            </w:tcBorders>
            <w:gridSpan w:val="13"/>
          </w:tcPr>
          <w:p>
            <w:pPr>
              <w:spacing w:after="0"/>
              <w:rPr>
                <w:rFonts w:ascii="Arial" w:cs="Arial" w:eastAsia="Arial" w:hAnsi="Arial"/>
                <w:sz w:val="14"/>
                <w:szCs w:val="14"/>
                <w:color w:val="0000EE"/>
              </w:rPr>
            </w:pPr>
            <w:hyperlink r:id="rId192">
              <w:r>
                <w:rPr>
                  <w:rFonts w:ascii="Arial" w:cs="Arial" w:eastAsia="Arial" w:hAnsi="Arial"/>
                  <w:sz w:val="14"/>
                  <w:szCs w:val="14"/>
                  <w:color w:val="0000EE"/>
                </w:rPr>
                <w:t>Restated Certificate of Incorporation of</w:t>
              </w:r>
            </w:hyperlink>
          </w:p>
        </w:tc>
        <w:tc>
          <w:tcPr>
            <w:tcW w:w="480" w:type="dxa"/>
            <w:vAlign w:val="bottom"/>
            <w:gridSpan w:val="6"/>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20" w:type="dxa"/>
            <w:vAlign w:val="bottom"/>
            <w:gridSpan w:val="19"/>
          </w:tcPr>
          <w:p>
            <w:pPr>
              <w:spacing w:after="0" w:line="155" w:lineRule="exact"/>
              <w:rPr>
                <w:rFonts w:ascii="Arial" w:cs="Arial" w:eastAsia="Arial" w:hAnsi="Arial"/>
                <w:sz w:val="14"/>
                <w:szCs w:val="14"/>
                <w:color w:val="0000EE"/>
              </w:rPr>
            </w:pPr>
            <w:hyperlink r:id="rId192">
              <w:r>
                <w:rPr>
                  <w:rFonts w:ascii="Arial" w:cs="Arial" w:eastAsia="Arial" w:hAnsi="Arial"/>
                  <w:sz w:val="14"/>
                  <w:szCs w:val="14"/>
                  <w:color w:val="0000EE"/>
                </w:rPr>
                <w:t>Camping World Holdings, Inc., dated May</w:t>
              </w:r>
            </w:hyperlink>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5"/>
          </w:tcPr>
          <w:p>
            <w:pPr>
              <w:ind w:left="140"/>
              <w:spacing w:after="0"/>
              <w:rPr>
                <w:rFonts w:ascii="Arial" w:cs="Arial" w:eastAsia="Arial" w:hAnsi="Arial"/>
                <w:sz w:val="14"/>
                <w:szCs w:val="14"/>
                <w:color w:val="0000EE"/>
                <w:w w:val="99"/>
              </w:rPr>
            </w:pPr>
            <w:hyperlink r:id="rId192">
              <w:r>
                <w:rPr>
                  <w:rFonts w:ascii="Arial" w:cs="Arial" w:eastAsia="Arial" w:hAnsi="Arial"/>
                  <w:sz w:val="14"/>
                  <w:szCs w:val="14"/>
                  <w:color w:val="0000EE"/>
                  <w:w w:val="99"/>
                </w:rPr>
                <w:t>16, 2025</w:t>
              </w:r>
            </w:hyperlink>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gridSpan w:val="2"/>
          </w:tcPr>
          <w:p>
            <w:pPr>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24"/>
                <w:szCs w:val="24"/>
                <w:color w:val="auto"/>
              </w:rPr>
            </w:pPr>
          </w:p>
        </w:tc>
        <w:tc>
          <w:tcPr>
            <w:tcW w:w="2920" w:type="dxa"/>
            <w:vAlign w:val="bottom"/>
            <w:gridSpan w:val="19"/>
          </w:tcPr>
          <w:p>
            <w:pPr>
              <w:spacing w:after="0"/>
              <w:rPr>
                <w:rFonts w:ascii="Arial" w:cs="Arial" w:eastAsia="Arial" w:hAnsi="Arial"/>
                <w:sz w:val="14"/>
                <w:szCs w:val="14"/>
                <w:color w:val="0000EE"/>
              </w:rPr>
            </w:pPr>
            <w:hyperlink r:id="rId193">
              <w:r>
                <w:rPr>
                  <w:rFonts w:ascii="Arial" w:cs="Arial" w:eastAsia="Arial" w:hAnsi="Arial"/>
                  <w:sz w:val="14"/>
                  <w:szCs w:val="14"/>
                  <w:color w:val="0000EE"/>
                </w:rPr>
                <w:t>Amended and Restated Bylaws of</w:t>
              </w:r>
            </w:hyperlink>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10-Q</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5/1/25</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Borders>
              <w:top w:val="single" w:sz="8" w:color="0000EE"/>
              <w:bottom w:val="single" w:sz="8" w:color="0000EE"/>
            </w:tcBorders>
            <w:gridSpan w:val="7"/>
          </w:tcPr>
          <w:p>
            <w:pPr>
              <w:spacing w:after="0"/>
              <w:rPr>
                <w:rFonts w:ascii="Arial" w:cs="Arial" w:eastAsia="Arial" w:hAnsi="Arial"/>
                <w:sz w:val="14"/>
                <w:szCs w:val="14"/>
                <w:color w:val="0000EE"/>
              </w:rPr>
            </w:pPr>
            <w:hyperlink r:id="rId193">
              <w:r>
                <w:rPr>
                  <w:rFonts w:ascii="Arial" w:cs="Arial" w:eastAsia="Arial" w:hAnsi="Arial"/>
                  <w:sz w:val="14"/>
                  <w:szCs w:val="14"/>
                  <w:color w:val="0000EE"/>
                </w:rPr>
                <w:t>Camping World Holdings, Inc.</w:t>
              </w:r>
            </w:hyperlink>
          </w:p>
        </w:tc>
        <w:tc>
          <w:tcPr>
            <w:tcW w:w="260" w:type="dxa"/>
            <w:vAlign w:val="bottom"/>
            <w:tcBorders>
              <w:top w:val="single" w:sz="8" w:color="0000EE"/>
            </w:tcBorders>
            <w:gridSpan w:val="2"/>
          </w:tcPr>
          <w:p>
            <w:pPr>
              <w:spacing w:after="0"/>
              <w:rPr>
                <w:sz w:val="14"/>
                <w:szCs w:val="14"/>
                <w:color w:val="auto"/>
              </w:rPr>
            </w:pPr>
          </w:p>
        </w:tc>
        <w:tc>
          <w:tcPr>
            <w:tcW w:w="780" w:type="dxa"/>
            <w:vAlign w:val="bottom"/>
            <w:gridSpan w:val="10"/>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20" w:type="dxa"/>
            <w:vAlign w:val="bottom"/>
            <w:gridSpan w:val="2"/>
          </w:tcPr>
          <w:p>
            <w:pPr>
              <w:spacing w:after="0"/>
              <w:rPr>
                <w:sz w:val="20"/>
                <w:szCs w:val="20"/>
                <w:color w:val="auto"/>
              </w:rPr>
            </w:pPr>
            <w:r>
              <w:rPr>
                <w:rFonts w:ascii="Arial" w:cs="Arial" w:eastAsia="Arial" w:hAnsi="Arial"/>
                <w:sz w:val="14"/>
                <w:szCs w:val="14"/>
                <w:color w:val="auto"/>
              </w:rPr>
              <w:t>4.1</w:t>
            </w:r>
          </w:p>
        </w:tc>
        <w:tc>
          <w:tcPr>
            <w:tcW w:w="160" w:type="dxa"/>
            <w:vAlign w:val="bottom"/>
          </w:tcPr>
          <w:p>
            <w:pPr>
              <w:spacing w:after="0"/>
              <w:rPr>
                <w:sz w:val="24"/>
                <w:szCs w:val="24"/>
                <w:color w:val="auto"/>
              </w:rPr>
            </w:pPr>
          </w:p>
        </w:tc>
        <w:tc>
          <w:tcPr>
            <w:tcW w:w="2920" w:type="dxa"/>
            <w:vAlign w:val="bottom"/>
            <w:gridSpan w:val="19"/>
          </w:tcPr>
          <w:p>
            <w:pPr>
              <w:spacing w:after="0"/>
              <w:rPr>
                <w:rFonts w:ascii="Arial" w:cs="Arial" w:eastAsia="Arial" w:hAnsi="Arial"/>
                <w:sz w:val="14"/>
                <w:szCs w:val="14"/>
                <w:color w:val="0000EE"/>
              </w:rPr>
            </w:pPr>
            <w:hyperlink r:id="rId194">
              <w:r>
                <w:rPr>
                  <w:rFonts w:ascii="Arial" w:cs="Arial" w:eastAsia="Arial" w:hAnsi="Arial"/>
                  <w:sz w:val="14"/>
                  <w:szCs w:val="14"/>
                  <w:color w:val="0000EE"/>
                </w:rPr>
                <w:t>Specimen Stock Certificate evidencing the</w:t>
              </w:r>
            </w:hyperlink>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S-1/A</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333-211977</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9/13/16</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tcBorders>
              <w:top w:val="single" w:sz="8" w:color="0000EE"/>
            </w:tcBorders>
            <w:gridSpan w:val="16"/>
          </w:tcPr>
          <w:p>
            <w:pPr>
              <w:spacing w:after="0"/>
              <w:rPr>
                <w:rFonts w:ascii="Arial" w:cs="Arial" w:eastAsia="Arial" w:hAnsi="Arial"/>
                <w:sz w:val="14"/>
                <w:szCs w:val="14"/>
                <w:color w:val="0000EE"/>
              </w:rPr>
            </w:pPr>
            <w:hyperlink r:id="rId194">
              <w:r>
                <w:rPr>
                  <w:rFonts w:ascii="Arial" w:cs="Arial" w:eastAsia="Arial" w:hAnsi="Arial"/>
                  <w:sz w:val="14"/>
                  <w:szCs w:val="14"/>
                  <w:color w:val="0000EE"/>
                </w:rPr>
                <w:t>shares of Class A common stock</w:t>
              </w:r>
            </w:hyperlink>
          </w:p>
        </w:tc>
        <w:tc>
          <w:tcPr>
            <w:tcW w:w="240" w:type="dxa"/>
            <w:vAlign w:val="bottom"/>
            <w:gridSpan w:val="3"/>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20" w:type="dxa"/>
            <w:vAlign w:val="bottom"/>
            <w:gridSpan w:val="2"/>
          </w:tcPr>
          <w:p>
            <w:pPr>
              <w:spacing w:after="0"/>
              <w:rPr>
                <w:sz w:val="20"/>
                <w:szCs w:val="20"/>
                <w:color w:val="auto"/>
              </w:rPr>
            </w:pPr>
            <w:r>
              <w:rPr>
                <w:rFonts w:ascii="Arial" w:cs="Arial" w:eastAsia="Arial" w:hAnsi="Arial"/>
                <w:sz w:val="14"/>
                <w:szCs w:val="14"/>
                <w:color w:val="auto"/>
              </w:rPr>
              <w:t>4.2</w:t>
            </w:r>
          </w:p>
        </w:tc>
        <w:tc>
          <w:tcPr>
            <w:tcW w:w="160" w:type="dxa"/>
            <w:vAlign w:val="bottom"/>
          </w:tcPr>
          <w:p>
            <w:pPr>
              <w:spacing w:after="0"/>
              <w:rPr>
                <w:sz w:val="24"/>
                <w:szCs w:val="24"/>
                <w:color w:val="auto"/>
              </w:rPr>
            </w:pPr>
          </w:p>
        </w:tc>
        <w:tc>
          <w:tcPr>
            <w:tcW w:w="2060" w:type="dxa"/>
            <w:vAlign w:val="bottom"/>
            <w:tcBorders>
              <w:top w:val="single" w:sz="8" w:color="0000EE"/>
            </w:tcBorders>
            <w:gridSpan w:val="8"/>
          </w:tcPr>
          <w:p>
            <w:pPr>
              <w:spacing w:after="0"/>
              <w:rPr>
                <w:sz w:val="20"/>
                <w:szCs w:val="20"/>
                <w:color w:val="auto"/>
              </w:rPr>
            </w:pPr>
            <w:r>
              <w:rPr>
                <w:rFonts w:ascii="Arial" w:cs="Arial" w:eastAsia="Arial" w:hAnsi="Arial"/>
                <w:sz w:val="14"/>
                <w:szCs w:val="14"/>
                <w:color w:val="0000EE"/>
              </w:rPr>
              <w:t>Description of Capital Stock</w:t>
            </w:r>
          </w:p>
        </w:tc>
        <w:tc>
          <w:tcPr>
            <w:tcW w:w="860" w:type="dxa"/>
            <w:vAlign w:val="bottom"/>
            <w:gridSpan w:val="11"/>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gridSpan w:val="2"/>
          </w:tcPr>
          <w:p>
            <w:pPr>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24"/>
                <w:szCs w:val="24"/>
                <w:color w:val="auto"/>
              </w:rPr>
            </w:pPr>
          </w:p>
        </w:tc>
        <w:tc>
          <w:tcPr>
            <w:tcW w:w="2920" w:type="dxa"/>
            <w:vAlign w:val="bottom"/>
            <w:gridSpan w:val="19"/>
          </w:tcPr>
          <w:p>
            <w:pPr>
              <w:spacing w:after="0"/>
              <w:rPr>
                <w:rFonts w:ascii="Arial" w:cs="Arial" w:eastAsia="Arial" w:hAnsi="Arial"/>
                <w:sz w:val="14"/>
                <w:szCs w:val="14"/>
                <w:color w:val="0000EE"/>
              </w:rPr>
            </w:pPr>
            <w:hyperlink r:id="rId195">
              <w:r>
                <w:rPr>
                  <w:rFonts w:ascii="Arial" w:cs="Arial" w:eastAsia="Arial" w:hAnsi="Arial"/>
                  <w:sz w:val="14"/>
                  <w:szCs w:val="14"/>
                  <w:color w:val="0000EE"/>
                </w:rPr>
                <w:t>Tax Receivable Agreement, dated October</w:t>
              </w:r>
            </w:hyperlink>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10-K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3/13/17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gridSpan w:val="4"/>
          </w:tcPr>
          <w:p>
            <w:pPr>
              <w:ind w:left="140"/>
              <w:spacing w:after="0"/>
              <w:rPr>
                <w:rFonts w:ascii="Arial" w:cs="Arial" w:eastAsia="Arial" w:hAnsi="Arial"/>
                <w:sz w:val="14"/>
                <w:szCs w:val="14"/>
                <w:color w:val="0000EE"/>
                <w:w w:val="98"/>
              </w:rPr>
            </w:pPr>
            <w:hyperlink r:id="rId195">
              <w:r>
                <w:rPr>
                  <w:rFonts w:ascii="Arial" w:cs="Arial" w:eastAsia="Arial" w:hAnsi="Arial"/>
                  <w:sz w:val="14"/>
                  <w:szCs w:val="14"/>
                  <w:color w:val="0000EE"/>
                  <w:w w:val="98"/>
                </w:rPr>
                <w:t>6, 2016</w:t>
              </w:r>
            </w:hyperlink>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gridSpan w:val="2"/>
          </w:tcPr>
          <w:p>
            <w:pPr>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24"/>
                <w:szCs w:val="24"/>
                <w:color w:val="auto"/>
              </w:rPr>
            </w:pPr>
          </w:p>
        </w:tc>
        <w:tc>
          <w:tcPr>
            <w:tcW w:w="2920" w:type="dxa"/>
            <w:vAlign w:val="bottom"/>
            <w:gridSpan w:val="19"/>
          </w:tcPr>
          <w:p>
            <w:pPr>
              <w:spacing w:after="0"/>
              <w:rPr>
                <w:rFonts w:ascii="Arial" w:cs="Arial" w:eastAsia="Arial" w:hAnsi="Arial"/>
                <w:sz w:val="14"/>
                <w:szCs w:val="14"/>
                <w:color w:val="0000EE"/>
              </w:rPr>
            </w:pPr>
            <w:hyperlink r:id="rId196">
              <w:r>
                <w:rPr>
                  <w:rFonts w:ascii="Arial" w:cs="Arial" w:eastAsia="Arial" w:hAnsi="Arial"/>
                  <w:sz w:val="14"/>
                  <w:szCs w:val="14"/>
                  <w:color w:val="0000EE"/>
                </w:rPr>
                <w:t>Amendment No. 1 to Tax Receivable</w:t>
              </w:r>
            </w:hyperlink>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10-K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10.22</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2/26/24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gridSpan w:val="19"/>
          </w:tcPr>
          <w:p>
            <w:pPr>
              <w:spacing w:after="0"/>
              <w:rPr>
                <w:rFonts w:ascii="Arial" w:cs="Arial" w:eastAsia="Arial" w:hAnsi="Arial"/>
                <w:sz w:val="14"/>
                <w:szCs w:val="14"/>
                <w:color w:val="0000EE"/>
              </w:rPr>
            </w:pPr>
            <w:hyperlink r:id="rId196">
              <w:r>
                <w:rPr>
                  <w:rFonts w:ascii="Arial" w:cs="Arial" w:eastAsia="Arial" w:hAnsi="Arial"/>
                  <w:sz w:val="14"/>
                  <w:szCs w:val="14"/>
                  <w:color w:val="0000EE"/>
                </w:rPr>
                <w:t>Agreement, dated December 22, 2023</w:t>
              </w:r>
            </w:hyperlink>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20" w:type="dxa"/>
            <w:vAlign w:val="bottom"/>
            <w:tcBorders>
              <w:right w:val="single" w:sz="8" w:color="0000EE"/>
            </w:tcBorders>
            <w:gridSpan w:val="7"/>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gridSpan w:val="2"/>
          </w:tcPr>
          <w:p>
            <w:pPr>
              <w:spacing w:after="0"/>
              <w:rPr>
                <w:sz w:val="20"/>
                <w:szCs w:val="20"/>
                <w:color w:val="auto"/>
              </w:rPr>
            </w:pPr>
            <w:r>
              <w:rPr>
                <w:rFonts w:ascii="Arial" w:cs="Arial" w:eastAsia="Arial" w:hAnsi="Arial"/>
                <w:sz w:val="14"/>
                <w:szCs w:val="14"/>
                <w:color w:val="auto"/>
              </w:rPr>
              <w:t>10.3</w:t>
            </w:r>
          </w:p>
        </w:tc>
        <w:tc>
          <w:tcPr>
            <w:tcW w:w="160" w:type="dxa"/>
            <w:vAlign w:val="bottom"/>
          </w:tcPr>
          <w:p>
            <w:pPr>
              <w:spacing w:after="0"/>
              <w:rPr>
                <w:sz w:val="24"/>
                <w:szCs w:val="24"/>
                <w:color w:val="auto"/>
              </w:rPr>
            </w:pPr>
          </w:p>
        </w:tc>
        <w:tc>
          <w:tcPr>
            <w:tcW w:w="2920" w:type="dxa"/>
            <w:vAlign w:val="bottom"/>
            <w:gridSpan w:val="19"/>
          </w:tcPr>
          <w:p>
            <w:pPr>
              <w:spacing w:after="0"/>
              <w:rPr>
                <w:rFonts w:ascii="Arial" w:cs="Arial" w:eastAsia="Arial" w:hAnsi="Arial"/>
                <w:sz w:val="14"/>
                <w:szCs w:val="14"/>
                <w:color w:val="0000EE"/>
              </w:rPr>
            </w:pPr>
            <w:hyperlink r:id="rId197">
              <w:r>
                <w:rPr>
                  <w:rFonts w:ascii="Arial" w:cs="Arial" w:eastAsia="Arial" w:hAnsi="Arial"/>
                  <w:sz w:val="14"/>
                  <w:szCs w:val="14"/>
                  <w:color w:val="0000EE"/>
                </w:rPr>
                <w:t>Voting Agreement, dated October 6, 2016</w:t>
              </w:r>
            </w:hyperlink>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10-K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3/13/17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20" w:type="dxa"/>
            <w:vAlign w:val="bottom"/>
            <w:tcBorders>
              <w:right w:val="single" w:sz="8" w:color="0000EE"/>
            </w:tcBorders>
            <w:gridSpan w:val="7"/>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gridSpan w:val="2"/>
          </w:tcPr>
          <w:p>
            <w:pPr>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24"/>
                <w:szCs w:val="24"/>
                <w:color w:val="auto"/>
              </w:rPr>
            </w:pPr>
          </w:p>
        </w:tc>
        <w:tc>
          <w:tcPr>
            <w:tcW w:w="2700" w:type="dxa"/>
            <w:vAlign w:val="bottom"/>
            <w:tcBorders>
              <w:bottom w:val="single" w:sz="8" w:color="0000EE"/>
            </w:tcBorders>
            <w:gridSpan w:val="17"/>
          </w:tcPr>
          <w:p>
            <w:pPr>
              <w:spacing w:after="0"/>
              <w:rPr>
                <w:rFonts w:ascii="Arial" w:cs="Arial" w:eastAsia="Arial" w:hAnsi="Arial"/>
                <w:sz w:val="14"/>
                <w:szCs w:val="14"/>
                <w:color w:val="0000EE"/>
              </w:rPr>
            </w:pPr>
            <w:hyperlink r:id="rId198">
              <w:r>
                <w:rPr>
                  <w:rFonts w:ascii="Arial" w:cs="Arial" w:eastAsia="Arial" w:hAnsi="Arial"/>
                  <w:sz w:val="14"/>
                  <w:szCs w:val="14"/>
                  <w:color w:val="0000EE"/>
                </w:rPr>
                <w:t>Amended and Restated LLC Agreement of</w:t>
              </w:r>
            </w:hyperlink>
          </w:p>
        </w:tc>
        <w:tc>
          <w:tcPr>
            <w:tcW w:w="220" w:type="dxa"/>
            <w:vAlign w:val="bottom"/>
            <w:gridSpan w:val="2"/>
          </w:tcPr>
          <w:p>
            <w:pPr>
              <w:spacing w:after="0"/>
              <w:rPr>
                <w:sz w:val="24"/>
                <w:szCs w:val="2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10-K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10.3</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3/13/17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gridSpan w:val="19"/>
          </w:tcPr>
          <w:p>
            <w:pPr>
              <w:spacing w:after="0"/>
              <w:rPr>
                <w:rFonts w:ascii="Arial" w:cs="Arial" w:eastAsia="Arial" w:hAnsi="Arial"/>
                <w:sz w:val="14"/>
                <w:szCs w:val="14"/>
                <w:color w:val="0000EE"/>
              </w:rPr>
            </w:pPr>
            <w:hyperlink r:id="rId198">
              <w:r>
                <w:rPr>
                  <w:rFonts w:ascii="Arial" w:cs="Arial" w:eastAsia="Arial" w:hAnsi="Arial"/>
                  <w:sz w:val="14"/>
                  <w:szCs w:val="14"/>
                  <w:color w:val="0000EE"/>
                </w:rPr>
                <w:t>CWGS Enterprises, LLC, dated October 6,</w:t>
              </w:r>
            </w:hyperlink>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gridSpan w:val="3"/>
          </w:tcPr>
          <w:p>
            <w:pPr>
              <w:ind w:left="140"/>
              <w:spacing w:after="0" w:line="155" w:lineRule="exact"/>
              <w:rPr>
                <w:rFonts w:ascii="Arial" w:cs="Arial" w:eastAsia="Arial" w:hAnsi="Arial"/>
                <w:sz w:val="14"/>
                <w:szCs w:val="14"/>
                <w:color w:val="0000EE"/>
                <w:w w:val="96"/>
              </w:rPr>
            </w:pPr>
            <w:hyperlink r:id="rId198">
              <w:r>
                <w:rPr>
                  <w:rFonts w:ascii="Arial" w:cs="Arial" w:eastAsia="Arial" w:hAnsi="Arial"/>
                  <w:sz w:val="14"/>
                  <w:szCs w:val="14"/>
                  <w:color w:val="0000EE"/>
                  <w:w w:val="96"/>
                </w:rPr>
                <w:t>2016</w:t>
              </w:r>
            </w:hyperlink>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gridSpan w:val="2"/>
          </w:tcPr>
          <w:p>
            <w:pPr>
              <w:spacing w:after="0"/>
              <w:rPr>
                <w:sz w:val="20"/>
                <w:szCs w:val="20"/>
                <w:color w:val="auto"/>
              </w:rPr>
            </w:pPr>
            <w:r>
              <w:rPr>
                <w:rFonts w:ascii="Arial" w:cs="Arial" w:eastAsia="Arial" w:hAnsi="Arial"/>
                <w:sz w:val="14"/>
                <w:szCs w:val="14"/>
                <w:color w:val="auto"/>
              </w:rPr>
              <w:t>10.5</w:t>
            </w:r>
          </w:p>
        </w:tc>
        <w:tc>
          <w:tcPr>
            <w:tcW w:w="160" w:type="dxa"/>
            <w:vAlign w:val="bottom"/>
          </w:tcPr>
          <w:p>
            <w:pPr>
              <w:spacing w:after="0"/>
              <w:rPr>
                <w:sz w:val="24"/>
                <w:szCs w:val="24"/>
                <w:color w:val="auto"/>
              </w:rPr>
            </w:pPr>
          </w:p>
        </w:tc>
        <w:tc>
          <w:tcPr>
            <w:tcW w:w="2420" w:type="dxa"/>
            <w:vAlign w:val="bottom"/>
            <w:tcBorders>
              <w:bottom w:val="single" w:sz="8" w:color="0000EE"/>
            </w:tcBorders>
            <w:gridSpan w:val="12"/>
          </w:tcPr>
          <w:p>
            <w:pPr>
              <w:spacing w:after="0"/>
              <w:rPr>
                <w:rFonts w:ascii="Arial" w:cs="Arial" w:eastAsia="Arial" w:hAnsi="Arial"/>
                <w:sz w:val="14"/>
                <w:szCs w:val="14"/>
                <w:color w:val="0000EE"/>
              </w:rPr>
            </w:pPr>
            <w:hyperlink r:id="rId199">
              <w:r>
                <w:rPr>
                  <w:rFonts w:ascii="Arial" w:cs="Arial" w:eastAsia="Arial" w:hAnsi="Arial"/>
                  <w:sz w:val="14"/>
                  <w:szCs w:val="14"/>
                  <w:color w:val="0000EE"/>
                </w:rPr>
                <w:t>Registration Rights Agreement, dated</w:t>
              </w:r>
            </w:hyperlink>
          </w:p>
        </w:tc>
        <w:tc>
          <w:tcPr>
            <w:tcW w:w="500" w:type="dxa"/>
            <w:vAlign w:val="bottom"/>
            <w:gridSpan w:val="7"/>
          </w:tcPr>
          <w:p>
            <w:pPr>
              <w:spacing w:after="0"/>
              <w:rPr>
                <w:sz w:val="24"/>
                <w:szCs w:val="2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10-K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3/13/17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gridSpan w:val="19"/>
          </w:tcPr>
          <w:p>
            <w:pPr>
              <w:spacing w:after="0"/>
              <w:rPr>
                <w:rFonts w:ascii="Arial" w:cs="Arial" w:eastAsia="Arial" w:hAnsi="Arial"/>
                <w:sz w:val="14"/>
                <w:szCs w:val="14"/>
                <w:color w:val="0000EE"/>
              </w:rPr>
            </w:pPr>
            <w:hyperlink r:id="rId199">
              <w:r>
                <w:rPr>
                  <w:rFonts w:ascii="Arial" w:cs="Arial" w:eastAsia="Arial" w:hAnsi="Arial"/>
                  <w:sz w:val="14"/>
                  <w:szCs w:val="14"/>
                  <w:color w:val="0000EE"/>
                </w:rPr>
                <w:t>October 6, 2016</w:t>
              </w:r>
            </w:hyperlink>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color w:val="auto"/>
              </w:rPr>
              <w:t>Incorporated by Reference</w:t>
            </w: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20" w:type="dxa"/>
            <w:vAlign w:val="bottom"/>
            <w:vMerge w:val="restart"/>
          </w:tcPr>
          <w:p>
            <w:pPr>
              <w:ind w:left="180"/>
              <w:spacing w:after="0"/>
              <w:rPr>
                <w:sz w:val="20"/>
                <w:szCs w:val="20"/>
                <w:color w:val="auto"/>
              </w:rPr>
            </w:pPr>
            <w:r>
              <w:rPr>
                <w:rFonts w:ascii="Arial" w:cs="Arial" w:eastAsia="Arial" w:hAnsi="Arial"/>
                <w:sz w:val="14"/>
                <w:szCs w:val="14"/>
                <w:color w:val="auto"/>
              </w:rPr>
              <w:t>Exhibit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Filed/</w:t>
            </w:r>
          </w:p>
        </w:tc>
        <w:tc>
          <w:tcPr>
            <w:tcW w:w="0" w:type="dxa"/>
            <w:vAlign w:val="bottom"/>
          </w:tcPr>
          <w:p>
            <w:pPr>
              <w:spacing w:after="0"/>
              <w:rPr>
                <w:sz w:val="1"/>
                <w:szCs w:val="1"/>
                <w:color w:val="auto"/>
              </w:rPr>
            </w:pPr>
          </w:p>
        </w:tc>
      </w:tr>
      <w:tr>
        <w:trPr>
          <w:trHeight w:val="162"/>
        </w:trPr>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Furnished</w:t>
            </w:r>
          </w:p>
        </w:tc>
        <w:tc>
          <w:tcPr>
            <w:tcW w:w="0" w:type="dxa"/>
            <w:vAlign w:val="bottom"/>
          </w:tcPr>
          <w:p>
            <w:pPr>
              <w:spacing w:after="0"/>
              <w:rPr>
                <w:sz w:val="1"/>
                <w:szCs w:val="1"/>
                <w:color w:val="auto"/>
              </w:rPr>
            </w:pPr>
          </w:p>
        </w:tc>
      </w:tr>
      <w:tr>
        <w:trPr>
          <w:trHeight w:val="198"/>
        </w:trPr>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Number</w:t>
            </w:r>
          </w:p>
        </w:tc>
        <w:tc>
          <w:tcPr>
            <w:tcW w:w="1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5"/>
          </w:tcPr>
          <w:p>
            <w:pPr>
              <w:ind w:left="80"/>
              <w:spacing w:after="0"/>
              <w:rPr>
                <w:sz w:val="20"/>
                <w:szCs w:val="20"/>
                <w:color w:val="auto"/>
              </w:rPr>
            </w:pPr>
            <w:r>
              <w:rPr>
                <w:rFonts w:ascii="Arial" w:cs="Arial" w:eastAsia="Arial" w:hAnsi="Arial"/>
                <w:sz w:val="14"/>
                <w:szCs w:val="14"/>
                <w:color w:val="auto"/>
              </w:rPr>
              <w:t>Exhibit Description</w:t>
            </w:r>
          </w:p>
        </w:tc>
        <w:tc>
          <w:tcPr>
            <w:tcW w:w="160" w:type="dxa"/>
            <w:vAlign w:val="bottom"/>
          </w:tcPr>
          <w:p>
            <w:pPr>
              <w:spacing w:after="0"/>
              <w:rPr>
                <w:sz w:val="17"/>
                <w:szCs w:val="17"/>
                <w:color w:val="auto"/>
              </w:rPr>
            </w:pPr>
          </w:p>
        </w:tc>
        <w:tc>
          <w:tcPr>
            <w:tcW w:w="10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rPr>
              <w:t>Form</w:t>
            </w: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File No.</w:t>
            </w:r>
          </w:p>
        </w:tc>
        <w:tc>
          <w:tcPr>
            <w:tcW w:w="160" w:type="dxa"/>
            <w:vAlign w:val="bottom"/>
          </w:tcPr>
          <w:p>
            <w:pPr>
              <w:spacing w:after="0"/>
              <w:rPr>
                <w:sz w:val="17"/>
                <w:szCs w:val="17"/>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Exhibit</w:t>
            </w:r>
          </w:p>
        </w:tc>
        <w:tc>
          <w:tcPr>
            <w:tcW w:w="140" w:type="dxa"/>
            <w:vAlign w:val="bottom"/>
          </w:tcPr>
          <w:p>
            <w:pPr>
              <w:spacing w:after="0"/>
              <w:rPr>
                <w:sz w:val="17"/>
                <w:szCs w:val="17"/>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Filing Date</w:t>
            </w:r>
          </w:p>
        </w:tc>
        <w:tc>
          <w:tcPr>
            <w:tcW w:w="16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Herewith</w:t>
            </w:r>
          </w:p>
        </w:tc>
        <w:tc>
          <w:tcPr>
            <w:tcW w:w="0" w:type="dxa"/>
            <w:vAlign w:val="bottom"/>
          </w:tcPr>
          <w:p>
            <w:pPr>
              <w:spacing w:after="0"/>
              <w:rPr>
                <w:sz w:val="1"/>
                <w:szCs w:val="1"/>
                <w:color w:val="auto"/>
              </w:rPr>
            </w:pPr>
          </w:p>
        </w:tc>
      </w:tr>
      <w:tr>
        <w:trPr>
          <w:trHeight w:val="155"/>
        </w:trPr>
        <w:tc>
          <w:tcPr>
            <w:tcW w:w="820" w:type="dxa"/>
            <w:vAlign w:val="bottom"/>
          </w:tcPr>
          <w:p>
            <w:pPr>
              <w:spacing w:after="0" w:line="155" w:lineRule="exact"/>
              <w:rPr>
                <w:sz w:val="20"/>
                <w:szCs w:val="20"/>
                <w:color w:val="auto"/>
              </w:rPr>
            </w:pPr>
            <w:r>
              <w:rPr>
                <w:rFonts w:ascii="Arial" w:cs="Arial" w:eastAsia="Arial" w:hAnsi="Arial"/>
                <w:sz w:val="14"/>
                <w:szCs w:val="14"/>
                <w:color w:val="auto"/>
              </w:rPr>
              <w:t>10.6</w:t>
            </w:r>
          </w:p>
        </w:tc>
        <w:tc>
          <w:tcPr>
            <w:tcW w:w="140" w:type="dxa"/>
            <w:vAlign w:val="bottom"/>
          </w:tcPr>
          <w:p>
            <w:pPr>
              <w:spacing w:after="0"/>
              <w:rPr>
                <w:sz w:val="13"/>
                <w:szCs w:val="13"/>
                <w:color w:val="auto"/>
              </w:rPr>
            </w:pPr>
          </w:p>
        </w:tc>
        <w:tc>
          <w:tcPr>
            <w:tcW w:w="2940" w:type="dxa"/>
            <w:vAlign w:val="bottom"/>
            <w:gridSpan w:val="27"/>
          </w:tcPr>
          <w:p>
            <w:pPr>
              <w:spacing w:after="0" w:line="155" w:lineRule="exact"/>
              <w:rPr>
                <w:rFonts w:ascii="Arial" w:cs="Arial" w:eastAsia="Arial" w:hAnsi="Arial"/>
                <w:sz w:val="14"/>
                <w:szCs w:val="14"/>
                <w:color w:val="0000EE"/>
              </w:rPr>
            </w:pPr>
            <w:hyperlink r:id="rId201">
              <w:r>
                <w:rPr>
                  <w:rFonts w:ascii="Arial" w:cs="Arial" w:eastAsia="Arial" w:hAnsi="Arial"/>
                  <w:sz w:val="14"/>
                  <w:szCs w:val="14"/>
                  <w:color w:val="0000EE"/>
                </w:rPr>
                <w:t>Credit Agreement, dated June 3, 2021, by</w:t>
              </w:r>
            </w:hyperlink>
          </w:p>
        </w:tc>
        <w:tc>
          <w:tcPr>
            <w:tcW w:w="1060" w:type="dxa"/>
            <w:vAlign w:val="bottom"/>
          </w:tcPr>
          <w:p>
            <w:pPr>
              <w:jc w:val="center"/>
              <w:ind w:left="448"/>
              <w:spacing w:after="0" w:line="155" w:lineRule="exact"/>
              <w:rPr>
                <w:sz w:val="20"/>
                <w:szCs w:val="20"/>
                <w:color w:val="auto"/>
              </w:rPr>
            </w:pPr>
            <w:r>
              <w:rPr>
                <w:rFonts w:ascii="Arial" w:cs="Arial" w:eastAsia="Arial" w:hAnsi="Arial"/>
                <w:sz w:val="14"/>
                <w:szCs w:val="14"/>
                <w:color w:val="auto"/>
              </w:rPr>
              <w:t>8-K</w:t>
            </w:r>
          </w:p>
        </w:tc>
        <w:tc>
          <w:tcPr>
            <w:tcW w:w="1480" w:type="dxa"/>
            <w:vAlign w:val="bottom"/>
            <w:gridSpan w:val="3"/>
          </w:tcPr>
          <w:p>
            <w:pPr>
              <w:jc w:val="center"/>
              <w:ind w:left="608"/>
              <w:spacing w:after="0" w:line="155" w:lineRule="exact"/>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13"/>
                <w:szCs w:val="13"/>
                <w:color w:val="auto"/>
              </w:rPr>
            </w:pPr>
          </w:p>
        </w:tc>
        <w:tc>
          <w:tcPr>
            <w:tcW w:w="480" w:type="dxa"/>
            <w:vAlign w:val="bottom"/>
          </w:tcPr>
          <w:p>
            <w:pPr>
              <w:jc w:val="center"/>
              <w:spacing w:after="0" w:line="155" w:lineRule="exact"/>
              <w:rPr>
                <w:sz w:val="20"/>
                <w:szCs w:val="20"/>
                <w:color w:val="auto"/>
              </w:rPr>
            </w:pPr>
            <w:r>
              <w:rPr>
                <w:rFonts w:ascii="Arial" w:cs="Arial" w:eastAsia="Arial" w:hAnsi="Arial"/>
                <w:sz w:val="14"/>
                <w:szCs w:val="14"/>
                <w:color w:val="auto"/>
              </w:rPr>
              <w:t>10.1</w:t>
            </w:r>
          </w:p>
        </w:tc>
        <w:tc>
          <w:tcPr>
            <w:tcW w:w="14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Arial" w:cs="Arial" w:eastAsia="Arial" w:hAnsi="Arial"/>
                <w:sz w:val="14"/>
                <w:szCs w:val="14"/>
                <w:color w:val="auto"/>
              </w:rPr>
              <w:t>6/8/21</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tcBorders>
              <w:top w:val="single" w:sz="8" w:color="0000EE"/>
              <w:bottom w:val="single" w:sz="8" w:color="0000EE"/>
            </w:tcBorders>
            <w:gridSpan w:val="15"/>
          </w:tcPr>
          <w:p>
            <w:pPr>
              <w:spacing w:after="0"/>
              <w:rPr>
                <w:rFonts w:ascii="Arial" w:cs="Arial" w:eastAsia="Arial" w:hAnsi="Arial"/>
                <w:sz w:val="14"/>
                <w:szCs w:val="14"/>
                <w:color w:val="0000EE"/>
              </w:rPr>
            </w:pPr>
            <w:hyperlink r:id="rId201">
              <w:r>
                <w:rPr>
                  <w:rFonts w:ascii="Arial" w:cs="Arial" w:eastAsia="Arial" w:hAnsi="Arial"/>
                  <w:sz w:val="14"/>
                  <w:szCs w:val="14"/>
                  <w:color w:val="0000EE"/>
                </w:rPr>
                <w:t>and among CWGS Enterprises, LLC, as</w:t>
              </w:r>
            </w:hyperlink>
          </w:p>
        </w:tc>
        <w:tc>
          <w:tcPr>
            <w:tcW w:w="100" w:type="dxa"/>
            <w:vAlign w:val="bottom"/>
            <w:tcBorders>
              <w:top w:val="single" w:sz="8" w:color="0000EE"/>
            </w:tcBorders>
            <w:gridSpan w:val="6"/>
          </w:tcPr>
          <w:p>
            <w:pPr>
              <w:spacing w:after="0"/>
              <w:rPr>
                <w:sz w:val="15"/>
                <w:szCs w:val="15"/>
                <w:color w:val="auto"/>
              </w:rPr>
            </w:pPr>
          </w:p>
        </w:tc>
        <w:tc>
          <w:tcPr>
            <w:tcW w:w="280" w:type="dxa"/>
            <w:vAlign w:val="bottom"/>
            <w:gridSpan w:val="6"/>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Borders>
              <w:bottom w:val="single" w:sz="8" w:color="0000EE"/>
            </w:tcBorders>
            <w:gridSpan w:val="23"/>
          </w:tcPr>
          <w:p>
            <w:pPr>
              <w:spacing w:after="0"/>
              <w:rPr>
                <w:rFonts w:ascii="Arial" w:cs="Arial" w:eastAsia="Arial" w:hAnsi="Arial"/>
                <w:sz w:val="14"/>
                <w:szCs w:val="14"/>
                <w:color w:val="0000EE"/>
              </w:rPr>
            </w:pPr>
            <w:hyperlink r:id="rId201">
              <w:r>
                <w:rPr>
                  <w:rFonts w:ascii="Arial" w:cs="Arial" w:eastAsia="Arial" w:hAnsi="Arial"/>
                  <w:sz w:val="14"/>
                  <w:szCs w:val="14"/>
                  <w:color w:val="0000EE"/>
                </w:rPr>
                <w:t>holdings, CWGS Group, LLC, as borrower,</w:t>
              </w:r>
            </w:hyperlink>
          </w:p>
        </w:tc>
        <w:tc>
          <w:tcPr>
            <w:tcW w:w="220" w:type="dxa"/>
            <w:vAlign w:val="bottom"/>
            <w:gridSpan w:val="4"/>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tcBorders>
              <w:bottom w:val="single" w:sz="8" w:color="0000EE"/>
            </w:tcBorders>
            <w:gridSpan w:val="13"/>
          </w:tcPr>
          <w:p>
            <w:pPr>
              <w:spacing w:after="0"/>
              <w:rPr>
                <w:rFonts w:ascii="Arial" w:cs="Arial" w:eastAsia="Arial" w:hAnsi="Arial"/>
                <w:sz w:val="14"/>
                <w:szCs w:val="14"/>
                <w:color w:val="0000EE"/>
              </w:rPr>
            </w:pPr>
            <w:hyperlink r:id="rId201">
              <w:r>
                <w:rPr>
                  <w:rFonts w:ascii="Arial" w:cs="Arial" w:eastAsia="Arial" w:hAnsi="Arial"/>
                  <w:sz w:val="14"/>
                  <w:szCs w:val="14"/>
                  <w:color w:val="0000EE"/>
                </w:rPr>
                <w:t>the lenders party thereto and Goldman</w:t>
              </w:r>
            </w:hyperlink>
          </w:p>
        </w:tc>
        <w:tc>
          <w:tcPr>
            <w:tcW w:w="480" w:type="dxa"/>
            <w:vAlign w:val="bottom"/>
            <w:gridSpan w:val="14"/>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Borders>
              <w:bottom w:val="single" w:sz="8" w:color="0000EE"/>
            </w:tcBorders>
            <w:gridSpan w:val="21"/>
          </w:tcPr>
          <w:p>
            <w:pPr>
              <w:spacing w:after="0"/>
              <w:rPr>
                <w:rFonts w:ascii="Arial" w:cs="Arial" w:eastAsia="Arial" w:hAnsi="Arial"/>
                <w:sz w:val="14"/>
                <w:szCs w:val="14"/>
                <w:color w:val="0000EE"/>
              </w:rPr>
            </w:pPr>
            <w:hyperlink r:id="rId201">
              <w:r>
                <w:rPr>
                  <w:rFonts w:ascii="Arial" w:cs="Arial" w:eastAsia="Arial" w:hAnsi="Arial"/>
                  <w:sz w:val="14"/>
                  <w:szCs w:val="14"/>
                  <w:color w:val="0000EE"/>
                </w:rPr>
                <w:t>Sachs Bank USA, as administrative agent</w:t>
              </w:r>
            </w:hyperlink>
          </w:p>
        </w:tc>
        <w:tc>
          <w:tcPr>
            <w:tcW w:w="280" w:type="dxa"/>
            <w:vAlign w:val="bottom"/>
            <w:gridSpan w:val="6"/>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10.7</w:t>
            </w:r>
          </w:p>
        </w:tc>
        <w:tc>
          <w:tcPr>
            <w:tcW w:w="140" w:type="dxa"/>
            <w:vAlign w:val="bottom"/>
          </w:tcPr>
          <w:p>
            <w:pPr>
              <w:spacing w:after="0"/>
              <w:rPr>
                <w:sz w:val="24"/>
                <w:szCs w:val="24"/>
                <w:color w:val="auto"/>
              </w:rPr>
            </w:pPr>
          </w:p>
        </w:tc>
        <w:tc>
          <w:tcPr>
            <w:tcW w:w="2940" w:type="dxa"/>
            <w:vAlign w:val="bottom"/>
            <w:gridSpan w:val="27"/>
          </w:tcPr>
          <w:p>
            <w:pPr>
              <w:spacing w:after="0"/>
              <w:rPr>
                <w:rFonts w:ascii="Arial" w:cs="Arial" w:eastAsia="Arial" w:hAnsi="Arial"/>
                <w:sz w:val="14"/>
                <w:szCs w:val="14"/>
                <w:color w:val="0000EE"/>
              </w:rPr>
            </w:pPr>
            <w:hyperlink r:id="rId202">
              <w:r>
                <w:rPr>
                  <w:rFonts w:ascii="Arial" w:cs="Arial" w:eastAsia="Arial" w:hAnsi="Arial"/>
                  <w:sz w:val="14"/>
                  <w:szCs w:val="14"/>
                  <w:color w:val="0000EE"/>
                </w:rPr>
                <w:t>Amendment No. 1 to Credit Agreement,</w:t>
              </w:r>
            </w:hyperlink>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8-K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12/23/21</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27"/>
          </w:tcPr>
          <w:p>
            <w:pPr>
              <w:spacing w:after="0"/>
              <w:rPr>
                <w:rFonts w:ascii="Arial" w:cs="Arial" w:eastAsia="Arial" w:hAnsi="Arial"/>
                <w:sz w:val="14"/>
                <w:szCs w:val="14"/>
                <w:color w:val="0000EE"/>
              </w:rPr>
            </w:pPr>
            <w:hyperlink r:id="rId202">
              <w:r>
                <w:rPr>
                  <w:rFonts w:ascii="Arial" w:cs="Arial" w:eastAsia="Arial" w:hAnsi="Arial"/>
                  <w:sz w:val="14"/>
                  <w:szCs w:val="14"/>
                  <w:color w:val="0000EE"/>
                </w:rPr>
                <w:t>dated December 20, 2021, by and among</w:t>
              </w:r>
            </w:hyperlink>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tcBorders>
              <w:top w:val="single" w:sz="8" w:color="0000EE"/>
            </w:tcBorders>
            <w:gridSpan w:val="19"/>
          </w:tcPr>
          <w:p>
            <w:pPr>
              <w:spacing w:after="0"/>
              <w:rPr>
                <w:rFonts w:ascii="Arial" w:cs="Arial" w:eastAsia="Arial" w:hAnsi="Arial"/>
                <w:sz w:val="14"/>
                <w:szCs w:val="14"/>
                <w:color w:val="0000EE"/>
              </w:rPr>
            </w:pPr>
            <w:hyperlink r:id="rId202">
              <w:r>
                <w:rPr>
                  <w:rFonts w:ascii="Arial" w:cs="Arial" w:eastAsia="Arial" w:hAnsi="Arial"/>
                  <w:sz w:val="14"/>
                  <w:szCs w:val="14"/>
                  <w:color w:val="0000EE"/>
                </w:rPr>
                <w:t>CWGS Enterprises, LLC, as holdings,</w:t>
              </w:r>
            </w:hyperlink>
          </w:p>
        </w:tc>
        <w:tc>
          <w:tcPr>
            <w:tcW w:w="300" w:type="dxa"/>
            <w:vAlign w:val="bottom"/>
            <w:gridSpan w:val="8"/>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tcBorders>
              <w:top w:val="single" w:sz="8" w:color="0000EE"/>
              <w:bottom w:val="single" w:sz="8" w:color="0000EE"/>
            </w:tcBorders>
            <w:gridSpan w:val="11"/>
          </w:tcPr>
          <w:p>
            <w:pPr>
              <w:spacing w:after="0"/>
              <w:rPr>
                <w:rFonts w:ascii="Arial" w:cs="Arial" w:eastAsia="Arial" w:hAnsi="Arial"/>
                <w:sz w:val="14"/>
                <w:szCs w:val="14"/>
                <w:color w:val="0000EE"/>
              </w:rPr>
            </w:pPr>
            <w:hyperlink r:id="rId202">
              <w:r>
                <w:rPr>
                  <w:rFonts w:ascii="Arial" w:cs="Arial" w:eastAsia="Arial" w:hAnsi="Arial"/>
                  <w:sz w:val="14"/>
                  <w:szCs w:val="14"/>
                  <w:color w:val="0000EE"/>
                </w:rPr>
                <w:t>CWGS Group, LLC, as borrower, the</w:t>
              </w:r>
            </w:hyperlink>
          </w:p>
        </w:tc>
        <w:tc>
          <w:tcPr>
            <w:tcW w:w="60" w:type="dxa"/>
            <w:vAlign w:val="bottom"/>
            <w:tcBorders>
              <w:top w:val="single" w:sz="8" w:color="0000EE"/>
            </w:tcBorders>
          </w:tcPr>
          <w:p>
            <w:pPr>
              <w:spacing w:after="0"/>
              <w:rPr>
                <w:sz w:val="14"/>
                <w:szCs w:val="14"/>
                <w:color w:val="auto"/>
              </w:rPr>
            </w:pPr>
          </w:p>
        </w:tc>
        <w:tc>
          <w:tcPr>
            <w:tcW w:w="540" w:type="dxa"/>
            <w:vAlign w:val="bottom"/>
            <w:gridSpan w:val="15"/>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Borders>
              <w:bottom w:val="single" w:sz="8" w:color="0000EE"/>
            </w:tcBorders>
            <w:gridSpan w:val="21"/>
          </w:tcPr>
          <w:p>
            <w:pPr>
              <w:spacing w:after="0"/>
              <w:rPr>
                <w:rFonts w:ascii="Arial" w:cs="Arial" w:eastAsia="Arial" w:hAnsi="Arial"/>
                <w:sz w:val="14"/>
                <w:szCs w:val="14"/>
                <w:color w:val="0000EE"/>
              </w:rPr>
            </w:pPr>
            <w:hyperlink r:id="rId202">
              <w:r>
                <w:rPr>
                  <w:rFonts w:ascii="Arial" w:cs="Arial" w:eastAsia="Arial" w:hAnsi="Arial"/>
                  <w:sz w:val="14"/>
                  <w:szCs w:val="14"/>
                  <w:color w:val="0000EE"/>
                </w:rPr>
                <w:t>lenders party thereto and Goldman Sachs</w:t>
              </w:r>
            </w:hyperlink>
          </w:p>
        </w:tc>
        <w:tc>
          <w:tcPr>
            <w:tcW w:w="280" w:type="dxa"/>
            <w:vAlign w:val="bottom"/>
            <w:gridSpan w:val="6"/>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Borders>
              <w:bottom w:val="single" w:sz="8" w:color="0000EE"/>
            </w:tcBorders>
            <w:gridSpan w:val="9"/>
          </w:tcPr>
          <w:p>
            <w:pPr>
              <w:spacing w:after="0"/>
              <w:rPr>
                <w:rFonts w:ascii="Arial" w:cs="Arial" w:eastAsia="Arial" w:hAnsi="Arial"/>
                <w:sz w:val="14"/>
                <w:szCs w:val="14"/>
                <w:color w:val="0000EE"/>
              </w:rPr>
            </w:pPr>
            <w:hyperlink r:id="rId202">
              <w:r>
                <w:rPr>
                  <w:rFonts w:ascii="Arial" w:cs="Arial" w:eastAsia="Arial" w:hAnsi="Arial"/>
                  <w:sz w:val="14"/>
                  <w:szCs w:val="14"/>
                  <w:color w:val="0000EE"/>
                </w:rPr>
                <w:t>Bank USA, as administrative agent</w:t>
              </w:r>
            </w:hyperlink>
          </w:p>
        </w:tc>
        <w:tc>
          <w:tcPr>
            <w:tcW w:w="700" w:type="dxa"/>
            <w:vAlign w:val="bottom"/>
            <w:gridSpan w:val="18"/>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10.8</w:t>
            </w:r>
          </w:p>
        </w:tc>
        <w:tc>
          <w:tcPr>
            <w:tcW w:w="140" w:type="dxa"/>
            <w:vAlign w:val="bottom"/>
          </w:tcPr>
          <w:p>
            <w:pPr>
              <w:spacing w:after="0"/>
              <w:rPr>
                <w:sz w:val="24"/>
                <w:szCs w:val="24"/>
                <w:color w:val="auto"/>
              </w:rPr>
            </w:pPr>
          </w:p>
        </w:tc>
        <w:tc>
          <w:tcPr>
            <w:tcW w:w="2940" w:type="dxa"/>
            <w:vAlign w:val="bottom"/>
            <w:gridSpan w:val="27"/>
          </w:tcPr>
          <w:p>
            <w:pPr>
              <w:spacing w:after="0"/>
              <w:rPr>
                <w:rFonts w:ascii="Arial" w:cs="Arial" w:eastAsia="Arial" w:hAnsi="Arial"/>
                <w:sz w:val="14"/>
                <w:szCs w:val="14"/>
                <w:color w:val="0000EE"/>
              </w:rPr>
            </w:pPr>
            <w:hyperlink r:id="rId203">
              <w:r>
                <w:rPr>
                  <w:rFonts w:ascii="Arial" w:cs="Arial" w:eastAsia="Arial" w:hAnsi="Arial"/>
                  <w:sz w:val="14"/>
                  <w:szCs w:val="14"/>
                  <w:color w:val="0000EE"/>
                </w:rPr>
                <w:t>Amendment No. 3 to Credit Agreement,</w:t>
              </w:r>
            </w:hyperlink>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8-K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12/5/24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Borders>
              <w:bottom w:val="single" w:sz="8" w:color="0000EE"/>
            </w:tcBorders>
            <w:gridSpan w:val="17"/>
          </w:tcPr>
          <w:p>
            <w:pPr>
              <w:spacing w:after="0"/>
              <w:rPr>
                <w:rFonts w:ascii="Arial" w:cs="Arial" w:eastAsia="Arial" w:hAnsi="Arial"/>
                <w:sz w:val="14"/>
                <w:szCs w:val="14"/>
                <w:color w:val="0000EE"/>
              </w:rPr>
            </w:pPr>
            <w:hyperlink r:id="rId203">
              <w:r>
                <w:rPr>
                  <w:rFonts w:ascii="Arial" w:cs="Arial" w:eastAsia="Arial" w:hAnsi="Arial"/>
                  <w:sz w:val="14"/>
                  <w:szCs w:val="14"/>
                  <w:color w:val="0000EE"/>
                </w:rPr>
                <w:t>dated December 2, 2024, by and among</w:t>
              </w:r>
            </w:hyperlink>
          </w:p>
        </w:tc>
        <w:tc>
          <w:tcPr>
            <w:tcW w:w="340" w:type="dxa"/>
            <w:vAlign w:val="bottom"/>
            <w:gridSpan w:val="10"/>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27"/>
          </w:tcPr>
          <w:p>
            <w:pPr>
              <w:spacing w:after="0"/>
              <w:rPr>
                <w:rFonts w:ascii="Arial" w:cs="Arial" w:eastAsia="Arial" w:hAnsi="Arial"/>
                <w:sz w:val="14"/>
                <w:szCs w:val="14"/>
                <w:color w:val="0000EE"/>
              </w:rPr>
            </w:pPr>
            <w:hyperlink r:id="rId203">
              <w:r>
                <w:rPr>
                  <w:rFonts w:ascii="Arial" w:cs="Arial" w:eastAsia="Arial" w:hAnsi="Arial"/>
                  <w:sz w:val="14"/>
                  <w:szCs w:val="14"/>
                  <w:color w:val="0000EE"/>
                </w:rPr>
                <w:t>CWGS Enterprises, LLC, as holdings,</w:t>
              </w:r>
            </w:hyperlink>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tcBorders>
              <w:top w:val="single" w:sz="8" w:color="0000EE"/>
              <w:bottom w:val="single" w:sz="8" w:color="0000EE"/>
            </w:tcBorders>
            <w:gridSpan w:val="11"/>
          </w:tcPr>
          <w:p>
            <w:pPr>
              <w:spacing w:after="0"/>
              <w:rPr>
                <w:rFonts w:ascii="Arial" w:cs="Arial" w:eastAsia="Arial" w:hAnsi="Arial"/>
                <w:sz w:val="14"/>
                <w:szCs w:val="14"/>
                <w:color w:val="0000EE"/>
              </w:rPr>
            </w:pPr>
            <w:hyperlink r:id="rId203">
              <w:r>
                <w:rPr>
                  <w:rFonts w:ascii="Arial" w:cs="Arial" w:eastAsia="Arial" w:hAnsi="Arial"/>
                  <w:sz w:val="14"/>
                  <w:szCs w:val="14"/>
                  <w:color w:val="0000EE"/>
                </w:rPr>
                <w:t>CWGS Group, LLC, as borrower, the</w:t>
              </w:r>
            </w:hyperlink>
          </w:p>
        </w:tc>
        <w:tc>
          <w:tcPr>
            <w:tcW w:w="60" w:type="dxa"/>
            <w:vAlign w:val="bottom"/>
            <w:tcBorders>
              <w:top w:val="single" w:sz="8" w:color="0000EE"/>
            </w:tcBorders>
          </w:tcPr>
          <w:p>
            <w:pPr>
              <w:spacing w:after="0"/>
              <w:rPr>
                <w:sz w:val="14"/>
                <w:szCs w:val="14"/>
                <w:color w:val="auto"/>
              </w:rPr>
            </w:pPr>
          </w:p>
        </w:tc>
        <w:tc>
          <w:tcPr>
            <w:tcW w:w="540" w:type="dxa"/>
            <w:vAlign w:val="bottom"/>
            <w:gridSpan w:val="15"/>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Borders>
              <w:bottom w:val="single" w:sz="8" w:color="0000EE"/>
            </w:tcBorders>
            <w:gridSpan w:val="21"/>
          </w:tcPr>
          <w:p>
            <w:pPr>
              <w:spacing w:after="0"/>
              <w:rPr>
                <w:rFonts w:ascii="Arial" w:cs="Arial" w:eastAsia="Arial" w:hAnsi="Arial"/>
                <w:sz w:val="14"/>
                <w:szCs w:val="14"/>
                <w:color w:val="0000EE"/>
              </w:rPr>
            </w:pPr>
            <w:hyperlink r:id="rId203">
              <w:r>
                <w:rPr>
                  <w:rFonts w:ascii="Arial" w:cs="Arial" w:eastAsia="Arial" w:hAnsi="Arial"/>
                  <w:sz w:val="14"/>
                  <w:szCs w:val="14"/>
                  <w:color w:val="0000EE"/>
                </w:rPr>
                <w:t>lenders party thereto and Goldman Sachs</w:t>
              </w:r>
            </w:hyperlink>
          </w:p>
        </w:tc>
        <w:tc>
          <w:tcPr>
            <w:tcW w:w="280" w:type="dxa"/>
            <w:vAlign w:val="bottom"/>
            <w:gridSpan w:val="6"/>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Borders>
              <w:bottom w:val="single" w:sz="8" w:color="0000EE"/>
            </w:tcBorders>
            <w:gridSpan w:val="9"/>
          </w:tcPr>
          <w:p>
            <w:pPr>
              <w:spacing w:after="0"/>
              <w:rPr>
                <w:rFonts w:ascii="Arial" w:cs="Arial" w:eastAsia="Arial" w:hAnsi="Arial"/>
                <w:sz w:val="14"/>
                <w:szCs w:val="14"/>
                <w:color w:val="0000EE"/>
              </w:rPr>
            </w:pPr>
            <w:hyperlink r:id="rId203">
              <w:r>
                <w:rPr>
                  <w:rFonts w:ascii="Arial" w:cs="Arial" w:eastAsia="Arial" w:hAnsi="Arial"/>
                  <w:sz w:val="14"/>
                  <w:szCs w:val="14"/>
                  <w:color w:val="0000EE"/>
                </w:rPr>
                <w:t>Bank USA, as administrative agent</w:t>
              </w:r>
            </w:hyperlink>
          </w:p>
        </w:tc>
        <w:tc>
          <w:tcPr>
            <w:tcW w:w="700" w:type="dxa"/>
            <w:vAlign w:val="bottom"/>
            <w:gridSpan w:val="18"/>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10.9</w:t>
            </w:r>
          </w:p>
        </w:tc>
        <w:tc>
          <w:tcPr>
            <w:tcW w:w="140" w:type="dxa"/>
            <w:vAlign w:val="bottom"/>
          </w:tcPr>
          <w:p>
            <w:pPr>
              <w:spacing w:after="0"/>
              <w:rPr>
                <w:sz w:val="24"/>
                <w:szCs w:val="24"/>
                <w:color w:val="auto"/>
              </w:rPr>
            </w:pPr>
          </w:p>
        </w:tc>
        <w:tc>
          <w:tcPr>
            <w:tcW w:w="2720" w:type="dxa"/>
            <w:vAlign w:val="bottom"/>
            <w:tcBorders>
              <w:bottom w:val="single" w:sz="8" w:color="0000EE"/>
            </w:tcBorders>
            <w:gridSpan w:val="23"/>
          </w:tcPr>
          <w:p>
            <w:pPr>
              <w:spacing w:after="0"/>
              <w:rPr>
                <w:rFonts w:ascii="Arial" w:cs="Arial" w:eastAsia="Arial" w:hAnsi="Arial"/>
                <w:sz w:val="14"/>
                <w:szCs w:val="14"/>
                <w:color w:val="0000EE"/>
              </w:rPr>
            </w:pPr>
            <w:hyperlink r:id="rId204">
              <w:r>
                <w:rPr>
                  <w:rFonts w:ascii="Arial" w:cs="Arial" w:eastAsia="Arial" w:hAnsi="Arial"/>
                  <w:sz w:val="14"/>
                  <w:szCs w:val="14"/>
                  <w:color w:val="0000EE"/>
                </w:rPr>
                <w:t>Credit Agreement, dated as of October 27,</w:t>
              </w:r>
            </w:hyperlink>
          </w:p>
        </w:tc>
        <w:tc>
          <w:tcPr>
            <w:tcW w:w="220" w:type="dxa"/>
            <w:vAlign w:val="bottom"/>
            <w:gridSpan w:val="4"/>
          </w:tcPr>
          <w:p>
            <w:pPr>
              <w:spacing w:after="0"/>
              <w:rPr>
                <w:sz w:val="24"/>
                <w:szCs w:val="24"/>
                <w:color w:val="auto"/>
              </w:rPr>
            </w:pPr>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10-Q</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8"/>
              </w:rPr>
              <w:t>11/2/22</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tcBorders>
              <w:bottom w:val="single" w:sz="8" w:color="0000EE"/>
            </w:tcBorders>
            <w:gridSpan w:val="25"/>
          </w:tcPr>
          <w:p>
            <w:pPr>
              <w:spacing w:after="0"/>
              <w:rPr>
                <w:rFonts w:ascii="Arial" w:cs="Arial" w:eastAsia="Arial" w:hAnsi="Arial"/>
                <w:sz w:val="14"/>
                <w:szCs w:val="14"/>
                <w:color w:val="0000EE"/>
              </w:rPr>
            </w:pPr>
            <w:hyperlink r:id="rId204">
              <w:r>
                <w:rPr>
                  <w:rFonts w:ascii="Arial" w:cs="Arial" w:eastAsia="Arial" w:hAnsi="Arial"/>
                  <w:sz w:val="14"/>
                  <w:szCs w:val="14"/>
                  <w:color w:val="0000EE"/>
                </w:rPr>
                <w:t>2022, by and among certain subsidiaries of</w:t>
              </w:r>
            </w:hyperlink>
          </w:p>
        </w:tc>
        <w:tc>
          <w:tcPr>
            <w:tcW w:w="18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27"/>
          </w:tcPr>
          <w:p>
            <w:pPr>
              <w:spacing w:after="0"/>
              <w:rPr>
                <w:rFonts w:ascii="Arial" w:cs="Arial" w:eastAsia="Arial" w:hAnsi="Arial"/>
                <w:sz w:val="14"/>
                <w:szCs w:val="14"/>
                <w:color w:val="0000EE"/>
              </w:rPr>
            </w:pPr>
            <w:hyperlink r:id="rId204">
              <w:r>
                <w:rPr>
                  <w:rFonts w:ascii="Arial" w:cs="Arial" w:eastAsia="Arial" w:hAnsi="Arial"/>
                  <w:sz w:val="14"/>
                  <w:szCs w:val="14"/>
                  <w:color w:val="0000EE"/>
                </w:rPr>
                <w:t>FRHP Lincolnshire, LLC, as Holdings,</w:t>
              </w:r>
            </w:hyperlink>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Borders>
              <w:top w:val="single" w:sz="8" w:color="0000EE"/>
              <w:bottom w:val="single" w:sz="8" w:color="0000EE"/>
            </w:tcBorders>
            <w:gridSpan w:val="8"/>
          </w:tcPr>
          <w:p>
            <w:pPr>
              <w:spacing w:after="0"/>
              <w:rPr>
                <w:rFonts w:ascii="Arial" w:cs="Arial" w:eastAsia="Arial" w:hAnsi="Arial"/>
                <w:sz w:val="14"/>
                <w:szCs w:val="14"/>
                <w:color w:val="0000EE"/>
              </w:rPr>
            </w:pPr>
            <w:hyperlink r:id="rId204">
              <w:r>
                <w:rPr>
                  <w:rFonts w:ascii="Arial" w:cs="Arial" w:eastAsia="Arial" w:hAnsi="Arial"/>
                  <w:sz w:val="14"/>
                  <w:szCs w:val="14"/>
                  <w:color w:val="0000EE"/>
                </w:rPr>
                <w:t>certain subsidiaries of Holdings, as</w:t>
              </w:r>
            </w:hyperlink>
          </w:p>
        </w:tc>
        <w:tc>
          <w:tcPr>
            <w:tcW w:w="180" w:type="dxa"/>
            <w:vAlign w:val="bottom"/>
            <w:tcBorders>
              <w:top w:val="single" w:sz="8" w:color="0000EE"/>
            </w:tcBorders>
            <w:gridSpan w:val="4"/>
          </w:tcPr>
          <w:p>
            <w:pPr>
              <w:spacing w:after="0"/>
              <w:rPr>
                <w:sz w:val="14"/>
                <w:szCs w:val="14"/>
                <w:color w:val="auto"/>
              </w:rPr>
            </w:pPr>
          </w:p>
        </w:tc>
        <w:tc>
          <w:tcPr>
            <w:tcW w:w="540" w:type="dxa"/>
            <w:vAlign w:val="bottom"/>
            <w:gridSpan w:val="15"/>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tcBorders>
              <w:bottom w:val="single" w:sz="8" w:color="0000EE"/>
            </w:tcBorders>
            <w:gridSpan w:val="6"/>
          </w:tcPr>
          <w:p>
            <w:pPr>
              <w:spacing w:after="0"/>
              <w:rPr>
                <w:rFonts w:ascii="Arial" w:cs="Arial" w:eastAsia="Arial" w:hAnsi="Arial"/>
                <w:sz w:val="14"/>
                <w:szCs w:val="14"/>
                <w:color w:val="0000EE"/>
              </w:rPr>
            </w:pPr>
            <w:hyperlink r:id="rId204">
              <w:r>
                <w:rPr>
                  <w:rFonts w:ascii="Arial" w:cs="Arial" w:eastAsia="Arial" w:hAnsi="Arial"/>
                  <w:sz w:val="14"/>
                  <w:szCs w:val="14"/>
                  <w:color w:val="0000EE"/>
                </w:rPr>
                <w:t>Borrowers, CWGS Group, LLC as</w:t>
              </w:r>
            </w:hyperlink>
          </w:p>
        </w:tc>
        <w:tc>
          <w:tcPr>
            <w:tcW w:w="780" w:type="dxa"/>
            <w:vAlign w:val="bottom"/>
            <w:gridSpan w:val="21"/>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tcBorders>
              <w:bottom w:val="single" w:sz="8" w:color="0000EE"/>
            </w:tcBorders>
            <w:gridSpan w:val="13"/>
          </w:tcPr>
          <w:p>
            <w:pPr>
              <w:spacing w:after="0"/>
              <w:rPr>
                <w:rFonts w:ascii="Arial" w:cs="Arial" w:eastAsia="Arial" w:hAnsi="Arial"/>
                <w:sz w:val="14"/>
                <w:szCs w:val="14"/>
                <w:color w:val="0000EE"/>
              </w:rPr>
            </w:pPr>
            <w:hyperlink r:id="rId204">
              <w:r>
                <w:rPr>
                  <w:rFonts w:ascii="Arial" w:cs="Arial" w:eastAsia="Arial" w:hAnsi="Arial"/>
                  <w:sz w:val="14"/>
                  <w:szCs w:val="14"/>
                  <w:color w:val="0000EE"/>
                </w:rPr>
                <w:t>Guarantor, Manufacturers and Traders</w:t>
              </w:r>
            </w:hyperlink>
          </w:p>
        </w:tc>
        <w:tc>
          <w:tcPr>
            <w:tcW w:w="480" w:type="dxa"/>
            <w:vAlign w:val="bottom"/>
            <w:gridSpan w:val="14"/>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Borders>
              <w:bottom w:val="single" w:sz="8" w:color="0000EE"/>
            </w:tcBorders>
            <w:gridSpan w:val="17"/>
          </w:tcPr>
          <w:p>
            <w:pPr>
              <w:spacing w:after="0"/>
              <w:rPr>
                <w:rFonts w:ascii="Arial" w:cs="Arial" w:eastAsia="Arial" w:hAnsi="Arial"/>
                <w:sz w:val="14"/>
                <w:szCs w:val="14"/>
                <w:color w:val="0000EE"/>
              </w:rPr>
            </w:pPr>
            <w:hyperlink r:id="rId204">
              <w:r>
                <w:rPr>
                  <w:rFonts w:ascii="Arial" w:cs="Arial" w:eastAsia="Arial" w:hAnsi="Arial"/>
                  <w:sz w:val="14"/>
                  <w:szCs w:val="14"/>
                  <w:color w:val="0000EE"/>
                </w:rPr>
                <w:t>Trust Company, as Administrative Agent,</w:t>
              </w:r>
            </w:hyperlink>
          </w:p>
        </w:tc>
        <w:tc>
          <w:tcPr>
            <w:tcW w:w="340" w:type="dxa"/>
            <w:vAlign w:val="bottom"/>
            <w:gridSpan w:val="10"/>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27"/>
          </w:tcPr>
          <w:p>
            <w:pPr>
              <w:spacing w:after="0"/>
              <w:rPr>
                <w:rFonts w:ascii="Arial" w:cs="Arial" w:eastAsia="Arial" w:hAnsi="Arial"/>
                <w:sz w:val="14"/>
                <w:szCs w:val="14"/>
                <w:color w:val="0000EE"/>
              </w:rPr>
            </w:pPr>
            <w:hyperlink r:id="rId204">
              <w:r>
                <w:rPr>
                  <w:rFonts w:ascii="Arial" w:cs="Arial" w:eastAsia="Arial" w:hAnsi="Arial"/>
                  <w:sz w:val="14"/>
                  <w:szCs w:val="14"/>
                  <w:color w:val="0000EE"/>
                </w:rPr>
                <w:t>and the Financial Institutions Party thereto,</w:t>
              </w:r>
            </w:hyperlink>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Borders>
              <w:top w:val="single" w:sz="8" w:color="0000EE"/>
            </w:tcBorders>
            <w:gridSpan w:val="23"/>
          </w:tcPr>
          <w:p>
            <w:pPr>
              <w:spacing w:after="0"/>
              <w:rPr>
                <w:rFonts w:ascii="Arial" w:cs="Arial" w:eastAsia="Arial" w:hAnsi="Arial"/>
                <w:sz w:val="14"/>
                <w:szCs w:val="14"/>
                <w:color w:val="0000EE"/>
              </w:rPr>
            </w:pPr>
            <w:hyperlink r:id="rId204">
              <w:r>
                <w:rPr>
                  <w:rFonts w:ascii="Arial" w:cs="Arial" w:eastAsia="Arial" w:hAnsi="Arial"/>
                  <w:sz w:val="14"/>
                  <w:szCs w:val="14"/>
                  <w:color w:val="0000EE"/>
                </w:rPr>
                <w:t>as Lenders</w:t>
              </w:r>
            </w:hyperlink>
          </w:p>
        </w:tc>
        <w:tc>
          <w:tcPr>
            <w:tcW w:w="220" w:type="dxa"/>
            <w:vAlign w:val="bottom"/>
            <w:gridSpan w:val="4"/>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4"/>
                <w:szCs w:val="14"/>
                <w:color w:val="auto"/>
              </w:rPr>
              <w:t>10.10</w:t>
            </w:r>
          </w:p>
        </w:tc>
        <w:tc>
          <w:tcPr>
            <w:tcW w:w="140" w:type="dxa"/>
            <w:vAlign w:val="bottom"/>
          </w:tcPr>
          <w:p>
            <w:pPr>
              <w:spacing w:after="0"/>
              <w:rPr>
                <w:sz w:val="24"/>
                <w:szCs w:val="24"/>
                <w:color w:val="auto"/>
              </w:rPr>
            </w:pPr>
          </w:p>
        </w:tc>
        <w:tc>
          <w:tcPr>
            <w:tcW w:w="2940" w:type="dxa"/>
            <w:vAlign w:val="bottom"/>
            <w:gridSpan w:val="27"/>
          </w:tcPr>
          <w:p>
            <w:pPr>
              <w:spacing w:after="0"/>
              <w:rPr>
                <w:rFonts w:ascii="Arial" w:cs="Arial" w:eastAsia="Arial" w:hAnsi="Arial"/>
                <w:sz w:val="14"/>
                <w:szCs w:val="14"/>
                <w:color w:val="0000EE"/>
              </w:rPr>
            </w:pPr>
            <w:hyperlink r:id="rId205">
              <w:r>
                <w:rPr>
                  <w:rFonts w:ascii="Arial" w:cs="Arial" w:eastAsia="Arial" w:hAnsi="Arial"/>
                  <w:sz w:val="14"/>
                  <w:szCs w:val="14"/>
                  <w:color w:val="0000EE"/>
                </w:rPr>
                <w:t>Amendment No. 1 to Credit Agreement and</w:t>
              </w:r>
            </w:hyperlink>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8-K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8/30/24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tcBorders>
              <w:top w:val="single" w:sz="8" w:color="0000EE"/>
              <w:bottom w:val="single" w:sz="8" w:color="0000EE"/>
            </w:tcBorders>
            <w:gridSpan w:val="24"/>
          </w:tcPr>
          <w:p>
            <w:pPr>
              <w:spacing w:after="0"/>
              <w:rPr>
                <w:rFonts w:ascii="Arial" w:cs="Arial" w:eastAsia="Arial" w:hAnsi="Arial"/>
                <w:sz w:val="14"/>
                <w:szCs w:val="14"/>
                <w:color w:val="0000EE"/>
              </w:rPr>
            </w:pPr>
            <w:hyperlink r:id="rId205">
              <w:r>
                <w:rPr>
                  <w:rFonts w:ascii="Arial" w:cs="Arial" w:eastAsia="Arial" w:hAnsi="Arial"/>
                  <w:sz w:val="14"/>
                  <w:szCs w:val="14"/>
                  <w:color w:val="0000EE"/>
                </w:rPr>
                <w:t>Incremental Amendment, dated August 27,</w:t>
              </w:r>
            </w:hyperlink>
          </w:p>
        </w:tc>
        <w:tc>
          <w:tcPr>
            <w:tcW w:w="20" w:type="dxa"/>
            <w:vAlign w:val="bottom"/>
            <w:tcBorders>
              <w:top w:val="single" w:sz="8" w:color="0000EE"/>
            </w:tcBorders>
          </w:tcPr>
          <w:p>
            <w:pPr>
              <w:spacing w:after="0"/>
              <w:rPr>
                <w:sz w:val="14"/>
                <w:szCs w:val="14"/>
                <w:color w:val="auto"/>
              </w:rPr>
            </w:pPr>
          </w:p>
        </w:tc>
        <w:tc>
          <w:tcPr>
            <w:tcW w:w="180" w:type="dxa"/>
            <w:vAlign w:val="bottom"/>
            <w:gridSpan w:val="2"/>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tcBorders>
              <w:bottom w:val="single" w:sz="8" w:color="0000EE"/>
            </w:tcBorders>
            <w:gridSpan w:val="22"/>
          </w:tcPr>
          <w:p>
            <w:pPr>
              <w:spacing w:after="0"/>
              <w:rPr>
                <w:rFonts w:ascii="Arial" w:cs="Arial" w:eastAsia="Arial" w:hAnsi="Arial"/>
                <w:sz w:val="14"/>
                <w:szCs w:val="14"/>
                <w:color w:val="0000EE"/>
              </w:rPr>
            </w:pPr>
            <w:hyperlink r:id="rId205">
              <w:r>
                <w:rPr>
                  <w:rFonts w:ascii="Arial" w:cs="Arial" w:eastAsia="Arial" w:hAnsi="Arial"/>
                  <w:sz w:val="14"/>
                  <w:szCs w:val="14"/>
                  <w:color w:val="0000EE"/>
                </w:rPr>
                <w:t>2024, by and among subsidiaries of FRHP</w:t>
              </w:r>
            </w:hyperlink>
          </w:p>
        </w:tc>
        <w:tc>
          <w:tcPr>
            <w:tcW w:w="240" w:type="dxa"/>
            <w:vAlign w:val="bottom"/>
            <w:gridSpan w:val="5"/>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tcBorders>
              <w:bottom w:val="single" w:sz="8" w:color="0000EE"/>
            </w:tcBorders>
            <w:gridSpan w:val="20"/>
          </w:tcPr>
          <w:p>
            <w:pPr>
              <w:spacing w:after="0" w:line="155" w:lineRule="exact"/>
              <w:rPr>
                <w:rFonts w:ascii="Arial" w:cs="Arial" w:eastAsia="Arial" w:hAnsi="Arial"/>
                <w:sz w:val="14"/>
                <w:szCs w:val="14"/>
                <w:color w:val="0000EE"/>
              </w:rPr>
            </w:pPr>
            <w:hyperlink r:id="rId205">
              <w:r>
                <w:rPr>
                  <w:rFonts w:ascii="Arial" w:cs="Arial" w:eastAsia="Arial" w:hAnsi="Arial"/>
                  <w:sz w:val="14"/>
                  <w:szCs w:val="14"/>
                  <w:color w:val="0000EE"/>
                </w:rPr>
                <w:t>Lincolnshire, LLC, CWGS Group, LLC (as</w:t>
              </w:r>
            </w:hyperlink>
          </w:p>
        </w:tc>
        <w:tc>
          <w:tcPr>
            <w:tcW w:w="280" w:type="dxa"/>
            <w:vAlign w:val="bottom"/>
            <w:gridSpan w:val="7"/>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27"/>
          </w:tcPr>
          <w:p>
            <w:pPr>
              <w:spacing w:after="0"/>
              <w:rPr>
                <w:rFonts w:ascii="Arial" w:cs="Arial" w:eastAsia="Arial" w:hAnsi="Arial"/>
                <w:sz w:val="14"/>
                <w:szCs w:val="14"/>
                <w:color w:val="0000EE"/>
              </w:rPr>
            </w:pPr>
            <w:hyperlink r:id="rId205">
              <w:r>
                <w:rPr>
                  <w:rFonts w:ascii="Arial" w:cs="Arial" w:eastAsia="Arial" w:hAnsi="Arial"/>
                  <w:sz w:val="14"/>
                  <w:szCs w:val="14"/>
                  <w:color w:val="0000EE"/>
                </w:rPr>
                <w:t>guarantor), Manufacturers and Traders</w:t>
              </w:r>
            </w:hyperlink>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Borders>
              <w:bottom w:val="single" w:sz="8" w:color="0000EE"/>
            </w:tcBorders>
            <w:gridSpan w:val="16"/>
          </w:tcPr>
          <w:p>
            <w:pPr>
              <w:spacing w:after="0"/>
              <w:rPr>
                <w:rFonts w:ascii="Arial" w:cs="Arial" w:eastAsia="Arial" w:hAnsi="Arial"/>
                <w:sz w:val="14"/>
                <w:szCs w:val="14"/>
                <w:color w:val="0000EE"/>
              </w:rPr>
            </w:pPr>
            <w:hyperlink r:id="rId205">
              <w:r>
                <w:rPr>
                  <w:rFonts w:ascii="Arial" w:cs="Arial" w:eastAsia="Arial" w:hAnsi="Arial"/>
                  <w:sz w:val="14"/>
                  <w:szCs w:val="14"/>
                  <w:color w:val="0000EE"/>
                </w:rPr>
                <w:t>Trust Company, as administrative agent,</w:t>
              </w:r>
            </w:hyperlink>
          </w:p>
        </w:tc>
        <w:tc>
          <w:tcPr>
            <w:tcW w:w="360" w:type="dxa"/>
            <w:vAlign w:val="bottom"/>
            <w:gridSpan w:val="11"/>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gridSpan w:val="27"/>
          </w:tcPr>
          <w:p>
            <w:pPr>
              <w:spacing w:after="0" w:line="155" w:lineRule="exact"/>
              <w:rPr>
                <w:rFonts w:ascii="Arial" w:cs="Arial" w:eastAsia="Arial" w:hAnsi="Arial"/>
                <w:sz w:val="14"/>
                <w:szCs w:val="14"/>
                <w:color w:val="0000EE"/>
              </w:rPr>
            </w:pPr>
            <w:hyperlink r:id="rId205">
              <w:r>
                <w:rPr>
                  <w:rFonts w:ascii="Arial" w:cs="Arial" w:eastAsia="Arial" w:hAnsi="Arial"/>
                  <w:sz w:val="14"/>
                  <w:szCs w:val="14"/>
                  <w:color w:val="0000EE"/>
                </w:rPr>
                <w:t>and the other lenders party thereto</w:t>
              </w:r>
            </w:hyperlink>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4"/>
                <w:szCs w:val="14"/>
                <w:color w:val="auto"/>
              </w:rPr>
              <w:t>#10.11</w:t>
            </w:r>
          </w:p>
        </w:tc>
        <w:tc>
          <w:tcPr>
            <w:tcW w:w="140" w:type="dxa"/>
            <w:vAlign w:val="bottom"/>
          </w:tcPr>
          <w:p>
            <w:pPr>
              <w:spacing w:after="0"/>
              <w:rPr>
                <w:sz w:val="24"/>
                <w:szCs w:val="24"/>
                <w:color w:val="auto"/>
              </w:rPr>
            </w:pPr>
          </w:p>
        </w:tc>
        <w:tc>
          <w:tcPr>
            <w:tcW w:w="2540" w:type="dxa"/>
            <w:vAlign w:val="bottom"/>
            <w:tcBorders>
              <w:bottom w:val="single" w:sz="8" w:color="0000EE"/>
            </w:tcBorders>
            <w:gridSpan w:val="14"/>
          </w:tcPr>
          <w:p>
            <w:pPr>
              <w:spacing w:after="0"/>
              <w:rPr>
                <w:rFonts w:ascii="Arial" w:cs="Arial" w:eastAsia="Arial" w:hAnsi="Arial"/>
                <w:sz w:val="14"/>
                <w:szCs w:val="14"/>
                <w:color w:val="0000EE"/>
              </w:rPr>
            </w:pPr>
            <w:hyperlink r:id="rId206">
              <w:r>
                <w:rPr>
                  <w:rFonts w:ascii="Arial" w:cs="Arial" w:eastAsia="Arial" w:hAnsi="Arial"/>
                  <w:sz w:val="14"/>
                  <w:szCs w:val="14"/>
                  <w:color w:val="0000EE"/>
                </w:rPr>
                <w:t>Amended and Restated Camping World</w:t>
              </w:r>
            </w:hyperlink>
          </w:p>
        </w:tc>
        <w:tc>
          <w:tcPr>
            <w:tcW w:w="400" w:type="dxa"/>
            <w:vAlign w:val="bottom"/>
            <w:gridSpan w:val="13"/>
          </w:tcPr>
          <w:p>
            <w:pPr>
              <w:spacing w:after="0"/>
              <w:rPr>
                <w:sz w:val="24"/>
                <w:szCs w:val="2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8-K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5/19/25</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tcBorders>
              <w:bottom w:val="single" w:sz="8" w:color="0000EE"/>
            </w:tcBorders>
            <w:gridSpan w:val="18"/>
          </w:tcPr>
          <w:p>
            <w:pPr>
              <w:spacing w:after="0"/>
              <w:rPr>
                <w:rFonts w:ascii="Arial" w:cs="Arial" w:eastAsia="Arial" w:hAnsi="Arial"/>
                <w:sz w:val="14"/>
                <w:szCs w:val="14"/>
                <w:color w:val="0000EE"/>
              </w:rPr>
            </w:pPr>
            <w:hyperlink r:id="rId206">
              <w:r>
                <w:rPr>
                  <w:rFonts w:ascii="Arial" w:cs="Arial" w:eastAsia="Arial" w:hAnsi="Arial"/>
                  <w:sz w:val="14"/>
                  <w:szCs w:val="14"/>
                  <w:color w:val="0000EE"/>
                </w:rPr>
                <w:t>Holdings, Inc. 2016 Incentive Award Plan</w:t>
              </w:r>
            </w:hyperlink>
          </w:p>
        </w:tc>
        <w:tc>
          <w:tcPr>
            <w:tcW w:w="320" w:type="dxa"/>
            <w:vAlign w:val="bottom"/>
            <w:gridSpan w:val="9"/>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4"/>
                <w:szCs w:val="14"/>
                <w:color w:val="auto"/>
              </w:rPr>
              <w:t>#10.12</w:t>
            </w:r>
          </w:p>
        </w:tc>
        <w:tc>
          <w:tcPr>
            <w:tcW w:w="140" w:type="dxa"/>
            <w:vAlign w:val="bottom"/>
          </w:tcPr>
          <w:p>
            <w:pPr>
              <w:spacing w:after="0"/>
              <w:rPr>
                <w:sz w:val="24"/>
                <w:szCs w:val="24"/>
                <w:color w:val="auto"/>
              </w:rPr>
            </w:pPr>
          </w:p>
        </w:tc>
        <w:tc>
          <w:tcPr>
            <w:tcW w:w="2940" w:type="dxa"/>
            <w:vAlign w:val="bottom"/>
            <w:gridSpan w:val="27"/>
          </w:tcPr>
          <w:p>
            <w:pPr>
              <w:spacing w:after="0"/>
              <w:rPr>
                <w:sz w:val="20"/>
                <w:szCs w:val="20"/>
                <w:color w:val="auto"/>
              </w:rPr>
            </w:pPr>
            <w:r>
              <w:rPr>
                <w:rFonts w:ascii="Arial" w:cs="Arial" w:eastAsia="Arial" w:hAnsi="Arial"/>
                <w:sz w:val="14"/>
                <w:szCs w:val="14"/>
                <w:color w:val="0000EE"/>
              </w:rPr>
              <w:t>Amendment to the Amended and Restated</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4"/>
                <w:szCs w:val="14"/>
                <w:color w:val="0000EE"/>
              </w:rPr>
              <w:t>Camping World Holdings, Inc. 2016</w:t>
            </w:r>
          </w:p>
        </w:tc>
        <w:tc>
          <w:tcPr>
            <w:tcW w:w="460" w:type="dxa"/>
            <w:vAlign w:val="bottom"/>
            <w:tcBorders>
              <w:top w:val="single" w:sz="8" w:color="0000EE"/>
            </w:tcBorders>
            <w:gridSpan w:val="13"/>
          </w:tcPr>
          <w:p>
            <w:pPr>
              <w:spacing w:after="0"/>
              <w:rPr>
                <w:sz w:val="14"/>
                <w:szCs w:val="14"/>
                <w:color w:val="auto"/>
              </w:rPr>
            </w:pPr>
          </w:p>
        </w:tc>
        <w:tc>
          <w:tcPr>
            <w:tcW w:w="220" w:type="dxa"/>
            <w:vAlign w:val="bottom"/>
            <w:gridSpan w:val="4"/>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27"/>
          </w:tcPr>
          <w:p>
            <w:pPr>
              <w:spacing w:after="0"/>
              <w:rPr>
                <w:sz w:val="20"/>
                <w:szCs w:val="20"/>
                <w:color w:val="auto"/>
              </w:rPr>
            </w:pPr>
            <w:r>
              <w:rPr>
                <w:rFonts w:ascii="Arial" w:cs="Arial" w:eastAsia="Arial" w:hAnsi="Arial"/>
                <w:sz w:val="14"/>
                <w:szCs w:val="14"/>
                <w:color w:val="0000EE"/>
              </w:rPr>
              <w:t>Incentive Award Plan</w:t>
            </w: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4"/>
                <w:szCs w:val="14"/>
                <w:color w:val="auto"/>
              </w:rPr>
              <w:t>#10.13</w:t>
            </w:r>
          </w:p>
        </w:tc>
        <w:tc>
          <w:tcPr>
            <w:tcW w:w="140" w:type="dxa"/>
            <w:vAlign w:val="bottom"/>
          </w:tcPr>
          <w:p>
            <w:pPr>
              <w:spacing w:after="0"/>
              <w:rPr>
                <w:sz w:val="24"/>
                <w:szCs w:val="24"/>
                <w:color w:val="auto"/>
              </w:rPr>
            </w:pPr>
          </w:p>
        </w:tc>
        <w:tc>
          <w:tcPr>
            <w:tcW w:w="2940" w:type="dxa"/>
            <w:vAlign w:val="bottom"/>
            <w:gridSpan w:val="27"/>
          </w:tcPr>
          <w:p>
            <w:pPr>
              <w:spacing w:after="0"/>
              <w:rPr>
                <w:sz w:val="20"/>
                <w:szCs w:val="20"/>
                <w:color w:val="auto"/>
              </w:rPr>
            </w:pPr>
            <w:r>
              <w:rPr>
                <w:rFonts w:ascii="Arial" w:cs="Arial" w:eastAsia="Arial" w:hAnsi="Arial"/>
                <w:sz w:val="14"/>
                <w:szCs w:val="14"/>
                <w:color w:val="0000EE"/>
              </w:rPr>
              <w:t>Camping World Holdings, Inc. Non-</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Borders>
              <w:bottom w:val="single" w:sz="8" w:color="0000EE"/>
            </w:tcBorders>
            <w:gridSpan w:val="16"/>
          </w:tcPr>
          <w:p>
            <w:pPr>
              <w:spacing w:after="0"/>
              <w:rPr>
                <w:sz w:val="20"/>
                <w:szCs w:val="20"/>
                <w:color w:val="auto"/>
              </w:rPr>
            </w:pPr>
            <w:r>
              <w:rPr>
                <w:rFonts w:ascii="Arial" w:cs="Arial" w:eastAsia="Arial" w:hAnsi="Arial"/>
                <w:sz w:val="14"/>
                <w:szCs w:val="14"/>
                <w:color w:val="0000EE"/>
              </w:rPr>
              <w:t>Employee Director Compensation Policy</w:t>
            </w:r>
          </w:p>
        </w:tc>
        <w:tc>
          <w:tcPr>
            <w:tcW w:w="360" w:type="dxa"/>
            <w:vAlign w:val="bottom"/>
            <w:gridSpan w:val="11"/>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4"/>
                <w:szCs w:val="14"/>
                <w:color w:val="auto"/>
              </w:rPr>
              <w:t>#10.14</w:t>
            </w:r>
          </w:p>
        </w:tc>
        <w:tc>
          <w:tcPr>
            <w:tcW w:w="140" w:type="dxa"/>
            <w:vAlign w:val="bottom"/>
          </w:tcPr>
          <w:p>
            <w:pPr>
              <w:spacing w:after="0"/>
              <w:rPr>
                <w:sz w:val="24"/>
                <w:szCs w:val="24"/>
                <w:color w:val="auto"/>
              </w:rPr>
            </w:pPr>
          </w:p>
        </w:tc>
        <w:tc>
          <w:tcPr>
            <w:tcW w:w="2460" w:type="dxa"/>
            <w:vAlign w:val="bottom"/>
            <w:tcBorders>
              <w:bottom w:val="single" w:sz="8" w:color="0000EE"/>
            </w:tcBorders>
            <w:gridSpan w:val="13"/>
          </w:tcPr>
          <w:p>
            <w:pPr>
              <w:spacing w:after="0"/>
              <w:rPr>
                <w:rFonts w:ascii="Arial" w:cs="Arial" w:eastAsia="Arial" w:hAnsi="Arial"/>
                <w:sz w:val="14"/>
                <w:szCs w:val="14"/>
                <w:color w:val="0000EE"/>
              </w:rPr>
            </w:pPr>
            <w:hyperlink r:id="rId207">
              <w:r>
                <w:rPr>
                  <w:rFonts w:ascii="Arial" w:cs="Arial" w:eastAsia="Arial" w:hAnsi="Arial"/>
                  <w:sz w:val="14"/>
                  <w:szCs w:val="14"/>
                  <w:color w:val="0000EE"/>
                </w:rPr>
                <w:t>Camping World Holdings, Inc. Director</w:t>
              </w:r>
            </w:hyperlink>
          </w:p>
        </w:tc>
        <w:tc>
          <w:tcPr>
            <w:tcW w:w="480" w:type="dxa"/>
            <w:vAlign w:val="bottom"/>
            <w:gridSpan w:val="14"/>
          </w:tcPr>
          <w:p>
            <w:pPr>
              <w:spacing w:after="0"/>
              <w:rPr>
                <w:sz w:val="24"/>
                <w:szCs w:val="2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10-K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10.21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3/13/17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27"/>
          </w:tcPr>
          <w:p>
            <w:pPr>
              <w:spacing w:after="0"/>
              <w:rPr>
                <w:rFonts w:ascii="Arial" w:cs="Arial" w:eastAsia="Arial" w:hAnsi="Arial"/>
                <w:sz w:val="14"/>
                <w:szCs w:val="14"/>
                <w:color w:val="0000EE"/>
              </w:rPr>
            </w:pPr>
            <w:hyperlink r:id="rId207">
              <w:r>
                <w:rPr>
                  <w:rFonts w:ascii="Arial" w:cs="Arial" w:eastAsia="Arial" w:hAnsi="Arial"/>
                  <w:sz w:val="14"/>
                  <w:szCs w:val="14"/>
                  <w:color w:val="0000EE"/>
                </w:rPr>
                <w:t>Stock Ownership Policy</w:t>
              </w:r>
            </w:hyperlink>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#10.15</w:t>
            </w:r>
          </w:p>
        </w:tc>
        <w:tc>
          <w:tcPr>
            <w:tcW w:w="140" w:type="dxa"/>
            <w:vAlign w:val="bottom"/>
          </w:tcPr>
          <w:p>
            <w:pPr>
              <w:spacing w:after="0"/>
              <w:rPr>
                <w:sz w:val="24"/>
                <w:szCs w:val="24"/>
                <w:color w:val="auto"/>
              </w:rPr>
            </w:pPr>
          </w:p>
        </w:tc>
        <w:tc>
          <w:tcPr>
            <w:tcW w:w="2560" w:type="dxa"/>
            <w:vAlign w:val="bottom"/>
            <w:tcBorders>
              <w:bottom w:val="single" w:sz="8" w:color="0000EE"/>
            </w:tcBorders>
            <w:gridSpan w:val="15"/>
          </w:tcPr>
          <w:p>
            <w:pPr>
              <w:spacing w:after="0"/>
              <w:rPr>
                <w:rFonts w:ascii="Arial" w:cs="Arial" w:eastAsia="Arial" w:hAnsi="Arial"/>
                <w:sz w:val="14"/>
                <w:szCs w:val="14"/>
                <w:color w:val="0000EE"/>
              </w:rPr>
            </w:pPr>
            <w:hyperlink r:id="rId208">
              <w:r>
                <w:rPr>
                  <w:rFonts w:ascii="Arial" w:cs="Arial" w:eastAsia="Arial" w:hAnsi="Arial"/>
                  <w:sz w:val="14"/>
                  <w:szCs w:val="14"/>
                  <w:color w:val="0000EE"/>
                </w:rPr>
                <w:t>Camping World Holdings, Inc. Executive</w:t>
              </w:r>
            </w:hyperlink>
          </w:p>
        </w:tc>
        <w:tc>
          <w:tcPr>
            <w:tcW w:w="380" w:type="dxa"/>
            <w:vAlign w:val="bottom"/>
            <w:gridSpan w:val="12"/>
          </w:tcPr>
          <w:p>
            <w:pPr>
              <w:spacing w:after="0"/>
              <w:rPr>
                <w:sz w:val="24"/>
                <w:szCs w:val="2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10-K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10.22</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3/13/17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27"/>
          </w:tcPr>
          <w:p>
            <w:pPr>
              <w:spacing w:after="0"/>
              <w:rPr>
                <w:rFonts w:ascii="Arial" w:cs="Arial" w:eastAsia="Arial" w:hAnsi="Arial"/>
                <w:sz w:val="14"/>
                <w:szCs w:val="14"/>
                <w:color w:val="0000EE"/>
              </w:rPr>
            </w:pPr>
            <w:hyperlink r:id="rId208">
              <w:r>
                <w:rPr>
                  <w:rFonts w:ascii="Arial" w:cs="Arial" w:eastAsia="Arial" w:hAnsi="Arial"/>
                  <w:sz w:val="14"/>
                  <w:szCs w:val="14"/>
                  <w:color w:val="0000EE"/>
                </w:rPr>
                <w:t>Officer Stock Ownership Policy</w:t>
              </w:r>
            </w:hyperlink>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#10.16</w:t>
            </w:r>
          </w:p>
        </w:tc>
        <w:tc>
          <w:tcPr>
            <w:tcW w:w="140" w:type="dxa"/>
            <w:vAlign w:val="bottom"/>
          </w:tcPr>
          <w:p>
            <w:pPr>
              <w:spacing w:after="0"/>
              <w:rPr>
                <w:sz w:val="24"/>
                <w:szCs w:val="24"/>
                <w:color w:val="auto"/>
              </w:rPr>
            </w:pPr>
          </w:p>
        </w:tc>
        <w:tc>
          <w:tcPr>
            <w:tcW w:w="2040" w:type="dxa"/>
            <w:vAlign w:val="bottom"/>
            <w:tcBorders>
              <w:bottom w:val="single" w:sz="8" w:color="0000EE"/>
            </w:tcBorders>
            <w:gridSpan w:val="5"/>
          </w:tcPr>
          <w:p>
            <w:pPr>
              <w:spacing w:after="0"/>
              <w:rPr>
                <w:rFonts w:ascii="Arial" w:cs="Arial" w:eastAsia="Arial" w:hAnsi="Arial"/>
                <w:sz w:val="14"/>
                <w:szCs w:val="14"/>
                <w:color w:val="0000EE"/>
              </w:rPr>
            </w:pPr>
            <w:hyperlink r:id="rId209">
              <w:r>
                <w:rPr>
                  <w:rFonts w:ascii="Arial" w:cs="Arial" w:eastAsia="Arial" w:hAnsi="Arial"/>
                  <w:sz w:val="14"/>
                  <w:szCs w:val="14"/>
                  <w:color w:val="0000EE"/>
                </w:rPr>
                <w:t>Form of Employee Stock Option</w:t>
              </w:r>
            </w:hyperlink>
          </w:p>
        </w:tc>
        <w:tc>
          <w:tcPr>
            <w:tcW w:w="900" w:type="dxa"/>
            <w:vAlign w:val="bottom"/>
            <w:gridSpan w:val="22"/>
          </w:tcPr>
          <w:p>
            <w:pPr>
              <w:spacing w:after="0"/>
              <w:rPr>
                <w:sz w:val="24"/>
                <w:szCs w:val="24"/>
                <w:color w:val="auto"/>
              </w:rPr>
            </w:pPr>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S-1/A</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333-211977</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10.28</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9/20/16</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0000EE"/>
            </w:tcBorders>
          </w:tcPr>
          <w:p>
            <w:pPr>
              <w:spacing w:after="0"/>
              <w:rPr>
                <w:rFonts w:ascii="Arial" w:cs="Arial" w:eastAsia="Arial" w:hAnsi="Arial"/>
                <w:sz w:val="14"/>
                <w:szCs w:val="14"/>
                <w:color w:val="0000EE"/>
                <w:w w:val="99"/>
              </w:rPr>
            </w:pPr>
            <w:hyperlink r:id="rId209">
              <w:r>
                <w:rPr>
                  <w:rFonts w:ascii="Arial" w:cs="Arial" w:eastAsia="Arial" w:hAnsi="Arial"/>
                  <w:sz w:val="14"/>
                  <w:szCs w:val="14"/>
                  <w:color w:val="0000EE"/>
                  <w:w w:val="99"/>
                </w:rPr>
                <w:t>Agreement</w:t>
              </w:r>
            </w:hyperlink>
          </w:p>
        </w:tc>
        <w:tc>
          <w:tcPr>
            <w:tcW w:w="2240" w:type="dxa"/>
            <w:vAlign w:val="bottom"/>
            <w:gridSpan w:val="26"/>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color w:val="auto"/>
              </w:rPr>
              <w:t>Incorporated by Reference</w:t>
            </w: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20" w:type="dxa"/>
            <w:vAlign w:val="bottom"/>
            <w:vMerge w:val="restart"/>
          </w:tcPr>
          <w:p>
            <w:pPr>
              <w:ind w:left="180"/>
              <w:spacing w:after="0"/>
              <w:rPr>
                <w:sz w:val="20"/>
                <w:szCs w:val="20"/>
                <w:color w:val="auto"/>
              </w:rPr>
            </w:pPr>
            <w:r>
              <w:rPr>
                <w:rFonts w:ascii="Arial" w:cs="Arial" w:eastAsia="Arial" w:hAnsi="Arial"/>
                <w:sz w:val="14"/>
                <w:szCs w:val="14"/>
                <w:color w:val="auto"/>
              </w:rPr>
              <w:t>Exhibit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Filed/</w:t>
            </w:r>
          </w:p>
        </w:tc>
        <w:tc>
          <w:tcPr>
            <w:tcW w:w="0" w:type="dxa"/>
            <w:vAlign w:val="bottom"/>
          </w:tcPr>
          <w:p>
            <w:pPr>
              <w:spacing w:after="0"/>
              <w:rPr>
                <w:sz w:val="1"/>
                <w:szCs w:val="1"/>
                <w:color w:val="auto"/>
              </w:rPr>
            </w:pPr>
          </w:p>
        </w:tc>
      </w:tr>
      <w:tr>
        <w:trPr>
          <w:trHeight w:val="162"/>
        </w:trPr>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Furnished</w:t>
            </w:r>
          </w:p>
        </w:tc>
        <w:tc>
          <w:tcPr>
            <w:tcW w:w="0" w:type="dxa"/>
            <w:vAlign w:val="bottom"/>
          </w:tcPr>
          <w:p>
            <w:pPr>
              <w:spacing w:after="0"/>
              <w:rPr>
                <w:sz w:val="1"/>
                <w:szCs w:val="1"/>
                <w:color w:val="auto"/>
              </w:rPr>
            </w:pPr>
          </w:p>
        </w:tc>
      </w:tr>
      <w:tr>
        <w:trPr>
          <w:trHeight w:val="198"/>
        </w:trPr>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Number</w:t>
            </w:r>
          </w:p>
        </w:tc>
        <w:tc>
          <w:tcPr>
            <w:tcW w:w="1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0"/>
          </w:tcPr>
          <w:p>
            <w:pPr>
              <w:ind w:left="80"/>
              <w:spacing w:after="0"/>
              <w:rPr>
                <w:sz w:val="20"/>
                <w:szCs w:val="20"/>
                <w:color w:val="auto"/>
              </w:rPr>
            </w:pPr>
            <w:r>
              <w:rPr>
                <w:rFonts w:ascii="Arial" w:cs="Arial" w:eastAsia="Arial" w:hAnsi="Arial"/>
                <w:sz w:val="14"/>
                <w:szCs w:val="14"/>
                <w:color w:val="auto"/>
              </w:rPr>
              <w:t>Exhibit Description</w:t>
            </w:r>
          </w:p>
        </w:tc>
        <w:tc>
          <w:tcPr>
            <w:tcW w:w="160" w:type="dxa"/>
            <w:vAlign w:val="bottom"/>
          </w:tcPr>
          <w:p>
            <w:pPr>
              <w:spacing w:after="0"/>
              <w:rPr>
                <w:sz w:val="17"/>
                <w:szCs w:val="17"/>
                <w:color w:val="auto"/>
              </w:rPr>
            </w:pPr>
          </w:p>
        </w:tc>
        <w:tc>
          <w:tcPr>
            <w:tcW w:w="10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rPr>
              <w:t>Form</w:t>
            </w: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File No.</w:t>
            </w:r>
          </w:p>
        </w:tc>
        <w:tc>
          <w:tcPr>
            <w:tcW w:w="160" w:type="dxa"/>
            <w:vAlign w:val="bottom"/>
          </w:tcPr>
          <w:p>
            <w:pPr>
              <w:spacing w:after="0"/>
              <w:rPr>
                <w:sz w:val="17"/>
                <w:szCs w:val="17"/>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Exhibit</w:t>
            </w:r>
          </w:p>
        </w:tc>
        <w:tc>
          <w:tcPr>
            <w:tcW w:w="140" w:type="dxa"/>
            <w:vAlign w:val="bottom"/>
          </w:tcPr>
          <w:p>
            <w:pPr>
              <w:spacing w:after="0"/>
              <w:rPr>
                <w:sz w:val="17"/>
                <w:szCs w:val="17"/>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Filing Date</w:t>
            </w:r>
          </w:p>
        </w:tc>
        <w:tc>
          <w:tcPr>
            <w:tcW w:w="16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Herewith</w:t>
            </w:r>
          </w:p>
        </w:tc>
        <w:tc>
          <w:tcPr>
            <w:tcW w:w="0" w:type="dxa"/>
            <w:vAlign w:val="bottom"/>
          </w:tcPr>
          <w:p>
            <w:pPr>
              <w:spacing w:after="0"/>
              <w:rPr>
                <w:sz w:val="1"/>
                <w:szCs w:val="1"/>
                <w:color w:val="auto"/>
              </w:rPr>
            </w:pPr>
          </w:p>
        </w:tc>
      </w:tr>
      <w:tr>
        <w:trPr>
          <w:trHeight w:val="155"/>
        </w:trPr>
        <w:tc>
          <w:tcPr>
            <w:tcW w:w="820" w:type="dxa"/>
            <w:vAlign w:val="bottom"/>
          </w:tcPr>
          <w:p>
            <w:pPr>
              <w:spacing w:after="0" w:line="155" w:lineRule="exact"/>
              <w:rPr>
                <w:sz w:val="20"/>
                <w:szCs w:val="20"/>
                <w:color w:val="auto"/>
              </w:rPr>
            </w:pPr>
            <w:r>
              <w:rPr>
                <w:rFonts w:ascii="Arial" w:cs="Arial" w:eastAsia="Arial" w:hAnsi="Arial"/>
                <w:sz w:val="14"/>
                <w:szCs w:val="14"/>
                <w:color w:val="auto"/>
              </w:rPr>
              <w:t>#10.17</w:t>
            </w:r>
          </w:p>
        </w:tc>
        <w:tc>
          <w:tcPr>
            <w:tcW w:w="140" w:type="dxa"/>
            <w:vAlign w:val="bottom"/>
          </w:tcPr>
          <w:p>
            <w:pPr>
              <w:spacing w:after="0"/>
              <w:rPr>
                <w:sz w:val="13"/>
                <w:szCs w:val="13"/>
                <w:color w:val="auto"/>
              </w:rPr>
            </w:pPr>
          </w:p>
        </w:tc>
        <w:tc>
          <w:tcPr>
            <w:tcW w:w="2560" w:type="dxa"/>
            <w:vAlign w:val="bottom"/>
            <w:tcBorders>
              <w:bottom w:val="single" w:sz="8" w:color="0000EE"/>
            </w:tcBorders>
            <w:gridSpan w:val="25"/>
          </w:tcPr>
          <w:p>
            <w:pPr>
              <w:spacing w:after="0" w:line="155" w:lineRule="exact"/>
              <w:rPr>
                <w:rFonts w:ascii="Arial" w:cs="Arial" w:eastAsia="Arial" w:hAnsi="Arial"/>
                <w:sz w:val="14"/>
                <w:szCs w:val="14"/>
                <w:color w:val="0000EE"/>
              </w:rPr>
            </w:pPr>
            <w:hyperlink r:id="rId211">
              <w:r>
                <w:rPr>
                  <w:rFonts w:ascii="Arial" w:cs="Arial" w:eastAsia="Arial" w:hAnsi="Arial"/>
                  <w:sz w:val="14"/>
                  <w:szCs w:val="14"/>
                  <w:color w:val="0000EE"/>
                </w:rPr>
                <w:t>Form of Employee Restricted Stock Unit</w:t>
              </w:r>
            </w:hyperlink>
          </w:p>
        </w:tc>
        <w:tc>
          <w:tcPr>
            <w:tcW w:w="380" w:type="dxa"/>
            <w:vAlign w:val="bottom"/>
            <w:gridSpan w:val="7"/>
          </w:tcPr>
          <w:p>
            <w:pPr>
              <w:spacing w:after="0"/>
              <w:rPr>
                <w:sz w:val="13"/>
                <w:szCs w:val="13"/>
                <w:color w:val="auto"/>
              </w:rPr>
            </w:pPr>
          </w:p>
        </w:tc>
        <w:tc>
          <w:tcPr>
            <w:tcW w:w="1060" w:type="dxa"/>
            <w:vAlign w:val="bottom"/>
          </w:tcPr>
          <w:p>
            <w:pPr>
              <w:jc w:val="center"/>
              <w:ind w:left="428"/>
              <w:spacing w:after="0" w:line="155" w:lineRule="exact"/>
              <w:rPr>
                <w:sz w:val="20"/>
                <w:szCs w:val="20"/>
                <w:color w:val="auto"/>
              </w:rPr>
            </w:pPr>
            <w:r>
              <w:rPr>
                <w:rFonts w:ascii="Arial" w:cs="Arial" w:eastAsia="Arial" w:hAnsi="Arial"/>
                <w:sz w:val="14"/>
                <w:szCs w:val="14"/>
                <w:color w:val="auto"/>
              </w:rPr>
              <w:t>10-Q</w:t>
            </w:r>
          </w:p>
        </w:tc>
        <w:tc>
          <w:tcPr>
            <w:tcW w:w="1480" w:type="dxa"/>
            <w:vAlign w:val="bottom"/>
            <w:gridSpan w:val="3"/>
          </w:tcPr>
          <w:p>
            <w:pPr>
              <w:jc w:val="center"/>
              <w:ind w:left="608"/>
              <w:spacing w:after="0" w:line="155" w:lineRule="exact"/>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13"/>
                <w:szCs w:val="13"/>
                <w:color w:val="auto"/>
              </w:rPr>
            </w:pPr>
          </w:p>
        </w:tc>
        <w:tc>
          <w:tcPr>
            <w:tcW w:w="480" w:type="dxa"/>
            <w:vAlign w:val="bottom"/>
          </w:tcPr>
          <w:p>
            <w:pPr>
              <w:jc w:val="center"/>
              <w:spacing w:after="0" w:line="155" w:lineRule="exact"/>
              <w:rPr>
                <w:sz w:val="20"/>
                <w:szCs w:val="20"/>
                <w:color w:val="auto"/>
              </w:rPr>
            </w:pPr>
            <w:r>
              <w:rPr>
                <w:rFonts w:ascii="Arial" w:cs="Arial" w:eastAsia="Arial" w:hAnsi="Arial"/>
                <w:sz w:val="14"/>
                <w:szCs w:val="14"/>
                <w:color w:val="auto"/>
              </w:rPr>
              <w:t>10.2</w:t>
            </w:r>
          </w:p>
        </w:tc>
        <w:tc>
          <w:tcPr>
            <w:tcW w:w="14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Arial" w:cs="Arial" w:eastAsia="Arial" w:hAnsi="Arial"/>
                <w:sz w:val="14"/>
                <w:szCs w:val="14"/>
                <w:color w:val="auto"/>
              </w:rPr>
              <w:t>8/10/17</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0000EE"/>
            </w:tcBorders>
          </w:tcPr>
          <w:p>
            <w:pPr>
              <w:spacing w:after="0"/>
              <w:rPr>
                <w:rFonts w:ascii="Arial" w:cs="Arial" w:eastAsia="Arial" w:hAnsi="Arial"/>
                <w:sz w:val="14"/>
                <w:szCs w:val="14"/>
                <w:color w:val="0000EE"/>
                <w:w w:val="99"/>
              </w:rPr>
            </w:pPr>
            <w:hyperlink r:id="rId211">
              <w:r>
                <w:rPr>
                  <w:rFonts w:ascii="Arial" w:cs="Arial" w:eastAsia="Arial" w:hAnsi="Arial"/>
                  <w:sz w:val="14"/>
                  <w:szCs w:val="14"/>
                  <w:color w:val="0000EE"/>
                  <w:w w:val="99"/>
                </w:rPr>
                <w:t>Agreement</w:t>
              </w:r>
            </w:hyperlink>
          </w:p>
        </w:tc>
        <w:tc>
          <w:tcPr>
            <w:tcW w:w="2240" w:type="dxa"/>
            <w:vAlign w:val="bottom"/>
            <w:gridSpan w:val="31"/>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#10.18</w:t>
            </w:r>
          </w:p>
        </w:tc>
        <w:tc>
          <w:tcPr>
            <w:tcW w:w="140" w:type="dxa"/>
            <w:vAlign w:val="bottom"/>
          </w:tcPr>
          <w:p>
            <w:pPr>
              <w:spacing w:after="0"/>
              <w:rPr>
                <w:sz w:val="24"/>
                <w:szCs w:val="24"/>
                <w:color w:val="auto"/>
              </w:rPr>
            </w:pPr>
          </w:p>
        </w:tc>
        <w:tc>
          <w:tcPr>
            <w:tcW w:w="2460" w:type="dxa"/>
            <w:vAlign w:val="bottom"/>
            <w:tcBorders>
              <w:bottom w:val="single" w:sz="8" w:color="0000EE"/>
            </w:tcBorders>
            <w:gridSpan w:val="22"/>
          </w:tcPr>
          <w:p>
            <w:pPr>
              <w:spacing w:after="0"/>
              <w:rPr>
                <w:rFonts w:ascii="Arial" w:cs="Arial" w:eastAsia="Arial" w:hAnsi="Arial"/>
                <w:sz w:val="14"/>
                <w:szCs w:val="14"/>
                <w:color w:val="0000EE"/>
              </w:rPr>
            </w:pPr>
            <w:hyperlink r:id="rId212">
              <w:r>
                <w:rPr>
                  <w:rFonts w:ascii="Arial" w:cs="Arial" w:eastAsia="Arial" w:hAnsi="Arial"/>
                  <w:sz w:val="14"/>
                  <w:szCs w:val="14"/>
                  <w:color w:val="0000EE"/>
                </w:rPr>
                <w:t>Form of Director Restricted Stock Unit</w:t>
              </w:r>
            </w:hyperlink>
          </w:p>
        </w:tc>
        <w:tc>
          <w:tcPr>
            <w:tcW w:w="480" w:type="dxa"/>
            <w:vAlign w:val="bottom"/>
            <w:gridSpan w:val="10"/>
          </w:tcPr>
          <w:p>
            <w:pPr>
              <w:spacing w:after="0"/>
              <w:rPr>
                <w:sz w:val="24"/>
                <w:szCs w:val="24"/>
                <w:color w:val="auto"/>
              </w:rPr>
            </w:pPr>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10-Q</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10.3</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8/10/17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0000EE"/>
            </w:tcBorders>
          </w:tcPr>
          <w:p>
            <w:pPr>
              <w:spacing w:after="0"/>
              <w:rPr>
                <w:rFonts w:ascii="Arial" w:cs="Arial" w:eastAsia="Arial" w:hAnsi="Arial"/>
                <w:sz w:val="14"/>
                <w:szCs w:val="14"/>
                <w:color w:val="0000EE"/>
                <w:w w:val="99"/>
              </w:rPr>
            </w:pPr>
            <w:hyperlink r:id="rId212">
              <w:r>
                <w:rPr>
                  <w:rFonts w:ascii="Arial" w:cs="Arial" w:eastAsia="Arial" w:hAnsi="Arial"/>
                  <w:sz w:val="14"/>
                  <w:szCs w:val="14"/>
                  <w:color w:val="0000EE"/>
                  <w:w w:val="99"/>
                </w:rPr>
                <w:t>Agreement</w:t>
              </w:r>
            </w:hyperlink>
          </w:p>
        </w:tc>
        <w:tc>
          <w:tcPr>
            <w:tcW w:w="2240" w:type="dxa"/>
            <w:vAlign w:val="bottom"/>
            <w:gridSpan w:val="31"/>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#10.19</w:t>
            </w:r>
          </w:p>
        </w:tc>
        <w:tc>
          <w:tcPr>
            <w:tcW w:w="140" w:type="dxa"/>
            <w:vAlign w:val="bottom"/>
          </w:tcPr>
          <w:p>
            <w:pPr>
              <w:spacing w:after="0"/>
              <w:rPr>
                <w:sz w:val="24"/>
                <w:szCs w:val="24"/>
                <w:color w:val="auto"/>
              </w:rPr>
            </w:pPr>
          </w:p>
        </w:tc>
        <w:tc>
          <w:tcPr>
            <w:tcW w:w="2380" w:type="dxa"/>
            <w:vAlign w:val="bottom"/>
            <w:tcBorders>
              <w:bottom w:val="single" w:sz="8" w:color="0000EE"/>
            </w:tcBorders>
            <w:gridSpan w:val="18"/>
          </w:tcPr>
          <w:p>
            <w:pPr>
              <w:spacing w:after="0"/>
              <w:rPr>
                <w:rFonts w:ascii="Arial" w:cs="Arial" w:eastAsia="Arial" w:hAnsi="Arial"/>
                <w:sz w:val="14"/>
                <w:szCs w:val="14"/>
                <w:color w:val="0000EE"/>
              </w:rPr>
            </w:pPr>
            <w:hyperlink r:id="rId213">
              <w:r>
                <w:rPr>
                  <w:rFonts w:ascii="Arial" w:cs="Arial" w:eastAsia="Arial" w:hAnsi="Arial"/>
                  <w:sz w:val="14"/>
                  <w:szCs w:val="14"/>
                  <w:color w:val="0000EE"/>
                </w:rPr>
                <w:t>Performance Stock Unit Award Grant</w:t>
              </w:r>
            </w:hyperlink>
          </w:p>
        </w:tc>
        <w:tc>
          <w:tcPr>
            <w:tcW w:w="560" w:type="dxa"/>
            <w:vAlign w:val="bottom"/>
            <w:gridSpan w:val="14"/>
          </w:tcPr>
          <w:p>
            <w:pPr>
              <w:spacing w:after="0"/>
              <w:rPr>
                <w:sz w:val="24"/>
                <w:szCs w:val="2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10-K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10.20</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2/28/25</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tcBorders>
              <w:bottom w:val="single" w:sz="8" w:color="0000EE"/>
            </w:tcBorders>
            <w:gridSpan w:val="15"/>
          </w:tcPr>
          <w:p>
            <w:pPr>
              <w:spacing w:after="0"/>
              <w:rPr>
                <w:rFonts w:ascii="Arial" w:cs="Arial" w:eastAsia="Arial" w:hAnsi="Arial"/>
                <w:sz w:val="14"/>
                <w:szCs w:val="14"/>
                <w:color w:val="0000EE"/>
              </w:rPr>
            </w:pPr>
            <w:hyperlink r:id="rId213">
              <w:r>
                <w:rPr>
                  <w:rFonts w:ascii="Arial" w:cs="Arial" w:eastAsia="Arial" w:hAnsi="Arial"/>
                  <w:sz w:val="14"/>
                  <w:szCs w:val="14"/>
                  <w:color w:val="0000EE"/>
                </w:rPr>
                <w:t>Notice and Award Agreement, dated</w:t>
              </w:r>
            </w:hyperlink>
          </w:p>
        </w:tc>
        <w:tc>
          <w:tcPr>
            <w:tcW w:w="620" w:type="dxa"/>
            <w:vAlign w:val="bottom"/>
            <w:gridSpan w:val="17"/>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tcBorders>
              <w:bottom w:val="single" w:sz="8" w:color="0000EE"/>
            </w:tcBorders>
            <w:gridSpan w:val="29"/>
          </w:tcPr>
          <w:p>
            <w:pPr>
              <w:spacing w:after="0"/>
              <w:rPr>
                <w:rFonts w:ascii="Arial" w:cs="Arial" w:eastAsia="Arial" w:hAnsi="Arial"/>
                <w:sz w:val="14"/>
                <w:szCs w:val="14"/>
                <w:color w:val="0000EE"/>
              </w:rPr>
            </w:pPr>
            <w:hyperlink r:id="rId213">
              <w:r>
                <w:rPr>
                  <w:rFonts w:ascii="Arial" w:cs="Arial" w:eastAsia="Arial" w:hAnsi="Arial"/>
                  <w:sz w:val="14"/>
                  <w:szCs w:val="14"/>
                  <w:color w:val="0000EE"/>
                </w:rPr>
                <w:t>January 26, 2025 with Marcus A. Lemonis</w:t>
              </w:r>
            </w:hyperlink>
          </w:p>
        </w:tc>
        <w:tc>
          <w:tcPr>
            <w:tcW w:w="26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#10.20</w:t>
            </w:r>
          </w:p>
        </w:tc>
        <w:tc>
          <w:tcPr>
            <w:tcW w:w="140" w:type="dxa"/>
            <w:vAlign w:val="bottom"/>
          </w:tcPr>
          <w:p>
            <w:pPr>
              <w:spacing w:after="0"/>
              <w:rPr>
                <w:sz w:val="24"/>
                <w:szCs w:val="24"/>
                <w:color w:val="auto"/>
              </w:rPr>
            </w:pPr>
          </w:p>
        </w:tc>
        <w:tc>
          <w:tcPr>
            <w:tcW w:w="2940" w:type="dxa"/>
            <w:vAlign w:val="bottom"/>
            <w:gridSpan w:val="32"/>
          </w:tcPr>
          <w:p>
            <w:pPr>
              <w:spacing w:after="0"/>
              <w:rPr>
                <w:rFonts w:ascii="Arial" w:cs="Arial" w:eastAsia="Arial" w:hAnsi="Arial"/>
                <w:sz w:val="14"/>
                <w:szCs w:val="14"/>
                <w:color w:val="0000EE"/>
              </w:rPr>
            </w:pPr>
            <w:hyperlink r:id="rId214">
              <w:r>
                <w:rPr>
                  <w:rFonts w:ascii="Arial" w:cs="Arial" w:eastAsia="Arial" w:hAnsi="Arial"/>
                  <w:sz w:val="14"/>
                  <w:szCs w:val="14"/>
                  <w:color w:val="0000EE"/>
                </w:rPr>
                <w:t>Form of Indemnification Agreement</w:t>
              </w:r>
            </w:hyperlink>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S-1/A</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333-211977</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10.31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9/26/16</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4"/>
                <w:szCs w:val="14"/>
                <w:color w:val="auto"/>
              </w:rPr>
              <w:t>#10.21</w:t>
            </w:r>
          </w:p>
        </w:tc>
        <w:tc>
          <w:tcPr>
            <w:tcW w:w="140" w:type="dxa"/>
            <w:vAlign w:val="bottom"/>
          </w:tcPr>
          <w:p>
            <w:pPr>
              <w:spacing w:after="0"/>
              <w:rPr>
                <w:sz w:val="24"/>
                <w:szCs w:val="24"/>
                <w:color w:val="auto"/>
              </w:rPr>
            </w:pPr>
          </w:p>
        </w:tc>
        <w:tc>
          <w:tcPr>
            <w:tcW w:w="2940" w:type="dxa"/>
            <w:vAlign w:val="bottom"/>
            <w:gridSpan w:val="32"/>
          </w:tcPr>
          <w:p>
            <w:pPr>
              <w:spacing w:after="0"/>
              <w:rPr>
                <w:rFonts w:ascii="Arial" w:cs="Arial" w:eastAsia="Arial" w:hAnsi="Arial"/>
                <w:sz w:val="14"/>
                <w:szCs w:val="14"/>
                <w:color w:val="0000EE"/>
              </w:rPr>
            </w:pPr>
            <w:hyperlink r:id="rId215">
              <w:r>
                <w:rPr>
                  <w:rFonts w:ascii="Arial" w:cs="Arial" w:eastAsia="Arial" w:hAnsi="Arial"/>
                  <w:sz w:val="14"/>
                  <w:szCs w:val="14"/>
                  <w:color w:val="0000EE"/>
                </w:rPr>
                <w:t>Amended and Restated Employment</w:t>
              </w:r>
            </w:hyperlink>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10-K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10.22</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2/28/25</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tcBorders>
              <w:top w:val="single" w:sz="8" w:color="0000EE"/>
              <w:bottom w:val="single" w:sz="8" w:color="0000EE"/>
            </w:tcBorders>
            <w:gridSpan w:val="14"/>
          </w:tcPr>
          <w:p>
            <w:pPr>
              <w:spacing w:after="0"/>
              <w:rPr>
                <w:rFonts w:ascii="Arial" w:cs="Arial" w:eastAsia="Arial" w:hAnsi="Arial"/>
                <w:sz w:val="14"/>
                <w:szCs w:val="14"/>
                <w:color w:val="0000EE"/>
              </w:rPr>
            </w:pPr>
            <w:hyperlink r:id="rId215">
              <w:r>
                <w:rPr>
                  <w:rFonts w:ascii="Arial" w:cs="Arial" w:eastAsia="Arial" w:hAnsi="Arial"/>
                  <w:sz w:val="14"/>
                  <w:szCs w:val="14"/>
                  <w:color w:val="0000EE"/>
                </w:rPr>
                <w:t>Agreement with Marcus A. Lemonis</w:t>
              </w:r>
            </w:hyperlink>
          </w:p>
        </w:tc>
        <w:tc>
          <w:tcPr>
            <w:tcW w:w="40" w:type="dxa"/>
            <w:vAlign w:val="bottom"/>
            <w:tcBorders>
              <w:top w:val="single" w:sz="8" w:color="0000EE"/>
            </w:tcBorders>
            <w:gridSpan w:val="2"/>
          </w:tcPr>
          <w:p>
            <w:pPr>
              <w:spacing w:after="0"/>
              <w:rPr>
                <w:sz w:val="14"/>
                <w:szCs w:val="14"/>
                <w:color w:val="auto"/>
              </w:rPr>
            </w:pPr>
          </w:p>
        </w:tc>
        <w:tc>
          <w:tcPr>
            <w:tcW w:w="600" w:type="dxa"/>
            <w:vAlign w:val="bottom"/>
            <w:gridSpan w:val="16"/>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Borders>
              <w:bottom w:val="single" w:sz="8" w:color="0000EE"/>
            </w:tcBorders>
            <w:gridSpan w:val="8"/>
          </w:tcPr>
          <w:p>
            <w:pPr>
              <w:spacing w:after="0"/>
              <w:rPr>
                <w:rFonts w:ascii="Arial" w:cs="Arial" w:eastAsia="Arial" w:hAnsi="Arial"/>
                <w:sz w:val="14"/>
                <w:szCs w:val="14"/>
                <w:color w:val="0000EE"/>
              </w:rPr>
            </w:pPr>
            <w:hyperlink r:id="rId215">
              <w:r>
                <w:rPr>
                  <w:rFonts w:ascii="Arial" w:cs="Arial" w:eastAsia="Arial" w:hAnsi="Arial"/>
                  <w:sz w:val="14"/>
                  <w:szCs w:val="14"/>
                  <w:color w:val="0000EE"/>
                </w:rPr>
                <w:t>effective January 1, 2025</w:t>
              </w:r>
            </w:hyperlink>
          </w:p>
        </w:tc>
        <w:tc>
          <w:tcPr>
            <w:tcW w:w="1340" w:type="dxa"/>
            <w:vAlign w:val="bottom"/>
            <w:gridSpan w:val="24"/>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#10.22</w:t>
            </w:r>
          </w:p>
        </w:tc>
        <w:tc>
          <w:tcPr>
            <w:tcW w:w="140" w:type="dxa"/>
            <w:vAlign w:val="bottom"/>
          </w:tcPr>
          <w:p>
            <w:pPr>
              <w:spacing w:after="0"/>
              <w:rPr>
                <w:sz w:val="24"/>
                <w:szCs w:val="24"/>
                <w:color w:val="auto"/>
              </w:rPr>
            </w:pPr>
          </w:p>
        </w:tc>
        <w:tc>
          <w:tcPr>
            <w:tcW w:w="204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color w:val="0000EE"/>
              </w:rPr>
              <w:t>Second Amended and Restated</w:t>
            </w:r>
          </w:p>
        </w:tc>
        <w:tc>
          <w:tcPr>
            <w:tcW w:w="900" w:type="dxa"/>
            <w:vAlign w:val="bottom"/>
            <w:gridSpan w:val="22"/>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32"/>
          </w:tcPr>
          <w:p>
            <w:pPr>
              <w:spacing w:after="0"/>
              <w:rPr>
                <w:sz w:val="20"/>
                <w:szCs w:val="20"/>
                <w:color w:val="auto"/>
              </w:rPr>
            </w:pPr>
            <w:r>
              <w:rPr>
                <w:rFonts w:ascii="Arial" w:cs="Arial" w:eastAsia="Arial" w:hAnsi="Arial"/>
                <w:sz w:val="14"/>
                <w:szCs w:val="14"/>
                <w:color w:val="0000EE"/>
              </w:rPr>
              <w:t>Employment Agreement with Marcus A.</w:t>
            </w: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tcBorders>
              <w:bottom w:val="single" w:sz="8" w:color="0000EE"/>
            </w:tcBorders>
            <w:gridSpan w:val="25"/>
          </w:tcPr>
          <w:p>
            <w:pPr>
              <w:spacing w:after="0"/>
              <w:rPr>
                <w:sz w:val="20"/>
                <w:szCs w:val="20"/>
                <w:color w:val="auto"/>
              </w:rPr>
            </w:pPr>
            <w:r>
              <w:rPr>
                <w:rFonts w:ascii="Arial" w:cs="Arial" w:eastAsia="Arial" w:hAnsi="Arial"/>
                <w:sz w:val="14"/>
                <w:szCs w:val="14"/>
                <w:color w:val="0000EE"/>
              </w:rPr>
              <w:t>Lemonis entered into as of December 7,</w:t>
            </w:r>
          </w:p>
        </w:tc>
        <w:tc>
          <w:tcPr>
            <w:tcW w:w="380" w:type="dxa"/>
            <w:vAlign w:val="bottom"/>
            <w:gridSpan w:val="7"/>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Borders>
              <w:bottom w:val="single" w:sz="8" w:color="0000EE"/>
            </w:tcBorders>
            <w:gridSpan w:val="26"/>
          </w:tcPr>
          <w:p>
            <w:pPr>
              <w:spacing w:after="0"/>
              <w:rPr>
                <w:sz w:val="20"/>
                <w:szCs w:val="20"/>
                <w:color w:val="auto"/>
              </w:rPr>
            </w:pPr>
            <w:r>
              <w:rPr>
                <w:rFonts w:ascii="Arial" w:cs="Arial" w:eastAsia="Arial" w:hAnsi="Arial"/>
                <w:sz w:val="14"/>
                <w:szCs w:val="14"/>
                <w:color w:val="0000EE"/>
              </w:rPr>
              <w:t>2025 and effective as of January 1, 2026</w:t>
            </w:r>
          </w:p>
        </w:tc>
        <w:tc>
          <w:tcPr>
            <w:tcW w:w="340" w:type="dxa"/>
            <w:vAlign w:val="bottom"/>
            <w:gridSpan w:val="6"/>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#10.23</w:t>
            </w:r>
          </w:p>
        </w:tc>
        <w:tc>
          <w:tcPr>
            <w:tcW w:w="140" w:type="dxa"/>
            <w:vAlign w:val="bottom"/>
          </w:tcPr>
          <w:p>
            <w:pPr>
              <w:spacing w:after="0"/>
              <w:rPr>
                <w:sz w:val="24"/>
                <w:szCs w:val="24"/>
                <w:color w:val="auto"/>
              </w:rPr>
            </w:pPr>
          </w:p>
        </w:tc>
        <w:tc>
          <w:tcPr>
            <w:tcW w:w="2940" w:type="dxa"/>
            <w:vAlign w:val="bottom"/>
            <w:gridSpan w:val="32"/>
          </w:tcPr>
          <w:p>
            <w:pPr>
              <w:spacing w:after="0"/>
              <w:rPr>
                <w:rFonts w:ascii="Arial" w:cs="Arial" w:eastAsia="Arial" w:hAnsi="Arial"/>
                <w:sz w:val="14"/>
                <w:szCs w:val="14"/>
                <w:color w:val="0000EE"/>
              </w:rPr>
            </w:pPr>
            <w:hyperlink r:id="rId216">
              <w:r>
                <w:rPr>
                  <w:rFonts w:ascii="Arial" w:cs="Arial" w:eastAsia="Arial" w:hAnsi="Arial"/>
                  <w:sz w:val="14"/>
                  <w:szCs w:val="14"/>
                  <w:color w:val="0000EE"/>
                </w:rPr>
                <w:t>Amended and Restated Employment</w:t>
              </w:r>
            </w:hyperlink>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10-Q</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10.3</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8/1/24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14"/>
          </w:tcPr>
          <w:p>
            <w:pPr>
              <w:spacing w:after="0"/>
              <w:rPr>
                <w:rFonts w:ascii="Arial" w:cs="Arial" w:eastAsia="Arial" w:hAnsi="Arial"/>
                <w:sz w:val="14"/>
                <w:szCs w:val="14"/>
                <w:color w:val="0000EE"/>
              </w:rPr>
            </w:pPr>
            <w:hyperlink r:id="rId216">
              <w:r>
                <w:rPr>
                  <w:rFonts w:ascii="Arial" w:cs="Arial" w:eastAsia="Arial" w:hAnsi="Arial"/>
                  <w:sz w:val="14"/>
                  <w:szCs w:val="14"/>
                  <w:color w:val="0000EE"/>
                </w:rPr>
                <w:t>Agreement with Matthew D. Wagner</w:t>
              </w:r>
            </w:hyperlink>
          </w:p>
        </w:tc>
        <w:tc>
          <w:tcPr>
            <w:tcW w:w="40" w:type="dxa"/>
            <w:vAlign w:val="bottom"/>
            <w:tcBorders>
              <w:top w:val="single" w:sz="8" w:color="0000EE"/>
            </w:tcBorders>
            <w:gridSpan w:val="2"/>
          </w:tcPr>
          <w:p>
            <w:pPr>
              <w:spacing w:after="0"/>
              <w:rPr>
                <w:sz w:val="15"/>
                <w:szCs w:val="15"/>
                <w:color w:val="auto"/>
              </w:rPr>
            </w:pPr>
          </w:p>
        </w:tc>
        <w:tc>
          <w:tcPr>
            <w:tcW w:w="600" w:type="dxa"/>
            <w:vAlign w:val="bottom"/>
            <w:gridSpan w:val="16"/>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Borders>
              <w:bottom w:val="single" w:sz="8" w:color="0000EE"/>
            </w:tcBorders>
            <w:gridSpan w:val="9"/>
          </w:tcPr>
          <w:p>
            <w:pPr>
              <w:spacing w:after="0"/>
              <w:rPr>
                <w:rFonts w:ascii="Arial" w:cs="Arial" w:eastAsia="Arial" w:hAnsi="Arial"/>
                <w:sz w:val="14"/>
                <w:szCs w:val="14"/>
                <w:color w:val="0000EE"/>
              </w:rPr>
            </w:pPr>
            <w:hyperlink r:id="rId216">
              <w:r>
                <w:rPr>
                  <w:rFonts w:ascii="Arial" w:cs="Arial" w:eastAsia="Arial" w:hAnsi="Arial"/>
                  <w:sz w:val="14"/>
                  <w:szCs w:val="14"/>
                  <w:color w:val="0000EE"/>
                </w:rPr>
                <w:t>effective as of July 1, 2024</w:t>
              </w:r>
            </w:hyperlink>
          </w:p>
        </w:tc>
        <w:tc>
          <w:tcPr>
            <w:tcW w:w="1240" w:type="dxa"/>
            <w:vAlign w:val="bottom"/>
            <w:gridSpan w:val="23"/>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#10.24</w:t>
            </w:r>
          </w:p>
        </w:tc>
        <w:tc>
          <w:tcPr>
            <w:tcW w:w="140" w:type="dxa"/>
            <w:vAlign w:val="bottom"/>
          </w:tcPr>
          <w:p>
            <w:pPr>
              <w:spacing w:after="0"/>
              <w:rPr>
                <w:sz w:val="24"/>
                <w:szCs w:val="24"/>
                <w:color w:val="auto"/>
              </w:rPr>
            </w:pPr>
          </w:p>
        </w:tc>
        <w:tc>
          <w:tcPr>
            <w:tcW w:w="204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color w:val="0000EE"/>
              </w:rPr>
              <w:t>Second Amended and Restated</w:t>
            </w:r>
          </w:p>
        </w:tc>
        <w:tc>
          <w:tcPr>
            <w:tcW w:w="900" w:type="dxa"/>
            <w:vAlign w:val="bottom"/>
            <w:gridSpan w:val="22"/>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tcBorders>
              <w:bottom w:val="single" w:sz="8" w:color="0000EE"/>
            </w:tcBorders>
            <w:gridSpan w:val="27"/>
          </w:tcPr>
          <w:p>
            <w:pPr>
              <w:spacing w:after="0"/>
              <w:rPr>
                <w:sz w:val="20"/>
                <w:szCs w:val="20"/>
                <w:color w:val="auto"/>
              </w:rPr>
            </w:pPr>
            <w:r>
              <w:rPr>
                <w:rFonts w:ascii="Arial" w:cs="Arial" w:eastAsia="Arial" w:hAnsi="Arial"/>
                <w:sz w:val="14"/>
                <w:szCs w:val="14"/>
                <w:color w:val="0000EE"/>
              </w:rPr>
              <w:t>Employment Agreement with Matthew D.</w:t>
            </w:r>
          </w:p>
        </w:tc>
        <w:tc>
          <w:tcPr>
            <w:tcW w:w="320" w:type="dxa"/>
            <w:vAlign w:val="bottom"/>
            <w:gridSpan w:val="5"/>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32"/>
          </w:tcPr>
          <w:p>
            <w:pPr>
              <w:spacing w:after="0"/>
              <w:rPr>
                <w:sz w:val="20"/>
                <w:szCs w:val="20"/>
                <w:color w:val="auto"/>
              </w:rPr>
            </w:pPr>
            <w:r>
              <w:rPr>
                <w:rFonts w:ascii="Arial" w:cs="Arial" w:eastAsia="Arial" w:hAnsi="Arial"/>
                <w:sz w:val="14"/>
                <w:szCs w:val="14"/>
                <w:color w:val="0000EE"/>
              </w:rPr>
              <w:t>Wagner effective as of January 1, 2026</w:t>
            </w: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#10.25</w:t>
            </w:r>
          </w:p>
        </w:tc>
        <w:tc>
          <w:tcPr>
            <w:tcW w:w="14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17"/>
          </w:tcPr>
          <w:p>
            <w:pPr>
              <w:spacing w:after="0"/>
              <w:rPr>
                <w:rFonts w:ascii="Arial" w:cs="Arial" w:eastAsia="Arial" w:hAnsi="Arial"/>
                <w:sz w:val="14"/>
                <w:szCs w:val="14"/>
                <w:color w:val="0000EE"/>
              </w:rPr>
            </w:pPr>
            <w:hyperlink r:id="rId217">
              <w:r>
                <w:rPr>
                  <w:rFonts w:ascii="Arial" w:cs="Arial" w:eastAsia="Arial" w:hAnsi="Arial"/>
                  <w:sz w:val="14"/>
                  <w:szCs w:val="14"/>
                  <w:color w:val="0000EE"/>
                </w:rPr>
                <w:t>Amended and Restated Employment</w:t>
              </w:r>
            </w:hyperlink>
          </w:p>
        </w:tc>
        <w:tc>
          <w:tcPr>
            <w:tcW w:w="120" w:type="dxa"/>
            <w:vAlign w:val="bottom"/>
            <w:tcBorders>
              <w:top w:val="single" w:sz="8" w:color="0000EE"/>
            </w:tcBorders>
            <w:gridSpan w:val="6"/>
          </w:tcPr>
          <w:p>
            <w:pPr>
              <w:spacing w:after="0"/>
              <w:rPr>
                <w:sz w:val="24"/>
                <w:szCs w:val="24"/>
                <w:color w:val="auto"/>
              </w:rPr>
            </w:pPr>
          </w:p>
        </w:tc>
        <w:tc>
          <w:tcPr>
            <w:tcW w:w="460" w:type="dxa"/>
            <w:vAlign w:val="bottom"/>
            <w:gridSpan w:val="9"/>
          </w:tcPr>
          <w:p>
            <w:pPr>
              <w:spacing w:after="0"/>
              <w:rPr>
                <w:sz w:val="24"/>
                <w:szCs w:val="24"/>
                <w:color w:val="auto"/>
              </w:rPr>
            </w:pPr>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10-Q</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8/1/24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Borders>
              <w:bottom w:val="single" w:sz="8" w:color="0000EE"/>
            </w:tcBorders>
            <w:gridSpan w:val="26"/>
          </w:tcPr>
          <w:p>
            <w:pPr>
              <w:spacing w:after="0"/>
              <w:rPr>
                <w:rFonts w:ascii="Arial" w:cs="Arial" w:eastAsia="Arial" w:hAnsi="Arial"/>
                <w:sz w:val="14"/>
                <w:szCs w:val="14"/>
                <w:color w:val="0000EE"/>
              </w:rPr>
            </w:pPr>
            <w:hyperlink r:id="rId217">
              <w:r>
                <w:rPr>
                  <w:rFonts w:ascii="Arial" w:cs="Arial" w:eastAsia="Arial" w:hAnsi="Arial"/>
                  <w:sz w:val="14"/>
                  <w:szCs w:val="14"/>
                  <w:color w:val="0000EE"/>
                </w:rPr>
                <w:t>Agreement with Thomas E. Kirn effective</w:t>
              </w:r>
            </w:hyperlink>
          </w:p>
        </w:tc>
        <w:tc>
          <w:tcPr>
            <w:tcW w:w="340" w:type="dxa"/>
            <w:vAlign w:val="bottom"/>
            <w:gridSpan w:val="6"/>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32"/>
          </w:tcPr>
          <w:p>
            <w:pPr>
              <w:spacing w:after="0"/>
              <w:rPr>
                <w:rFonts w:ascii="Arial" w:cs="Arial" w:eastAsia="Arial" w:hAnsi="Arial"/>
                <w:sz w:val="14"/>
                <w:szCs w:val="14"/>
                <w:color w:val="0000EE"/>
              </w:rPr>
            </w:pPr>
            <w:hyperlink r:id="rId217">
              <w:r>
                <w:rPr>
                  <w:rFonts w:ascii="Arial" w:cs="Arial" w:eastAsia="Arial" w:hAnsi="Arial"/>
                  <w:sz w:val="14"/>
                  <w:szCs w:val="14"/>
                  <w:color w:val="0000EE"/>
                </w:rPr>
                <w:t>as of July 1, 2024</w:t>
              </w:r>
            </w:hyperlink>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#10.26</w:t>
            </w:r>
          </w:p>
        </w:tc>
        <w:tc>
          <w:tcPr>
            <w:tcW w:w="140" w:type="dxa"/>
            <w:vAlign w:val="bottom"/>
          </w:tcPr>
          <w:p>
            <w:pPr>
              <w:spacing w:after="0"/>
              <w:rPr>
                <w:sz w:val="24"/>
                <w:szCs w:val="24"/>
                <w:color w:val="auto"/>
              </w:rPr>
            </w:pPr>
          </w:p>
        </w:tc>
        <w:tc>
          <w:tcPr>
            <w:tcW w:w="2940" w:type="dxa"/>
            <w:vAlign w:val="bottom"/>
            <w:gridSpan w:val="32"/>
          </w:tcPr>
          <w:p>
            <w:pPr>
              <w:spacing w:after="0"/>
              <w:rPr>
                <w:rFonts w:ascii="Arial" w:cs="Arial" w:eastAsia="Arial" w:hAnsi="Arial"/>
                <w:sz w:val="14"/>
                <w:szCs w:val="14"/>
                <w:color w:val="0000EE"/>
              </w:rPr>
            </w:pPr>
            <w:hyperlink r:id="rId218">
              <w:r>
                <w:rPr>
                  <w:rFonts w:ascii="Arial" w:cs="Arial" w:eastAsia="Arial" w:hAnsi="Arial"/>
                  <w:sz w:val="14"/>
                  <w:szCs w:val="14"/>
                  <w:color w:val="0000EE"/>
                </w:rPr>
                <w:t>Amended and Restated Employment</w:t>
              </w:r>
            </w:hyperlink>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10-Q</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10.5</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8/1/24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tcBorders>
              <w:top w:val="single" w:sz="8" w:color="0000EE"/>
              <w:bottom w:val="single" w:sz="8" w:color="0000EE"/>
            </w:tcBorders>
            <w:gridSpan w:val="13"/>
          </w:tcPr>
          <w:p>
            <w:pPr>
              <w:spacing w:after="0"/>
              <w:rPr>
                <w:rFonts w:ascii="Arial" w:cs="Arial" w:eastAsia="Arial" w:hAnsi="Arial"/>
                <w:sz w:val="14"/>
                <w:szCs w:val="14"/>
                <w:color w:val="0000EE"/>
              </w:rPr>
            </w:pPr>
            <w:hyperlink r:id="rId218">
              <w:r>
                <w:rPr>
                  <w:rFonts w:ascii="Arial" w:cs="Arial" w:eastAsia="Arial" w:hAnsi="Arial"/>
                  <w:sz w:val="14"/>
                  <w:szCs w:val="14"/>
                  <w:color w:val="0000EE"/>
                </w:rPr>
                <w:t>Agreement with Lindsey J. Christen</w:t>
              </w:r>
            </w:hyperlink>
          </w:p>
        </w:tc>
        <w:tc>
          <w:tcPr>
            <w:tcW w:w="80" w:type="dxa"/>
            <w:vAlign w:val="bottom"/>
            <w:tcBorders>
              <w:top w:val="single" w:sz="8" w:color="0000EE"/>
            </w:tcBorders>
            <w:gridSpan w:val="3"/>
          </w:tcPr>
          <w:p>
            <w:pPr>
              <w:spacing w:after="0"/>
              <w:rPr>
                <w:sz w:val="15"/>
                <w:szCs w:val="15"/>
                <w:color w:val="auto"/>
              </w:rPr>
            </w:pPr>
          </w:p>
        </w:tc>
        <w:tc>
          <w:tcPr>
            <w:tcW w:w="600" w:type="dxa"/>
            <w:vAlign w:val="bottom"/>
            <w:gridSpan w:val="16"/>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Borders>
              <w:bottom w:val="single" w:sz="8" w:color="0000EE"/>
            </w:tcBorders>
            <w:gridSpan w:val="9"/>
          </w:tcPr>
          <w:p>
            <w:pPr>
              <w:spacing w:after="0"/>
              <w:rPr>
                <w:rFonts w:ascii="Arial" w:cs="Arial" w:eastAsia="Arial" w:hAnsi="Arial"/>
                <w:sz w:val="14"/>
                <w:szCs w:val="14"/>
                <w:color w:val="0000EE"/>
              </w:rPr>
            </w:pPr>
            <w:hyperlink r:id="rId218">
              <w:r>
                <w:rPr>
                  <w:rFonts w:ascii="Arial" w:cs="Arial" w:eastAsia="Arial" w:hAnsi="Arial"/>
                  <w:sz w:val="14"/>
                  <w:szCs w:val="14"/>
                  <w:color w:val="0000EE"/>
                </w:rPr>
                <w:t>effective as of July 1, 2024</w:t>
              </w:r>
            </w:hyperlink>
          </w:p>
        </w:tc>
        <w:tc>
          <w:tcPr>
            <w:tcW w:w="1240" w:type="dxa"/>
            <w:vAlign w:val="bottom"/>
            <w:gridSpan w:val="23"/>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10.27</w:t>
            </w:r>
          </w:p>
        </w:tc>
        <w:tc>
          <w:tcPr>
            <w:tcW w:w="140" w:type="dxa"/>
            <w:vAlign w:val="bottom"/>
          </w:tcPr>
          <w:p>
            <w:pPr>
              <w:spacing w:after="0"/>
              <w:rPr>
                <w:sz w:val="24"/>
                <w:szCs w:val="24"/>
                <w:color w:val="auto"/>
              </w:rPr>
            </w:pPr>
          </w:p>
        </w:tc>
        <w:tc>
          <w:tcPr>
            <w:tcW w:w="2940" w:type="dxa"/>
            <w:vAlign w:val="bottom"/>
            <w:gridSpan w:val="32"/>
          </w:tcPr>
          <w:p>
            <w:pPr>
              <w:spacing w:after="0"/>
              <w:rPr>
                <w:rFonts w:ascii="Arial" w:cs="Arial" w:eastAsia="Arial" w:hAnsi="Arial"/>
                <w:sz w:val="14"/>
                <w:szCs w:val="14"/>
                <w:color w:val="0000EE"/>
              </w:rPr>
            </w:pPr>
            <w:hyperlink r:id="rId219">
              <w:r>
                <w:rPr>
                  <w:rFonts w:ascii="Arial" w:cs="Arial" w:eastAsia="Arial" w:hAnsi="Arial"/>
                  <w:sz w:val="14"/>
                  <w:szCs w:val="14"/>
                  <w:color w:val="0000EE"/>
                </w:rPr>
                <w:t>Ninth Amended and Restated Credit</w:t>
              </w:r>
            </w:hyperlink>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8-K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2/19/25</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tcBorders>
              <w:bottom w:val="single" w:sz="8" w:color="0000EE"/>
            </w:tcBorders>
            <w:gridSpan w:val="21"/>
          </w:tcPr>
          <w:p>
            <w:pPr>
              <w:spacing w:after="0"/>
              <w:rPr>
                <w:rFonts w:ascii="Arial" w:cs="Arial" w:eastAsia="Arial" w:hAnsi="Arial"/>
                <w:sz w:val="14"/>
                <w:szCs w:val="14"/>
                <w:color w:val="0000EE"/>
              </w:rPr>
            </w:pPr>
            <w:hyperlink r:id="rId219">
              <w:r>
                <w:rPr>
                  <w:rFonts w:ascii="Arial" w:cs="Arial" w:eastAsia="Arial" w:hAnsi="Arial"/>
                  <w:sz w:val="14"/>
                  <w:szCs w:val="14"/>
                  <w:color w:val="0000EE"/>
                </w:rPr>
                <w:t>Agreement, dated February 18, 2025,</w:t>
              </w:r>
            </w:hyperlink>
          </w:p>
        </w:tc>
        <w:tc>
          <w:tcPr>
            <w:tcW w:w="500" w:type="dxa"/>
            <w:vAlign w:val="bottom"/>
            <w:gridSpan w:val="11"/>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32"/>
          </w:tcPr>
          <w:p>
            <w:pPr>
              <w:spacing w:after="0"/>
              <w:rPr>
                <w:rFonts w:ascii="Arial" w:cs="Arial" w:eastAsia="Arial" w:hAnsi="Arial"/>
                <w:sz w:val="14"/>
                <w:szCs w:val="14"/>
                <w:color w:val="0000EE"/>
              </w:rPr>
            </w:pPr>
            <w:hyperlink r:id="rId219">
              <w:r>
                <w:rPr>
                  <w:rFonts w:ascii="Arial" w:cs="Arial" w:eastAsia="Arial" w:hAnsi="Arial"/>
                  <w:sz w:val="14"/>
                  <w:szCs w:val="14"/>
                  <w:color w:val="0000EE"/>
                </w:rPr>
                <w:t>among FreedomRoads, LLC, as the</w:t>
              </w:r>
            </w:hyperlink>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tcBorders>
              <w:top w:val="single" w:sz="8" w:color="0000EE"/>
            </w:tcBorders>
            <w:gridSpan w:val="14"/>
          </w:tcPr>
          <w:p>
            <w:pPr>
              <w:spacing w:after="0"/>
              <w:rPr>
                <w:rFonts w:ascii="Arial" w:cs="Arial" w:eastAsia="Arial" w:hAnsi="Arial"/>
                <w:sz w:val="14"/>
                <w:szCs w:val="14"/>
                <w:color w:val="0000EE"/>
              </w:rPr>
            </w:pPr>
            <w:hyperlink r:id="rId219">
              <w:r>
                <w:rPr>
                  <w:rFonts w:ascii="Arial" w:cs="Arial" w:eastAsia="Arial" w:hAnsi="Arial"/>
                  <w:sz w:val="14"/>
                  <w:szCs w:val="14"/>
                  <w:color w:val="0000EE"/>
                </w:rPr>
                <w:t>company and a borrower, certain</w:t>
              </w:r>
            </w:hyperlink>
          </w:p>
        </w:tc>
        <w:tc>
          <w:tcPr>
            <w:tcW w:w="640" w:type="dxa"/>
            <w:vAlign w:val="bottom"/>
            <w:gridSpan w:val="18"/>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32"/>
          </w:tcPr>
          <w:p>
            <w:pPr>
              <w:spacing w:after="0"/>
              <w:rPr>
                <w:rFonts w:ascii="Arial" w:cs="Arial" w:eastAsia="Arial" w:hAnsi="Arial"/>
                <w:sz w:val="14"/>
                <w:szCs w:val="14"/>
                <w:color w:val="0000EE"/>
              </w:rPr>
            </w:pPr>
            <w:hyperlink r:id="rId219">
              <w:r>
                <w:rPr>
                  <w:rFonts w:ascii="Arial" w:cs="Arial" w:eastAsia="Arial" w:hAnsi="Arial"/>
                  <w:sz w:val="14"/>
                  <w:szCs w:val="14"/>
                  <w:color w:val="0000EE"/>
                </w:rPr>
                <w:t>subsidiaries of FreedomRoads, LLC, as</w:t>
              </w:r>
            </w:hyperlink>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tcBorders>
              <w:top w:val="single" w:sz="8" w:color="0000EE"/>
              <w:bottom w:val="single" w:sz="8" w:color="0000EE"/>
            </w:tcBorders>
            <w:gridSpan w:val="24"/>
          </w:tcPr>
          <w:p>
            <w:pPr>
              <w:spacing w:after="0"/>
              <w:rPr>
                <w:rFonts w:ascii="Arial" w:cs="Arial" w:eastAsia="Arial" w:hAnsi="Arial"/>
                <w:sz w:val="14"/>
                <w:szCs w:val="14"/>
                <w:color w:val="0000EE"/>
              </w:rPr>
            </w:pPr>
            <w:hyperlink r:id="rId219">
              <w:r>
                <w:rPr>
                  <w:rFonts w:ascii="Arial" w:cs="Arial" w:eastAsia="Arial" w:hAnsi="Arial"/>
                  <w:sz w:val="14"/>
                  <w:szCs w:val="14"/>
                  <w:color w:val="0000EE"/>
                </w:rPr>
                <w:t>subsidiary borrowers, Bank of America,</w:t>
              </w:r>
            </w:hyperlink>
          </w:p>
        </w:tc>
        <w:tc>
          <w:tcPr>
            <w:tcW w:w="420" w:type="dxa"/>
            <w:vAlign w:val="bottom"/>
            <w:gridSpan w:val="8"/>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tcBorders>
              <w:bottom w:val="single" w:sz="8" w:color="0000EE"/>
            </w:tcBorders>
            <w:gridSpan w:val="20"/>
          </w:tcPr>
          <w:p>
            <w:pPr>
              <w:spacing w:after="0"/>
              <w:rPr>
                <w:rFonts w:ascii="Arial" w:cs="Arial" w:eastAsia="Arial" w:hAnsi="Arial"/>
                <w:sz w:val="14"/>
                <w:szCs w:val="14"/>
                <w:color w:val="0000EE"/>
              </w:rPr>
            </w:pPr>
            <w:hyperlink r:id="rId219">
              <w:r>
                <w:rPr>
                  <w:rFonts w:ascii="Arial" w:cs="Arial" w:eastAsia="Arial" w:hAnsi="Arial"/>
                  <w:sz w:val="14"/>
                  <w:szCs w:val="14"/>
                  <w:color w:val="0000EE"/>
                </w:rPr>
                <w:t>N.A., as administrative agent, and the</w:t>
              </w:r>
            </w:hyperlink>
          </w:p>
        </w:tc>
        <w:tc>
          <w:tcPr>
            <w:tcW w:w="520" w:type="dxa"/>
            <w:vAlign w:val="bottom"/>
            <w:gridSpan w:val="12"/>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Borders>
              <w:bottom w:val="single" w:sz="8" w:color="0000EE"/>
            </w:tcBorders>
            <w:gridSpan w:val="6"/>
          </w:tcPr>
          <w:p>
            <w:pPr>
              <w:spacing w:after="0"/>
              <w:rPr>
                <w:rFonts w:ascii="Arial" w:cs="Arial" w:eastAsia="Arial" w:hAnsi="Arial"/>
                <w:sz w:val="14"/>
                <w:szCs w:val="14"/>
                <w:color w:val="0000EE"/>
              </w:rPr>
            </w:pPr>
            <w:hyperlink r:id="rId219">
              <w:r>
                <w:rPr>
                  <w:rFonts w:ascii="Arial" w:cs="Arial" w:eastAsia="Arial" w:hAnsi="Arial"/>
                  <w:sz w:val="14"/>
                  <w:szCs w:val="14"/>
                  <w:color w:val="0000EE"/>
                </w:rPr>
                <w:t>lenders party thereto</w:t>
              </w:r>
            </w:hyperlink>
          </w:p>
        </w:tc>
        <w:tc>
          <w:tcPr>
            <w:tcW w:w="1620" w:type="dxa"/>
            <w:vAlign w:val="bottom"/>
            <w:gridSpan w:val="26"/>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19.1</w:t>
            </w:r>
          </w:p>
        </w:tc>
        <w:tc>
          <w:tcPr>
            <w:tcW w:w="140" w:type="dxa"/>
            <w:vAlign w:val="bottom"/>
          </w:tcPr>
          <w:p>
            <w:pPr>
              <w:spacing w:after="0"/>
              <w:rPr>
                <w:sz w:val="24"/>
                <w:szCs w:val="24"/>
                <w:color w:val="auto"/>
              </w:rPr>
            </w:pPr>
          </w:p>
        </w:tc>
        <w:tc>
          <w:tcPr>
            <w:tcW w:w="2240" w:type="dxa"/>
            <w:vAlign w:val="bottom"/>
            <w:tcBorders>
              <w:bottom w:val="single" w:sz="8" w:color="0000EE"/>
            </w:tcBorders>
            <w:gridSpan w:val="12"/>
          </w:tcPr>
          <w:p>
            <w:pPr>
              <w:spacing w:after="0"/>
              <w:rPr>
                <w:rFonts w:ascii="Arial" w:cs="Arial" w:eastAsia="Arial" w:hAnsi="Arial"/>
                <w:sz w:val="14"/>
                <w:szCs w:val="14"/>
                <w:color w:val="0000EE"/>
              </w:rPr>
            </w:pPr>
            <w:hyperlink r:id="rId220">
              <w:r>
                <w:rPr>
                  <w:rFonts w:ascii="Arial" w:cs="Arial" w:eastAsia="Arial" w:hAnsi="Arial"/>
                  <w:sz w:val="14"/>
                  <w:szCs w:val="14"/>
                  <w:color w:val="0000EE"/>
                </w:rPr>
                <w:t>Insider Trading Compliance Policy</w:t>
              </w:r>
            </w:hyperlink>
          </w:p>
        </w:tc>
        <w:tc>
          <w:tcPr>
            <w:tcW w:w="700" w:type="dxa"/>
            <w:vAlign w:val="bottom"/>
            <w:gridSpan w:val="20"/>
          </w:tcPr>
          <w:p>
            <w:pPr>
              <w:spacing w:after="0"/>
              <w:rPr>
                <w:sz w:val="24"/>
                <w:szCs w:val="2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10-K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19.1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2/28/25</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21.1</w:t>
            </w:r>
          </w:p>
        </w:tc>
        <w:tc>
          <w:tcPr>
            <w:tcW w:w="140" w:type="dxa"/>
            <w:vAlign w:val="bottom"/>
          </w:tcPr>
          <w:p>
            <w:pPr>
              <w:spacing w:after="0"/>
              <w:rPr>
                <w:sz w:val="24"/>
                <w:szCs w:val="24"/>
                <w:color w:val="auto"/>
              </w:rPr>
            </w:pPr>
          </w:p>
        </w:tc>
        <w:tc>
          <w:tcPr>
            <w:tcW w:w="2400" w:type="dxa"/>
            <w:vAlign w:val="bottom"/>
            <w:tcBorders>
              <w:bottom w:val="single" w:sz="8" w:color="0000EE"/>
            </w:tcBorders>
            <w:gridSpan w:val="19"/>
          </w:tcPr>
          <w:p>
            <w:pPr>
              <w:spacing w:after="0"/>
              <w:rPr>
                <w:sz w:val="20"/>
                <w:szCs w:val="20"/>
                <w:color w:val="auto"/>
              </w:rPr>
            </w:pPr>
            <w:r>
              <w:rPr>
                <w:rFonts w:ascii="Arial" w:cs="Arial" w:eastAsia="Arial" w:hAnsi="Arial"/>
                <w:sz w:val="14"/>
                <w:szCs w:val="14"/>
                <w:color w:val="0000EE"/>
              </w:rPr>
              <w:t>List of Subsidiaries of Camping World</w:t>
            </w:r>
          </w:p>
        </w:tc>
        <w:tc>
          <w:tcPr>
            <w:tcW w:w="540" w:type="dxa"/>
            <w:vAlign w:val="bottom"/>
            <w:gridSpan w:val="13"/>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32"/>
          </w:tcPr>
          <w:p>
            <w:pPr>
              <w:spacing w:after="0"/>
              <w:rPr>
                <w:sz w:val="20"/>
                <w:szCs w:val="20"/>
                <w:color w:val="auto"/>
              </w:rPr>
            </w:pPr>
            <w:r>
              <w:rPr>
                <w:rFonts w:ascii="Arial" w:cs="Arial" w:eastAsia="Arial" w:hAnsi="Arial"/>
                <w:sz w:val="14"/>
                <w:szCs w:val="14"/>
                <w:color w:val="0000EE"/>
              </w:rPr>
              <w:t>Holdings, Inc.</w:t>
            </w: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2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23.1</w:t>
            </w:r>
          </w:p>
        </w:tc>
        <w:tc>
          <w:tcPr>
            <w:tcW w:w="140" w:type="dxa"/>
            <w:vAlign w:val="bottom"/>
          </w:tcPr>
          <w:p>
            <w:pPr>
              <w:spacing w:after="0"/>
              <w:rPr>
                <w:sz w:val="24"/>
                <w:szCs w:val="24"/>
                <w:color w:val="auto"/>
              </w:rPr>
            </w:pPr>
          </w:p>
        </w:tc>
        <w:tc>
          <w:tcPr>
            <w:tcW w:w="2700" w:type="dxa"/>
            <w:vAlign w:val="bottom"/>
            <w:tcBorders>
              <w:bottom w:val="single" w:sz="8" w:color="0000EE"/>
            </w:tcBorders>
            <w:gridSpan w:val="30"/>
          </w:tcPr>
          <w:p>
            <w:pPr>
              <w:spacing w:after="0"/>
              <w:rPr>
                <w:sz w:val="20"/>
                <w:szCs w:val="20"/>
                <w:color w:val="auto"/>
              </w:rPr>
            </w:pPr>
            <w:r>
              <w:rPr>
                <w:rFonts w:ascii="Arial" w:cs="Arial" w:eastAsia="Arial" w:hAnsi="Arial"/>
                <w:sz w:val="14"/>
                <w:szCs w:val="14"/>
                <w:color w:val="0000EE"/>
              </w:rPr>
              <w:t>Consent of Independent Registered Public</w:t>
            </w:r>
          </w:p>
        </w:tc>
        <w:tc>
          <w:tcPr>
            <w:tcW w:w="24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Accounting Firm</w:t>
            </w:r>
          </w:p>
        </w:tc>
        <w:tc>
          <w:tcPr>
            <w:tcW w:w="1900" w:type="dxa"/>
            <w:vAlign w:val="bottom"/>
            <w:gridSpan w:val="29"/>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24.1</w:t>
            </w:r>
          </w:p>
        </w:tc>
        <w:tc>
          <w:tcPr>
            <w:tcW w:w="140" w:type="dxa"/>
            <w:vAlign w:val="bottom"/>
          </w:tcPr>
          <w:p>
            <w:pPr>
              <w:spacing w:after="0"/>
              <w:rPr>
                <w:sz w:val="24"/>
                <w:szCs w:val="24"/>
                <w:color w:val="auto"/>
              </w:rPr>
            </w:pPr>
          </w:p>
        </w:tc>
        <w:tc>
          <w:tcPr>
            <w:tcW w:w="114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Power of Attorney</w:t>
            </w:r>
          </w:p>
        </w:tc>
        <w:tc>
          <w:tcPr>
            <w:tcW w:w="1800" w:type="dxa"/>
            <w:vAlign w:val="bottom"/>
            <w:gridSpan w:val="27"/>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31.1</w:t>
            </w:r>
          </w:p>
        </w:tc>
        <w:tc>
          <w:tcPr>
            <w:tcW w:w="140" w:type="dxa"/>
            <w:vAlign w:val="bottom"/>
          </w:tcPr>
          <w:p>
            <w:pPr>
              <w:spacing w:after="0"/>
              <w:rPr>
                <w:sz w:val="24"/>
                <w:szCs w:val="24"/>
                <w:color w:val="auto"/>
              </w:rPr>
            </w:pPr>
          </w:p>
        </w:tc>
        <w:tc>
          <w:tcPr>
            <w:tcW w:w="2660" w:type="dxa"/>
            <w:vAlign w:val="bottom"/>
            <w:tcBorders>
              <w:bottom w:val="single" w:sz="8" w:color="0000EE"/>
            </w:tcBorders>
            <w:gridSpan w:val="28"/>
          </w:tcPr>
          <w:p>
            <w:pPr>
              <w:spacing w:after="0"/>
              <w:rPr>
                <w:sz w:val="20"/>
                <w:szCs w:val="20"/>
                <w:color w:val="auto"/>
              </w:rPr>
            </w:pPr>
            <w:r>
              <w:rPr>
                <w:rFonts w:ascii="Arial" w:cs="Arial" w:eastAsia="Arial" w:hAnsi="Arial"/>
                <w:sz w:val="14"/>
                <w:szCs w:val="14"/>
                <w:color w:val="0000EE"/>
              </w:rPr>
              <w:t>Rule 13a-14(a) / 15d-14(a) Certification of</w:t>
            </w:r>
          </w:p>
        </w:tc>
        <w:tc>
          <w:tcPr>
            <w:tcW w:w="280" w:type="dxa"/>
            <w:vAlign w:val="bottom"/>
            <w:gridSpan w:val="4"/>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0000EE"/>
              </w:rPr>
              <w:t>Chief Executive Officer</w:t>
            </w:r>
          </w:p>
        </w:tc>
        <w:tc>
          <w:tcPr>
            <w:tcW w:w="1480" w:type="dxa"/>
            <w:vAlign w:val="bottom"/>
            <w:gridSpan w:val="25"/>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color w:val="auto"/>
              </w:rPr>
              <w:t>Incorporated by Reference</w:t>
            </w: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20" w:type="dxa"/>
            <w:vAlign w:val="bottom"/>
            <w:vMerge w:val="restart"/>
          </w:tcPr>
          <w:p>
            <w:pPr>
              <w:ind w:left="180"/>
              <w:spacing w:after="0"/>
              <w:rPr>
                <w:sz w:val="20"/>
                <w:szCs w:val="20"/>
                <w:color w:val="auto"/>
              </w:rPr>
            </w:pPr>
            <w:r>
              <w:rPr>
                <w:rFonts w:ascii="Arial" w:cs="Arial" w:eastAsia="Arial" w:hAnsi="Arial"/>
                <w:sz w:val="14"/>
                <w:szCs w:val="14"/>
                <w:color w:val="auto"/>
              </w:rPr>
              <w:t>Exhibit</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Filed/</w:t>
            </w:r>
          </w:p>
        </w:tc>
        <w:tc>
          <w:tcPr>
            <w:tcW w:w="0" w:type="dxa"/>
            <w:vAlign w:val="bottom"/>
          </w:tcPr>
          <w:p>
            <w:pPr>
              <w:spacing w:after="0"/>
              <w:rPr>
                <w:sz w:val="1"/>
                <w:szCs w:val="1"/>
                <w:color w:val="auto"/>
              </w:rPr>
            </w:pPr>
          </w:p>
        </w:tc>
      </w:tr>
      <w:tr>
        <w:trPr>
          <w:trHeight w:val="162"/>
        </w:trPr>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Furnished</w:t>
            </w:r>
          </w:p>
        </w:tc>
        <w:tc>
          <w:tcPr>
            <w:tcW w:w="0" w:type="dxa"/>
            <w:vAlign w:val="bottom"/>
          </w:tcPr>
          <w:p>
            <w:pPr>
              <w:spacing w:after="0"/>
              <w:rPr>
                <w:sz w:val="1"/>
                <w:szCs w:val="1"/>
                <w:color w:val="auto"/>
              </w:rPr>
            </w:pPr>
          </w:p>
        </w:tc>
      </w:tr>
      <w:tr>
        <w:trPr>
          <w:trHeight w:val="198"/>
        </w:trPr>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Number</w:t>
            </w:r>
          </w:p>
        </w:tc>
        <w:tc>
          <w:tcPr>
            <w:tcW w:w="140" w:type="dxa"/>
            <w:vAlign w:val="bottom"/>
          </w:tcPr>
          <w:p>
            <w:pPr>
              <w:spacing w:after="0"/>
              <w:rPr>
                <w:sz w:val="17"/>
                <w:szCs w:val="17"/>
                <w:color w:val="auto"/>
              </w:rPr>
            </w:pPr>
          </w:p>
        </w:tc>
        <w:tc>
          <w:tcPr>
            <w:tcW w:w="2780" w:type="dxa"/>
            <w:vAlign w:val="bottom"/>
            <w:tcBorders>
              <w:bottom w:val="single" w:sz="8" w:color="auto"/>
            </w:tcBorders>
            <w:gridSpan w:val="8"/>
          </w:tcPr>
          <w:p>
            <w:pPr>
              <w:ind w:left="780"/>
              <w:spacing w:after="0"/>
              <w:rPr>
                <w:sz w:val="20"/>
                <w:szCs w:val="20"/>
                <w:color w:val="auto"/>
              </w:rPr>
            </w:pPr>
            <w:r>
              <w:rPr>
                <w:rFonts w:ascii="Arial" w:cs="Arial" w:eastAsia="Arial" w:hAnsi="Arial"/>
                <w:sz w:val="14"/>
                <w:szCs w:val="14"/>
                <w:color w:val="auto"/>
              </w:rPr>
              <w:t>Exhibit Description</w:t>
            </w:r>
          </w:p>
        </w:tc>
        <w:tc>
          <w:tcPr>
            <w:tcW w:w="160" w:type="dxa"/>
            <w:vAlign w:val="bottom"/>
          </w:tcPr>
          <w:p>
            <w:pPr>
              <w:spacing w:after="0"/>
              <w:rPr>
                <w:sz w:val="17"/>
                <w:szCs w:val="17"/>
                <w:color w:val="auto"/>
              </w:rPr>
            </w:pPr>
          </w:p>
        </w:tc>
        <w:tc>
          <w:tcPr>
            <w:tcW w:w="106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Form</w:t>
            </w: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File No.</w:t>
            </w:r>
          </w:p>
        </w:tc>
        <w:tc>
          <w:tcPr>
            <w:tcW w:w="160" w:type="dxa"/>
            <w:vAlign w:val="bottom"/>
          </w:tcPr>
          <w:p>
            <w:pPr>
              <w:spacing w:after="0"/>
              <w:rPr>
                <w:sz w:val="17"/>
                <w:szCs w:val="17"/>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Exhibit</w:t>
            </w:r>
          </w:p>
        </w:tc>
        <w:tc>
          <w:tcPr>
            <w:tcW w:w="14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Filing Date</w:t>
            </w:r>
          </w:p>
        </w:tc>
        <w:tc>
          <w:tcPr>
            <w:tcW w:w="16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Herewith</w:t>
            </w:r>
          </w:p>
        </w:tc>
        <w:tc>
          <w:tcPr>
            <w:tcW w:w="0" w:type="dxa"/>
            <w:vAlign w:val="bottom"/>
          </w:tcPr>
          <w:p>
            <w:pPr>
              <w:spacing w:after="0"/>
              <w:rPr>
                <w:sz w:val="1"/>
                <w:szCs w:val="1"/>
                <w:color w:val="auto"/>
              </w:rPr>
            </w:pPr>
          </w:p>
        </w:tc>
      </w:tr>
      <w:tr>
        <w:trPr>
          <w:trHeight w:val="155"/>
        </w:trPr>
        <w:tc>
          <w:tcPr>
            <w:tcW w:w="820" w:type="dxa"/>
            <w:vAlign w:val="bottom"/>
          </w:tcPr>
          <w:p>
            <w:pPr>
              <w:spacing w:after="0" w:line="155" w:lineRule="exact"/>
              <w:rPr>
                <w:sz w:val="20"/>
                <w:szCs w:val="20"/>
                <w:color w:val="auto"/>
              </w:rPr>
            </w:pPr>
            <w:r>
              <w:rPr>
                <w:rFonts w:ascii="Arial" w:cs="Arial" w:eastAsia="Arial" w:hAnsi="Arial"/>
                <w:sz w:val="14"/>
                <w:szCs w:val="14"/>
                <w:color w:val="auto"/>
              </w:rPr>
              <w:t>31.2</w:t>
            </w:r>
          </w:p>
        </w:tc>
        <w:tc>
          <w:tcPr>
            <w:tcW w:w="140" w:type="dxa"/>
            <w:vAlign w:val="bottom"/>
          </w:tcPr>
          <w:p>
            <w:pPr>
              <w:spacing w:after="0"/>
              <w:rPr>
                <w:sz w:val="13"/>
                <w:szCs w:val="13"/>
                <w:color w:val="auto"/>
              </w:rPr>
            </w:pPr>
          </w:p>
        </w:tc>
        <w:tc>
          <w:tcPr>
            <w:tcW w:w="2660" w:type="dxa"/>
            <w:vAlign w:val="bottom"/>
            <w:tcBorders>
              <w:bottom w:val="single" w:sz="8" w:color="0000EE"/>
            </w:tcBorders>
            <w:gridSpan w:val="7"/>
          </w:tcPr>
          <w:p>
            <w:pPr>
              <w:spacing w:after="0" w:line="155" w:lineRule="exact"/>
              <w:rPr>
                <w:sz w:val="20"/>
                <w:szCs w:val="20"/>
                <w:color w:val="auto"/>
              </w:rPr>
            </w:pPr>
            <w:r>
              <w:rPr>
                <w:rFonts w:ascii="Arial" w:cs="Arial" w:eastAsia="Arial" w:hAnsi="Arial"/>
                <w:sz w:val="14"/>
                <w:szCs w:val="14"/>
                <w:color w:val="0000EE"/>
              </w:rPr>
              <w:t>Rule 13a-14(a) / 15d-14(a) Certification of</w:t>
            </w:r>
          </w:p>
        </w:tc>
        <w:tc>
          <w:tcPr>
            <w:tcW w:w="28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0000EE"/>
              </w:rPr>
              <w:t>Chief Financial Officer</w:t>
            </w: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32.1</w:t>
            </w:r>
          </w:p>
        </w:tc>
        <w:tc>
          <w:tcPr>
            <w:tcW w:w="140" w:type="dxa"/>
            <w:vAlign w:val="bottom"/>
          </w:tcPr>
          <w:p>
            <w:pPr>
              <w:spacing w:after="0"/>
              <w:rPr>
                <w:sz w:val="24"/>
                <w:szCs w:val="24"/>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0000EE"/>
              </w:rPr>
              <w:t>Section 1350 Certification of Chief</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4"/>
                <w:szCs w:val="14"/>
                <w:color w:val="0000EE"/>
              </w:rPr>
              <w:t>Executive Officer</w:t>
            </w:r>
          </w:p>
        </w:tc>
        <w:tc>
          <w:tcPr>
            <w:tcW w:w="1080" w:type="dxa"/>
            <w:vAlign w:val="bottom"/>
            <w:tcBorders>
              <w:top w:val="single" w:sz="8" w:color="0000EE"/>
            </w:tcBorders>
            <w:gridSpan w:val="3"/>
          </w:tcPr>
          <w:p>
            <w:pPr>
              <w:spacing w:after="0"/>
              <w:rPr>
                <w:sz w:val="15"/>
                <w:szCs w:val="15"/>
                <w:color w:val="auto"/>
              </w:rPr>
            </w:pPr>
          </w:p>
        </w:tc>
        <w:tc>
          <w:tcPr>
            <w:tcW w:w="780" w:type="dxa"/>
            <w:vAlign w:val="bottom"/>
            <w:gridSpan w:val="4"/>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32.2</w:t>
            </w:r>
          </w:p>
        </w:tc>
        <w:tc>
          <w:tcPr>
            <w:tcW w:w="140" w:type="dxa"/>
            <w:vAlign w:val="bottom"/>
          </w:tcPr>
          <w:p>
            <w:pPr>
              <w:spacing w:after="0"/>
              <w:rPr>
                <w:sz w:val="24"/>
                <w:szCs w:val="24"/>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0000EE"/>
              </w:rPr>
              <w:t>Section 1350 Certification of Chief</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4"/>
                <w:szCs w:val="14"/>
                <w:color w:val="0000EE"/>
              </w:rPr>
              <w:t>Financial Officer</w:t>
            </w:r>
          </w:p>
        </w:tc>
        <w:tc>
          <w:tcPr>
            <w:tcW w:w="1120" w:type="dxa"/>
            <w:vAlign w:val="bottom"/>
            <w:tcBorders>
              <w:top w:val="single" w:sz="8" w:color="0000EE"/>
            </w:tcBorders>
            <w:gridSpan w:val="4"/>
          </w:tcPr>
          <w:p>
            <w:pPr>
              <w:spacing w:after="0"/>
              <w:rPr>
                <w:sz w:val="15"/>
                <w:szCs w:val="15"/>
                <w:color w:val="auto"/>
              </w:rPr>
            </w:pPr>
          </w:p>
        </w:tc>
        <w:tc>
          <w:tcPr>
            <w:tcW w:w="780" w:type="dxa"/>
            <w:vAlign w:val="bottom"/>
            <w:gridSpan w:val="4"/>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97.1</w:t>
            </w:r>
          </w:p>
        </w:tc>
        <w:tc>
          <w:tcPr>
            <w:tcW w:w="140" w:type="dxa"/>
            <w:vAlign w:val="bottom"/>
          </w:tcPr>
          <w:p>
            <w:pPr>
              <w:spacing w:after="0"/>
              <w:rPr>
                <w:sz w:val="24"/>
                <w:szCs w:val="24"/>
                <w:color w:val="auto"/>
              </w:rPr>
            </w:pPr>
          </w:p>
        </w:tc>
        <w:tc>
          <w:tcPr>
            <w:tcW w:w="2940" w:type="dxa"/>
            <w:vAlign w:val="bottom"/>
            <w:gridSpan w:val="9"/>
          </w:tcPr>
          <w:p>
            <w:pPr>
              <w:spacing w:after="0"/>
              <w:rPr>
                <w:rFonts w:ascii="Arial" w:cs="Arial" w:eastAsia="Arial" w:hAnsi="Arial"/>
                <w:sz w:val="14"/>
                <w:szCs w:val="14"/>
                <w:color w:val="0000EE"/>
              </w:rPr>
            </w:pPr>
            <w:hyperlink r:id="rId222">
              <w:r>
                <w:rPr>
                  <w:rFonts w:ascii="Arial" w:cs="Arial" w:eastAsia="Arial" w:hAnsi="Arial"/>
                  <w:sz w:val="14"/>
                  <w:szCs w:val="14"/>
                  <w:color w:val="0000EE"/>
                </w:rPr>
                <w:t>Policy For Recovery of Erroneously</w:t>
              </w:r>
            </w:hyperlink>
          </w:p>
        </w:tc>
        <w:tc>
          <w:tcPr>
            <w:tcW w:w="1060" w:type="dxa"/>
            <w:vAlign w:val="bottom"/>
          </w:tcPr>
          <w:p>
            <w:pPr>
              <w:ind w:left="640"/>
              <w:spacing w:after="0"/>
              <w:rPr>
                <w:sz w:val="20"/>
                <w:szCs w:val="20"/>
                <w:color w:val="auto"/>
              </w:rPr>
            </w:pPr>
            <w:r>
              <w:rPr>
                <w:rFonts w:ascii="Arial" w:cs="Arial" w:eastAsia="Arial" w:hAnsi="Arial"/>
                <w:sz w:val="14"/>
                <w:szCs w:val="14"/>
                <w:color w:val="auto"/>
              </w:rPr>
              <w:t>10-K</w:t>
            </w: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97.1</w:t>
            </w:r>
          </w:p>
        </w:tc>
        <w:tc>
          <w:tcPr>
            <w:tcW w:w="14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2/26/24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Borders>
              <w:top w:val="single" w:sz="8" w:color="0000EE"/>
            </w:tcBorders>
            <w:gridSpan w:val="6"/>
          </w:tcPr>
          <w:p>
            <w:pPr>
              <w:spacing w:after="0"/>
              <w:rPr>
                <w:rFonts w:ascii="Arial" w:cs="Arial" w:eastAsia="Arial" w:hAnsi="Arial"/>
                <w:sz w:val="14"/>
                <w:szCs w:val="14"/>
                <w:color w:val="0000EE"/>
              </w:rPr>
            </w:pPr>
            <w:hyperlink r:id="rId222">
              <w:r>
                <w:rPr>
                  <w:rFonts w:ascii="Arial" w:cs="Arial" w:eastAsia="Arial" w:hAnsi="Arial"/>
                  <w:sz w:val="14"/>
                  <w:szCs w:val="14"/>
                  <w:color w:val="0000EE"/>
                </w:rPr>
                <w:t>Awarded Compensation</w:t>
              </w:r>
            </w:hyperlink>
          </w:p>
        </w:tc>
        <w:tc>
          <w:tcPr>
            <w:tcW w:w="70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820" w:type="dxa"/>
            <w:vAlign w:val="bottom"/>
          </w:tcPr>
          <w:p>
            <w:pPr>
              <w:spacing w:after="0"/>
              <w:rPr>
                <w:sz w:val="20"/>
                <w:szCs w:val="20"/>
                <w:color w:val="auto"/>
              </w:rPr>
            </w:pPr>
            <w:r>
              <w:rPr>
                <w:rFonts w:ascii="Arial" w:cs="Arial" w:eastAsia="Arial" w:hAnsi="Arial"/>
                <w:sz w:val="14"/>
                <w:szCs w:val="14"/>
                <w:color w:val="auto"/>
              </w:rPr>
              <w:t>101.INS</w:t>
            </w:r>
          </w:p>
        </w:tc>
        <w:tc>
          <w:tcPr>
            <w:tcW w:w="140" w:type="dxa"/>
            <w:vAlign w:val="bottom"/>
          </w:tcPr>
          <w:p>
            <w:pPr>
              <w:spacing w:after="0"/>
              <w:rPr>
                <w:sz w:val="24"/>
                <w:szCs w:val="24"/>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auto"/>
              </w:rPr>
              <w:t>Inline XBRL Instance Document – the</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auto"/>
              </w:rPr>
              <w:t>Instance Document does not appear in the</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auto"/>
              </w:rPr>
              <w:t>interactive data file because its XBRL tags</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auto"/>
              </w:rPr>
              <w:t>are embedded within the Inline XBRL</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auto"/>
              </w:rPr>
              <w:t>document</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0"/>
                <w:szCs w:val="20"/>
                <w:color w:val="auto"/>
              </w:rPr>
            </w:pPr>
            <w:r>
              <w:rPr>
                <w:rFonts w:ascii="Arial" w:cs="Arial" w:eastAsia="Arial" w:hAnsi="Arial"/>
                <w:sz w:val="14"/>
                <w:szCs w:val="14"/>
                <w:color w:val="auto"/>
              </w:rPr>
              <w:t>101.SCH</w:t>
            </w:r>
          </w:p>
        </w:tc>
        <w:tc>
          <w:tcPr>
            <w:tcW w:w="140" w:type="dxa"/>
            <w:vAlign w:val="bottom"/>
          </w:tcPr>
          <w:p>
            <w:pPr>
              <w:spacing w:after="0"/>
              <w:rPr>
                <w:sz w:val="24"/>
                <w:szCs w:val="24"/>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auto"/>
              </w:rPr>
              <w:t>Inline XBRL Taxonomy Extension Schema</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auto"/>
              </w:rPr>
              <w:t>Document</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0"/>
                <w:szCs w:val="20"/>
                <w:color w:val="auto"/>
              </w:rPr>
            </w:pPr>
            <w:r>
              <w:rPr>
                <w:rFonts w:ascii="Arial" w:cs="Arial" w:eastAsia="Arial" w:hAnsi="Arial"/>
                <w:sz w:val="14"/>
                <w:szCs w:val="14"/>
                <w:color w:val="auto"/>
              </w:rPr>
              <w:t>101.CAL</w:t>
            </w:r>
          </w:p>
        </w:tc>
        <w:tc>
          <w:tcPr>
            <w:tcW w:w="140" w:type="dxa"/>
            <w:vAlign w:val="bottom"/>
          </w:tcPr>
          <w:p>
            <w:pPr>
              <w:spacing w:after="0"/>
              <w:rPr>
                <w:sz w:val="24"/>
                <w:szCs w:val="24"/>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auto"/>
              </w:rPr>
              <w:t>Inline XBRL Taxonomy Extension</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auto"/>
              </w:rPr>
              <w:t>Calculation Linkbase Document</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0"/>
                <w:szCs w:val="20"/>
                <w:color w:val="auto"/>
              </w:rPr>
            </w:pPr>
            <w:r>
              <w:rPr>
                <w:rFonts w:ascii="Arial" w:cs="Arial" w:eastAsia="Arial" w:hAnsi="Arial"/>
                <w:sz w:val="14"/>
                <w:szCs w:val="14"/>
                <w:color w:val="auto"/>
              </w:rPr>
              <w:t>101.DEF</w:t>
            </w:r>
          </w:p>
        </w:tc>
        <w:tc>
          <w:tcPr>
            <w:tcW w:w="140" w:type="dxa"/>
            <w:vAlign w:val="bottom"/>
          </w:tcPr>
          <w:p>
            <w:pPr>
              <w:spacing w:after="0"/>
              <w:rPr>
                <w:sz w:val="24"/>
                <w:szCs w:val="24"/>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auto"/>
              </w:rPr>
              <w:t>Inline XBRL Extension Definition Linkbase</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auto"/>
              </w:rPr>
              <w:t>Document</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820" w:type="dxa"/>
            <w:vAlign w:val="bottom"/>
          </w:tcPr>
          <w:p>
            <w:pPr>
              <w:spacing w:after="0"/>
              <w:rPr>
                <w:sz w:val="20"/>
                <w:szCs w:val="20"/>
                <w:color w:val="auto"/>
              </w:rPr>
            </w:pPr>
            <w:r>
              <w:rPr>
                <w:rFonts w:ascii="Arial" w:cs="Arial" w:eastAsia="Arial" w:hAnsi="Arial"/>
                <w:sz w:val="14"/>
                <w:szCs w:val="14"/>
                <w:color w:val="auto"/>
              </w:rPr>
              <w:t>101.LAB</w:t>
            </w:r>
          </w:p>
        </w:tc>
        <w:tc>
          <w:tcPr>
            <w:tcW w:w="140" w:type="dxa"/>
            <w:vAlign w:val="bottom"/>
          </w:tcPr>
          <w:p>
            <w:pPr>
              <w:spacing w:after="0"/>
              <w:rPr>
                <w:sz w:val="24"/>
                <w:szCs w:val="24"/>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auto"/>
              </w:rPr>
              <w:t>Inline XBRL Taxonomy Label Linkbase</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auto"/>
              </w:rPr>
              <w:t>Document</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820" w:type="dxa"/>
            <w:vAlign w:val="bottom"/>
          </w:tcPr>
          <w:p>
            <w:pPr>
              <w:spacing w:after="0"/>
              <w:rPr>
                <w:sz w:val="20"/>
                <w:szCs w:val="20"/>
                <w:color w:val="auto"/>
              </w:rPr>
            </w:pPr>
            <w:r>
              <w:rPr>
                <w:rFonts w:ascii="Arial" w:cs="Arial" w:eastAsia="Arial" w:hAnsi="Arial"/>
                <w:sz w:val="14"/>
                <w:szCs w:val="14"/>
                <w:color w:val="auto"/>
              </w:rPr>
              <w:t>101.PRE</w:t>
            </w:r>
          </w:p>
        </w:tc>
        <w:tc>
          <w:tcPr>
            <w:tcW w:w="140" w:type="dxa"/>
            <w:vAlign w:val="bottom"/>
          </w:tcPr>
          <w:p>
            <w:pPr>
              <w:spacing w:after="0"/>
              <w:rPr>
                <w:sz w:val="24"/>
                <w:szCs w:val="24"/>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auto"/>
              </w:rPr>
              <w:t>Inline XBRL Taxonomy Extension</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auto"/>
              </w:rPr>
              <w:t>Presentation Linkbase Document</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820" w:type="dxa"/>
            <w:vAlign w:val="bottom"/>
          </w:tcPr>
          <w:p>
            <w:pPr>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24"/>
                <w:szCs w:val="24"/>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auto"/>
              </w:rPr>
              <w:t>Cover Page Interactive Data File (formatted</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auto"/>
              </w:rPr>
              <w:t>as Inline XBRL and contained in Exhibit</w:t>
            </w: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color w:val="auto"/>
              </w:rPr>
              <w:t>101)</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380" w:hanging="330"/>
        <w:spacing w:after="0"/>
        <w:tabs>
          <w:tab w:leader="none" w:pos="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1" w:lineRule="exact"/>
        <w:rPr>
          <w:sz w:val="20"/>
          <w:szCs w:val="20"/>
          <w:color w:val="auto"/>
        </w:rPr>
      </w:pPr>
    </w:p>
    <w:p>
      <w:pPr>
        <w:ind w:left="380" w:hanging="330"/>
        <w:spacing w:after="0"/>
        <w:tabs>
          <w:tab w:leader="none" w:pos="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71" w:lineRule="exact"/>
        <w:rPr>
          <w:rFonts w:ascii="Arial" w:cs="Arial" w:eastAsia="Arial" w:hAnsi="Arial"/>
          <w:sz w:val="18"/>
          <w:szCs w:val="18"/>
          <w:color w:val="auto"/>
        </w:rPr>
      </w:pPr>
    </w:p>
    <w:p>
      <w:pPr>
        <w:ind w:left="380" w:hanging="330"/>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58" w:lineRule="exact"/>
        <w:rPr>
          <w:sz w:val="20"/>
          <w:szCs w:val="20"/>
          <w:color w:val="auto"/>
        </w:rPr>
      </w:pPr>
    </w:p>
    <w:p>
      <w:pPr>
        <w:ind w:left="380" w:hanging="330"/>
        <w:spacing w:after="0"/>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3200" w:type="dxa"/>
            <w:vAlign w:val="bottom"/>
          </w:tcPr>
          <w:p>
            <w:pPr>
              <w:spacing w:after="0"/>
              <w:rPr>
                <w:sz w:val="20"/>
                <w:szCs w:val="20"/>
                <w:color w:val="auto"/>
              </w:rPr>
            </w:pPr>
          </w:p>
        </w:tc>
        <w:tc>
          <w:tcPr>
            <w:tcW w:w="5700" w:type="dxa"/>
            <w:vAlign w:val="bottom"/>
            <w:gridSpan w:val="2"/>
          </w:tcPr>
          <w:p>
            <w:pPr>
              <w:ind w:left="1240"/>
              <w:spacing w:after="0"/>
              <w:rPr>
                <w:sz w:val="20"/>
                <w:szCs w:val="20"/>
                <w:color w:val="auto"/>
              </w:rPr>
            </w:pPr>
            <w:r>
              <w:rPr>
                <w:rFonts w:ascii="Arial" w:cs="Arial" w:eastAsia="Arial" w:hAnsi="Arial"/>
                <w:sz w:val="18"/>
                <w:szCs w:val="18"/>
                <w:color w:val="auto"/>
              </w:rPr>
              <w:t>Camping World Holdings, Inc.</w:t>
            </w:r>
          </w:p>
        </w:tc>
      </w:tr>
      <w:tr>
        <w:trPr>
          <w:trHeight w:val="428"/>
        </w:trPr>
        <w:tc>
          <w:tcPr>
            <w:tcW w:w="3200" w:type="dxa"/>
            <w:vAlign w:val="bottom"/>
          </w:tcPr>
          <w:p>
            <w:pPr>
              <w:spacing w:after="0"/>
              <w:rPr>
                <w:sz w:val="20"/>
                <w:szCs w:val="20"/>
                <w:color w:val="auto"/>
              </w:rPr>
            </w:pPr>
            <w:r>
              <w:rPr>
                <w:rFonts w:ascii="Arial" w:cs="Arial" w:eastAsia="Arial" w:hAnsi="Arial"/>
                <w:sz w:val="18"/>
                <w:szCs w:val="18"/>
                <w:color w:val="auto"/>
              </w:rPr>
              <w:t>Date: February 27, 2026</w:t>
            </w:r>
          </w:p>
        </w:tc>
        <w:tc>
          <w:tcPr>
            <w:tcW w:w="1660" w:type="dxa"/>
            <w:vAlign w:val="bottom"/>
          </w:tcPr>
          <w:p>
            <w:pPr>
              <w:ind w:left="124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MATTHEW D. WAGNER</w:t>
            </w:r>
          </w:p>
        </w:tc>
      </w:tr>
      <w:tr>
        <w:trPr>
          <w:trHeight w:val="209"/>
        </w:trPr>
        <w:tc>
          <w:tcPr>
            <w:tcW w:w="3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9"/>
              </w:rPr>
              <w:t>Matthew D. Wagner</w:t>
            </w:r>
          </w:p>
        </w:tc>
      </w:tr>
    </w:tbl>
    <w:p>
      <w:pPr>
        <w:ind w:left="544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38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set forth opposite to their names and on the dates indicated.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2160" w:type="dxa"/>
            <w:vAlign w:val="bottom"/>
          </w:tcPr>
          <w:p>
            <w:pPr>
              <w:jc w:val="center"/>
              <w:ind w:right="300"/>
              <w:spacing w:after="0"/>
              <w:rPr>
                <w:sz w:val="20"/>
                <w:szCs w:val="20"/>
                <w:color w:val="auto"/>
              </w:rPr>
            </w:pPr>
            <w:r>
              <w:rPr>
                <w:rFonts w:ascii="Arial" w:cs="Arial" w:eastAsia="Arial" w:hAnsi="Arial"/>
                <w:sz w:val="14"/>
                <w:szCs w:val="14"/>
                <w:b w:val="1"/>
                <w:bCs w:val="1"/>
                <w:color w:val="auto"/>
              </w:rPr>
              <w:t>Signature</w:t>
            </w:r>
          </w:p>
        </w:tc>
        <w:tc>
          <w:tcPr>
            <w:tcW w:w="198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2580" w:type="dxa"/>
            <w:vAlign w:val="bottom"/>
          </w:tcPr>
          <w:p>
            <w:pPr>
              <w:ind w:left="220"/>
              <w:spacing w:after="0"/>
              <w:rPr>
                <w:sz w:val="20"/>
                <w:szCs w:val="20"/>
                <w:color w:val="auto"/>
              </w:rPr>
            </w:pPr>
            <w:r>
              <w:rPr>
                <w:rFonts w:ascii="Arial" w:cs="Arial" w:eastAsia="Arial" w:hAnsi="Arial"/>
                <w:sz w:val="14"/>
                <w:szCs w:val="14"/>
                <w:b w:val="1"/>
                <w:bCs w:val="1"/>
                <w:color w:val="auto"/>
              </w:rPr>
              <w:t>Title</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center"/>
              <w:ind w:right="41"/>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25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5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/s/ MATTHEW D. WAGNER</w:t>
            </w:r>
          </w:p>
        </w:tc>
        <w:tc>
          <w:tcPr>
            <w:tcW w:w="4560" w:type="dxa"/>
            <w:vAlign w:val="bottom"/>
            <w:gridSpan w:val="3"/>
          </w:tcPr>
          <w:p>
            <w:pPr>
              <w:ind w:left="140"/>
              <w:spacing w:after="0"/>
              <w:rPr>
                <w:sz w:val="20"/>
                <w:szCs w:val="20"/>
                <w:color w:val="auto"/>
              </w:rPr>
            </w:pPr>
            <w:r>
              <w:rPr>
                <w:rFonts w:ascii="Arial" w:cs="Arial" w:eastAsia="Arial" w:hAnsi="Arial"/>
                <w:sz w:val="16"/>
                <w:szCs w:val="16"/>
                <w:color w:val="auto"/>
              </w:rPr>
              <w:t>Chief Executive Officer and President and Director (Principal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vMerge w:val="restart"/>
          </w:tcPr>
          <w:p>
            <w:pPr>
              <w:jc w:val="center"/>
              <w:ind w:right="41"/>
              <w:spacing w:after="0"/>
              <w:rPr>
                <w:sz w:val="20"/>
                <w:szCs w:val="20"/>
                <w:color w:val="auto"/>
              </w:rPr>
            </w:pPr>
            <w:r>
              <w:rPr>
                <w:rFonts w:ascii="Arial" w:cs="Arial" w:eastAsia="Arial" w:hAnsi="Arial"/>
                <w:sz w:val="16"/>
                <w:szCs w:val="16"/>
                <w:color w:val="auto"/>
              </w:rPr>
              <w:t>February 27, 2026</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2160" w:type="dxa"/>
            <w:vAlign w:val="bottom"/>
            <w:vMerge w:val="restart"/>
          </w:tcPr>
          <w:p>
            <w:pPr>
              <w:jc w:val="center"/>
              <w:ind w:right="300"/>
              <w:spacing w:after="0"/>
              <w:rPr>
                <w:sz w:val="20"/>
                <w:szCs w:val="20"/>
                <w:color w:val="auto"/>
              </w:rPr>
            </w:pPr>
            <w:r>
              <w:rPr>
                <w:rFonts w:ascii="Arial" w:cs="Arial" w:eastAsia="Arial" w:hAnsi="Arial"/>
                <w:sz w:val="16"/>
                <w:szCs w:val="16"/>
                <w:color w:val="auto"/>
              </w:rPr>
              <w:t>Matthew D. Wagner</w:t>
            </w:r>
          </w:p>
        </w:tc>
        <w:tc>
          <w:tcPr>
            <w:tcW w:w="1980" w:type="dxa"/>
            <w:vAlign w:val="bottom"/>
            <w:gridSpan w:val="2"/>
            <w:vMerge w:val="restart"/>
          </w:tcPr>
          <w:p>
            <w:pPr>
              <w:ind w:left="140"/>
              <w:spacing w:after="0"/>
              <w:rPr>
                <w:sz w:val="20"/>
                <w:szCs w:val="20"/>
                <w:color w:val="auto"/>
              </w:rPr>
            </w:pPr>
            <w:r>
              <w:rPr>
                <w:rFonts w:ascii="Arial" w:cs="Arial" w:eastAsia="Arial" w:hAnsi="Arial"/>
                <w:sz w:val="16"/>
                <w:szCs w:val="16"/>
                <w:color w:val="auto"/>
              </w:rPr>
              <w:t>Executive Officer)</w:t>
            </w:r>
          </w:p>
        </w:tc>
        <w:tc>
          <w:tcPr>
            <w:tcW w:w="2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2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1"/>
        </w:trPr>
        <w:tc>
          <w:tcPr>
            <w:tcW w:w="3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center"/>
              <w:ind w:right="300"/>
              <w:spacing w:after="0"/>
              <w:rPr>
                <w:sz w:val="20"/>
                <w:szCs w:val="20"/>
                <w:color w:val="auto"/>
              </w:rPr>
            </w:pPr>
            <w:r>
              <w:rPr>
                <w:rFonts w:ascii="Arial" w:cs="Arial" w:eastAsia="Arial" w:hAnsi="Arial"/>
                <w:sz w:val="16"/>
                <w:szCs w:val="16"/>
                <w:color w:val="auto"/>
              </w:rPr>
              <w:t>/s/ THOMAS E. KIRN</w:t>
            </w:r>
          </w:p>
        </w:tc>
        <w:tc>
          <w:tcPr>
            <w:tcW w:w="1980" w:type="dxa"/>
            <w:vAlign w:val="bottom"/>
            <w:gridSpan w:val="2"/>
          </w:tcPr>
          <w:p>
            <w:pPr>
              <w:ind w:left="140"/>
              <w:spacing w:after="0"/>
              <w:rPr>
                <w:sz w:val="20"/>
                <w:szCs w:val="20"/>
                <w:color w:val="auto"/>
              </w:rPr>
            </w:pPr>
            <w:r>
              <w:rPr>
                <w:rFonts w:ascii="Arial" w:cs="Arial" w:eastAsia="Arial" w:hAnsi="Arial"/>
                <w:sz w:val="16"/>
                <w:szCs w:val="16"/>
                <w:color w:val="auto"/>
              </w:rPr>
              <w:t>Chief Financial Officer</w:t>
            </w: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center"/>
              <w:ind w:right="41"/>
              <w:spacing w:after="0"/>
              <w:rPr>
                <w:sz w:val="20"/>
                <w:szCs w:val="20"/>
                <w:color w:val="auto"/>
              </w:rPr>
            </w:pPr>
            <w:r>
              <w:rPr>
                <w:rFonts w:ascii="Arial" w:cs="Arial" w:eastAsia="Arial" w:hAnsi="Arial"/>
                <w:sz w:val="16"/>
                <w:szCs w:val="16"/>
                <w:color w:val="auto"/>
              </w:rPr>
              <w:t>February 27, 2026</w:t>
            </w:r>
          </w:p>
        </w:tc>
        <w:tc>
          <w:tcPr>
            <w:tcW w:w="0" w:type="dxa"/>
            <w:vAlign w:val="bottom"/>
          </w:tcPr>
          <w:p>
            <w:pPr>
              <w:spacing w:after="0"/>
              <w:rPr>
                <w:sz w:val="1"/>
                <w:szCs w:val="1"/>
                <w:color w:val="auto"/>
              </w:rPr>
            </w:pPr>
          </w:p>
        </w:tc>
      </w:tr>
      <w:tr>
        <w:trPr>
          <w:trHeight w:val="208"/>
        </w:trPr>
        <w:tc>
          <w:tcPr>
            <w:tcW w:w="360" w:type="dxa"/>
            <w:vAlign w:val="bottom"/>
          </w:tcPr>
          <w:p>
            <w:pPr>
              <w:spacing w:after="0"/>
              <w:rPr>
                <w:sz w:val="18"/>
                <w:szCs w:val="18"/>
                <w:color w:val="auto"/>
              </w:rPr>
            </w:pPr>
          </w:p>
        </w:tc>
        <w:tc>
          <w:tcPr>
            <w:tcW w:w="2160" w:type="dxa"/>
            <w:vAlign w:val="bottom"/>
          </w:tcPr>
          <w:p>
            <w:pPr>
              <w:jc w:val="center"/>
              <w:ind w:right="300"/>
              <w:spacing w:after="0"/>
              <w:rPr>
                <w:sz w:val="20"/>
                <w:szCs w:val="20"/>
                <w:color w:val="auto"/>
              </w:rPr>
            </w:pPr>
            <w:r>
              <w:rPr>
                <w:rFonts w:ascii="Arial" w:cs="Arial" w:eastAsia="Arial" w:hAnsi="Arial"/>
                <w:sz w:val="16"/>
                <w:szCs w:val="16"/>
                <w:color w:val="auto"/>
                <w:w w:val="99"/>
              </w:rPr>
              <w:t>Thomas E. Kirn</w:t>
            </w:r>
          </w:p>
        </w:tc>
        <w:tc>
          <w:tcPr>
            <w:tcW w:w="4560" w:type="dxa"/>
            <w:vAlign w:val="bottom"/>
            <w:gridSpan w:val="3"/>
          </w:tcPr>
          <w:p>
            <w:pPr>
              <w:ind w:left="140"/>
              <w:spacing w:after="0"/>
              <w:rPr>
                <w:sz w:val="20"/>
                <w:szCs w:val="20"/>
                <w:color w:val="auto"/>
              </w:rPr>
            </w:pPr>
            <w:r>
              <w:rPr>
                <w:rFonts w:ascii="Arial" w:cs="Arial" w:eastAsia="Arial" w:hAnsi="Arial"/>
                <w:sz w:val="16"/>
                <w:szCs w:val="16"/>
                <w:color w:val="auto"/>
              </w:rPr>
              <w:t>(Principal Financial Officer and Principal Accounting Officer)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1"/>
        </w:trPr>
        <w:tc>
          <w:tcPr>
            <w:tcW w:w="25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w:t>
            </w:r>
          </w:p>
        </w:tc>
        <w:tc>
          <w:tcPr>
            <w:tcW w:w="4560" w:type="dxa"/>
            <w:vAlign w:val="bottom"/>
            <w:gridSpan w:val="3"/>
            <w:vMerge w:val="restart"/>
          </w:tcPr>
          <w:p>
            <w:pPr>
              <w:ind w:left="140"/>
              <w:spacing w:after="0"/>
              <w:rPr>
                <w:sz w:val="20"/>
                <w:szCs w:val="20"/>
                <w:color w:val="auto"/>
              </w:rPr>
            </w:pPr>
            <w:r>
              <w:rPr>
                <w:rFonts w:ascii="Arial" w:cs="Arial" w:eastAsia="Arial" w:hAnsi="Arial"/>
                <w:sz w:val="16"/>
                <w:szCs w:val="16"/>
                <w:color w:val="auto"/>
              </w:rPr>
              <w:t>Chairman of the Board of Directors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2160" w:type="dxa"/>
            <w:vAlign w:val="bottom"/>
            <w:vMerge w:val="restart"/>
          </w:tcPr>
          <w:p>
            <w:pPr>
              <w:jc w:val="center"/>
              <w:ind w:right="280"/>
              <w:spacing w:after="0"/>
              <w:rPr>
                <w:sz w:val="20"/>
                <w:szCs w:val="20"/>
                <w:color w:val="auto"/>
              </w:rPr>
            </w:pPr>
            <w:r>
              <w:rPr>
                <w:rFonts w:ascii="Arial" w:cs="Arial" w:eastAsia="Arial" w:hAnsi="Arial"/>
                <w:sz w:val="16"/>
                <w:szCs w:val="16"/>
                <w:color w:val="auto"/>
              </w:rPr>
              <w:t>Brent Moody</w:t>
            </w:r>
          </w:p>
        </w:tc>
        <w:tc>
          <w:tcPr>
            <w:tcW w:w="45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2"/>
        </w:trPr>
        <w:tc>
          <w:tcPr>
            <w:tcW w:w="25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w:t>
            </w:r>
          </w:p>
        </w:tc>
        <w:tc>
          <w:tcPr>
            <w:tcW w:w="1980" w:type="dxa"/>
            <w:vAlign w:val="bottom"/>
            <w:gridSpan w:val="2"/>
            <w:vMerge w:val="restart"/>
          </w:tcPr>
          <w:p>
            <w:pPr>
              <w:ind w:left="140"/>
              <w:spacing w:after="0"/>
              <w:rPr>
                <w:sz w:val="20"/>
                <w:szCs w:val="20"/>
                <w:color w:val="auto"/>
              </w:rPr>
            </w:pPr>
            <w:r>
              <w:rPr>
                <w:rFonts w:ascii="Arial" w:cs="Arial" w:eastAsia="Arial" w:hAnsi="Arial"/>
                <w:sz w:val="16"/>
                <w:szCs w:val="16"/>
                <w:color w:val="auto"/>
              </w:rPr>
              <w:t>Director</w:t>
            </w: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2160" w:type="dxa"/>
            <w:vAlign w:val="bottom"/>
            <w:vMerge w:val="restart"/>
          </w:tcPr>
          <w:p>
            <w:pPr>
              <w:jc w:val="center"/>
              <w:ind w:right="300"/>
              <w:spacing w:after="0"/>
              <w:rPr>
                <w:sz w:val="20"/>
                <w:szCs w:val="20"/>
                <w:color w:val="auto"/>
              </w:rPr>
            </w:pPr>
            <w:r>
              <w:rPr>
                <w:rFonts w:ascii="Arial" w:cs="Arial" w:eastAsia="Arial" w:hAnsi="Arial"/>
                <w:sz w:val="16"/>
                <w:szCs w:val="16"/>
                <w:color w:val="auto"/>
              </w:rPr>
              <w:t>Andris A. Baltins</w:t>
            </w:r>
          </w:p>
        </w:tc>
        <w:tc>
          <w:tcPr>
            <w:tcW w:w="1980" w:type="dxa"/>
            <w:vAlign w:val="bottom"/>
            <w:gridSpan w:val="2"/>
            <w:vMerge w:val="continue"/>
          </w:tcPr>
          <w:p>
            <w:pPr>
              <w:spacing w:after="0"/>
              <w:rPr>
                <w:sz w:val="7"/>
                <w:szCs w:val="7"/>
                <w:color w:val="auto"/>
              </w:rPr>
            </w:pPr>
          </w:p>
        </w:tc>
        <w:tc>
          <w:tcPr>
            <w:tcW w:w="2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2"/>
        </w:trPr>
        <w:tc>
          <w:tcPr>
            <w:tcW w:w="25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w:t>
            </w:r>
          </w:p>
        </w:tc>
        <w:tc>
          <w:tcPr>
            <w:tcW w:w="1980" w:type="dxa"/>
            <w:vAlign w:val="bottom"/>
            <w:gridSpan w:val="2"/>
            <w:vMerge w:val="restart"/>
          </w:tcPr>
          <w:p>
            <w:pPr>
              <w:ind w:left="140"/>
              <w:spacing w:after="0"/>
              <w:rPr>
                <w:sz w:val="20"/>
                <w:szCs w:val="20"/>
                <w:color w:val="auto"/>
              </w:rPr>
            </w:pPr>
            <w:r>
              <w:rPr>
                <w:rFonts w:ascii="Arial" w:cs="Arial" w:eastAsia="Arial" w:hAnsi="Arial"/>
                <w:sz w:val="16"/>
                <w:szCs w:val="16"/>
                <w:color w:val="auto"/>
              </w:rPr>
              <w:t>Director</w:t>
            </w: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2160" w:type="dxa"/>
            <w:vAlign w:val="bottom"/>
            <w:vMerge w:val="restart"/>
          </w:tcPr>
          <w:p>
            <w:pPr>
              <w:jc w:val="center"/>
              <w:ind w:right="300"/>
              <w:spacing w:after="0"/>
              <w:rPr>
                <w:sz w:val="20"/>
                <w:szCs w:val="20"/>
                <w:color w:val="auto"/>
              </w:rPr>
            </w:pPr>
            <w:r>
              <w:rPr>
                <w:rFonts w:ascii="Arial" w:cs="Arial" w:eastAsia="Arial" w:hAnsi="Arial"/>
                <w:sz w:val="16"/>
                <w:szCs w:val="16"/>
                <w:color w:val="auto"/>
                <w:w w:val="99"/>
              </w:rPr>
              <w:t>Brian P. Cassidy</w:t>
            </w:r>
          </w:p>
        </w:tc>
        <w:tc>
          <w:tcPr>
            <w:tcW w:w="1980" w:type="dxa"/>
            <w:vAlign w:val="bottom"/>
            <w:gridSpan w:val="2"/>
            <w:vMerge w:val="continue"/>
          </w:tcPr>
          <w:p>
            <w:pPr>
              <w:spacing w:after="0"/>
              <w:rPr>
                <w:sz w:val="7"/>
                <w:szCs w:val="7"/>
                <w:color w:val="auto"/>
              </w:rPr>
            </w:pPr>
          </w:p>
        </w:tc>
        <w:tc>
          <w:tcPr>
            <w:tcW w:w="2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2"/>
        </w:trPr>
        <w:tc>
          <w:tcPr>
            <w:tcW w:w="25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w:t>
            </w:r>
          </w:p>
        </w:tc>
        <w:tc>
          <w:tcPr>
            <w:tcW w:w="1980" w:type="dxa"/>
            <w:vAlign w:val="bottom"/>
            <w:gridSpan w:val="2"/>
            <w:vMerge w:val="restart"/>
          </w:tcPr>
          <w:p>
            <w:pPr>
              <w:ind w:left="140"/>
              <w:spacing w:after="0"/>
              <w:rPr>
                <w:sz w:val="20"/>
                <w:szCs w:val="20"/>
                <w:color w:val="auto"/>
              </w:rPr>
            </w:pPr>
            <w:r>
              <w:rPr>
                <w:rFonts w:ascii="Arial" w:cs="Arial" w:eastAsia="Arial" w:hAnsi="Arial"/>
                <w:sz w:val="16"/>
                <w:szCs w:val="16"/>
                <w:color w:val="auto"/>
              </w:rPr>
              <w:t>Director</w:t>
            </w: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2160" w:type="dxa"/>
            <w:vAlign w:val="bottom"/>
            <w:vMerge w:val="restart"/>
          </w:tcPr>
          <w:p>
            <w:pPr>
              <w:jc w:val="center"/>
              <w:ind w:right="300"/>
              <w:spacing w:after="0"/>
              <w:rPr>
                <w:sz w:val="20"/>
                <w:szCs w:val="20"/>
                <w:color w:val="auto"/>
              </w:rPr>
            </w:pPr>
            <w:r>
              <w:rPr>
                <w:rFonts w:ascii="Arial" w:cs="Arial" w:eastAsia="Arial" w:hAnsi="Arial"/>
                <w:sz w:val="16"/>
                <w:szCs w:val="16"/>
                <w:color w:val="auto"/>
                <w:w w:val="99"/>
              </w:rPr>
              <w:t>Mary J. George</w:t>
            </w:r>
          </w:p>
        </w:tc>
        <w:tc>
          <w:tcPr>
            <w:tcW w:w="1980" w:type="dxa"/>
            <w:vAlign w:val="bottom"/>
            <w:gridSpan w:val="2"/>
            <w:vMerge w:val="continue"/>
          </w:tcPr>
          <w:p>
            <w:pPr>
              <w:spacing w:after="0"/>
              <w:rPr>
                <w:sz w:val="7"/>
                <w:szCs w:val="7"/>
                <w:color w:val="auto"/>
              </w:rPr>
            </w:pPr>
          </w:p>
        </w:tc>
        <w:tc>
          <w:tcPr>
            <w:tcW w:w="2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2"/>
        </w:trPr>
        <w:tc>
          <w:tcPr>
            <w:tcW w:w="25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w:t>
            </w:r>
          </w:p>
        </w:tc>
        <w:tc>
          <w:tcPr>
            <w:tcW w:w="1980" w:type="dxa"/>
            <w:vAlign w:val="bottom"/>
            <w:gridSpan w:val="2"/>
            <w:vMerge w:val="restart"/>
          </w:tcPr>
          <w:p>
            <w:pPr>
              <w:ind w:left="140"/>
              <w:spacing w:after="0"/>
              <w:rPr>
                <w:sz w:val="20"/>
                <w:szCs w:val="20"/>
                <w:color w:val="auto"/>
              </w:rPr>
            </w:pPr>
            <w:r>
              <w:rPr>
                <w:rFonts w:ascii="Arial" w:cs="Arial" w:eastAsia="Arial" w:hAnsi="Arial"/>
                <w:sz w:val="16"/>
                <w:szCs w:val="16"/>
                <w:color w:val="auto"/>
              </w:rPr>
              <w:t>Director</w:t>
            </w: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2160" w:type="dxa"/>
            <w:vAlign w:val="bottom"/>
            <w:vMerge w:val="restart"/>
          </w:tcPr>
          <w:p>
            <w:pPr>
              <w:jc w:val="center"/>
              <w:ind w:right="300"/>
              <w:spacing w:after="0"/>
              <w:rPr>
                <w:sz w:val="20"/>
                <w:szCs w:val="20"/>
                <w:color w:val="auto"/>
              </w:rPr>
            </w:pPr>
            <w:r>
              <w:rPr>
                <w:rFonts w:ascii="Arial" w:cs="Arial" w:eastAsia="Arial" w:hAnsi="Arial"/>
                <w:sz w:val="16"/>
                <w:szCs w:val="16"/>
                <w:color w:val="auto"/>
              </w:rPr>
              <w:t>Kathleen S. Lane</w:t>
            </w:r>
          </w:p>
        </w:tc>
        <w:tc>
          <w:tcPr>
            <w:tcW w:w="1980" w:type="dxa"/>
            <w:vAlign w:val="bottom"/>
            <w:gridSpan w:val="2"/>
            <w:vMerge w:val="continue"/>
          </w:tcPr>
          <w:p>
            <w:pPr>
              <w:spacing w:after="0"/>
              <w:rPr>
                <w:sz w:val="7"/>
                <w:szCs w:val="7"/>
                <w:color w:val="auto"/>
              </w:rPr>
            </w:pPr>
          </w:p>
        </w:tc>
        <w:tc>
          <w:tcPr>
            <w:tcW w:w="2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2"/>
        </w:trPr>
        <w:tc>
          <w:tcPr>
            <w:tcW w:w="25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w:t>
            </w:r>
          </w:p>
        </w:tc>
        <w:tc>
          <w:tcPr>
            <w:tcW w:w="1980" w:type="dxa"/>
            <w:vAlign w:val="bottom"/>
            <w:gridSpan w:val="2"/>
            <w:vMerge w:val="restart"/>
          </w:tcPr>
          <w:p>
            <w:pPr>
              <w:ind w:left="140"/>
              <w:spacing w:after="0"/>
              <w:rPr>
                <w:sz w:val="20"/>
                <w:szCs w:val="20"/>
                <w:color w:val="auto"/>
              </w:rPr>
            </w:pPr>
            <w:r>
              <w:rPr>
                <w:rFonts w:ascii="Arial" w:cs="Arial" w:eastAsia="Arial" w:hAnsi="Arial"/>
                <w:sz w:val="16"/>
                <w:szCs w:val="16"/>
                <w:color w:val="auto"/>
              </w:rPr>
              <w:t>Director</w:t>
            </w: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2160" w:type="dxa"/>
            <w:vAlign w:val="bottom"/>
            <w:vMerge w:val="restart"/>
          </w:tcPr>
          <w:p>
            <w:pPr>
              <w:jc w:val="center"/>
              <w:ind w:right="300"/>
              <w:spacing w:after="0"/>
              <w:rPr>
                <w:sz w:val="20"/>
                <w:szCs w:val="20"/>
                <w:color w:val="auto"/>
              </w:rPr>
            </w:pPr>
            <w:r>
              <w:rPr>
                <w:rFonts w:ascii="Arial" w:cs="Arial" w:eastAsia="Arial" w:hAnsi="Arial"/>
                <w:sz w:val="16"/>
                <w:szCs w:val="16"/>
                <w:color w:val="auto"/>
              </w:rPr>
              <w:t>Michael W. Malone</w:t>
            </w:r>
          </w:p>
        </w:tc>
        <w:tc>
          <w:tcPr>
            <w:tcW w:w="1980" w:type="dxa"/>
            <w:vAlign w:val="bottom"/>
            <w:gridSpan w:val="2"/>
            <w:vMerge w:val="continue"/>
          </w:tcPr>
          <w:p>
            <w:pPr>
              <w:spacing w:after="0"/>
              <w:rPr>
                <w:sz w:val="7"/>
                <w:szCs w:val="7"/>
                <w:color w:val="auto"/>
              </w:rPr>
            </w:pPr>
          </w:p>
        </w:tc>
        <w:tc>
          <w:tcPr>
            <w:tcW w:w="2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2"/>
        </w:trPr>
        <w:tc>
          <w:tcPr>
            <w:tcW w:w="25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w:t>
            </w:r>
          </w:p>
        </w:tc>
        <w:tc>
          <w:tcPr>
            <w:tcW w:w="1980" w:type="dxa"/>
            <w:vAlign w:val="bottom"/>
            <w:gridSpan w:val="2"/>
            <w:vMerge w:val="restart"/>
          </w:tcPr>
          <w:p>
            <w:pPr>
              <w:ind w:left="140"/>
              <w:spacing w:after="0"/>
              <w:rPr>
                <w:sz w:val="20"/>
                <w:szCs w:val="20"/>
                <w:color w:val="auto"/>
              </w:rPr>
            </w:pPr>
            <w:r>
              <w:rPr>
                <w:rFonts w:ascii="Arial" w:cs="Arial" w:eastAsia="Arial" w:hAnsi="Arial"/>
                <w:sz w:val="16"/>
                <w:szCs w:val="16"/>
                <w:color w:val="auto"/>
              </w:rPr>
              <w:t>Director</w:t>
            </w: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2160" w:type="dxa"/>
            <w:vAlign w:val="bottom"/>
            <w:vMerge w:val="restart"/>
          </w:tcPr>
          <w:p>
            <w:pPr>
              <w:jc w:val="center"/>
              <w:ind w:right="300"/>
              <w:spacing w:after="0"/>
              <w:rPr>
                <w:sz w:val="20"/>
                <w:szCs w:val="20"/>
                <w:color w:val="auto"/>
              </w:rPr>
            </w:pPr>
            <w:r>
              <w:rPr>
                <w:rFonts w:ascii="Arial" w:cs="Arial" w:eastAsia="Arial" w:hAnsi="Arial"/>
                <w:sz w:val="16"/>
                <w:szCs w:val="16"/>
                <w:color w:val="auto"/>
                <w:w w:val="99"/>
              </w:rPr>
              <w:t>K. Dillon Schickli</w:t>
            </w:r>
          </w:p>
        </w:tc>
        <w:tc>
          <w:tcPr>
            <w:tcW w:w="1980" w:type="dxa"/>
            <w:vAlign w:val="bottom"/>
            <w:gridSpan w:val="2"/>
            <w:vMerge w:val="continue"/>
          </w:tcPr>
          <w:p>
            <w:pPr>
              <w:spacing w:after="0"/>
              <w:rPr>
                <w:sz w:val="7"/>
                <w:szCs w:val="7"/>
                <w:color w:val="auto"/>
              </w:rPr>
            </w:pPr>
          </w:p>
        </w:tc>
        <w:tc>
          <w:tcPr>
            <w:tcW w:w="2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9"/>
        </w:trPr>
        <w:tc>
          <w:tcPr>
            <w:tcW w:w="2520" w:type="dxa"/>
            <w:vAlign w:val="bottom"/>
            <w:gridSpan w:val="2"/>
          </w:tcPr>
          <w:p>
            <w:pPr>
              <w:spacing w:after="0"/>
              <w:rPr>
                <w:sz w:val="20"/>
                <w:szCs w:val="20"/>
                <w:color w:val="auto"/>
              </w:rPr>
            </w:pPr>
            <w:r>
              <w:rPr>
                <w:rFonts w:ascii="Arial" w:cs="Arial" w:eastAsia="Arial" w:hAnsi="Arial"/>
                <w:sz w:val="16"/>
                <w:szCs w:val="16"/>
                <w:color w:val="auto"/>
              </w:rPr>
              <w:t>*By:  /s/ MATTHEW D. WAGNER</w:t>
            </w: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vMerge w:val="restart"/>
          </w:tcPr>
          <w:p>
            <w:pPr>
              <w:jc w:val="center"/>
              <w:ind w:right="41"/>
              <w:spacing w:after="0"/>
              <w:rPr>
                <w:sz w:val="20"/>
                <w:szCs w:val="20"/>
                <w:color w:val="auto"/>
              </w:rPr>
            </w:pPr>
            <w:r>
              <w:rPr>
                <w:rFonts w:ascii="Arial" w:cs="Arial" w:eastAsia="Arial" w:hAnsi="Arial"/>
                <w:sz w:val="16"/>
                <w:szCs w:val="16"/>
                <w:color w:val="auto"/>
              </w:rPr>
              <w:t>February 27, 2026</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2160" w:type="dxa"/>
            <w:vAlign w:val="bottom"/>
            <w:tcBorders>
              <w:top w:val="single" w:sz="8" w:color="auto"/>
            </w:tcBorders>
          </w:tcPr>
          <w:p>
            <w:pPr>
              <w:jc w:val="center"/>
              <w:ind w:right="300"/>
              <w:spacing w:after="0" w:line="157" w:lineRule="exact"/>
              <w:rPr>
                <w:sz w:val="20"/>
                <w:szCs w:val="20"/>
                <w:color w:val="auto"/>
              </w:rPr>
            </w:pPr>
            <w:r>
              <w:rPr>
                <w:rFonts w:ascii="Arial" w:cs="Arial" w:eastAsia="Arial" w:hAnsi="Arial"/>
                <w:sz w:val="16"/>
                <w:szCs w:val="16"/>
                <w:color w:val="auto"/>
              </w:rPr>
              <w:t>Matthew D. Wagner</w:t>
            </w:r>
          </w:p>
        </w:tc>
        <w:tc>
          <w:tcPr>
            <w:tcW w:w="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2160" w:type="dxa"/>
            <w:vAlign w:val="bottom"/>
          </w:tcPr>
          <w:p>
            <w:pPr>
              <w:jc w:val="center"/>
              <w:ind w:right="300"/>
              <w:spacing w:after="0"/>
              <w:rPr>
                <w:sz w:val="20"/>
                <w:szCs w:val="20"/>
                <w:color w:val="auto"/>
              </w:rPr>
            </w:pPr>
            <w:r>
              <w:rPr>
                <w:rFonts w:ascii="Arial" w:cs="Arial" w:eastAsia="Arial" w:hAnsi="Arial"/>
                <w:sz w:val="16"/>
                <w:szCs w:val="16"/>
                <w:i w:val="1"/>
                <w:iCs w:val="1"/>
                <w:color w:val="auto"/>
              </w:rPr>
              <w:t>Attorney-in-fact</w:t>
            </w: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following description of the capital stock of Camping World Holdings, Inc. (the </w:t>
      </w:r>
      <w:r>
        <w:rPr>
          <w:rFonts w:ascii="Arial" w:cs="Arial" w:eastAsia="Arial" w:hAnsi="Arial"/>
          <w:sz w:val="18"/>
          <w:szCs w:val="18"/>
          <w:color w:val="auto"/>
        </w:rPr>
        <w:t>“</w:t>
      </w:r>
      <w:r>
        <w:rPr>
          <w:rFonts w:ascii="Times New Roman" w:cs="Times New Roman" w:eastAsia="Times New Roman" w:hAnsi="Times New Roman"/>
          <w:sz w:val="18"/>
          <w:szCs w:val="18"/>
          <w:color w:val="auto"/>
        </w:rPr>
        <w:t>Company,</w:t>
      </w:r>
      <w:r>
        <w:rPr>
          <w:rFonts w:ascii="Arial" w:cs="Arial" w:eastAsia="Arial" w:hAnsi="Arial"/>
          <w:sz w:val="18"/>
          <w:szCs w:val="18"/>
          <w:color w:val="auto"/>
        </w:rPr>
        <w:t>” ”</w:t>
      </w:r>
      <w:r>
        <w:rPr>
          <w:rFonts w:ascii="Times New Roman" w:cs="Times New Roman" w:eastAsia="Times New Roman" w:hAnsi="Times New Roman"/>
          <w:sz w:val="18"/>
          <w:szCs w:val="18"/>
          <w:color w:val="auto"/>
        </w:rPr>
        <w:t>we,</w:t>
      </w:r>
      <w:r>
        <w:rPr>
          <w:rFonts w:ascii="Arial" w:cs="Arial" w:eastAsia="Arial" w:hAnsi="Arial"/>
          <w:sz w:val="18"/>
          <w:szCs w:val="18"/>
          <w:color w:val="auto"/>
        </w:rPr>
        <w:t>” ”</w:t>
      </w:r>
      <w:r>
        <w:rPr>
          <w:rFonts w:ascii="Times New Roman" w:cs="Times New Roman" w:eastAsia="Times New Roman" w:hAnsi="Times New Roman"/>
          <w:sz w:val="18"/>
          <w:szCs w:val="18"/>
          <w:color w:val="auto"/>
        </w:rPr>
        <w:t>us,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w:t>
      </w:r>
      <w:r>
        <w:rPr>
          <w:rFonts w:ascii="Arial" w:cs="Arial" w:eastAsia="Arial" w:hAnsi="Arial"/>
          <w:sz w:val="18"/>
          <w:szCs w:val="18"/>
          <w:color w:val="auto"/>
        </w:rPr>
        <w:t>“</w:t>
      </w:r>
      <w:r>
        <w:rPr>
          <w:rFonts w:ascii="Times New Roman" w:cs="Times New Roman" w:eastAsia="Times New Roman" w:hAnsi="Times New Roman"/>
          <w:sz w:val="18"/>
          <w:szCs w:val="18"/>
          <w:color w:val="auto"/>
        </w:rPr>
        <w:t>our</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certain provisions of our amended and restated certificate of incorporation, as amended (our </w:t>
      </w:r>
      <w:r>
        <w:rPr>
          <w:rFonts w:ascii="Arial" w:cs="Arial" w:eastAsia="Arial" w:hAnsi="Arial"/>
          <w:sz w:val="18"/>
          <w:szCs w:val="18"/>
          <w:color w:val="auto"/>
        </w:rPr>
        <w:t>“</w:t>
      </w:r>
      <w:r>
        <w:rPr>
          <w:rFonts w:ascii="Times New Roman" w:cs="Times New Roman" w:eastAsia="Times New Roman" w:hAnsi="Times New Roman"/>
          <w:sz w:val="18"/>
          <w:szCs w:val="18"/>
          <w:color w:val="auto"/>
        </w:rPr>
        <w:t>certificate</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amended and restated bylaws (our </w:t>
      </w:r>
      <w:r>
        <w:rPr>
          <w:rFonts w:ascii="Arial" w:cs="Arial" w:eastAsia="Arial" w:hAnsi="Arial"/>
          <w:sz w:val="18"/>
          <w:szCs w:val="18"/>
          <w:color w:val="auto"/>
        </w:rPr>
        <w:t>“</w:t>
      </w:r>
      <w:r>
        <w:rPr>
          <w:rFonts w:ascii="Times New Roman" w:cs="Times New Roman" w:eastAsia="Times New Roman" w:hAnsi="Times New Roman"/>
          <w:sz w:val="18"/>
          <w:szCs w:val="18"/>
          <w:color w:val="auto"/>
        </w:rPr>
        <w:t>bylaws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are summaries and are qualified in their entirety by reference to the full text of our amended and restated certificate of incorporation and amended and restated bylaws, each of which is filed as an exhibit to this Annual Report on Form 10-K, and applicable provisions of the General Corporation Law of the State of Delaware (the </w:t>
      </w:r>
      <w:r>
        <w:rPr>
          <w:rFonts w:ascii="Arial" w:cs="Arial" w:eastAsia="Arial" w:hAnsi="Arial"/>
          <w:sz w:val="18"/>
          <w:szCs w:val="18"/>
          <w:color w:val="auto"/>
        </w:rPr>
        <w:t>“</w:t>
      </w:r>
      <w:r>
        <w:rPr>
          <w:rFonts w:ascii="Times New Roman" w:cs="Times New Roman" w:eastAsia="Times New Roman" w:hAnsi="Times New Roman"/>
          <w:sz w:val="18"/>
          <w:szCs w:val="18"/>
          <w:color w:val="auto"/>
        </w:rPr>
        <w:t>DGCL</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certificate authorizes capital stock consisting of:</w:t>
      </w:r>
    </w:p>
    <w:p>
      <w:pPr>
        <w:spacing w:after="0" w:line="225" w:lineRule="exact"/>
        <w:rPr>
          <w:sz w:val="20"/>
          <w:szCs w:val="20"/>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250,000,000 shares of Class A common stock, par value $0.01 per share;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75,000,000 shares of Class B common stock, par value $0.0001 per share;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share of Class C common stock, par value $0.0001 per share;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of preferred stock, par value $0.01 per share.</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Certain provisions of our certificate and our bylaws summarized below may be deemed to have an anti-takeover effect and may delay or prevent a tender offer or takeover attempt that a stockholder might consider to be in its best interest, including those attempts that might result in a premium over the market price for the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Holders of shares of our Class A common stock are entitled to one vote for each share held of record on all matters submitted to a vote of the holders of Class A common stock, whether voting separately as a class or otherwise. The holders of our Class A common stock do not have cumulative voting rights in the election of directors. Holders of shares of our Class A common stock, Class B common stock and Class C common stock vote together as a single class (or, if any holders of shares of preferred stock are entitled to vote together with the holders of Common Stock, as a single class with such holders of preferred stock) on all matters presented to our stockholders for their vote or approval, except for certain amendments to our certificate described below or as otherwise required by applicable law or the certificate.</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Upon our dissolution or liquidation, after payment in full of all amounts required to be paid to creditors and to the holders of preferred stock having liquidation preferences, if any,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62" w:name="page163"/>
    <w:bookmarkEnd w:id="162"/>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holders of shares of our Class A common stock, Class B common stock and Class C common stock will be entitled to receive pro rata our remaining assets available for distribution in proportion to the number of shares held by each such stockholder; provided, that the holders of shares of Class B common stock and Class C common stock will be entitled to receive $0.01 per share, and upon receiving such amount, the holders of shares of Class B common stock and Class C common stock, as such, shall not be entitled to receive any other assets or funds of the Company.</w:t>
      </w:r>
    </w:p>
    <w:p>
      <w:pPr>
        <w:spacing w:after="0" w:line="18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Holders of shares of our Class A common stock do not have preemptive, subscription, redemption or conversion rights. There will be no redemption or sinking fund provisions applicable to the Class A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Each share of our Class B common stock entitles its holders to one vote per share on all matters submitted to a vote of the holders of Class B common stock, whether voting separately as a class or otherwise; provided that, for as long as ML Acquisition Company, LLC, a Delaware limited liability company (</w:t>
      </w:r>
      <w:r>
        <w:rPr>
          <w:rFonts w:ascii="Arial" w:cs="Arial" w:eastAsia="Arial" w:hAnsi="Arial"/>
          <w:sz w:val="18"/>
          <w:szCs w:val="18"/>
          <w:color w:val="auto"/>
        </w:rPr>
        <w:t>“</w:t>
      </w:r>
      <w:r>
        <w:rPr>
          <w:rFonts w:ascii="Times New Roman" w:cs="Times New Roman" w:eastAsia="Times New Roman" w:hAnsi="Times New Roman"/>
          <w:sz w:val="18"/>
          <w:szCs w:val="18"/>
          <w:color w:val="auto"/>
        </w:rPr>
        <w:t>ML Acquisition</w:t>
      </w:r>
      <w:r>
        <w:rPr>
          <w:rFonts w:ascii="Arial" w:cs="Arial" w:eastAsia="Arial" w:hAnsi="Arial"/>
          <w:sz w:val="18"/>
          <w:szCs w:val="18"/>
          <w:color w:val="auto"/>
        </w:rPr>
        <w:t>”</w:t>
      </w:r>
      <w:r>
        <w:rPr>
          <w:rFonts w:ascii="Times New Roman" w:cs="Times New Roman" w:eastAsia="Times New Roman" w:hAnsi="Times New Roman"/>
          <w:sz w:val="18"/>
          <w:szCs w:val="18"/>
          <w:color w:val="auto"/>
        </w:rPr>
        <w:t>), and its Permitted Transferees (as defined in the certificate) of the common units of CWGS Enterprises, LLC, a Delaware limited liability company (</w:t>
      </w:r>
      <w:r>
        <w:rPr>
          <w:rFonts w:ascii="Arial" w:cs="Arial" w:eastAsia="Arial" w:hAnsi="Arial"/>
          <w:sz w:val="18"/>
          <w:szCs w:val="18"/>
          <w:color w:val="auto"/>
        </w:rPr>
        <w:t>“</w:t>
      </w:r>
      <w:r>
        <w:rPr>
          <w:rFonts w:ascii="Times New Roman" w:cs="Times New Roman" w:eastAsia="Times New Roman" w:hAnsi="Times New Roman"/>
          <w:sz w:val="18"/>
          <w:szCs w:val="18"/>
          <w:color w:val="auto"/>
        </w:rPr>
        <w:t>CWGS LLC</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(ML Acquisition and such Permitted Transferees collectively, the </w:t>
      </w:r>
      <w:r>
        <w:rPr>
          <w:rFonts w:ascii="Arial" w:cs="Arial" w:eastAsia="Arial" w:hAnsi="Arial"/>
          <w:sz w:val="18"/>
          <w:szCs w:val="18"/>
          <w:color w:val="auto"/>
        </w:rPr>
        <w:t>“</w:t>
      </w:r>
      <w:r>
        <w:rPr>
          <w:rFonts w:ascii="Times New Roman" w:cs="Times New Roman" w:eastAsia="Times New Roman" w:hAnsi="Times New Roman"/>
          <w:sz w:val="18"/>
          <w:szCs w:val="18"/>
          <w:color w:val="auto"/>
        </w:rPr>
        <w:t>ML Related Parties</w:t>
      </w:r>
      <w:r>
        <w:rPr>
          <w:rFonts w:ascii="Arial" w:cs="Arial" w:eastAsia="Arial" w:hAnsi="Arial"/>
          <w:sz w:val="18"/>
          <w:szCs w:val="18"/>
          <w:color w:val="auto"/>
        </w:rPr>
        <w:t>”</w:t>
      </w:r>
      <w:r>
        <w:rPr>
          <w:rFonts w:ascii="Times New Roman" w:cs="Times New Roman" w:eastAsia="Times New Roman" w:hAnsi="Times New Roman"/>
          <w:sz w:val="18"/>
          <w:szCs w:val="18"/>
          <w:color w:val="auto"/>
        </w:rPr>
        <w:t>), directly or indirectly, beneficially own in the aggregate 27.5% or more of all of the outstanding common units of CWGS LLC, the shares of our Class B common stock held by the ML Related Parties entitle the ML Related Parties to the number of votes necessary such that the ML Related Parties, in the aggregate, cast 47% of the total votes eligible to be cast by all of our stockholders on all matters presented to a vote of our stockholders generally. The holders of shares of our Class B common stock do not have cumulative voting rights in the election of directors.</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Additional shares of Class B common stock may be issued only to the extent necessary to maintain a one-to-one ratio between the number of common units of CWGS LLC held by the ML Related Parties and CVRV Acquisition LLC (</w:t>
      </w:r>
      <w:r>
        <w:rPr>
          <w:rFonts w:ascii="Arial" w:cs="Arial" w:eastAsia="Arial" w:hAnsi="Arial"/>
          <w:sz w:val="18"/>
          <w:szCs w:val="18"/>
          <w:color w:val="auto"/>
        </w:rPr>
        <w:t>“</w:t>
      </w:r>
      <w:r>
        <w:rPr>
          <w:rFonts w:ascii="Times New Roman" w:cs="Times New Roman" w:eastAsia="Times New Roman" w:hAnsi="Times New Roman"/>
          <w:sz w:val="18"/>
          <w:szCs w:val="18"/>
          <w:color w:val="auto"/>
        </w:rPr>
        <w:t>Crestview</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its Permitted Transferees, </w:t>
      </w:r>
      <w:r>
        <w:rPr>
          <w:rFonts w:ascii="Arial" w:cs="Arial" w:eastAsia="Arial" w:hAnsi="Arial"/>
          <w:sz w:val="18"/>
          <w:szCs w:val="18"/>
          <w:color w:val="auto"/>
        </w:rPr>
        <w:t>“</w:t>
      </w:r>
      <w:r>
        <w:rPr>
          <w:rFonts w:ascii="Times New Roman" w:cs="Times New Roman" w:eastAsia="Times New Roman" w:hAnsi="Times New Roman"/>
          <w:sz w:val="18"/>
          <w:szCs w:val="18"/>
          <w:color w:val="auto"/>
        </w:rPr>
        <w:t>Crestview Holders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together with the ML Related Parties, the </w:t>
      </w:r>
      <w:r>
        <w:rPr>
          <w:rFonts w:ascii="Arial" w:cs="Arial" w:eastAsia="Arial" w:hAnsi="Arial"/>
          <w:sz w:val="18"/>
          <w:szCs w:val="18"/>
          <w:color w:val="auto"/>
        </w:rPr>
        <w:t>“</w:t>
      </w:r>
      <w:r>
        <w:rPr>
          <w:rFonts w:ascii="Times New Roman" w:cs="Times New Roman" w:eastAsia="Times New Roman" w:hAnsi="Times New Roman"/>
          <w:sz w:val="18"/>
          <w:szCs w:val="18"/>
          <w:color w:val="auto"/>
        </w:rPr>
        <w:t>Permitted Class B Owners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the number of shares of Class B common stock issued to the Permitted Class B Owners. Shares of Class B common stock are transferable only to the extent provided by the Amended and Restated Limited Liability Company Agreement of CWGS LLC, dated March 8, 2016 (the </w:t>
      </w:r>
      <w:r>
        <w:rPr>
          <w:rFonts w:ascii="Arial" w:cs="Arial" w:eastAsia="Arial" w:hAnsi="Arial"/>
          <w:sz w:val="18"/>
          <w:szCs w:val="18"/>
          <w:color w:val="auto"/>
        </w:rPr>
        <w:t>“</w:t>
      </w:r>
      <w:r>
        <w:rPr>
          <w:rFonts w:ascii="Times New Roman" w:cs="Times New Roman" w:eastAsia="Times New Roman" w:hAnsi="Times New Roman"/>
          <w:sz w:val="18"/>
          <w:szCs w:val="18"/>
          <w:color w:val="auto"/>
        </w:rPr>
        <w:t>LLC Agreement</w:t>
      </w:r>
      <w:r>
        <w:rPr>
          <w:rFonts w:ascii="Arial" w:cs="Arial" w:eastAsia="Arial" w:hAnsi="Arial"/>
          <w:sz w:val="18"/>
          <w:szCs w:val="18"/>
          <w:color w:val="auto"/>
        </w:rPr>
        <w:t>”</w:t>
      </w:r>
      <w:r>
        <w:rPr>
          <w:rFonts w:ascii="Times New Roman" w:cs="Times New Roman" w:eastAsia="Times New Roman" w:hAnsi="Times New Roman"/>
          <w:sz w:val="18"/>
          <w:szCs w:val="18"/>
          <w:color w:val="auto"/>
        </w:rPr>
        <w:t>) and must be transferred together with an equal number of common units of CWGS LLC.</w:t>
      </w:r>
    </w:p>
    <w:p>
      <w:pPr>
        <w:spacing w:after="0" w:line="18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Holders of our Class B common stock do not have any right to receive dividends. Additionally, holders of shares of our Class B common stock do not have preemptive, subscription, redemption or conversion rights. There are no redemption or sinking fund provisions applicable to the Class B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22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The one share of our Class C common stock entitles its holder, ML RV Group, LLC, a Delaware limited liability company (</w:t>
      </w:r>
      <w:r>
        <w:rPr>
          <w:rFonts w:ascii="Arial" w:cs="Arial" w:eastAsia="Arial" w:hAnsi="Arial"/>
          <w:sz w:val="18"/>
          <w:szCs w:val="18"/>
          <w:color w:val="auto"/>
        </w:rPr>
        <w:t>“</w:t>
      </w:r>
      <w:r>
        <w:rPr>
          <w:rFonts w:ascii="Times New Roman" w:cs="Times New Roman" w:eastAsia="Times New Roman" w:hAnsi="Times New Roman"/>
          <w:sz w:val="18"/>
          <w:szCs w:val="18"/>
          <w:color w:val="auto"/>
        </w:rPr>
        <w:t>ML RV Group</w:t>
      </w:r>
      <w:r>
        <w:rPr>
          <w:rFonts w:ascii="Arial" w:cs="Arial" w:eastAsia="Arial" w:hAnsi="Arial"/>
          <w:sz w:val="18"/>
          <w:szCs w:val="18"/>
          <w:color w:val="auto"/>
        </w:rPr>
        <w:t>”</w:t>
      </w:r>
      <w:r>
        <w:rPr>
          <w:rFonts w:ascii="Times New Roman" w:cs="Times New Roman" w:eastAsia="Times New Roman" w:hAnsi="Times New Roman"/>
          <w:sz w:val="18"/>
          <w:szCs w:val="18"/>
          <w:color w:val="auto"/>
        </w:rPr>
        <w:t>), to the number of votes necessary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589915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63" w:name="page164"/>
    <w:bookmarkEnd w:id="163"/>
    <w:p>
      <w:pPr>
        <w:spacing w:after="0" w:line="261" w:lineRule="auto"/>
        <w:rPr>
          <w:sz w:val="20"/>
          <w:szCs w:val="20"/>
          <w:color w:val="auto"/>
        </w:rPr>
      </w:pPr>
      <w:r>
        <w:rPr>
          <w:rFonts w:ascii="Times New Roman" w:cs="Times New Roman" w:eastAsia="Times New Roman" w:hAnsi="Times New Roman"/>
          <w:sz w:val="18"/>
          <w:szCs w:val="18"/>
          <w:color w:val="auto"/>
        </w:rPr>
        <w:t>that the holder casts 5% of the total votes eligible to be cast by all of our stockholders on all matters presented to our stockholders generally for as long as there is no Class C Change of Control (as defined below). Upon a Class C Change of Control, our Class C common stock shall no longer have any voting rights, such share of our Class C common stock will be cancelled for no consideration and will be retired, and we will not reissue such share of Class C common stock.</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purposes of our Class C common stock, </w:t>
      </w:r>
      <w:r>
        <w:rPr>
          <w:rFonts w:ascii="Arial" w:cs="Arial" w:eastAsia="Arial" w:hAnsi="Arial"/>
          <w:sz w:val="18"/>
          <w:szCs w:val="18"/>
          <w:color w:val="auto"/>
        </w:rPr>
        <w:t>“</w:t>
      </w:r>
      <w:r>
        <w:rPr>
          <w:rFonts w:ascii="Times New Roman" w:cs="Times New Roman" w:eastAsia="Times New Roman" w:hAnsi="Times New Roman"/>
          <w:sz w:val="18"/>
          <w:szCs w:val="18"/>
          <w:color w:val="auto"/>
        </w:rPr>
        <w:t>Class C Change of Control</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means the occurrence of any of the following events:</w:t>
      </w:r>
    </w:p>
    <w:p>
      <w:pPr>
        <w:spacing w:after="0" w:line="26" w:lineRule="exact"/>
        <w:rPr>
          <w:sz w:val="20"/>
          <w:szCs w:val="20"/>
          <w:color w:val="auto"/>
        </w:rPr>
      </w:pPr>
    </w:p>
    <w:p>
      <w:pPr>
        <w:ind w:right="100" w:firstLine="8"/>
        <w:spacing w:after="0" w:line="251" w:lineRule="auto"/>
        <w:tabs>
          <w:tab w:leader="none" w:pos="2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Arial" w:cs="Arial" w:eastAsia="Arial" w:hAnsi="Arial"/>
          <w:sz w:val="18"/>
          <w:szCs w:val="18"/>
          <w:color w:val="auto"/>
        </w:rPr>
        <w:t>“</w:t>
      </w:r>
      <w:r>
        <w:rPr>
          <w:rFonts w:ascii="Times New Roman" w:cs="Times New Roman" w:eastAsia="Times New Roman" w:hAnsi="Times New Roman"/>
          <w:sz w:val="18"/>
          <w:szCs w:val="18"/>
          <w:color w:val="auto"/>
        </w:rPr>
        <w:t>person</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or </w:t>
      </w:r>
      <w:r>
        <w:rPr>
          <w:rFonts w:ascii="Arial" w:cs="Arial" w:eastAsia="Arial" w:hAnsi="Arial"/>
          <w:sz w:val="18"/>
          <w:szCs w:val="18"/>
          <w:color w:val="auto"/>
        </w:rPr>
        <w:t>“</w:t>
      </w:r>
      <w:r>
        <w:rPr>
          <w:rFonts w:ascii="Times New Roman" w:cs="Times New Roman" w:eastAsia="Times New Roman" w:hAnsi="Times New Roman"/>
          <w:sz w:val="18"/>
          <w:szCs w:val="18"/>
          <w:color w:val="auto"/>
        </w:rPr>
        <w:t>group</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(within the meaning of Sections 13(d) and 14(d) of the Exchange Act (excluding the ML Related Parties and Crestview)) becomes the beneficial owner of securities of the Company representing more than fifty percent (50%) of the combined voting power of our then outstanding voting securities; (2) our stockholders approve a plan of complete liquidation or dissolution of the Company; (3) the merger or consolidation of the Company with any other person, other than a merger or consolidation which would result in the voting securities of the Company outstanding immediately prior thereto continuing to represent (either by remaining outstanding or by being converted into voting securities of the surviving entity) more than fifty percent (50%) of the combined voting power of the voting securities of the Company or such surviving entity outstanding immediately after such merger or consolidation; (4) we cease to be the sole managing member of CWGS LLC; or (5) the ML Related Parties directly or indirectly, beneficially own in the aggregate, less than 27.5% of all of the outstanding common units of CWGS LLC. Notwithstanding the foregoing, a </w:t>
      </w:r>
      <w:r>
        <w:rPr>
          <w:rFonts w:ascii="Arial" w:cs="Arial" w:eastAsia="Arial" w:hAnsi="Arial"/>
          <w:sz w:val="18"/>
          <w:szCs w:val="18"/>
          <w:color w:val="auto"/>
        </w:rPr>
        <w:t>“</w:t>
      </w:r>
      <w:r>
        <w:rPr>
          <w:rFonts w:ascii="Times New Roman" w:cs="Times New Roman" w:eastAsia="Times New Roman" w:hAnsi="Times New Roman"/>
          <w:sz w:val="18"/>
          <w:szCs w:val="18"/>
          <w:color w:val="auto"/>
        </w:rPr>
        <w:t>Class C Change of Control</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shall not be deemed to have occurred by virtue of the consummation of any transaction or series of integrated transactions immediately following which the record holders of the Class A common stock, Class B common stock and Class C common stock immediately prior to such transaction or series of transactions continue to have substantially the same proportionate ownership in and voting control over, and own substantially all of the shares of, an entity which owns all or substantially all of the assets of the Company immediately following such transaction or series of transactions.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 of the one share of our Class C common stock does not have cumulative voting rights in the election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one share of our Class C common stock is not transferable.</w:t>
      </w:r>
    </w:p>
    <w:p>
      <w:pPr>
        <w:spacing w:after="0" w:line="20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holder of the one share of our Class C common stock does not have any right to receive dividends. Additionally, the holder of the one share of our Class C common stock does not have preemptive, subscription, redemption or conversion rights. There are not any redemption or sinking fund provisions applicable to the Class C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of our authorized shares of preferred stock is 20,000,000 shares. We have no shares of preferred stock outstanding.</w:t>
      </w:r>
    </w:p>
    <w:p>
      <w:pPr>
        <w:spacing w:after="0" w:line="22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our certificate, our board of directors is authorized to direct us to issue shares of preferred stock in one or more series without stockholder approval. Our board of directors has the discretion to determine the powers, designations, preferences and relative,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color w:val="auto"/>
        </w:rPr>
        <w:t>participating, optional or other special rights, and qualifications, limitations or restrictions, of each series of preferred stock.</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certificate provides that unless we consent in writing to the selection of an alternative forum, the Court of Chancery of the State of Delaware will, to the fullest extent permitted by applicable law,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DGCL, as to which the DGCL confers jurisdiction on the Court of Chancery; or (iv) any action asserting a claim against us, any director or our officers or employees that is governed by the internal affairs doctrine.</w:t>
      </w:r>
    </w:p>
    <w:p>
      <w:pPr>
        <w:spacing w:after="0" w:line="18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In addition, our bylaws provide that the federal district courts of the United States are the exclusive forum for any complaint raising a cause of action arising under the Securities Act of 1933,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DGCL permits a corporation to declare and pay dividends out of </w:t>
      </w:r>
      <w:r>
        <w:rPr>
          <w:rFonts w:ascii="Arial" w:cs="Arial" w:eastAsia="Arial" w:hAnsi="Arial"/>
          <w:sz w:val="18"/>
          <w:szCs w:val="18"/>
          <w:color w:val="auto"/>
        </w:rPr>
        <w:t>“</w:t>
      </w:r>
      <w:r>
        <w:rPr>
          <w:rFonts w:ascii="Times New Roman" w:cs="Times New Roman" w:eastAsia="Times New Roman" w:hAnsi="Times New Roman"/>
          <w:sz w:val="18"/>
          <w:szCs w:val="18"/>
          <w:color w:val="auto"/>
        </w:rPr>
        <w:t>surplus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or, if there is no </w:t>
      </w:r>
      <w:r>
        <w:rPr>
          <w:rFonts w:ascii="Arial" w:cs="Arial" w:eastAsia="Arial" w:hAnsi="Arial"/>
          <w:sz w:val="18"/>
          <w:szCs w:val="18"/>
          <w:color w:val="auto"/>
        </w:rPr>
        <w:t>“</w:t>
      </w:r>
      <w:r>
        <w:rPr>
          <w:rFonts w:ascii="Times New Roman" w:cs="Times New Roman" w:eastAsia="Times New Roman" w:hAnsi="Times New Roman"/>
          <w:sz w:val="18"/>
          <w:szCs w:val="18"/>
          <w:color w:val="auto"/>
        </w:rPr>
        <w:t>surplus,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out of its net profits for the fiscal year in which the dividend is declared and/or the preceding fiscal year. </w:t>
      </w:r>
      <w:r>
        <w:rPr>
          <w:rFonts w:ascii="Arial" w:cs="Arial" w:eastAsia="Arial" w:hAnsi="Arial"/>
          <w:sz w:val="18"/>
          <w:szCs w:val="18"/>
          <w:color w:val="auto"/>
        </w:rPr>
        <w:t>“</w:t>
      </w:r>
      <w:r>
        <w:rPr>
          <w:rFonts w:ascii="Times New Roman" w:cs="Times New Roman" w:eastAsia="Times New Roman" w:hAnsi="Times New Roman"/>
          <w:sz w:val="18"/>
          <w:szCs w:val="18"/>
          <w:color w:val="auto"/>
        </w:rPr>
        <w:t>Surplus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87"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color w:val="auto"/>
        </w:rPr>
        <w:t>affecting the payment of distributions to stockholders and any other factors our board of directors may consider relevant.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certificate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authorized but unissued shares of our common stock and our preferred stock are available for future issuance without stockholder approval, subject to any limitations imposed by the listing standards of the NYSE. These additional shares may be used for a variety of corporate finance transactions, acquisitions, employee benefit plans and funding of redemptions of common units of CWGS LLC. The existence of authorized but unissued and unreserved common stock and preferred stock could make more difficult or discourage an attempt to obtain control of us by means of a proxy contest, tender offer, merger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22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certificate provides that our board of directors is divided into three classes, with the classes as nearly equal in number as possible and each class serving three-year staggered terms. Directors may only be removed from our board of directors for cause by the affirmative vote of the holders of a majority of the voting power of all of the outstanding shares of stock of the Company which are present in person or by proxy and entitled to vote thereon, except as provided in Section 2(b) of the voting agreement we entered into with ML Acquisition, entities affiliated with Crestview, and ML RV Group (the </w:t>
      </w:r>
      <w:r>
        <w:rPr>
          <w:rFonts w:ascii="Arial" w:cs="Arial" w:eastAsia="Arial" w:hAnsi="Arial"/>
          <w:sz w:val="18"/>
          <w:szCs w:val="18"/>
          <w:color w:val="auto"/>
        </w:rPr>
        <w:t>“</w:t>
      </w:r>
      <w:r>
        <w:rPr>
          <w:rFonts w:ascii="Times New Roman" w:cs="Times New Roman" w:eastAsia="Times New Roman" w:hAnsi="Times New Roman"/>
          <w:sz w:val="18"/>
          <w:szCs w:val="18"/>
          <w:color w:val="auto"/>
        </w:rPr>
        <w:t>Voting Agreement</w:t>
      </w:r>
      <w:r>
        <w:rPr>
          <w:rFonts w:ascii="Arial" w:cs="Arial" w:eastAsia="Arial" w:hAnsi="Arial"/>
          <w:sz w:val="18"/>
          <w:szCs w:val="18"/>
          <w:color w:val="auto"/>
        </w:rPr>
        <w:t>”</w:t>
      </w:r>
      <w:r>
        <w:rPr>
          <w:rFonts w:ascii="Times New Roman" w:cs="Times New Roman" w:eastAsia="Times New Roman" w:hAnsi="Times New Roman"/>
          <w:sz w:val="18"/>
          <w:szCs w:val="18"/>
          <w:color w:val="auto"/>
        </w:rPr>
        <w:t>). These provisions may have the effect of deferring, delaying or discouraging hostile takeovers, or changes in control of us or our management.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action by written consent.</w:t>
      </w:r>
    </w:p>
    <w:p>
      <w:pPr>
        <w:spacing w:after="0" w:line="22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Our certificate provides that any action required or permitted to be taken by our stockholders at an annual meeting or special meeting of stockholders may be taken without a meeting, without prior notice and without a vote, if a written consent is signed by the holders of our outstanding shares of common stock representing not less than the minimum number of votes that would be necessary to authorize such action at a meeting at which all outstanding shares of common stock entitled to vote thereon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rights of any series of Preferred Stock permitting the holders of such series of Preferred Stock to act by written consent, at such time as the ML Related Parties, directly or indirectly, beneficially own in the aggregate, less than 27.5% of all of the outstanding common units of CWGS LLC, our certificate and our bylaws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66" w:name="page167"/>
    <w:bookmarkEnd w:id="166"/>
    <w:p>
      <w:pPr>
        <w:ind w:right="20"/>
        <w:spacing w:after="0" w:line="282" w:lineRule="auto"/>
        <w:rPr>
          <w:sz w:val="20"/>
          <w:szCs w:val="20"/>
          <w:color w:val="auto"/>
        </w:rPr>
      </w:pPr>
      <w:r>
        <w:rPr>
          <w:rFonts w:ascii="Times New Roman" w:cs="Times New Roman" w:eastAsia="Times New Roman" w:hAnsi="Times New Roman"/>
          <w:sz w:val="18"/>
          <w:szCs w:val="18"/>
          <w:color w:val="auto"/>
        </w:rPr>
        <w:t>that, any action required or permitted to be taken by our stockholders at an annual meeting or special meeting of stockholders may not be taken by written consent in lieu of a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bylaws provide that a majority of our stockholders or a majority of our board of directors may call special meetings of our stockholders, and at such time as the ML Related Parties, directly or indirectly, beneficially own in the aggregate, less than 27.5% of all of the outstanding common units of CWGS LLC, our bylaws provide that, except as otherwise required by law, only a majority of our board of directors may call special meetings of our stockholders.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addition, our bylaws provide for an advance notice procedure for stockholder proposals to be brought before an annual meeting of stockholders, including proposed nominations of candidates for election to our board of directors. In order for any matter to be </w:t>
      </w:r>
      <w:r>
        <w:rPr>
          <w:rFonts w:ascii="Arial" w:cs="Arial" w:eastAsia="Arial" w:hAnsi="Arial"/>
          <w:sz w:val="18"/>
          <w:szCs w:val="18"/>
          <w:color w:val="auto"/>
        </w:rPr>
        <w:t>“</w:t>
      </w:r>
      <w:r>
        <w:rPr>
          <w:rFonts w:ascii="Times New Roman" w:cs="Times New Roman" w:eastAsia="Times New Roman" w:hAnsi="Times New Roman"/>
          <w:sz w:val="18"/>
          <w:szCs w:val="18"/>
          <w:color w:val="auto"/>
        </w:rPr>
        <w:t>properly brought</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before a meeting, a stockholder will have to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certificate of incorporation or bylaws.</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w:t>
      </w:r>
      <w:r>
        <w:rPr>
          <w:rFonts w:ascii="Arial" w:cs="Arial" w:eastAsia="Arial" w:hAnsi="Arial"/>
          <w:sz w:val="18"/>
          <w:szCs w:val="18"/>
          <w:color w:val="auto"/>
        </w:rPr>
        <w:t>’</w:t>
      </w:r>
      <w:r>
        <w:rPr>
          <w:rFonts w:ascii="Times New Roman" w:cs="Times New Roman" w:eastAsia="Times New Roman" w:hAnsi="Times New Roman"/>
          <w:sz w:val="18"/>
          <w:szCs w:val="18"/>
          <w:color w:val="auto"/>
        </w:rPr>
        <w:t>s certificate of incorporation or bylaws, unless a corporation</w:t>
      </w:r>
      <w:r>
        <w:rPr>
          <w:rFonts w:ascii="Arial" w:cs="Arial" w:eastAsia="Arial" w:hAnsi="Arial"/>
          <w:sz w:val="18"/>
          <w:szCs w:val="18"/>
          <w:color w:val="auto"/>
        </w:rPr>
        <w:t>’</w:t>
      </w:r>
      <w:r>
        <w:rPr>
          <w:rFonts w:ascii="Times New Roman" w:cs="Times New Roman" w:eastAsia="Times New Roman" w:hAnsi="Times New Roman"/>
          <w:sz w:val="18"/>
          <w:szCs w:val="18"/>
          <w:color w:val="auto"/>
        </w:rPr>
        <w:t>s certificate of incorporation or bylaws, as the case may be, requires a greater percentage. Subject to the provisions of the Voting Agreement, our bylaws may be amended or repealed by a majority vote of our board of directors or by the affirmative vote of a majority of the votes which all our stockholders would be eligible to cast in an election of directors. At such time as the ML Related Parties, directly or indirectly, beneficially own in the aggregate, less than 27.5% of all of the outstanding common units of CWGS LLC, our bylaws may be amended or repealed by a majority vote of our board of directors or by the affirmative vote of the holders of at least 66 2/3% of the votes which all our stockholders would be eligible to cast in any annual election of directors. In addition, the affirmative vote of a majority of the votes which all our stockholders would be eligible to cast in an election of directors will be required to amend or repeal or to adopt any provisions inconsistent with any of the provisions of our certificate, and any amendment of our certificate that gives holders of our Class B common stock or the holder of our Class C common stock (i) any rights to receive dividends or any other kind of distribution, (ii) any right to convert into or be exchanged for Class A common stock or (iii) any other economic rights will require, in addition to stockholder approval, the affirmative vote of the holders of a majority of shares of our Class A common stock voting separately as a class. At such time as the ML Related Parties, directly or indirectly, own in the aggregate,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616585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67" w:name="page168"/>
    <w:bookmarkEnd w:id="167"/>
    <w:p>
      <w:pPr>
        <w:ind w:right="280"/>
        <w:spacing w:after="0" w:line="266" w:lineRule="auto"/>
        <w:rPr>
          <w:sz w:val="20"/>
          <w:szCs w:val="20"/>
          <w:color w:val="auto"/>
        </w:rPr>
      </w:pPr>
      <w:r>
        <w:rPr>
          <w:rFonts w:ascii="Times New Roman" w:cs="Times New Roman" w:eastAsia="Times New Roman" w:hAnsi="Times New Roman"/>
          <w:sz w:val="18"/>
          <w:szCs w:val="18"/>
          <w:color w:val="auto"/>
        </w:rPr>
        <w:t>than 27.5% of all of the outstanding common units of CWGS LLC, the affirmative vote of the holders of at least 66 2/3% of the votes which all our stockholders would be entitled to cast in any election of directors will be required to amend or repeal or to adopt any provisions contained in our certificate described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203 of the DGCL.</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have opted out of Section 203 of the DGCL. However, our certificate contains provisions that are similar to Section 203. Specifically, our certificate provides that, subject to certain exceptions, we will not be able to engage in a </w:t>
      </w:r>
      <w:r>
        <w:rPr>
          <w:rFonts w:ascii="Arial" w:cs="Arial" w:eastAsia="Arial" w:hAnsi="Arial"/>
          <w:sz w:val="18"/>
          <w:szCs w:val="18"/>
          <w:color w:val="auto"/>
        </w:rPr>
        <w:t>“</w:t>
      </w:r>
      <w:r>
        <w:rPr>
          <w:rFonts w:ascii="Times New Roman" w:cs="Times New Roman" w:eastAsia="Times New Roman" w:hAnsi="Times New Roman"/>
          <w:sz w:val="18"/>
          <w:szCs w:val="18"/>
          <w:color w:val="auto"/>
        </w:rPr>
        <w:t>business combination</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with any </w:t>
      </w:r>
      <w:r>
        <w:rPr>
          <w:rFonts w:ascii="Arial" w:cs="Arial" w:eastAsia="Arial" w:hAnsi="Arial"/>
          <w:sz w:val="18"/>
          <w:szCs w:val="18"/>
          <w:color w:val="auto"/>
        </w:rPr>
        <w:t>“</w:t>
      </w:r>
      <w:r>
        <w:rPr>
          <w:rFonts w:ascii="Times New Roman" w:cs="Times New Roman" w:eastAsia="Times New Roman" w:hAnsi="Times New Roman"/>
          <w:sz w:val="18"/>
          <w:szCs w:val="18"/>
          <w:color w:val="auto"/>
        </w:rPr>
        <w:t>interested stockholder</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for three years following the date that the person became an interested stockholder, unless the interested stockholder attained such status with the approval of our board of directors or unless the business combination is approved by the board of directors and authorized at an annual or special meeting of stockholders by the affirmative vote of at least 66 2/3% of the outstanding shares of capital stock of the Company that is not owned by such interested stockholder. A </w:t>
      </w:r>
      <w:r>
        <w:rPr>
          <w:rFonts w:ascii="Arial" w:cs="Arial" w:eastAsia="Arial" w:hAnsi="Arial"/>
          <w:sz w:val="18"/>
          <w:szCs w:val="18"/>
          <w:color w:val="auto"/>
        </w:rPr>
        <w:t>“</w:t>
      </w:r>
      <w:r>
        <w:rPr>
          <w:rFonts w:ascii="Times New Roman" w:cs="Times New Roman" w:eastAsia="Times New Roman" w:hAnsi="Times New Roman"/>
          <w:sz w:val="18"/>
          <w:szCs w:val="18"/>
          <w:color w:val="auto"/>
        </w:rPr>
        <w:t>business combination</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includes, among other things, a merger or consolidation involving us and the </w:t>
      </w:r>
      <w:r>
        <w:rPr>
          <w:rFonts w:ascii="Arial" w:cs="Arial" w:eastAsia="Arial" w:hAnsi="Arial"/>
          <w:sz w:val="18"/>
          <w:szCs w:val="18"/>
          <w:color w:val="auto"/>
        </w:rPr>
        <w:t>“</w:t>
      </w:r>
      <w:r>
        <w:rPr>
          <w:rFonts w:ascii="Times New Roman" w:cs="Times New Roman" w:eastAsia="Times New Roman" w:hAnsi="Times New Roman"/>
          <w:sz w:val="18"/>
          <w:szCs w:val="18"/>
          <w:color w:val="auto"/>
        </w:rPr>
        <w:t>interested stockholder</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the sale of more than 10% of our assets. In general, an </w:t>
      </w:r>
      <w:r>
        <w:rPr>
          <w:rFonts w:ascii="Arial" w:cs="Arial" w:eastAsia="Arial" w:hAnsi="Arial"/>
          <w:sz w:val="18"/>
          <w:szCs w:val="18"/>
          <w:color w:val="auto"/>
        </w:rPr>
        <w:t>“</w:t>
      </w:r>
      <w:r>
        <w:rPr>
          <w:rFonts w:ascii="Times New Roman" w:cs="Times New Roman" w:eastAsia="Times New Roman" w:hAnsi="Times New Roman"/>
          <w:sz w:val="18"/>
          <w:szCs w:val="18"/>
          <w:color w:val="auto"/>
        </w:rPr>
        <w:t>interested stockholder</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is any entity or person beneficially owning 15% or more of our outstanding voting stock and any entity or person</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affiliated with or controlling or controlled by such entity or person. However, in our case, ML Acquisition and Crestview and any of their respective affiliates and any of their respective direct or indirect transferees receiving 15% or more of our outstanding voting stock will not be deemed to be interested stockholders regardless of the percentage of our outstanding voting stock owned by them, and accordingly will not be subject to such restrictions.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Our certificate and bylaws provide indemnification for our directors and officers to the fullest extent permitted by the DGCL. We have entered into indemnification agreements with each of our directors and certain of our officers that may, in some cases, be broader than the specific indemnification provisions contained under Delaware law. In addition, as permitted by Delaware law, our certificate includes provisions that eliminate the personal liability of our directors and certain officer roles for monetary damages resulting from breaches of certain fiduciary duties as a director or officer. The effect of this provision is to restrict our rights and the rights of our stockholders in derivative suits to recover monetary damages against a director or officer for certain breaches of fiduciary duties as a director or officer.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may be held not to be enforceable for violations of the federal securities laws of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Opportunity Doctrine</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 corporation or its officers, directors or stockholders. Our certificate, to the maximum extent permitted from time to time by Delaware law, renounces any interest or expectancy that we have in, or right to be offered an opportunity to participate in, specified business opportunities that are from time to time presented to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68" w:name="page169"/>
    <w:bookmarkEnd w:id="168"/>
    <w:p>
      <w:pPr>
        <w:spacing w:after="0" w:line="252" w:lineRule="auto"/>
        <w:rPr>
          <w:sz w:val="20"/>
          <w:szCs w:val="20"/>
          <w:color w:val="auto"/>
        </w:rPr>
      </w:pPr>
      <w:r>
        <w:rPr>
          <w:rFonts w:ascii="Times New Roman" w:cs="Times New Roman" w:eastAsia="Times New Roman" w:hAnsi="Times New Roman"/>
          <w:sz w:val="18"/>
          <w:szCs w:val="18"/>
          <w:color w:val="auto"/>
        </w:rPr>
        <w:t>of our officers, directors or stockholders or their respective affiliates, other than those officers, directors, stockholders or affiliates acting in their capacity as our employee or director. Our certificate provides that, to the fullest extent permitted by law, any director or stockholder who is not employed by us or our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director or stockholder, other than director or stockholder who is not employed by us or our affiliates acting in their capacity as our director or stockholder who is not employed by us or our affiliates,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To the fullest extent permitted by Delaware law, no potential transaction or business opportunity may be deemed to be a corporate opportunity of the corporation or its subsidiaries unless (a) we or our subsidiaries would be permitted to undertake such transaction or opportunity in accordance with our certificate, (b) we or our subsidiaries, at such time have sufficient financial resources to undertake such transaction or opportunity, (c) we have an interest or expectancy in such transaction or opportunity and (d) such transaction or opportunity would be in the same or similar line of our or our subsidiaries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business in which we or our subsidiaries are engaged or a line of business that is reasonably related to, or a reasonable extension of, such line of business. Our certificate does not renounce our interest in any business opportunity that is expressly offered to an employee director or employee in his or her capacity as a director or employee of the Company. To the fullest extent permitted by law, no business opportunity will be deemed to be a potential corporate opportunity for us unless we would be permitted to undertake the opportunity under our certificate, we have sufficient financial resources to undertake the opportunity and the opportunity would be in line with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 xml:space="preserve"> Rights of Appraisal and Payment</w:t>
      </w:r>
    </w:p>
    <w:p>
      <w:pPr>
        <w:spacing w:after="0" w:line="228"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Under the DGCL, with certain exceptions, our stockholders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 xml:space="preserve"> Derivative Actions</w:t>
      </w:r>
    </w:p>
    <w:p>
      <w:pPr>
        <w:spacing w:after="0" w:line="228"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w:t>
      </w:r>
      <w:r>
        <w:rPr>
          <w:rFonts w:ascii="Arial" w:cs="Arial" w:eastAsia="Arial" w:hAnsi="Arial"/>
          <w:sz w:val="18"/>
          <w:szCs w:val="18"/>
          <w:color w:val="auto"/>
        </w:rPr>
        <w:t>’</w:t>
      </w:r>
      <w:r>
        <w:rPr>
          <w:rFonts w:ascii="Times New Roman" w:cs="Times New Roman" w:eastAsia="Times New Roman" w:hAnsi="Times New Roman"/>
          <w:sz w:val="18"/>
          <w:szCs w:val="18"/>
          <w:color w:val="auto"/>
        </w:rPr>
        <w:t>s stock thereafter devolved by operation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599440</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transfer agent and registrar for our Class A common stock is Equiniti Trust Company, LLC.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Symbol and Market</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Our Class A common stock is listed on the NYSE under the symbol </w:t>
      </w:r>
      <w:r>
        <w:rPr>
          <w:rFonts w:ascii="Arial" w:cs="Arial" w:eastAsia="Arial" w:hAnsi="Arial"/>
          <w:sz w:val="18"/>
          <w:szCs w:val="18"/>
          <w:color w:val="auto"/>
        </w:rPr>
        <w:t>“</w:t>
      </w:r>
      <w:r>
        <w:rPr>
          <w:rFonts w:ascii="Times New Roman" w:cs="Times New Roman" w:eastAsia="Times New Roman" w:hAnsi="Times New Roman"/>
          <w:sz w:val="18"/>
          <w:szCs w:val="18"/>
          <w:color w:val="auto"/>
        </w:rPr>
        <w:t>CWH.</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7" w:right="1440"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CAMPING WORLD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2016 INCENTIVE AWARD PLAN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AMENDMENT TO CAMPING WORLD HOLDINGS, INC. 2016 INCENTIVE AWARD PLAN, AS AMENDED AND RESTATED EFFECTIVE MAY 15,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and adopted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Camping World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of December 2,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Capitalized terms used but not otherwise defined herein shall have the respective meanings ascribed to them in the Plan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maintains the Camping World Holdings, Inc. 2016 Incentive Award Plan (as amended and restated effective May 15, 2025,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 13.1 of the Plan, the Plan may be amended or otherwise modified from time to time by the Board;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Board desires to amend the Plan as set forth 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NOW, THEREFORE, BE IT RESOLVED, that the Plan is hereby amended as set forth herein, effective as of the Effective Date.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9"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4.6(b) of the Plan is hereby amended and restated in its entirety as follows:</w:t>
      </w:r>
    </w:p>
    <w:p>
      <w:pPr>
        <w:spacing w:after="0" w:line="225" w:lineRule="exact"/>
        <w:rPr>
          <w:sz w:val="20"/>
          <w:szCs w:val="20"/>
          <w:color w:val="auto"/>
        </w:rPr>
      </w:pPr>
    </w:p>
    <w:p>
      <w:pPr>
        <w:jc w:val="both"/>
        <w:ind w:left="9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Director Limit</w:t>
      </w:r>
      <w:r>
        <w:rPr>
          <w:rFonts w:ascii="Times New Roman" w:cs="Times New Roman" w:eastAsia="Times New Roman" w:hAnsi="Times New Roman"/>
          <w:sz w:val="18"/>
          <w:szCs w:val="18"/>
          <w:color w:val="auto"/>
        </w:rPr>
        <w:t>. Notwithstanding any provision to the contrary in the Plan or in the Non-Employee Director Equity Compensation Policy, the sum of the grant date fair value of equity-based Awards and the amount of any cash-based Awards granted to a Non-Employee Director during any calendar year shall not exceed $500,000, increased to $1,000,000 for a Non-Employee Director serving as Non-Executive Chairman of the Board at any time during any calendar year (together, the “</w:t>
      </w:r>
      <w:r>
        <w:rPr>
          <w:rFonts w:ascii="Times New Roman" w:cs="Times New Roman" w:eastAsia="Times New Roman" w:hAnsi="Times New Roman"/>
          <w:sz w:val="18"/>
          <w:szCs w:val="18"/>
          <w:u w:val="single" w:color="auto"/>
          <w:color w:val="auto"/>
        </w:rPr>
        <w:t>Director Limit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and is hereby incorporated in and forms a part of the Plan.</w:t>
      </w:r>
    </w:p>
    <w:p>
      <w:pPr>
        <w:spacing w:after="0" w:line="225" w:lineRule="exact"/>
        <w:rPr>
          <w:rFonts w:ascii="Times New Roman" w:cs="Times New Roman" w:eastAsia="Times New Roman" w:hAnsi="Times New Roman"/>
          <w:sz w:val="18"/>
          <w:szCs w:val="18"/>
          <w:color w:val="auto"/>
        </w:rPr>
      </w:pPr>
    </w:p>
    <w:p>
      <w:pPr>
        <w:ind w:left="4040" w:right="1720" w:hanging="4032"/>
        <w:spacing w:after="0" w:line="532" w:lineRule="auto"/>
        <w:tabs>
          <w:tab w:leader="none" w:pos="33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herein, all terms and provisions of the Plan shall remain in full force and effect. [</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457835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1" w:name="page172"/>
    <w:bookmarkEnd w:id="171"/>
    <w:p>
      <w:pPr>
        <w:ind w:firstLine="648"/>
        <w:spacing w:after="0" w:line="282" w:lineRule="auto"/>
        <w:rPr>
          <w:sz w:val="20"/>
          <w:szCs w:val="20"/>
          <w:color w:val="auto"/>
        </w:rPr>
      </w:pPr>
      <w:r>
        <w:rPr>
          <w:rFonts w:ascii="Times New Roman" w:cs="Times New Roman" w:eastAsia="Times New Roman" w:hAnsi="Times New Roman"/>
          <w:sz w:val="18"/>
          <w:szCs w:val="18"/>
          <w:color w:val="auto"/>
        </w:rPr>
        <w:t>I hereby certify that the foregoing Amendment was duly adopted by the Board of Directors of Camping World Holdings, Inc. on December 2, 2025.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Executed on this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day of December 2025.</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Lindsey J. Christen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Lindsey J. Christen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Chief Administrative and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0"/>
          <w:szCs w:val="20"/>
          <w:b w:val="1"/>
          <w:bCs w:val="1"/>
          <w:color w:val="auto"/>
        </w:rPr>
        <w:t>Exhibit 10.13</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CAMPING WORLD HOLDINGS, INC.</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NON-EMPLOYEE DIRECTOR COMPENSATION POLICY</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9"/>
          <w:szCs w:val="19"/>
          <w:b w:val="1"/>
          <w:bCs w:val="1"/>
          <w:color w:val="auto"/>
        </w:rPr>
        <w:t>as amended effective as of December 2, 2025)</w:t>
      </w:r>
    </w:p>
    <w:p>
      <w:pPr>
        <w:spacing w:after="0" w:line="24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Non-employee members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Camping World Holdings,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be eligible to receive cash and equity compensation as set forth in this Non-Employee Director Compensation Policy (as amended from time to time,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which was adopted effective as of October 6, 2016, and is hereby amended effective as of December 2, 2025. The cash and equity compensation described in this Policy shall be paid or be made, as applicable,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20"/>
          <w:szCs w:val="20"/>
          <w:b w:val="1"/>
          <w:bCs w:val="1"/>
          <w:i w:val="1"/>
          <w:iCs w:val="1"/>
          <w:color w:val="auto"/>
        </w:rPr>
        <w:t>Non-Employee Director</w:t>
      </w:r>
      <w:r>
        <w:rPr>
          <w:rFonts w:ascii="Times New Roman" w:cs="Times New Roman" w:eastAsia="Times New Roman" w:hAnsi="Times New Roman"/>
          <w:sz w:val="20"/>
          <w:szCs w:val="20"/>
          <w:color w:val="auto"/>
        </w:rPr>
        <w:t>”), who may be eligible to receive such cash or equity compensation, unless such Non-Employee Director declines the receipt of such cash or equity compensation by written notice to the Company. This Policy shall remain in effect until it is revised or rescinded by further action of the Board. This Policy may be amended, 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 No Non-Employee Director shall have any rights hereunder, except with respect to restricted stock units granted pursuant to this Policy.</w:t>
      </w:r>
    </w:p>
    <w:p>
      <w:pPr>
        <w:spacing w:after="0" w:line="189" w:lineRule="exact"/>
        <w:rPr>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Compensation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Retainers</w:t>
      </w:r>
      <w:r>
        <w:rPr>
          <w:rFonts w:ascii="Times New Roman" w:cs="Times New Roman" w:eastAsia="Times New Roman" w:hAnsi="Times New Roman"/>
          <w:sz w:val="20"/>
          <w:szCs w:val="20"/>
          <w:color w:val="auto"/>
        </w:rPr>
        <w:t>. Each Non-Employee Director shall receive an annual retainer of $100,000 for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on the Board.</w:t>
      </w:r>
    </w:p>
    <w:p>
      <w:pPr>
        <w:spacing w:after="0" w:line="193"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Annual Retainers</w:t>
      </w:r>
      <w:r>
        <w:rPr>
          <w:rFonts w:ascii="Times New Roman" w:cs="Times New Roman" w:eastAsia="Times New Roman" w:hAnsi="Times New Roman"/>
          <w:sz w:val="20"/>
          <w:szCs w:val="20"/>
          <w:color w:val="auto"/>
        </w:rPr>
        <w:t>. In addition, a Non-Employee Director shall receive the following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retainers:</w:t>
      </w:r>
    </w:p>
    <w:p>
      <w:pPr>
        <w:spacing w:after="0" w:line="193" w:lineRule="exact"/>
        <w:rPr>
          <w:rFonts w:ascii="Times New Roman" w:cs="Times New Roman" w:eastAsia="Times New Roman" w:hAnsi="Times New Roman"/>
          <w:sz w:val="20"/>
          <w:szCs w:val="20"/>
          <w:color w:val="auto"/>
        </w:rPr>
      </w:pPr>
    </w:p>
    <w:p>
      <w:pPr>
        <w:jc w:val="both"/>
        <w:ind w:right="20" w:firstLine="1952"/>
        <w:spacing w:after="0" w:line="249" w:lineRule="auto"/>
        <w:tabs>
          <w:tab w:leader="none" w:pos="2592"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Committee</w:t>
      </w:r>
      <w:r>
        <w:rPr>
          <w:rFonts w:ascii="Times New Roman" w:cs="Times New Roman" w:eastAsia="Times New Roman" w:hAnsi="Times New Roman"/>
          <w:sz w:val="20"/>
          <w:szCs w:val="20"/>
          <w:color w:val="auto"/>
        </w:rPr>
        <w:t>. A Non-Employee Director serving as Chairperson of the Audit Committee shall receive an additional annual retainer of $30,000 for such service. A Non-Employee Director serving as a member of the Audit Committee (other than the Chairperson) shall receive an additional annual retainer of $17,500 for such service.</w:t>
      </w:r>
    </w:p>
    <w:p>
      <w:pPr>
        <w:spacing w:after="0" w:line="179"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A Non-Employee Director serving as Chairperson of the Compensation Committee shall receive an additional annual retainer of $20,000 for such service. A Non-Employee Director serving as a member of the Compensation Committee (other than the Chairperson) shall receive an additional annual retainer of $12,500 for such service.</w:t>
      </w:r>
    </w:p>
    <w:p>
      <w:pPr>
        <w:spacing w:after="0" w:line="179"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Nominating and Corporate Governance Committee</w:t>
      </w:r>
      <w:r>
        <w:rPr>
          <w:rFonts w:ascii="Times New Roman" w:cs="Times New Roman" w:eastAsia="Times New Roman" w:hAnsi="Times New Roman"/>
          <w:sz w:val="20"/>
          <w:szCs w:val="20"/>
          <w:color w:val="auto"/>
        </w:rPr>
        <w:t>. A Non-Employee Director serving as Chairperson of the Nominating and Corporate Governance Committee shall receive an additional annual retainer of $15,000 for such service. A Non-Employee Director serving as a member of the Nominating and Corporate Governance Committee (other than the Chairperson) shall receive an additional annual retainer of $7,500 for such service.</w:t>
      </w:r>
    </w:p>
    <w:p>
      <w:pPr>
        <w:spacing w:after="0" w:line="179"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Lead Independent Director</w:t>
      </w:r>
      <w:r>
        <w:rPr>
          <w:rFonts w:ascii="Times New Roman" w:cs="Times New Roman" w:eastAsia="Times New Roman" w:hAnsi="Times New Roman"/>
          <w:sz w:val="20"/>
          <w:szCs w:val="20"/>
          <w:color w:val="auto"/>
        </w:rPr>
        <w:t>. A Non-Employee Director serving as the lead independent director shall receive an additional annual retainer of $50,000 for such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173" w:name="page174"/>
    <w:bookmarkEnd w:id="173"/>
    <w:p>
      <w:pPr>
        <w:ind w:firstLine="1952"/>
        <w:spacing w:after="0" w:line="269" w:lineRule="auto"/>
        <w:tabs>
          <w:tab w:leader="none" w:pos="2592"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Chairperson</w:t>
      </w:r>
      <w:r>
        <w:rPr>
          <w:rFonts w:ascii="Times New Roman" w:cs="Times New Roman" w:eastAsia="Times New Roman" w:hAnsi="Times New Roman"/>
          <w:sz w:val="20"/>
          <w:szCs w:val="20"/>
          <w:color w:val="auto"/>
        </w:rPr>
        <w:t>. A Non-Employee director serving as the chairperson shall receive an additional annual retainer of $100,000 for such service.</w:t>
      </w:r>
    </w:p>
    <w:p>
      <w:pPr>
        <w:spacing w:after="0" w:line="159"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Retainers</w:t>
      </w:r>
      <w:r>
        <w:rPr>
          <w:rFonts w:ascii="Times New Roman" w:cs="Times New Roman" w:eastAsia="Times New Roman" w:hAnsi="Times New Roman"/>
          <w:sz w:val="20"/>
          <w:szCs w:val="20"/>
          <w:color w:val="auto"/>
        </w:rPr>
        <w:t>. The annual retainers described in Sections 1(a) and 1(b) shall be earned on a quarterly basis based on a calendar quarter and shall be paid by the Company in arrears not later than the fifteenth day following the end of each calendar quarter. In the event a Non-Employee Director does not serve as a Non-Employee Director, or in the applicable positions described in Section 1(b), for an entire calendar quarter, such Non-Employee Director shall receive a prorated portion of the retainer(s) otherwise payable to such Non-Employee Director for such calendar quarter pursuant to Section 1(b), with such prorated portion determined by multiplying such otherwise payable retainer(s) by a fraction, the numerator of which is the number of days during which the Non-Employee Director serves as a Non-Employee Director or in the applicable positions described in Section 1(b) during the applicable calendar quarter and the denominator of which is the number of days in the applicable calendar quarter.</w:t>
      </w:r>
    </w:p>
    <w:p>
      <w:pPr>
        <w:spacing w:after="0" w:line="199" w:lineRule="exact"/>
        <w:rPr>
          <w:rFonts w:ascii="Times New Roman" w:cs="Times New Roman" w:eastAsia="Times New Roman" w:hAnsi="Times New Roman"/>
          <w:sz w:val="20"/>
          <w:szCs w:val="20"/>
          <w:color w:val="auto"/>
        </w:rPr>
      </w:pPr>
    </w:p>
    <w:p>
      <w:pPr>
        <w:jc w:val="both"/>
        <w:ind w:firstLine="656"/>
        <w:spacing w:after="0" w:line="244" w:lineRule="auto"/>
        <w:tabs>
          <w:tab w:leader="none" w:pos="129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Compensation</w:t>
      </w:r>
      <w:r>
        <w:rPr>
          <w:rFonts w:ascii="Times New Roman" w:cs="Times New Roman" w:eastAsia="Times New Roman" w:hAnsi="Times New Roman"/>
          <w:sz w:val="20"/>
          <w:szCs w:val="20"/>
          <w:color w:val="auto"/>
        </w:rPr>
        <w:t>. Effective as of May 13, 2022, Non-Employee Directors shall be granted the equity awards described below. The awards described below shall be granted under and shall be subject to the terms and provisions of the Company’s 2016 Incentive Award Plan or any other applicable Company equity incentive plan then-maintained by the Company (such plan, as may be amended from time to time, the “</w:t>
      </w:r>
      <w:r>
        <w:rPr>
          <w:rFonts w:ascii="Times New Roman" w:cs="Times New Roman" w:eastAsia="Times New Roman" w:hAnsi="Times New Roman"/>
          <w:sz w:val="20"/>
          <w:szCs w:val="20"/>
          <w:b w:val="1"/>
          <w:bCs w:val="1"/>
          <w:i w:val="1"/>
          <w:iCs w:val="1"/>
          <w:color w:val="auto"/>
        </w:rPr>
        <w:t>Equity Plan</w:t>
      </w:r>
      <w:r>
        <w:rPr>
          <w:rFonts w:ascii="Times New Roman" w:cs="Times New Roman" w:eastAsia="Times New Roman" w:hAnsi="Times New Roman"/>
          <w:sz w:val="20"/>
          <w:szCs w:val="20"/>
          <w:color w:val="auto"/>
        </w:rPr>
        <w:t>”) and shall be granted subject to the execution and delivery 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w:t>
      </w:r>
    </w:p>
    <w:p>
      <w:pPr>
        <w:spacing w:after="0" w:line="185"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RSU Awards</w:t>
      </w:r>
      <w:r>
        <w:rPr>
          <w:rFonts w:ascii="Times New Roman" w:cs="Times New Roman" w:eastAsia="Times New Roman" w:hAnsi="Times New Roman"/>
          <w:sz w:val="20"/>
          <w:szCs w:val="20"/>
          <w:color w:val="auto"/>
        </w:rPr>
        <w:t>. Each Non-Employee Director who (i) serves on the Board as of the date of any annual meeting of the Company’s stockholders (an “</w:t>
      </w:r>
      <w:r>
        <w:rPr>
          <w:rFonts w:ascii="Times New Roman" w:cs="Times New Roman" w:eastAsia="Times New Roman" w:hAnsi="Times New Roman"/>
          <w:sz w:val="20"/>
          <w:szCs w:val="20"/>
          <w:b w:val="1"/>
          <w:bCs w:val="1"/>
          <w:i w:val="1"/>
          <w:iCs w:val="1"/>
          <w:color w:val="auto"/>
        </w:rPr>
        <w:t>Annual Meeting</w:t>
      </w:r>
      <w:r>
        <w:rPr>
          <w:rFonts w:ascii="Times New Roman" w:cs="Times New Roman" w:eastAsia="Times New Roman" w:hAnsi="Times New Roman"/>
          <w:sz w:val="20"/>
          <w:szCs w:val="20"/>
          <w:color w:val="auto"/>
        </w:rPr>
        <w:t>”) on or after May 13, 2022 and (ii) will continue to serve as a Non-Employee Director immediately following such Annual Meeting shall be automatically granted, on the date of such Annual Meeting, restricted stock units that have an aggregate fair value on the date of grant of $150,000 (as determined in accordance with FASB Accounting Codification Topic 718 (“</w:t>
      </w:r>
      <w:r>
        <w:rPr>
          <w:rFonts w:ascii="Times New Roman" w:cs="Times New Roman" w:eastAsia="Times New Roman" w:hAnsi="Times New Roman"/>
          <w:sz w:val="20"/>
          <w:szCs w:val="20"/>
          <w:b w:val="1"/>
          <w:bCs w:val="1"/>
          <w:i w:val="1"/>
          <w:iCs w:val="1"/>
          <w:color w:val="auto"/>
        </w:rPr>
        <w:t>ASC 718</w:t>
      </w:r>
      <w:r>
        <w:rPr>
          <w:rFonts w:ascii="Times New Roman" w:cs="Times New Roman" w:eastAsia="Times New Roman" w:hAnsi="Times New Roman"/>
          <w:sz w:val="20"/>
          <w:szCs w:val="20"/>
          <w:color w:val="auto"/>
        </w:rPr>
        <w:t>”) and subject to adjustment as provided in the Equity Plan (the “</w:t>
      </w:r>
      <w:r>
        <w:rPr>
          <w:rFonts w:ascii="Times New Roman" w:cs="Times New Roman" w:eastAsia="Times New Roman" w:hAnsi="Times New Roman"/>
          <w:sz w:val="20"/>
          <w:szCs w:val="20"/>
          <w:b w:val="1"/>
          <w:bCs w:val="1"/>
          <w:i w:val="1"/>
          <w:iCs w:val="1"/>
          <w:color w:val="auto"/>
        </w:rPr>
        <w:t>Annual Awards</w:t>
      </w:r>
      <w:r>
        <w:rPr>
          <w:rFonts w:ascii="Times New Roman" w:cs="Times New Roman" w:eastAsia="Times New Roman" w:hAnsi="Times New Roman"/>
          <w:sz w:val="20"/>
          <w:szCs w:val="20"/>
          <w:color w:val="auto"/>
        </w:rPr>
        <w:t>”)). Additionally, a Non-Employee Director who serves on the Board as the Vice Chairperson of the Board as of the date of any Annual Meeting and will continue to serve as the Vice Chairperson of the Board immediately following such Annual Meeting shall be automatically granted, on the date of such Annual Meeting, additional restricted stock units that have an aggregate fair value on the date of grant of $100,000 (as determined in accordance with ASC 718 and subject to adjustment as provided in the Equity Plan).</w:t>
      </w:r>
    </w:p>
    <w:p>
      <w:pPr>
        <w:spacing w:after="0" w:line="192"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Awards</w:t>
      </w:r>
      <w:r>
        <w:rPr>
          <w:rFonts w:ascii="Times New Roman" w:cs="Times New Roman" w:eastAsia="Times New Roman" w:hAnsi="Times New Roman"/>
          <w:sz w:val="20"/>
          <w:szCs w:val="20"/>
          <w:color w:val="auto"/>
        </w:rPr>
        <w:t>. Except as otherwise determined by the Board, each Non-Employee Director who is initially elected or appointed to the Board after May 13, 2022 on any date other than the date of an Annual Meeting shall be automatically granted, on the date of such Non-Employee Director’s initial election or appointment (such Non-Employee Director’s “</w:t>
      </w:r>
      <w:r>
        <w:rPr>
          <w:rFonts w:ascii="Times New Roman" w:cs="Times New Roman" w:eastAsia="Times New Roman" w:hAnsi="Times New Roman"/>
          <w:sz w:val="20"/>
          <w:szCs w:val="20"/>
          <w:b w:val="1"/>
          <w:bCs w:val="1"/>
          <w:i w:val="1"/>
          <w:iCs w:val="1"/>
          <w:color w:val="auto"/>
        </w:rPr>
        <w:t>Start Date</w:t>
      </w:r>
      <w:r>
        <w:rPr>
          <w:rFonts w:ascii="Times New Roman" w:cs="Times New Roman" w:eastAsia="Times New Roman" w:hAnsi="Times New Roman"/>
          <w:sz w:val="20"/>
          <w:szCs w:val="20"/>
          <w:color w:val="auto"/>
        </w:rPr>
        <w:t>”), restricted stock units that have an aggregate fair value on such Non-Employee Director’s Start Date equal to the product of (i) $150,000 (as determined in accordance with ASC 718) and (ii) a fraction, the numerator of which is (x) 365 minus (y) the number of days in the period beginning on the date of the Annual Meeting immediately preceding such Non-Employee Director’s Start Date and ending on such Non-Employee Director’s Start Date and the denominator of which is 365 (with the number of units or shares of Common Stock underlying each such award subject to adjustment as provided in the Equity Plan in each case). The awards described in this Section 2(b) shall be referred to as “</w:t>
      </w:r>
      <w:r>
        <w:rPr>
          <w:rFonts w:ascii="Times New Roman" w:cs="Times New Roman" w:eastAsia="Times New Roman" w:hAnsi="Times New Roman"/>
          <w:sz w:val="20"/>
          <w:szCs w:val="20"/>
          <w:b w:val="1"/>
          <w:bCs w:val="1"/>
          <w:i w:val="1"/>
          <w:iCs w:val="1"/>
          <w:color w:val="auto"/>
        </w:rPr>
        <w:t>Initial Awards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For the avoidance of doubt, no Non-Employee Director shall be granted more than one Initial Award.</w:t>
      </w:r>
    </w:p>
    <w:p>
      <w:pPr>
        <w:spacing w:after="0" w:line="192"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 of Employee Directors</w:t>
      </w:r>
      <w:r>
        <w:rPr>
          <w:rFonts w:ascii="Times New Roman" w:cs="Times New Roman" w:eastAsia="Times New Roman" w:hAnsi="Times New Roman"/>
          <w:sz w:val="20"/>
          <w:szCs w:val="20"/>
          <w:color w:val="auto"/>
        </w:rPr>
        <w:t>. Members of the Board who are employees of the Company or any parent or subsidiary of the Company who subsequently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74" w:name="page175"/>
    <w:bookmarkEnd w:id="174"/>
    <w:p>
      <w:pPr>
        <w:jc w:val="both"/>
        <w:spacing w:after="0" w:line="249" w:lineRule="auto"/>
        <w:rPr>
          <w:sz w:val="20"/>
          <w:szCs w:val="20"/>
          <w:color w:val="auto"/>
        </w:rPr>
      </w:pPr>
      <w:r>
        <w:rPr>
          <w:rFonts w:ascii="Times New Roman" w:cs="Times New Roman" w:eastAsia="Times New Roman" w:hAnsi="Times New Roman"/>
          <w:sz w:val="20"/>
          <w:szCs w:val="20"/>
          <w:color w:val="auto"/>
        </w:rPr>
        <w:t>their employment with the Company and any parent or subsidiary of the Company and remain on the Board will not receive an Initial Award pursuant to Section 2(b) above, but to the extent that they are otherwise eligible, will be eligible to receive, after termination from service with the Company and any parent or subsidiary of the Company, Annual Awards as described in Section 2(a) above.</w:t>
      </w:r>
    </w:p>
    <w:p>
      <w:pPr>
        <w:spacing w:after="0" w:line="180" w:lineRule="exact"/>
        <w:rPr>
          <w:sz w:val="20"/>
          <w:szCs w:val="20"/>
          <w:color w:val="auto"/>
        </w:rPr>
      </w:pPr>
    </w:p>
    <w:p>
      <w:pPr>
        <w:jc w:val="both"/>
        <w:ind w:firstLine="1304"/>
        <w:spacing w:after="0" w:line="244" w:lineRule="auto"/>
        <w:tabs>
          <w:tab w:leader="none" w:pos="19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of Awards Granted to Non-Employee Directors</w:t>
      </w:r>
      <w:r>
        <w:rPr>
          <w:rFonts w:ascii="Times New Roman" w:cs="Times New Roman" w:eastAsia="Times New Roman" w:hAnsi="Times New Roman"/>
          <w:sz w:val="20"/>
          <w:szCs w:val="20"/>
          <w:color w:val="auto"/>
        </w:rPr>
        <w:t>. Each Initial Award and Annual Award (collectively, the “</w:t>
      </w:r>
      <w:r>
        <w:rPr>
          <w:rFonts w:ascii="Times New Roman" w:cs="Times New Roman" w:eastAsia="Times New Roman" w:hAnsi="Times New Roman"/>
          <w:sz w:val="20"/>
          <w:szCs w:val="20"/>
          <w:b w:val="1"/>
          <w:bCs w:val="1"/>
          <w:i w:val="1"/>
          <w:iCs w:val="1"/>
          <w:color w:val="auto"/>
        </w:rPr>
        <w:t>Awards</w:t>
      </w:r>
      <w:r>
        <w:rPr>
          <w:rFonts w:ascii="Times New Roman" w:cs="Times New Roman" w:eastAsia="Times New Roman" w:hAnsi="Times New Roman"/>
          <w:sz w:val="20"/>
          <w:szCs w:val="20"/>
          <w:color w:val="auto"/>
        </w:rPr>
        <w:t>”) shall vest on the first anniversary of the date of grant, subject in each case to the Non-Employee Director continuing in service through such vesting date. All of a Non-Employee Director’s Awards shall vest in full on the date such Non-Employee Director’s service is terminated due to a failure to be reelected, to the extent outstanding on the last date of such Non-Employee Director’s service on the Board. All of a Non-Employee Director’s Awards shall vest in full immediately prior to the occurrence of a Change in Control (as defined in the Equity Plan), to the extent outstanding at such time.</w:t>
      </w:r>
    </w:p>
    <w:p>
      <w:pPr>
        <w:spacing w:after="0" w:line="190" w:lineRule="exact"/>
        <w:rPr>
          <w:rFonts w:ascii="Times New Roman" w:cs="Times New Roman" w:eastAsia="Times New Roman" w:hAnsi="Times New Roman"/>
          <w:sz w:val="20"/>
          <w:szCs w:val="20"/>
          <w:color w:val="auto"/>
        </w:rPr>
      </w:pPr>
    </w:p>
    <w:p>
      <w:pPr>
        <w:ind w:left="4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75" w:name="page176"/>
    <w:bookmarkEnd w:id="175"/>
    <w:p>
      <w:pPr>
        <w:ind w:left="8700"/>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AMENDED AND RESTATED EMPLOYMENT AGREEMENT</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THIS SECOND AMENDED AND RESTATED EMPLOYMENT AGREEMENT (this “Agreement”) is entered into as of December 7, 2025 and effective as of January 1, 2026 (the “Effective Date”), by and between Marcus Lemonis (“Employee”), Camping World Holdings, Inc., a Delaware corporation (“Camping World”), and CWGS Enterprises, LLC, a Delaware limited liability company (the “Partnership” and, together with Camping World and any of the Affiliates of Camping World and the Partnership as may employ the Employee from time to time, and any successor(s) thereto, the “Company”).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Employee is currently employed by the Company as its Chairman and Chief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pursuant to the terms of that certain Amended and Restated Employment Agreement by and between Employee and the Company, dated as of January 1, 2025 (the “Prior Agreement”);</w:t>
      </w:r>
    </w:p>
    <w:p>
      <w:pPr>
        <w:spacing w:after="0" w:line="1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to continue to employ Employee as Co-Founder and Special Advisor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terms set forth in this Agreement, and Employee desires to be employed by Company pursuant to the terms and conditions of this Agreement; and</w:t>
      </w:r>
    </w:p>
    <w:p>
      <w:pPr>
        <w:spacing w:after="0" w:line="16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Employee desire to amend and restate the Prior Agreement, effective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Effective Date.</w:t>
      </w:r>
    </w:p>
    <w:p>
      <w:pPr>
        <w:spacing w:after="0" w:line="15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good and valuable consideration, the receipt and sufficiency of which is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acknowledged, the parties agree as follows:</w:t>
      </w:r>
    </w:p>
    <w:p>
      <w:pPr>
        <w:spacing w:after="0" w:line="154" w:lineRule="exact"/>
        <w:rPr>
          <w:sz w:val="20"/>
          <w:szCs w:val="20"/>
          <w:color w:val="auto"/>
        </w:rPr>
      </w:pPr>
    </w:p>
    <w:p>
      <w:pPr>
        <w:jc w:val="both"/>
        <w:ind w:firstLine="8"/>
        <w:spacing w:after="0" w:line="235" w:lineRule="auto"/>
        <w:tabs>
          <w:tab w:leader="none" w:pos="64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The Company agrees to continue to employ Employee as Co-Founder and Special Advisor on the terms and conditions set forth in this Agreement and Employee agrees to accept such continued employment and agrees to perform the services and duties for the Company as herein provided for the period and upon the other terms and conditions set forth in this Agreement. Employee shall be subject to the direction of the Company’s Board of Directors (the “Board”) and the individual who succeeds Employee as Chief Executive Officer. Employee and the Company agree and acknowledge that Employee shall hereby resign and cease to hold any and all positions as an officer or director of the Company and any of its subsidiaries and affiliates as of 11:59 p.m. Eastern Time on December 31, 2025.</w:t>
      </w:r>
    </w:p>
    <w:p>
      <w:pPr>
        <w:spacing w:after="0" w:line="178" w:lineRule="exact"/>
        <w:rPr>
          <w:rFonts w:ascii="Times New Roman" w:cs="Times New Roman" w:eastAsia="Times New Roman" w:hAnsi="Times New Roman"/>
          <w:sz w:val="22"/>
          <w:szCs w:val="22"/>
          <w:color w:val="auto"/>
        </w:rPr>
      </w:pPr>
    </w:p>
    <w:p>
      <w:pPr>
        <w:jc w:val="both"/>
        <w:ind w:firstLine="8"/>
        <w:spacing w:after="0" w:line="235" w:lineRule="auto"/>
        <w:tabs>
          <w:tab w:leader="none" w:pos="64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Subject to earlier termination of Employee’s employment pursuant to Section 7 below, the term of Employee’s employment hereunder shall be for a period commencing as of the Effective Date and ending on December 31, 2026, unless otherwise mutually agreed by Employee and the Company; provided, further, that Employee’s employment under this Agreement may be terminated at any time pursuant to the provisions of Section 7. The period of time from the Effective Date through the termination of this Agreement and Employee’s employment hereunder pursuant to its terms is herein referred to as the “Term.” For purposes of this Agreement, an expiration of the Term on December 31, 2026, or such other extended date mutually agreed to by Employee and the Company in accordance with this Section 2, shall constitute a termination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1039495</wp:posOffset>
            </wp:positionV>
            <wp:extent cx="629221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76" w:name="page177"/>
    <w:bookmarkEnd w:id="176"/>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without Cause (and for the avoidance of doubt, in no event shall a termination of employment by the Company or by Employee pursuant to Section 7.01(a) – (f) prior to such date be considered an expiration of the Term).</w:t>
      </w:r>
    </w:p>
    <w:p>
      <w:pPr>
        <w:spacing w:after="0" w:line="173"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3.01 </w:t>
      </w:r>
      <w:r>
        <w:rPr>
          <w:rFonts w:ascii="Times New Roman" w:cs="Times New Roman" w:eastAsia="Times New Roman" w:hAnsi="Times New Roman"/>
          <w:sz w:val="22"/>
          <w:szCs w:val="22"/>
          <w:u w:val="single" w:color="auto"/>
          <w:color w:val="auto"/>
        </w:rPr>
        <w:t>Title</w:t>
      </w:r>
      <w:r>
        <w:rPr>
          <w:rFonts w:ascii="Times New Roman" w:cs="Times New Roman" w:eastAsia="Times New Roman" w:hAnsi="Times New Roman"/>
          <w:sz w:val="22"/>
          <w:szCs w:val="22"/>
          <w:color w:val="auto"/>
        </w:rPr>
        <w:t>. During the Term, Employee agrees to serve as Co-Founder and Special Advisor and undertake such additional duties as may be directed by the individual who succeeds Employee as Chief Executive Officer or the Board.</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3.02</w:t>
      </w:r>
      <w:r>
        <w:rPr>
          <w:sz w:val="20"/>
          <w:szCs w:val="20"/>
          <w:color w:val="auto"/>
        </w:rPr>
        <w:tab/>
      </w:r>
      <w:r>
        <w:rPr>
          <w:rFonts w:ascii="Times New Roman" w:cs="Times New Roman" w:eastAsia="Times New Roman" w:hAnsi="Times New Roman"/>
          <w:sz w:val="21"/>
          <w:szCs w:val="21"/>
          <w:u w:val="single" w:color="auto"/>
          <w:color w:val="auto"/>
        </w:rPr>
        <w:t>Duties; Location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51" w:lineRule="auto"/>
        <w:tabs>
          <w:tab w:leader="none" w:pos="1944"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Term, Employee shall, when and if requested by the Board or the individual who succeeds Employee as Chief Executive Officer, (i) continue to advise the Company as an employee advisor, and (ii) perform other transition-related duties, including using Employee’s reasonable efforts to advance the interests of the Company and facilitate the successful transition of his responsibilities in whatever reasonable capacity may be requested by the Board or the individual who succeeds Employee as Chief Executive Officer.</w:t>
      </w:r>
    </w:p>
    <w:p>
      <w:pPr>
        <w:spacing w:after="0" w:line="168" w:lineRule="exact"/>
        <w:rPr>
          <w:rFonts w:ascii="Times New Roman" w:cs="Times New Roman" w:eastAsia="Times New Roman" w:hAnsi="Times New Roman"/>
          <w:sz w:val="21"/>
          <w:szCs w:val="21"/>
          <w:color w:val="auto"/>
        </w:rPr>
      </w:pPr>
    </w:p>
    <w:p>
      <w:pPr>
        <w:jc w:val="both"/>
        <w:ind w:firstLine="1304"/>
        <w:spacing w:after="0" w:line="238" w:lineRule="auto"/>
        <w:tabs>
          <w:tab w:leader="none" w:pos="194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be permitted to perform Employee’s duties under this Agreement remotely, subject to reasonable business travel to the Company’s offices and elsewhere as necessitated by Employee’s duties or as reasonably requested by the Chief Executive Officer or the Board from time to time; provided that Employee is given reasonable advance notice of such business travel and the Company uses reasonable efforts to schedule such business travel to accommodate Employee’s business or personal affairs.</w:t>
      </w:r>
    </w:p>
    <w:p>
      <w:pPr>
        <w:spacing w:after="0" w:line="17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4.01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of this Agreement, the Company shall pay to Employee a base annual salary of One Million and Five Hundred Thousand and No/100 Dollars ($1,500,000) (“Base Salary”), which salary shall be paid in accordance with the Company’s normal payroll procedures and policies.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4.02</w:t>
      </w:r>
      <w:r>
        <w:rPr>
          <w:sz w:val="20"/>
          <w:szCs w:val="20"/>
          <w:color w:val="auto"/>
        </w:rPr>
        <w:tab/>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46" w:lineRule="auto"/>
        <w:tabs>
          <w:tab w:leader="none" w:pos="1296"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each fiscal year during the Term, commencing with fiscal year 2026, Employee shall receive an annual bonus in an amount equal to 150% of Employee’s Base Salary (the “Annual Bonus”). The Annual Bonus shall be payable no later than December 31 of the applicable year to which such Annual Bonus relates in the form of fully vested shares of the Company’s Class A common stock with a fair market value on the date of issuance equal to the amount of such Annual Bonus issued under the Camping World Holdings, Inc. 2016 Incentive Award Plan (as amended from time to time, the “2016 Plan”) or any successor equity plan, unless Employee provides written notice to the Company no later than December 1 of the applicable year to which such Annual Bonus relates that such Annual Bonus should be payable in cash; provided that the final form of payment of such Annual Bonus shall in all events be subject to approval by the Company’s Board or the Compensation Committee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7" w:name="page178"/>
    <w:bookmarkEnd w:id="177"/>
    <w:p>
      <w:pPr>
        <w:jc w:val="both"/>
        <w:ind w:firstLine="656"/>
        <w:spacing w:after="0" w:line="249" w:lineRule="auto"/>
        <w:tabs>
          <w:tab w:leader="none" w:pos="1296"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Employee shall remain eligible to receive an annual bonus (the “2025 Annual Bonus”) for fiscal year 2025 in accordance with the Company’s annual bonus program and applicable performance objectives established by the Company’s Board or the Compensation Committee thereof with respect to such year, which shall be paid no later than March 15, 2026. Such 2025 Annual Bonus shall be paid in the form of fully vested shares of the Company’s Class A common stock with a fair market value on the date of issuance equal to the amount of such 2025 Annual Bonus issued under the 2016 Plan or any successor equity plan.</w:t>
      </w:r>
    </w:p>
    <w:p>
      <w:pPr>
        <w:spacing w:after="0" w:line="171" w:lineRule="exact"/>
        <w:rPr>
          <w:sz w:val="20"/>
          <w:szCs w:val="20"/>
          <w:color w:val="auto"/>
        </w:rPr>
      </w:pPr>
    </w:p>
    <w:p>
      <w:pPr>
        <w:jc w:val="both"/>
        <w:ind w:firstLine="656"/>
        <w:spacing w:after="0" w:line="235" w:lineRule="auto"/>
        <w:tabs>
          <w:tab w:leader="none" w:pos="129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Annual Bonus or the 2025 Annual Bonus will be paid in the form of shares of the Company’s Class A Common Stock, in the event Employee fails to provide timely payment of all applicable tax withholding arising as a result of such payment, the Company shall have the right and option, but not the obligation, to treat such failure as an election by Employee to satisfy all of Employee’s required tax withholding obligation by withholding a net number of vested shares of Class A common stock otherwise issuable to Employee having a then current fair market value not exceeding the amount necessary to satisfy the applicable required tax withholding obligation based on the maximum statutory withholding rates for Employee’s applicable jurisdictions for federal, state, local and foreign income tax and payroll tax purposes.</w:t>
      </w:r>
    </w:p>
    <w:p>
      <w:pPr>
        <w:spacing w:after="0" w:line="17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4.03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Employee may participate in all employee benefit plans or programs of Company consistent with such plans and programs of the Company. The Company does not guarantee the adoption or continuance of any particular employee benefit plan or program during the term of this Agreement, and Employee’s participation in any such plan or program shall be subject to the provisions, rules and regulations applicable thereto.</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4.04 </w:t>
      </w:r>
      <w:r>
        <w:rPr>
          <w:rFonts w:ascii="Times New Roman" w:cs="Times New Roman" w:eastAsia="Times New Roman" w:hAnsi="Times New Roman"/>
          <w:sz w:val="22"/>
          <w:szCs w:val="22"/>
          <w:u w:val="single" w:color="auto"/>
          <w:color w:val="auto"/>
        </w:rPr>
        <w:t>Expenses; Contributions</w:t>
      </w:r>
      <w:r>
        <w:rPr>
          <w:rFonts w:ascii="Times New Roman" w:cs="Times New Roman" w:eastAsia="Times New Roman" w:hAnsi="Times New Roman"/>
          <w:sz w:val="22"/>
          <w:szCs w:val="22"/>
          <w:color w:val="auto"/>
        </w:rPr>
        <w:t>. Company agrees to reimburse all reasonable business expenses incurred by Employee consistent with the Company’s policies regarding reimbursement in the performance of Employee’s duties under this Agreement.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4.05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Reserved.]</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4.06 </w:t>
      </w:r>
      <w:r>
        <w:rPr>
          <w:rFonts w:ascii="Times New Roman" w:cs="Times New Roman" w:eastAsia="Times New Roman" w:hAnsi="Times New Roman"/>
          <w:sz w:val="22"/>
          <w:szCs w:val="22"/>
          <w:u w:val="single" w:color="auto"/>
          <w:color w:val="auto"/>
        </w:rPr>
        <w:t>Vacation and Sick leave</w:t>
      </w:r>
      <w:r>
        <w:rPr>
          <w:rFonts w:ascii="Times New Roman" w:cs="Times New Roman" w:eastAsia="Times New Roman" w:hAnsi="Times New Roman"/>
          <w:sz w:val="22"/>
          <w:szCs w:val="22"/>
          <w:color w:val="auto"/>
        </w:rPr>
        <w:t>. The Employee shall be entitled to vacation during each year of employment consistent with senior executives of the Company. The Employee shall be entitled to sick leave and holidays in accordance with the policy of the Company as to its employees.</w:t>
      </w:r>
    </w:p>
    <w:p>
      <w:pPr>
        <w:spacing w:after="0" w:line="17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4.07 </w:t>
      </w:r>
      <w:r>
        <w:rPr>
          <w:rFonts w:ascii="Times New Roman" w:cs="Times New Roman" w:eastAsia="Times New Roman" w:hAnsi="Times New Roman"/>
          <w:sz w:val="22"/>
          <w:szCs w:val="22"/>
          <w:u w:val="single" w:color="auto"/>
          <w:color w:val="auto"/>
        </w:rPr>
        <w:t>Indemnification and Additional Insurance</w:t>
      </w:r>
      <w:r>
        <w:rPr>
          <w:rFonts w:ascii="Times New Roman" w:cs="Times New Roman" w:eastAsia="Times New Roman" w:hAnsi="Times New Roman"/>
          <w:sz w:val="22"/>
          <w:szCs w:val="22"/>
          <w:color w:val="auto"/>
        </w:rPr>
        <w:t>. The Company shall indemnify Employee with respect to matters relating to Employee’s services as an officer and director of the Company, or any of the entities directly or indirectly owned or controlled by, or under common ownership or control with, the Company (“Affiliates”), occurring during the course and scope of Employee’s employment or service with the Company to the extent and pursuant to the provisions in the Delaware law. The foregoing indemnity is contractual and will survive any adverse amendment to or repeal of this Agreement. The Company will also cover Employee under a policy of officers’ and directors’ liability insurance providing coverage that is comparable to that provided now or hereafter to other senior executives of the Company. The provisions of this Section will survive the termination of this Agreement for any reason. In furtherance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8" w:name="page179"/>
    <w:bookmarkEnd w:id="178"/>
    <w:p>
      <w:pPr>
        <w:ind w:right="20"/>
        <w:spacing w:after="0" w:line="258" w:lineRule="auto"/>
        <w:rPr>
          <w:sz w:val="20"/>
          <w:szCs w:val="20"/>
          <w:color w:val="auto"/>
        </w:rPr>
      </w:pPr>
      <w:r>
        <w:rPr>
          <w:rFonts w:ascii="Times New Roman" w:cs="Times New Roman" w:eastAsia="Times New Roman" w:hAnsi="Times New Roman"/>
          <w:sz w:val="22"/>
          <w:szCs w:val="22"/>
          <w:color w:val="auto"/>
        </w:rPr>
        <w:t>foregoing, the Company and Employee have entered into that certain Indemnification Agreement dated January 1, 2025 and attached hereto as Exhibit A (the “Indemnification Agreement”).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4.08</w:t>
      </w:r>
      <w:r>
        <w:rPr>
          <w:sz w:val="20"/>
          <w:szCs w:val="20"/>
          <w:color w:val="auto"/>
        </w:rPr>
        <w:tab/>
      </w:r>
      <w:r>
        <w:rPr>
          <w:rFonts w:ascii="Times New Roman" w:cs="Times New Roman" w:eastAsia="Times New Roman" w:hAnsi="Times New Roman"/>
          <w:sz w:val="21"/>
          <w:szCs w:val="21"/>
          <w:u w:val="single" w:color="auto"/>
          <w:color w:val="auto"/>
        </w:rPr>
        <w:t>Equity Awards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8" w:lineRule="auto"/>
        <w:tabs>
          <w:tab w:leader="none" w:pos="1944"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December 15, 2025, subject to Employee’s execution of this Agreement prior to such date, (i) the restricted stock units previously granted to Employee under the 2016 Plan which remain outstanding and unvested as of such date will accelerate and vest in full and will be settled in accordance with the terms of the applicable award agreement and (ii) the performance-based stock units previously granted to Employee under the 2016 Plan will remain outstanding and eligible to vest in accordance with their terms.</w:t>
      </w:r>
    </w:p>
    <w:p>
      <w:pPr>
        <w:spacing w:after="0" w:line="176"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the Agreement, Employee shall no longer be eligible for additional equity awards pursuant to the 2016 Plan or any successor equity plan.</w:t>
      </w:r>
    </w:p>
    <w:p>
      <w:pPr>
        <w:spacing w:after="0" w:line="15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and Proprietary Information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5.01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During the Term and at all times thereafter, Employee shall not divulge, furnish or make accessible to anyone or use in any way (other than in the ordinary course of the business of the Company or any of its Affiliates) any confidential or secret knowledge or information of the Company or any of its Affiliates which Employee has acquired or become acquainted with prior to the termination of the period of his employment by the Company (including employment by the Company or any affiliated companies prior to the date of this Agreement), whether developed by himself or by others, including, without limitation, any trade secrets, confidential or secret designs, processes, formulae, plans, devices or material (whether or not patented or patentable) directly or indirectly useful in any aspect of the business of the Company or any of the Affiliates, any customer or supplier lists of the Company or any of the Affiliates, any confidential or secret development or research work of the Company or any of the Affiliates, or any other confidential information or secret aspect of the business of the Company or any of the Affiliates (collectively, “Confidential Information”). Employee acknowledges that (a) the Company and its Affiliates have expended and shall continue to expend substantial amounts of time, money and effort to develop business strategies, employee and customer relationships and goodwill and build an effective organization, (b) Employee is and shall become familiar with the Company’s and its Affiliate’s Confidential Information, including trade secrets, and that Employee’s services are of special, unique and extraordinary value to the Company and its Affiliates, (c) the above-described knowledge or information constitutes a unique and valuable asset of the Company and its Affiliates and the Company and its Affiliates have a legitimate business interest and right in protecting its Confidential Information, business strategies, employee and customer relationships and goodwill and (d) any disclosure or other use of such knowledge or information other than for the sole benefit of the Company and any of the Affiliates would be wrongful and would cause irreparable harm to the Company and any of the Affiliates. However, the foregoing shall not apply to any knowledge or information which is now published, or which subsequently becomes generally publicly known in the form in which it was obtained from the Company or any of the Affiliates, other than as a direct or indirect result of the breach of this Agreement by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9" w:name="page180"/>
    <w:bookmarkEnd w:id="179"/>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5.02 </w:t>
      </w:r>
      <w:r>
        <w:rPr>
          <w:rFonts w:ascii="Times New Roman" w:cs="Times New Roman" w:eastAsia="Times New Roman" w:hAnsi="Times New Roman"/>
          <w:sz w:val="22"/>
          <w:szCs w:val="22"/>
          <w:u w:val="single" w:color="auto"/>
          <w:color w:val="auto"/>
        </w:rPr>
        <w:t>Proprietary Information</w:t>
      </w:r>
      <w:r>
        <w:rPr>
          <w:rFonts w:ascii="Times New Roman" w:cs="Times New Roman" w:eastAsia="Times New Roman" w:hAnsi="Times New Roman"/>
          <w:sz w:val="22"/>
          <w:szCs w:val="22"/>
          <w:color w:val="auto"/>
        </w:rPr>
        <w:t>. (a) Employee agrees that the results and proceeds of Employee’s services for the Company or its Affiliates (including, but not limited to,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while an employee of the Company and any works in progress, whether or not patentable or registrable under copyright or similar statutes, that were made, developed, conceived or reduced to practice or learned by Employee, either alone or jointly with others (collectively, “Inventions”), shall be works-made-for-hire and the Company (or, if applicable or as directed by the Company or any of its Affiliates) shall be deemed the sole owner throughout the universe of any and all trade secret, patent, copyright and other intellectual property rights (collectively, “Proprietary Rights”) of whatsoever nature therein, whether or not now or hereafter known, existing, contemplated, recognized or developed, with the right to use the same in perpetuity in any manner the Company determines in its sole discretion, without any further payment to Employee whatsoever. If, for any reason, any of such results and proceeds shall not legally be a work-made-for-hire and/or there are any Proprietary Rights which do not accrue to the Company (or, as the case may be, any of its Affiliates) under the immediately preceding sentence, then Employee hereby irrevocably assigns and agrees to assign any and all of Employee’s right, title and interest thereto, including any and all Proprietary Rights of whatsoever nature therein, whether or not now or hereafter known, existing, contemplated, recognized or developed, to the Company (or, if applicable or as directed by the Company or any of its Affiliates), and the Company or its Affiliates shall have the right to use the same in perpetuity throughout the universe in any manner determined by the Company or such Affiliates without any further payment to Employee whatsoever. As to any Invention that Employee is required to assign, Employee shall promptly and fully disclose to the Company all information known to Employee concerning such Invention.</w:t>
      </w:r>
    </w:p>
    <w:p>
      <w:pPr>
        <w:spacing w:after="0" w:line="180" w:lineRule="exact"/>
        <w:rPr>
          <w:sz w:val="20"/>
          <w:szCs w:val="20"/>
          <w:color w:val="auto"/>
        </w:rPr>
      </w:pPr>
    </w:p>
    <w:p>
      <w:pPr>
        <w:jc w:val="both"/>
        <w:ind w:firstLine="1304"/>
        <w:spacing w:after="0" w:line="232" w:lineRule="auto"/>
        <w:tabs>
          <w:tab w:leader="none" w:pos="194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that, from time to time, as may be requested by the Company and at the Company’s sole cost and expense, Employee shall do any and all things that the Company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Employee has any Proprietary Rights in the Inventions that cannot be assigned in the manner described above, Employee unconditionally and irrevocably waives the enforcement of such Proprietary Rights. This Section 5.02 is subject to and shall not be deemed to limit, restrict or constitute any waiver by the Company of any Proprietary Rights of ownership to which the Company may be entitled by operation of law by virtue of the Company’s being Employee’s employer. Employee further agrees that, from time to time, as may be requested by the Company and at the Company’s sole cost and expense, Employee shall assist the Company in every proper and lawful way to obtain and from time to time enforce Proprietary Rights relating to Inventions in any and all countries. To this end, Employee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Employee shall execute, verify, and deliver assignments of such Proprietary Rights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0" w:name="page181"/>
    <w:bookmarkEnd w:id="180"/>
    <w:p>
      <w:pPr>
        <w:jc w:val="both"/>
        <w:spacing w:after="0" w:line="244" w:lineRule="auto"/>
        <w:rPr>
          <w:sz w:val="20"/>
          <w:szCs w:val="20"/>
          <w:color w:val="auto"/>
        </w:rPr>
      </w:pPr>
      <w:r>
        <w:rPr>
          <w:rFonts w:ascii="Times New Roman" w:cs="Times New Roman" w:eastAsia="Times New Roman" w:hAnsi="Times New Roman"/>
          <w:sz w:val="22"/>
          <w:szCs w:val="22"/>
          <w:color w:val="auto"/>
        </w:rPr>
        <w:t>Company or its designees. Employee’s obligation to assist the Company with respect to Proprietary Rights relating to such Inventions in any and all countries shall continue beyond the termination of Employee’s employment with the Company.</w:t>
      </w:r>
    </w:p>
    <w:p>
      <w:pPr>
        <w:spacing w:after="0" w:line="173" w:lineRule="exact"/>
        <w:rPr>
          <w:sz w:val="20"/>
          <w:szCs w:val="20"/>
          <w:color w:val="auto"/>
        </w:rPr>
      </w:pPr>
    </w:p>
    <w:p>
      <w:pPr>
        <w:jc w:val="both"/>
        <w:ind w:firstLine="1304"/>
        <w:spacing w:after="0" w:line="244" w:lineRule="auto"/>
        <w:tabs>
          <w:tab w:leader="none" w:pos="194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hereby waives and quitclaims to the Company any and all claims, of any nature whatsoever, that Employee now or may hereafter have for infringement of any Proprietary Rights assigned hereunder to the Company.</w:t>
      </w:r>
    </w:p>
    <w:p>
      <w:pPr>
        <w:spacing w:after="0" w:line="17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5.03 </w:t>
      </w: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Employee agrees that, upon reasonable notice and without the necessity of the Company obtaining a subpoena or court order, Employee shall provide reasonable cooperation in connection with any suit, action or proceeding (or any appeal from any suit, action or proceeding), or the decision to commence on behalf of the Company any suit, action or proceeding, any investigation and/or defense of any claims asserted against the Company, its subsidiaries and Affiliates, its predecessors and successors, and all of the respective current or former directors, officers, employees, shareholders, partners, members, agents or representatives of any of the foregoing, and any ongoing or future investigation or claim of any kind involving the Company which relates to events occurring during Employee’s employment or service with the Company, its subsidiaries and Affiliates as to which Employee may have relevant information (including but not limited to furnishing relevant information and materials to the Company, or its designee and/or providing testimony at depositions and at trial), provided that with respect to such cooperation occurring following termination of employment under this Agreement, the Company shall reimburse Employee for expenses reasonably incurred in connection therewith and, upon Employee ceasing to be eligible to receive payments pursuant to Section 7 of this Agreement, if applicable, will compensate Employee for his time with an hourly rate based on Employee’s base salary rate as of the date of Employee’s termination of employment, and further provided that any such cooperation occurring after the termination of Employee’s employment shall be scheduled to the extent reasonably practicable so as not to unreasonably interfere with Employee’s business or personal affairs.</w:t>
      </w:r>
    </w:p>
    <w:p>
      <w:pPr>
        <w:spacing w:after="0" w:line="190"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and Non-solicitation Covenants and Adversarial Restrictions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6.01 </w:t>
      </w: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Employee agrees that, during the Term and for twelve months after the termination of Employee’s employment for any reason (the “Non-Compete Period”), other than by virtue of a resignation by Employee for Good Reason by reason of clause (e) under Section 7.04 below, Employee shall not, directly or indirectly, (a) engage in activities or businesses (including without limitation by owning any interest in, managing, controlling, participating in, consulting with, advising, rendering services for, or in any manner engaging in the business of owning, operating or managing any business) in any geographic location in which the Company, its subsidiaries or Affiliates engage in, whether through selling, distributing, manufacturing, marketing, purchasing, or otherwise, that compete directly or indirectly with the Company or any of its subsidiaries or Affiliates (“Competitive Activities”), it being understood that Competitive Activities as of the date hereof include, without limitation, the publication, campground, online marketplace, and membership businesses of the Company or any subsidiary of Affiliate of the Company; the sale, rental, repair or service of recreational vehicles or parts and accessories for recreational vehicles or the sale of any ancillary products that are sold in connection with the sale of recreational vehicles, including but not limited to credit life insurance, roadside assistance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1" w:name="page182"/>
    <w:bookmarkEnd w:id="181"/>
    <w:p>
      <w:pPr>
        <w:jc w:val="both"/>
        <w:spacing w:after="0" w:line="245" w:lineRule="auto"/>
        <w:rPr>
          <w:sz w:val="20"/>
          <w:szCs w:val="20"/>
          <w:color w:val="auto"/>
        </w:rPr>
      </w:pPr>
      <w:r>
        <w:rPr>
          <w:rFonts w:ascii="Times New Roman" w:cs="Times New Roman" w:eastAsia="Times New Roman" w:hAnsi="Times New Roman"/>
          <w:sz w:val="21"/>
          <w:szCs w:val="21"/>
          <w:color w:val="auto"/>
        </w:rPr>
        <w:t>programs and mechanical breakdown and extended service contracts, in the recreational vehicle, camping and outdoor living markets; the business of developing, marketing, providing and implementing products and services (including insurance, financing, warranties and road-side assistance) to owners of recreational vehicles, automobiles, and motorcycles; the business of providing consumer shows to owners of recreational vehicles; and the business of publishing digital and print media, including magazines, periodicals, books, and blogs and online communities directed to owners of recreational vehicles, all-terrain vehicles, and outdoor enthusiasts; or (b) assist any person in any way to do, or attempt to do, anything prohibited by Section 6.01(a) above. Employee acknowledges (i) that the business of the Company and its Affiliates is national in scope and without geographical limitation within the United States and (ii) notwithstanding the jurisdiction of formation or principal office of the Company and its Affiliates, or the location of any of their respective executives or employees (including, without limitation, Employee), it is expected that the Company and its Affiliates will have business activities and have valuable business relationships within their respective industries throughout the United States.</w:t>
      </w:r>
    </w:p>
    <w:p>
      <w:pPr>
        <w:spacing w:after="0" w:line="17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6.02 </w:t>
      </w:r>
      <w:r>
        <w:rPr>
          <w:rFonts w:ascii="Times New Roman" w:cs="Times New Roman" w:eastAsia="Times New Roman" w:hAnsi="Times New Roman"/>
          <w:sz w:val="22"/>
          <w:szCs w:val="22"/>
          <w:u w:val="single" w:color="auto"/>
          <w:color w:val="auto"/>
        </w:rPr>
        <w:t>Indirect Competition</w:t>
      </w:r>
      <w:r>
        <w:rPr>
          <w:rFonts w:ascii="Times New Roman" w:cs="Times New Roman" w:eastAsia="Times New Roman" w:hAnsi="Times New Roman"/>
          <w:sz w:val="22"/>
          <w:szCs w:val="22"/>
          <w:color w:val="auto"/>
        </w:rPr>
        <w:t>. Employee further agrees that, during the Term and the Non-Compete Period, he will not, directly or indirectly, assist or encourage any other person in carrying out, direct or indirectly, any activity that would be prohibited by the above provisions of this Section 6 if such activity were carried out by Employee, either directly or indirectly; and in particular Employee agrees that he will not, directly or indirectly, induce any employee of the Company to carry out, directly or indirectly, any such activity.</w:t>
      </w:r>
    </w:p>
    <w:p>
      <w:pPr>
        <w:spacing w:after="0" w:line="17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6.03 </w:t>
      </w: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Employee further agrees that, during the Term and for a period of one year after the termination of his employment (the “Non-Solicitation Period”), he will not, directly or indirectly, assist or encourage any other person in seeking to employ or hire any employee, consultant, advisor or agent of the Company or any of its Affiliates or encouraging any such employee, consultant, advisor or agent to discontinue employment with the Company or any of its Affiliates.</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6.04 </w:t>
      </w:r>
      <w:r>
        <w:rPr>
          <w:rFonts w:ascii="Times New Roman" w:cs="Times New Roman" w:eastAsia="Times New Roman" w:hAnsi="Times New Roman"/>
          <w:sz w:val="22"/>
          <w:szCs w:val="22"/>
          <w:u w:val="single" w:color="auto"/>
          <w:color w:val="auto"/>
        </w:rPr>
        <w:t>Adversarial Restrictions</w:t>
      </w:r>
      <w:r>
        <w:rPr>
          <w:rFonts w:ascii="Times New Roman" w:cs="Times New Roman" w:eastAsia="Times New Roman" w:hAnsi="Times New Roman"/>
          <w:sz w:val="22"/>
          <w:szCs w:val="22"/>
          <w:color w:val="auto"/>
        </w:rPr>
        <w:t>. During the Term and at any time thereafter, Employee shall not voluntarily aid, assist, or cooperate with any actual or potential claimants or plaintiffs or their attorneys or agents in any claims or lawsuits proposed to be asserted, pending or commenced on the date hereof or in the future against the Company or any of the Affiliates; provided, however, that nothing in this Section 6.04 will be construed to prevent Employee from testifying at an administrative hearing, a deposition, or in court in response to a lawful subpoena in any litigation or proceeding involving the Company or any Affiliate.</w:t>
      </w:r>
    </w:p>
    <w:p>
      <w:pPr>
        <w:spacing w:after="0" w:line="18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6.05 </w:t>
      </w:r>
      <w:r>
        <w:rPr>
          <w:rFonts w:ascii="Times New Roman" w:cs="Times New Roman" w:eastAsia="Times New Roman" w:hAnsi="Times New Roman"/>
          <w:sz w:val="22"/>
          <w:szCs w:val="22"/>
          <w:u w:val="single" w:color="auto"/>
          <w:color w:val="auto"/>
        </w:rPr>
        <w:t>Tolling of Periods and Enforceability</w:t>
      </w:r>
      <w:r>
        <w:rPr>
          <w:rFonts w:ascii="Times New Roman" w:cs="Times New Roman" w:eastAsia="Times New Roman" w:hAnsi="Times New Roman"/>
          <w:sz w:val="22"/>
          <w:szCs w:val="22"/>
          <w:color w:val="auto"/>
        </w:rPr>
        <w:t>. The Non-Compete Period and Non-Solicitation Period shall be tolled during (and shall be deemed automatically extended by) any period in which Employee is in violation of the provisions of this Section 6. If a final and non-appealable judicial determination is made that any of the provisions of this Section 6 constitutes an unreasonable or otherwise unenforceable restriction against Employee, the provisions of this Section 6 will not be rendered void but will be deemed to be modified to the minimum extent necessary to remain in force and effect for the longest period and largest geographic area that would not constitute such an unreasonable or unenforceable restriction. Moreover, and without limiting the generality of Section 6, notwithstanding the fact that any provision of this Section 6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2" w:name="page183"/>
    <w:bookmarkEnd w:id="182"/>
    <w:p>
      <w:pPr>
        <w:jc w:val="both"/>
        <w:spacing w:after="0" w:line="258" w:lineRule="auto"/>
        <w:rPr>
          <w:sz w:val="20"/>
          <w:szCs w:val="20"/>
          <w:color w:val="auto"/>
        </w:rPr>
      </w:pPr>
      <w:r>
        <w:rPr>
          <w:rFonts w:ascii="Times New Roman" w:cs="Times New Roman" w:eastAsia="Times New Roman" w:hAnsi="Times New Roman"/>
          <w:sz w:val="22"/>
          <w:szCs w:val="22"/>
          <w:color w:val="auto"/>
        </w:rPr>
        <w:t>determined to not be enforceable through specific performance, the Company will nevertheless be entitled to recover monetary damages as a result of Employee’s breach of such provision.</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6.06 </w:t>
      </w:r>
      <w:r>
        <w:rPr>
          <w:rFonts w:ascii="Times New Roman" w:cs="Times New Roman" w:eastAsia="Times New Roman" w:hAnsi="Times New Roman"/>
          <w:sz w:val="22"/>
          <w:szCs w:val="22"/>
          <w:u w:val="single" w:color="auto"/>
          <w:color w:val="auto"/>
        </w:rPr>
        <w:t>Passive Ownership</w:t>
      </w:r>
      <w:r>
        <w:rPr>
          <w:rFonts w:ascii="Times New Roman" w:cs="Times New Roman" w:eastAsia="Times New Roman" w:hAnsi="Times New Roman"/>
          <w:sz w:val="22"/>
          <w:szCs w:val="22"/>
          <w:color w:val="auto"/>
        </w:rPr>
        <w:t>. The provisions of Section 6 shall not be deemed breached as a result of Employee’s passive ownership of: (i) less than an aggregate of 5% of any class of securities of a person engaged, directly or indirectly, in Competitive Activities, so long as Employee does not actively participate in the business of such person; provided, however, that such stock is listed on a national securities exchange; or (ii) less than an aggregate of 5% in value of any instrument of indebtedness of a person engaged, directly or indirectly, in Competitive Activities.</w:t>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6.07 </w:t>
      </w: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Neither party hereto shall, whether in writing or orally, malign, denigrate or disparage Employee, the Company, its subsidiaries or Affiliates, predecessors and successors, or any of the current or former directors, officers, employees, shareholders, partners, members, agents or representatives of any of the foregoing, with respect to any of their respective past or present activities, or otherwise publish (whether in writing or orally) statements that tend to portray any of the aforementioned parties in an unfavorable light. The Company’s obligations under the preceding sentence shall be limited to instructing its and its direct subsidiaries’ senior corporate executives having the rank of Senior Vice President or above to refrain from, whether in writing or orally, maligning, denigrating or disparaging Employee with respect to any of his past or present activities, or otherwise publish (whether in writing or orally) statements that tend to portray Employee in an unfavorable light; provided, that such Company executives shall be permitted to make necessary internal statements in connection with the performance of their duties to the Company. In addition, any public comment to the media or in any medium (including social media or otherwise) by the Employee regarding the Company shall be consistent with Company-approved messaging to shareholders, investors, key employees, customers and suppliers.</w:t>
      </w:r>
    </w:p>
    <w:p>
      <w:pPr>
        <w:spacing w:after="0" w:line="18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6.08 </w:t>
      </w: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Employee acknowledges that Employee has carefully read this Agreement and has given careful consideration to the restraints imposed upon Employee by this Agreement and is in full accord as to the necessity of such restraints for the reasonable and proper protection of the Confidential Information, business strategies, employee and customer relationships and goodwill of the Company and its subsidiaries and Affiliates now existing or to be developed in the future. Employee expressly acknowledges and agrees that each and every restraint imposed by this Agreement is reasonable with respect to subject matter, time period and geographical area. Employee further acknowledges that although Employee’s compliance with the covenants contained in Sections 5 and 6 may prevent Employee from earning a livelihood in a business similar to the business of the Company, Employee’s experience and capabilities are such that Employee has other opportunities to earn a livelihood and adequate means of support for Employee and Employee’s dependents.</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6.09. </w:t>
      </w:r>
      <w:r>
        <w:rPr>
          <w:rFonts w:ascii="Times New Roman" w:cs="Times New Roman" w:eastAsia="Times New Roman" w:hAnsi="Times New Roman"/>
          <w:sz w:val="22"/>
          <w:szCs w:val="22"/>
          <w:u w:val="single" w:color="auto"/>
          <w:color w:val="auto"/>
        </w:rPr>
        <w:t>Permitted Activities</w:t>
      </w:r>
      <w:r>
        <w:rPr>
          <w:rFonts w:ascii="Times New Roman" w:cs="Times New Roman" w:eastAsia="Times New Roman" w:hAnsi="Times New Roman"/>
          <w:sz w:val="22"/>
          <w:szCs w:val="22"/>
          <w:color w:val="auto"/>
        </w:rPr>
        <w:t>. Notwithstanding anything to the contrary herein, nothing in this Agreement shall prevent Employee or the Company from, as applicable, (i) communicating directly with, cooperating with, filing a charge with, reporting possible violations of federal law or regulation to, or providing information to any federal, state or local government agency, including without limitation, the U.S. Securities and Exchange Commission, the U.S. Commodity Futures Trading Commission, the U.S. Department of Justice, the U.S. Equal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3" w:name="page184"/>
    <w:bookmarkEnd w:id="183"/>
    <w:p>
      <w:pPr>
        <w:jc w:val="both"/>
        <w:spacing w:after="0" w:line="236" w:lineRule="auto"/>
        <w:rPr>
          <w:sz w:val="20"/>
          <w:szCs w:val="20"/>
          <w:color w:val="auto"/>
        </w:rPr>
      </w:pPr>
      <w:r>
        <w:rPr>
          <w:rFonts w:ascii="Times New Roman" w:cs="Times New Roman" w:eastAsia="Times New Roman" w:hAnsi="Times New Roman"/>
          <w:sz w:val="22"/>
          <w:szCs w:val="22"/>
          <w:color w:val="auto"/>
        </w:rPr>
        <w:t>Opportunity Commission, or the U.S. National Labor Relations Board, (ii) providing truthful information to the extent required by applicable law in connection with any legal proceeding, government investigation or other legal matter; (iii) exercising any rights Employee may have under Section 7 of the U.S. National Labor Relations Act, or (iv) discussing or disclosing information about unlawful acts in the workplace, such as harassment or discrimination based on a protected characteristic or any other conduct that Employee has reason to believe is unlawful.</w:t>
      </w:r>
    </w:p>
    <w:p>
      <w:pPr>
        <w:spacing w:after="0" w:line="181"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7.01 </w:t>
      </w:r>
      <w:r>
        <w:rPr>
          <w:rFonts w:ascii="Times New Roman" w:cs="Times New Roman" w:eastAsia="Times New Roman" w:hAnsi="Times New Roman"/>
          <w:sz w:val="22"/>
          <w:szCs w:val="22"/>
          <w:u w:val="single" w:color="auto"/>
          <w:color w:val="auto"/>
        </w:rPr>
        <w:t>Grounds for Termination</w:t>
      </w:r>
      <w:r>
        <w:rPr>
          <w:rFonts w:ascii="Times New Roman" w:cs="Times New Roman" w:eastAsia="Times New Roman" w:hAnsi="Times New Roman"/>
          <w:sz w:val="22"/>
          <w:szCs w:val="22"/>
          <w:color w:val="auto"/>
        </w:rPr>
        <w:t>. Employee’s employment with the Company shall terminate under any of the circumstances set forth below.</w:t>
      </w:r>
    </w:p>
    <w:p>
      <w:pPr>
        <w:spacing w:after="0" w:line="158" w:lineRule="exact"/>
        <w:rPr>
          <w:sz w:val="20"/>
          <w:szCs w:val="20"/>
          <w:color w:val="auto"/>
        </w:rPr>
      </w:pPr>
    </w:p>
    <w:p>
      <w:pPr>
        <w:ind w:left="1960" w:hanging="656"/>
        <w:spacing w:after="0"/>
        <w:tabs>
          <w:tab w:leader="none" w:pos="19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 shall die or due to Employee’s Disability (as defined in Section 7.03 below);</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mutual agreement of the Company and Employee;</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Employee for any reason upon notice to the Company;</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Company for Cause (as defined in Section 7.02 below);</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Company without Cause;</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Employee for Good Reason (as defined in Section 7.04 below);</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expiration of the Term on December 31, 2026 (or such other extended date mutually agreed to by Employee and the Company in accordance with this Section 2) (which, for the avoidance of doubt, shall constitute a termination by the Company without Cause under Section 7.01(e)).</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Notwithstanding any termination of this Agreement and Employee’s employment by the Company, Employee, in consideration of his employment hereunder to the date of such termination, shall remain bound by the provisions of this Agreement which specifically relate to periods, activities or obligations upon or subsequent to the termination of Employee’s employment including without limitation the provisions of Sections 5, 6 and 8 hereof.</w:t>
      </w:r>
    </w:p>
    <w:p>
      <w:pPr>
        <w:spacing w:after="0" w:line="162" w:lineRule="exact"/>
        <w:rPr>
          <w:sz w:val="20"/>
          <w:szCs w:val="20"/>
          <w:color w:val="auto"/>
        </w:rPr>
      </w:pPr>
    </w:p>
    <w:p>
      <w:pPr>
        <w:ind w:right="6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7.02 </w:t>
      </w:r>
      <w:r>
        <w:rPr>
          <w:rFonts w:ascii="Times New Roman" w:cs="Times New Roman" w:eastAsia="Times New Roman" w:hAnsi="Times New Roman"/>
          <w:sz w:val="22"/>
          <w:szCs w:val="22"/>
          <w:u w:val="single" w:color="auto"/>
          <w:color w:val="auto"/>
        </w:rPr>
        <w:t>For Cause Defined</w:t>
      </w:r>
      <w:r>
        <w:rPr>
          <w:rFonts w:ascii="Times New Roman" w:cs="Times New Roman" w:eastAsia="Times New Roman" w:hAnsi="Times New Roman"/>
          <w:sz w:val="22"/>
          <w:szCs w:val="22"/>
          <w:color w:val="auto"/>
        </w:rPr>
        <w:t>. Termination of Employee’s employment by the Company for any of the following reasons shall be deemed termination for “Cause”:</w:t>
      </w:r>
    </w:p>
    <w:p>
      <w:pPr>
        <w:spacing w:after="0" w:line="158" w:lineRule="exact"/>
        <w:rPr>
          <w:sz w:val="20"/>
          <w:szCs w:val="20"/>
          <w:color w:val="auto"/>
        </w:rPr>
      </w:pPr>
    </w:p>
    <w:p>
      <w:pPr>
        <w:jc w:val="both"/>
        <w:ind w:firstLine="1304"/>
        <w:spacing w:after="0" w:line="244" w:lineRule="auto"/>
        <w:tabs>
          <w:tab w:leader="none" w:pos="194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have breached this Agreement in any material respect, which breach in the case of this clause is not cured by, or is not capable of being cured, within ten (10) days after written notice of such breach is delivered to Employee; or</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breach of the restrictive covenants set forth in Sections 5 and 6 of this Agreement, or any other confidentiality, non-disparagement, non-compete or non-solicitation covenant (the “Restrictive Covenants”), which breach in the case of this clause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4" w:name="page185"/>
    <w:bookmarkEnd w:id="184"/>
    <w:p>
      <w:pPr>
        <w:ind w:right="20"/>
        <w:spacing w:after="0" w:line="258" w:lineRule="auto"/>
        <w:rPr>
          <w:sz w:val="20"/>
          <w:szCs w:val="20"/>
          <w:color w:val="auto"/>
        </w:rPr>
      </w:pPr>
      <w:r>
        <w:rPr>
          <w:rFonts w:ascii="Times New Roman" w:cs="Times New Roman" w:eastAsia="Times New Roman" w:hAnsi="Times New Roman"/>
          <w:sz w:val="22"/>
          <w:szCs w:val="22"/>
          <w:color w:val="auto"/>
        </w:rPr>
        <w:t>cured by, or is not capable of being cured, within ten (10) days after written notice of such breach is delivered to Employee; or</w:t>
      </w:r>
    </w:p>
    <w:p>
      <w:pPr>
        <w:spacing w:after="0" w:line="158" w:lineRule="exact"/>
        <w:rPr>
          <w:sz w:val="20"/>
          <w:szCs w:val="20"/>
          <w:color w:val="auto"/>
        </w:rPr>
      </w:pPr>
    </w:p>
    <w:p>
      <w:pPr>
        <w:ind w:right="20" w:firstLine="1304"/>
        <w:spacing w:after="0" w:line="258" w:lineRule="auto"/>
        <w:tabs>
          <w:tab w:leader="none" w:pos="194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engaged in misconduct (including violation of the Company’s policies) that is materially injurious to the Company as reasonably determined by the Company’s Board of Directors; or</w:t>
      </w:r>
    </w:p>
    <w:p>
      <w:pPr>
        <w:spacing w:after="0" w:line="158"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been convicted of (i) any felony or (ii) any misdemeanor involving a crime of moral turpitude, theft or fraud; or</w:t>
      </w:r>
    </w:p>
    <w:p>
      <w:pPr>
        <w:spacing w:after="0" w:line="15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uses illegal substances; or</w:t>
      </w:r>
    </w:p>
    <w:p>
      <w:pPr>
        <w:spacing w:after="0" w:line="206"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knowingly falsifies or causes to be falsified, in any material respect, the financial records and financial statements of the Company.</w:t>
      </w:r>
    </w:p>
    <w:p>
      <w:pPr>
        <w:spacing w:after="0" w:line="1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7.03 “</w:t>
      </w:r>
      <w:r>
        <w:rPr>
          <w:rFonts w:ascii="Times New Roman" w:cs="Times New Roman" w:eastAsia="Times New Roman" w:hAnsi="Times New Roman"/>
          <w:sz w:val="22"/>
          <w:szCs w:val="22"/>
          <w:u w:val="single" w:color="auto"/>
          <w:color w:val="auto"/>
        </w:rPr>
        <w:t>Disability” Defined</w:t>
      </w:r>
      <w:r>
        <w:rPr>
          <w:rFonts w:ascii="Times New Roman" w:cs="Times New Roman" w:eastAsia="Times New Roman" w:hAnsi="Times New Roman"/>
          <w:sz w:val="22"/>
          <w:szCs w:val="22"/>
          <w:color w:val="auto"/>
        </w:rPr>
        <w:t>. For purposes of this Agreement, “Disability” shall mean Employee’s inability to engage in any substantial gainful activity by reason of any medically determinable physical or mental impairment that can be expected to result in death or that can be expected to last for a continuous period of not less than twelve (12) months.</w:t>
      </w:r>
    </w:p>
    <w:p>
      <w:pPr>
        <w:spacing w:after="0" w:line="18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7.04 “</w:t>
      </w:r>
      <w:r>
        <w:rPr>
          <w:rFonts w:ascii="Times New Roman" w:cs="Times New Roman" w:eastAsia="Times New Roman" w:hAnsi="Times New Roman"/>
          <w:sz w:val="22"/>
          <w:szCs w:val="22"/>
          <w:u w:val="single" w:color="auto"/>
          <w:color w:val="auto"/>
        </w:rPr>
        <w:t>Good Reason” Defined</w:t>
      </w:r>
      <w:r>
        <w:rPr>
          <w:rFonts w:ascii="Times New Roman" w:cs="Times New Roman" w:eastAsia="Times New Roman" w:hAnsi="Times New Roman"/>
          <w:sz w:val="22"/>
          <w:szCs w:val="22"/>
          <w:color w:val="auto"/>
        </w:rPr>
        <w:t>. For purposes of this Agreement, “Good Reason” shall mean the occurrence of any of the following without the Employee’s written consent:</w:t>
      </w:r>
    </w:p>
    <w:p>
      <w:pPr>
        <w:spacing w:after="0" w:line="158" w:lineRule="exact"/>
        <w:rPr>
          <w:sz w:val="20"/>
          <w:szCs w:val="20"/>
          <w:color w:val="auto"/>
        </w:rPr>
      </w:pPr>
    </w:p>
    <w:p>
      <w:pPr>
        <w:ind w:right="20" w:firstLine="1304"/>
        <w:spacing w:after="0" w:line="258" w:lineRule="auto"/>
        <w:tabs>
          <w:tab w:leader="none" w:pos="194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by the Company in the Base Salary or Annual Bonus as in effect immediately prior to such reduction;</w:t>
      </w:r>
    </w:p>
    <w:p>
      <w:pPr>
        <w:spacing w:after="0" w:line="158"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material breach of this Agreement or any other written agreement between the Employee and the Company; or</w:t>
      </w:r>
    </w:p>
    <w:p>
      <w:pPr>
        <w:spacing w:after="0" w:line="15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breach of the restrictive covenants set forth in Section 6.07 of this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Notwithstanding the foregoing, the Employee will not be deemed to have resigned for Good Reason unless (1) Employee provides the Company with written notice setting forth in reasonable detail the facts and circumstances claimed by the Employee to constitute Good Reason within sixty (60) days after the date of the occurrence of any event that the Employee knows or should reasonably have known to constitute Good Reason, (2) the Company fails to cure such acts or omissions within thirty (30) days following its receipt of such notice, and (3) the effective date of the Employee’s termination for Good Reason occurs no later than sixty (60) days after the expiration of the cure period.</w:t>
      </w:r>
    </w:p>
    <w:p>
      <w:pPr>
        <w:spacing w:after="0" w:line="18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7.05 </w:t>
      </w:r>
      <w:r>
        <w:rPr>
          <w:rFonts w:ascii="Times New Roman" w:cs="Times New Roman" w:eastAsia="Times New Roman" w:hAnsi="Times New Roman"/>
          <w:sz w:val="22"/>
          <w:szCs w:val="22"/>
          <w:u w:val="single" w:color="auto"/>
          <w:color w:val="auto"/>
        </w:rPr>
        <w:t>Surrender of Records and Property</w:t>
      </w:r>
      <w:r>
        <w:rPr>
          <w:rFonts w:ascii="Times New Roman" w:cs="Times New Roman" w:eastAsia="Times New Roman" w:hAnsi="Times New Roman"/>
          <w:sz w:val="22"/>
          <w:szCs w:val="22"/>
          <w:color w:val="auto"/>
        </w:rPr>
        <w:t>. Upon termination of his employment with the Company for any reason, Employee shall deliver promptly to the Company all records, manuals, books, blank forms, documents, letters, memoranda, notes, notebooks, reports, data, tables, calculations or copies thereof, which are the property of the Company or any of its Affiliates or which relate in any way to the business, products, practices or techniques of the Company or any of its Affiliates, and all other property, trade secrets and confidential information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5" w:name="page186"/>
    <w:bookmarkEnd w:id="185"/>
    <w:p>
      <w:pPr>
        <w:jc w:val="both"/>
        <w:spacing w:after="0" w:line="244" w:lineRule="auto"/>
        <w:rPr>
          <w:sz w:val="20"/>
          <w:szCs w:val="20"/>
          <w:color w:val="auto"/>
        </w:rPr>
      </w:pPr>
      <w:r>
        <w:rPr>
          <w:rFonts w:ascii="Times New Roman" w:cs="Times New Roman" w:eastAsia="Times New Roman" w:hAnsi="Times New Roman"/>
          <w:sz w:val="22"/>
          <w:szCs w:val="22"/>
          <w:color w:val="auto"/>
        </w:rPr>
        <w:t>or any of its Affiliates, including, but not limited to, all documents which in whole or in part contain any trade secrets or confidential information of the Company or any of its Affiliates, which in any of these cases are in his possession or under his control.</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7.06</w:t>
      </w:r>
      <w:r>
        <w:rPr>
          <w:sz w:val="20"/>
          <w:szCs w:val="20"/>
          <w:color w:val="auto"/>
        </w:rPr>
        <w:tab/>
      </w:r>
      <w:r>
        <w:rPr>
          <w:rFonts w:ascii="Times New Roman" w:cs="Times New Roman" w:eastAsia="Times New Roman" w:hAnsi="Times New Roman"/>
          <w:sz w:val="21"/>
          <w:szCs w:val="21"/>
          <w:u w:val="single" w:color="auto"/>
          <w:color w:val="auto"/>
        </w:rPr>
        <w:t>Payments Upon Termination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8" w:lineRule="auto"/>
        <w:tabs>
          <w:tab w:leader="none" w:pos="194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If this Agreement is terminated for any reason set forth in Section 7, then Employee shall be entitled to receive (a) his Base Salary and any accrued but unpaid vacation or paid time off through the date of the termination and (b) reimbursement of any business expenses incurred in the ordinary course of business through the date of termination that have not yet been reimbursed pursuant to Section 4.04 (the amounts in this clause (a), the “Accrued Obligations”).</w:t>
      </w:r>
    </w:p>
    <w:p>
      <w:pPr>
        <w:spacing w:after="0" w:line="176" w:lineRule="exact"/>
        <w:rPr>
          <w:rFonts w:ascii="Times New Roman" w:cs="Times New Roman" w:eastAsia="Times New Roman" w:hAnsi="Times New Roman"/>
          <w:sz w:val="22"/>
          <w:szCs w:val="22"/>
          <w:color w:val="auto"/>
        </w:rPr>
      </w:pPr>
    </w:p>
    <w:p>
      <w:pPr>
        <w:jc w:val="both"/>
        <w:ind w:firstLine="1304"/>
        <w:spacing w:after="0" w:line="232" w:lineRule="auto"/>
        <w:tabs>
          <w:tab w:leader="none" w:pos="194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Due to Death or Disability</w:t>
      </w:r>
      <w:r>
        <w:rPr>
          <w:rFonts w:ascii="Times New Roman" w:cs="Times New Roman" w:eastAsia="Times New Roman" w:hAnsi="Times New Roman"/>
          <w:sz w:val="22"/>
          <w:szCs w:val="22"/>
          <w:color w:val="auto"/>
        </w:rPr>
        <w:t>. If Employee’s employment is terminated pursuant to Section 7.01(a), then Employee, or Employee’s heirs and assigns, as the case may be, shall be entitled to receive, in addition to the Accrued Obligations: (i) any Annual Bonus or 2025 Annual Bonus pursuant to Section 4.02 for the preceding calendar year to the extent not yet paid when such amount would have been payable pursuant to Section 4.02 if his employment had not terminated, which payment shall be made in the form of cash or, subject to the approval by the Company’s Board or the Compensation Committee thereof, in fully-vested shares of the Company’s Class A common stock with a fair market value on the date of issuance equal to the amount of such Annual Bonus or 2025 Annual Bonus, as applicable, within the time period set forth in Section 4.02; (ii) the Annual Bonus for the calendar year in which Employee’s employment is terminated, multiplied by a fraction, (A) the numerator of which shall be the number of days Employee was employed during the then such current calendar year and (B) the denominator of which shall be three hundred sixty-five (365), which payment shall be made in the form of cash or, subject to approval by the Company’s Board or the Compensation Committee thereof, in fully-vested shares of the Company’s Class A common stock with a fair market value on the date of issuance equal to the amount of such prorated Annual Bonus, within 75 days following the date on which the Employee’s employment was so terminated (and if such termination occurs during 2026, such payment shall in all events occur on or prior to December 31, 2026), and (iii) the vesting of any equity awards that is tied in whole or in part to performance shall be governed by the terms of the applicable award agreement. In the event Employee fails to provide timely payment of all applicable tax withholding arising as a result of the payment of such Annual Bonus or 2025 Annual Bonus payments in the form of shares of the Company’s Class A Common Stock, the Company shall have the right and option, but not the obligation, to treat such failure as an election by Employee to satisfy all of Employee’s required tax withholding obligation by withholding a net number of vested shares of Class A common stock otherwise issuable to Employee having a then current fair market value not exceeding the amount necessary to satisfy the applicable required tax withholding obligation based on the maximum statutory withholding rates for Employee’s applicable jurisdictions for federal, state, local and foreign income tax and payroll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6" w:name="page187"/>
    <w:bookmarkEnd w:id="186"/>
    <w:p>
      <w:pPr>
        <w:jc w:val="both"/>
        <w:ind w:firstLine="1304"/>
        <w:spacing w:after="0" w:line="242" w:lineRule="auto"/>
        <w:tabs>
          <w:tab w:leader="none" w:pos="1944"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or Resignation for Good Reason</w:t>
      </w:r>
      <w:r>
        <w:rPr>
          <w:rFonts w:ascii="Times New Roman" w:cs="Times New Roman" w:eastAsia="Times New Roman" w:hAnsi="Times New Roman"/>
          <w:sz w:val="21"/>
          <w:szCs w:val="21"/>
          <w:color w:val="auto"/>
        </w:rPr>
        <w:t>. If Employee’s employment is terminated pursuant to Section 7.01(e) or (f), subject to Employee’s continued compliance with the applicable Restrictive Covenants and provided that Employee shall have executed and delivered to the Company the Company’s standard form of release of claims (a “Release”) and the Release Effective Date (as defined below) shall have occurred within the time period set forth in Section 8.06(e), in addition to the Accrued Obligations, Employee shall be entitled to receive: (i) any Annual Bonus or 2025 Annual Bonus pursuant to Section 4.02 for the preceding calendar year to the extent not yet paid when such amount would have been payable pursuant to Section 4.02 if his employment had not terminated, which payment shall be made in the form of cash or, subject to approval by the Company’s Board or the Compensation Committee thereof, in fully vested shares of the Company’s Class A common stock with a fair market value on the date of issuance equal to the amount of such Annual Bonus or 2025 Annual Bonus, as applicable, within the time period set forth in Section 4.02; (ii) if such termination occurs during fiscal year 2026, an amount equal to Employee’s Annual Bonus for 2026, which payment shall be made in the form of cash or, subject to approval by the Company’s Board or the Compensation Committee thereof, in fully vested shares of the Company’s Class A common stock with a fair market value on the date of issuance equal to the amount of such prorated Annual Bonus, within seventy-five (75) days following such termination of Employee’s employment but in all events prior to December 31, 2026 (and, for the avoidance of doubt, if such termination occurs during fiscal year 2026, Employee shall receive Employee’s Annual Bonus for 2026 only under this clause (ii) and not under clause (i)); (iii) the vesting of any equity awards that are tied in whole or in part to performance shall be governed by the terms of the applicable award agreement; (iv) payment by the Company for COBRA benefits for a period of eighteen (18) months following termination for Employee and any dependents covered immediately prior to termination; (v) if such termination occurs during fiscal year 2026, continued payment of Employee’s Base Salary for the remaining portion of fiscal year 2026 following the date of termination, paid at the same times and in the same manner as Employee’s Base Salary had been paid to Employee prior to the termination of his employment hereunder (or, if accelerated payment is permitted under Section 409A, as determined by the Company in its sole discretion, in a lump sum within seventy-five (75) days following such termination of Employee’s employment but in all events prior to December 31, 2026)); and (vi) the Severance Amount (as defined below), which Severance Amount shall be paid within seventy-five (75) days following such termination of Employee’s employment but in all events prior to December 31 of the calendar year in which the date of termination occurs). As used herein, the “Severance Amount” shall be equal to the sum of (a) Employee’s Base Salary as in effect on the date of termination for one year and (b) the Annual Bonus applicable to the year in which the termination date occurs. The Severance Amount may be paid in the form of cash or, to the extent mutually agreed by the Company’s Board or the Compensation Committee thereof and Employee, all or a portion of the Severance Amount may be paid in fully-vested shares of the Company’s Class A common stock with a fair market value on the date of issuance equal to the amount of such Severance Amount. In the event Employee fails to provide timely payment of all applicable tax withholding arising as a result of the payment of such Severance Amount payments in the form of shares of the Company’s Class A Common Stock, the Company shall have the right and option, but not the obligation, to treat such failure as an election by Employee to satisfy all of Employee’s required tax withholding obligation by withholding a net number of vested shares of Class A common stock otherwise issuable to Employee having a then current fair market value not exceeding the amount necessary to satisfy the applicable required tax withholding obligation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7" w:name="page188"/>
    <w:bookmarkEnd w:id="187"/>
    <w:p>
      <w:pPr>
        <w:spacing w:after="0" w:line="258" w:lineRule="auto"/>
        <w:rPr>
          <w:sz w:val="20"/>
          <w:szCs w:val="20"/>
          <w:color w:val="auto"/>
        </w:rPr>
      </w:pPr>
      <w:r>
        <w:rPr>
          <w:rFonts w:ascii="Times New Roman" w:cs="Times New Roman" w:eastAsia="Times New Roman" w:hAnsi="Times New Roman"/>
          <w:sz w:val="22"/>
          <w:szCs w:val="22"/>
          <w:color w:val="auto"/>
        </w:rPr>
        <w:t>on the maximum statutory withholding rates for Employee’s applicable jurisdictions for federal, state, local and foreign income tax and payroll tax purposes.</w:t>
      </w:r>
    </w:p>
    <w:p>
      <w:pPr>
        <w:spacing w:after="0" w:line="158"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8.01 </w:t>
      </w:r>
      <w:r>
        <w:rPr>
          <w:rFonts w:ascii="Times New Roman" w:cs="Times New Roman" w:eastAsia="Times New Roman" w:hAnsi="Times New Roman"/>
          <w:sz w:val="22"/>
          <w:szCs w:val="22"/>
          <w:u w:val="single" w:color="auto"/>
          <w:color w:val="auto"/>
        </w:rPr>
        <w:t>Governing Law; Venue</w:t>
      </w:r>
      <w:r>
        <w:rPr>
          <w:rFonts w:ascii="Times New Roman" w:cs="Times New Roman" w:eastAsia="Times New Roman" w:hAnsi="Times New Roman"/>
          <w:sz w:val="22"/>
          <w:szCs w:val="22"/>
          <w:color w:val="auto"/>
        </w:rPr>
        <w:t>. This Agreement is made under and shall be governed by and construed in accordance with the laws of the State of Delaware.</w:t>
      </w:r>
    </w:p>
    <w:p>
      <w:pPr>
        <w:spacing w:after="0" w:line="15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8.02 </w:t>
      </w:r>
      <w:r>
        <w:rPr>
          <w:rFonts w:ascii="Times New Roman" w:cs="Times New Roman" w:eastAsia="Times New Roman" w:hAnsi="Times New Roman"/>
          <w:sz w:val="22"/>
          <w:szCs w:val="22"/>
          <w:u w:val="single" w:color="auto"/>
          <w:color w:val="auto"/>
        </w:rPr>
        <w:t>Prior Agreements</w:t>
      </w:r>
      <w:r>
        <w:rPr>
          <w:rFonts w:ascii="Times New Roman" w:cs="Times New Roman" w:eastAsia="Times New Roman" w:hAnsi="Times New Roman"/>
          <w:sz w:val="22"/>
          <w:szCs w:val="22"/>
          <w:color w:val="auto"/>
        </w:rPr>
        <w:t>. This Agreement, together with the Indemnification Agreement, contains the entire agreement of the parties relating to the subject matter hereof and supersedes all prior agreements and understandings with respect to such subject matter (including, without limitation, the Prior Agreement), and the parties hereto have made no agreement, representations or warranties relating to the subject matter of this Agreement which are not set forth herein.</w:t>
      </w:r>
    </w:p>
    <w:p>
      <w:pPr>
        <w:spacing w:after="0" w:line="17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 xml:space="preserve">8.03 </w:t>
      </w:r>
      <w:r>
        <w:rPr>
          <w:rFonts w:ascii="Times New Roman" w:cs="Times New Roman" w:eastAsia="Times New Roman" w:hAnsi="Times New Roman"/>
          <w:sz w:val="21"/>
          <w:szCs w:val="21"/>
          <w:u w:val="single" w:color="auto"/>
          <w:color w:val="auto"/>
        </w:rPr>
        <w:t>Withholding Taxes</w:t>
      </w:r>
      <w:r>
        <w:rPr>
          <w:rFonts w:ascii="Times New Roman" w:cs="Times New Roman" w:eastAsia="Times New Roman" w:hAnsi="Times New Roman"/>
          <w:sz w:val="21"/>
          <w:szCs w:val="21"/>
          <w:color w:val="auto"/>
        </w:rPr>
        <w:t>. The Company may withhold from any benefits payable under this Agreement all federal, state, city or other taxes as shall be required pursuant to any law or governmental regulation or ruling.</w:t>
      </w:r>
    </w:p>
    <w:p>
      <w:pPr>
        <w:spacing w:after="0" w:line="13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8.04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No amendments or modifications of this Agreement shall be deemed effective unless made in writing and signed by the parties hereto.</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8.05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term or condition of this Agreement shall be deemed to have been waived, nor shall there by an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8.06</w:t>
      </w:r>
      <w:r>
        <w:rPr>
          <w:sz w:val="20"/>
          <w:szCs w:val="20"/>
          <w:color w:val="auto"/>
        </w:rPr>
        <w:tab/>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3" w:lineRule="auto"/>
        <w:tabs>
          <w:tab w:leader="none" w:pos="194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“Section 409A” means Section 409A of the Internal Revenue Code of 1986, as amended (the “Code”), and the Treasury Regulations promulgated thereunder (and such other Treasury or Internal Revenue Service guidance) as in effect from time to time. The parties intend that any amounts payable hereunder will be compliant with Section 409A, or will be exempt from Section 409A. Notwithstanding the foregoing, Employee shall be solely responsible and liable for the satisfaction of all taxes and penalties that may be imposed on or for the account of Employee in connection with this Agreement (including any taxes and penalties under Section 409A of the Code), and neither the Company nor any of its Affiliates shall have any obligation to indemnify or otherwise hold Employee (or any beneficiary) harmless from any or all of such taxes or penalties. No provision of this Agreement shall be interpreted or construed to transfer any liability for failure to comply with the requirements of Section 409A from the Employee or any other individual to the Company or any of its affiliates, employees or agents.</w:t>
      </w:r>
    </w:p>
    <w:p>
      <w:pPr>
        <w:spacing w:after="0" w:line="187"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the following special rule shall apply, if and to the extent required by Section 409A, in the event that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8" w:name="page189"/>
    <w:bookmarkEnd w:id="188"/>
    <w:p>
      <w:pPr>
        <w:jc w:val="both"/>
        <w:spacing w:after="0" w:line="235" w:lineRule="auto"/>
        <w:rPr>
          <w:sz w:val="20"/>
          <w:szCs w:val="20"/>
          <w:color w:val="auto"/>
        </w:rPr>
      </w:pPr>
      <w:r>
        <w:rPr>
          <w:rFonts w:ascii="Times New Roman" w:cs="Times New Roman" w:eastAsia="Times New Roman" w:hAnsi="Times New Roman"/>
          <w:sz w:val="22"/>
          <w:szCs w:val="22"/>
          <w:color w:val="auto"/>
        </w:rPr>
        <w:t>Employee is deemed to be a “specified employee” within the meaning of Section 409A(a)(2)(B)(i), (ii) amounts or benefits under this Agreement or any other program, plan or arrangement of the Company or a controlled group affiliate thereof are due or payable on account of “separation from service” within the meaning of Treasury Regulations Section 1.409A-l(h) and (iii) Employee is employed by a public company or a controlled group affiliate thereof, then no payments hereunder that are “nonqualified deferred compensation” subject to Section 409A shall be made to Employee prior to the date that is six (6) months after the date of Employee’s separation from service or, if earlier, Employee’s date of death, and following any applicable six (6) month delay, all such delayed payments will be paid in a single lump sum on the earliest permissible payment date.</w:t>
      </w:r>
    </w:p>
    <w:p>
      <w:pPr>
        <w:spacing w:after="0" w:line="178" w:lineRule="exact"/>
        <w:rPr>
          <w:sz w:val="20"/>
          <w:szCs w:val="20"/>
          <w:color w:val="auto"/>
        </w:rPr>
      </w:pPr>
    </w:p>
    <w:p>
      <w:pPr>
        <w:jc w:val="both"/>
        <w:ind w:firstLine="1304"/>
        <w:spacing w:after="0" w:line="233" w:lineRule="auto"/>
        <w:tabs>
          <w:tab w:leader="none" w:pos="194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made under this Agreement (including each separate installment payment in the case of a series of installment payments) shall be deemed to be a separate payment for purposes of Section 409A. Amounts payable under this Agreement shall be deemed not to be a “deferral of compensation” subject to Section 409A to the extent provided in the exceptions in Treasury Regulation §§ 1.409A-1(b)(4) (“short-term deferrals”) and (b)(9) (“separation pay plans,” including the exception under subparagraph (iii)) and other applicable provisions of Section 409A. For purposes of this Agreement, with respect to payments of any amounts that are considered to be “non-qualified deferred compensation” subject to Section 409A or exempt from Section 409A under Treasury Regulation §§ 1.409A-1(b)(9) (“separation pay plans”), references to “termination of employment,” “termination,” or words and phrases of similar import, shall be deemed to refer to Employee’s “separation from service” as defined in Section 409A, and shall be interpreted and applied in a manner that is consistent with the requirements of Section 409A. The parties agree that it is the parties’ intent that Employee’s “separation from service” as defined in Section 409A shall occur on January 1, 2026.</w:t>
      </w:r>
    </w:p>
    <w:p>
      <w:pPr>
        <w:spacing w:after="0" w:line="184"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any indemnification payment, expense reimbursement, or the provision of any in-kind benefit is determined to be subject to Section 409A (and not exempt pursuant to the prior sentence or otherwise), the amount of any such indemnification payment or expenses eligible for reimbursement, or the provision of any in-kind benefit, in one calendar year shall not affect the indemnification payment or provision of in-kind benefits or expenses eligible for reimbursement in any other calendar year (except for any life-time or other aggregate limitation applicable to medical expenses), and in no event shall any indemnification payment or expenses be reimbursed after the last day of the calendar year following the calendar year in which Employee incurred such indemnification payment or expenses, and in no event shall any right to indemnification payment or reimbursement or the provision of any in-kind benefit be subject to liquidation or exchange for another benefit.</w:t>
      </w:r>
    </w:p>
    <w:p>
      <w:pPr>
        <w:spacing w:after="0" w:line="175" w:lineRule="exact"/>
        <w:rPr>
          <w:rFonts w:ascii="Times New Roman" w:cs="Times New Roman" w:eastAsia="Times New Roman" w:hAnsi="Times New Roman"/>
          <w:sz w:val="21"/>
          <w:szCs w:val="21"/>
          <w:color w:val="auto"/>
        </w:rPr>
      </w:pPr>
    </w:p>
    <w:p>
      <w:pPr>
        <w:jc w:val="both"/>
        <w:ind w:firstLine="1304"/>
        <w:spacing w:after="0" w:line="244" w:lineRule="auto"/>
        <w:tabs>
          <w:tab w:leader="none" w:pos="1944"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to the extent that any payments due under this Agreement as a result of the Employee’s termination of employment with the Company are subject to the Employee’s execution and delivery and non-revocation of the Release, (i) no such payments shall be made unless the Release Effective Date (as defined below) occurs on or prior to the sixtieth (60th) day immediately following the date of Employee’s termination of employment under this Agreement (or such earlier date as may be specified by the Company at the time of termination), (ii) the Company shall deliver the Release to the Employee within seven (7) days immediately following the date of Employee’s termination of employment, and</w:t>
      </w:r>
    </w:p>
    <w:p>
      <w:pPr>
        <w:spacing w:after="0" w:line="6"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of the Release Expiration Date (as defined below),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9" w:name="page190"/>
    <w:bookmarkEnd w:id="189"/>
    <w:p>
      <w:pPr>
        <w:jc w:val="both"/>
        <w:spacing w:after="0" w:line="247" w:lineRule="auto"/>
        <w:rPr>
          <w:sz w:val="20"/>
          <w:szCs w:val="20"/>
          <w:color w:val="auto"/>
        </w:rPr>
      </w:pPr>
      <w:r>
        <w:rPr>
          <w:rFonts w:ascii="Times New Roman" w:cs="Times New Roman" w:eastAsia="Times New Roman" w:hAnsi="Times New Roman"/>
          <w:sz w:val="21"/>
          <w:szCs w:val="21"/>
          <w:color w:val="auto"/>
        </w:rPr>
        <w:t>has failed to execute the Release or has timely revoked his acceptance of the Release thereafter, the Employee shall not be entitled to any payments or benefits otherwise conditioned on the Release. . For purposes of this Agreement, the “Release Effective Date” shall mean the date on which the Release becomes effective and irrevocable in accordance with its terms. For purposes of this Section 8.06, “Release Expiration Date” shall mean</w:t>
      </w:r>
    </w:p>
    <w:p>
      <w:pPr>
        <w:spacing w:after="0" w:line="2" w:lineRule="exact"/>
        <w:rPr>
          <w:sz w:val="20"/>
          <w:szCs w:val="20"/>
          <w:color w:val="auto"/>
        </w:rPr>
      </w:pPr>
    </w:p>
    <w:p>
      <w:pPr>
        <w:jc w:val="both"/>
        <w:ind w:firstLine="8"/>
        <w:spacing w:after="0" w:line="233" w:lineRule="auto"/>
        <w:tabs>
          <w:tab w:leader="none" w:pos="27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is twenty-one (21) days following the date upon which the Company timely delivers the Release to the Employee, (ii) in the event that the Employee’s termination of employment is “in connection with an exit incentive or other employment termination program” (as such phrase is defined in the Age Discrimination in Employment act of 1967), the date that is forty-five (45) days following such delivery date, or (iii) such earlier date as may be specified by the Company at the time of termination.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8.07</w:t>
      </w:r>
      <w:r>
        <w:rPr>
          <w:sz w:val="20"/>
          <w:szCs w:val="20"/>
          <w:color w:val="auto"/>
        </w:rPr>
        <w:tab/>
      </w:r>
      <w:r>
        <w:rPr>
          <w:rFonts w:ascii="Times New Roman" w:cs="Times New Roman" w:eastAsia="Times New Roman" w:hAnsi="Times New Roman"/>
          <w:sz w:val="21"/>
          <w:szCs w:val="21"/>
          <w:u w:val="single" w:color="auto"/>
          <w:color w:val="auto"/>
        </w:rPr>
        <w:t>280G Parachute 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2" w:lineRule="auto"/>
        <w:tabs>
          <w:tab w:leader="none" w:pos="19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in this Agreement to the contrary, in the event that any payment or benefit received or to be received by you (including any payment or benefit received in connection with a Change in Control or the termination of your employment, whether pursuant to the terms of this Agreement or any other plan, arrangement or agreement) (all such payments and benefits being hereinafter referred to as the “Total Payments”) would be subject (in whole or part), to the excise tax imposed under Section 4999 of the Code (the “Excise Tax”), then, after taking into account any reduction in the Total Payments provided by reason of Section 280G of the Code in such other plan, arrangement or agreement, the cash severance payments shall first be reduced, and the noncash severance payments shall thereafter be reduced, to the extent necessary so that no portion of the Total Payments is subject to the Excise Tax but only if (i) the net amount of such Total Payments without such reduction (but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the Employee would be subject in respect of such unreduced Total Payments and after taking into account the phase out of itemized deductions and personal exemptions attributable to such unreduced Total Payments).</w:t>
      </w:r>
    </w:p>
    <w:p>
      <w:pPr>
        <w:spacing w:after="0" w:line="191"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whether and the extent to which the Total Payments will be subject to the Excise Tax, (i) no portion of the Total Payments the receipt or enjoyment of which the Employee shall have waived at such time and in such manner as not to constitute a “payment” within the meaning of Section 280G(b) of the Code shall be taken into account, (ii) no portion of the Total Payments shall be taken into account which, in the written opinion of independent auditors or consultants of nationally recognized standing (“Independent Advisors”) selected by the Company, does not constitute a “parachute payment” within the meaning of Section 280G(b)(2) of the Code (including by reason of Section 280G(b)(4)(A) of the Code) and, in calculating the Excise Tax, no portion of such Total Payments shall be taken into account which, in the opinion of the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90" w:name="page191"/>
    <w:bookmarkEnd w:id="190"/>
    <w:p>
      <w:pPr>
        <w:jc w:val="both"/>
        <w:spacing w:after="0" w:line="258" w:lineRule="auto"/>
        <w:rPr>
          <w:sz w:val="20"/>
          <w:szCs w:val="20"/>
          <w:color w:val="auto"/>
        </w:rPr>
      </w:pPr>
      <w:r>
        <w:rPr>
          <w:rFonts w:ascii="Times New Roman" w:cs="Times New Roman" w:eastAsia="Times New Roman" w:hAnsi="Times New Roman"/>
          <w:sz w:val="22"/>
          <w:szCs w:val="22"/>
          <w:color w:val="auto"/>
        </w:rPr>
        <w:t>included in the Total Payments shall be determined by the Independent Advisors in accordance with the principles of Section 280G(d)(3) and (4) of the Code.</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8.08 </w:t>
      </w:r>
      <w:r>
        <w:rPr>
          <w:rFonts w:ascii="Times New Roman" w:cs="Times New Roman" w:eastAsia="Times New Roman" w:hAnsi="Times New Roman"/>
          <w:sz w:val="22"/>
          <w:szCs w:val="22"/>
          <w:u w:val="single" w:color="auto"/>
          <w:color w:val="auto"/>
        </w:rPr>
        <w:t>Compensation Recovery Policy</w:t>
      </w:r>
      <w:r>
        <w:rPr>
          <w:rFonts w:ascii="Times New Roman" w:cs="Times New Roman" w:eastAsia="Times New Roman" w:hAnsi="Times New Roman"/>
          <w:sz w:val="22"/>
          <w:szCs w:val="22"/>
          <w:color w:val="auto"/>
        </w:rPr>
        <w:t>. The Employee acknowledges and agrees that he shall take all action necessary or appropriate to comply with the clawback or similar policy adopted by the Company pursuant to the Dodd-Frank Wall Street Reform and Consumer Protection Act or any other clawback or similar policy otherwise adopted by the Company, and any rules and regulations promulgated thereunder, (including, without limitation, entering into any further agreements, amendments or policies necessary or appropriate to implement and/or enforce such policy with respect to past, present and future compensation, as appropriate).</w:t>
      </w:r>
    </w:p>
    <w:p>
      <w:pPr>
        <w:spacing w:after="0" w:line="18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8.09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To the extent any provision of this Agreement shall be invalid or unenforceable, it shall be considered deleted herefrom and the remainder of such provision and of this Agreement shall be unaffected and shall continue in full force and effect. In furtherance and not in limitation of the foregoing, should the duration or geographical extent of, or business activities covered by, any provision of this Agreement be in excess of that which is valid and enforceable under applicable law, then such provision shall be construed to cover only that duration, extent or activities which may validly and enforceably be covered. Employee acknowledges the uncertainty of the law in this respect and expressly stipulates that this Agreement be given the construction which renders its provisions valid and enforceable to the maximum extent (not exceeding its express terms) possible under applicable law.</w:t>
      </w:r>
    </w:p>
    <w:p>
      <w:pPr>
        <w:spacing w:after="0" w:line="18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8.10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shall not be assignable, in whole or in part, by either party without the written consent of the other party. After any such assignment by the Company, the Company shall be discharged from all further liability hereunder and such assignee shall thereafter be deemed to be the Company for the purposes of all provisions of this Agreement including this Section 8.</w:t>
      </w:r>
    </w:p>
    <w:p>
      <w:pPr>
        <w:spacing w:after="0" w:line="18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8.11 </w:t>
      </w: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Employee agrees that it would be difficult to compensate the Company fully for damages for any violation of the provisions of this Agreement, including without limitation the provisions of Sections 5 and 6. Accordingly, Employee specifically agrees that the Company shall be entitled to temporary and permanent injunctive relief to enforce the provisions of this Agreement and that such relief may be granted without the necessity of proving actual damages. This provision with respect to injunctive relief shall not, however, diminish the right of the Company to claim and recover damages in addition to injunctive relief.</w:t>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8.12 </w:t>
      </w:r>
      <w:r>
        <w:rPr>
          <w:rFonts w:ascii="Times New Roman" w:cs="Times New Roman" w:eastAsia="Times New Roman" w:hAnsi="Times New Roman"/>
          <w:sz w:val="22"/>
          <w:szCs w:val="22"/>
          <w:u w:val="single" w:color="auto"/>
          <w:color w:val="auto"/>
        </w:rPr>
        <w:t>Attorneys’ Fees and Costs</w:t>
      </w:r>
      <w:r>
        <w:rPr>
          <w:rFonts w:ascii="Times New Roman" w:cs="Times New Roman" w:eastAsia="Times New Roman" w:hAnsi="Times New Roman"/>
          <w:sz w:val="22"/>
          <w:szCs w:val="22"/>
          <w:color w:val="auto"/>
        </w:rPr>
        <w:t>. The Company and Employee agree that in the event any litigation arises out of this Agreement between Company and Employee, the prevailing party in such litigation shall be entitled to recover its attorney’s fees and costs brought relating to such litigation.</w:t>
      </w:r>
    </w:p>
    <w:p>
      <w:pPr>
        <w:spacing w:after="0" w:line="17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8.13 </w:t>
      </w:r>
      <w:r>
        <w:rPr>
          <w:rFonts w:ascii="Times New Roman" w:cs="Times New Roman" w:eastAsia="Times New Roman" w:hAnsi="Times New Roman"/>
          <w:sz w:val="22"/>
          <w:szCs w:val="22"/>
          <w:u w:val="single" w:color="auto"/>
          <w:color w:val="auto"/>
        </w:rPr>
        <w:t>No Mitigation Obligation</w:t>
      </w:r>
      <w:r>
        <w:rPr>
          <w:rFonts w:ascii="Times New Roman" w:cs="Times New Roman" w:eastAsia="Times New Roman" w:hAnsi="Times New Roman"/>
          <w:sz w:val="22"/>
          <w:szCs w:val="22"/>
          <w:color w:val="auto"/>
        </w:rPr>
        <w:t>. All amounts paid to Employee under this Agreement following Employee’s termination of employment and this Agreement are acknowledged by the Company and Employee to be reasonable and to be liquidated damages, and Employee will not be required to reduce the amount of such payments by seeking other employment or otherwise, nor will any profits, income, earnings or other benefits from any source whatsoever (including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91" w:name="page192"/>
    <w:bookmarkEnd w:id="191"/>
    <w:p>
      <w:pPr>
        <w:jc w:val="both"/>
        <w:spacing w:after="0" w:line="258" w:lineRule="auto"/>
        <w:rPr>
          <w:sz w:val="20"/>
          <w:szCs w:val="20"/>
          <w:color w:val="auto"/>
        </w:rPr>
      </w:pPr>
      <w:r>
        <w:rPr>
          <w:rFonts w:ascii="Times New Roman" w:cs="Times New Roman" w:eastAsia="Times New Roman" w:hAnsi="Times New Roman"/>
          <w:sz w:val="22"/>
          <w:szCs w:val="22"/>
          <w:color w:val="auto"/>
        </w:rPr>
        <w:t>other employment) create any mitigation, offset, reduction or any other obligation on the part of Employee under this Agreement.</w:t>
      </w:r>
    </w:p>
    <w:p>
      <w:pPr>
        <w:spacing w:after="0" w:line="15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8.14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payment, demand or communication required or permitted to be given by the provisions of this Agreement shall be deemed to have been effectively given and received as follows: (i) by personal delivery when delivered personally; (ii) by overnight courier upon written verification of receipt; (iii) by email, telecopy or facsimile transmission upon acknowledgment of receipt of electronic transmission; or (iv) by certified or registered mail, return receipt requested, upon verification of receipt. Notice shall be sent to Employee at the address listed on the Company’s personnel records and to the Company at its principal place of business, to the attention of the General Counsel, or such other address as either party may specify in writing. Any party may change its address by delivering a written change of address to all of the other parties in the manner set forth in this Section 8.14.</w:t>
      </w:r>
    </w:p>
    <w:p>
      <w:pPr>
        <w:spacing w:after="0" w:line="18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8.15 </w:t>
      </w:r>
      <w:r>
        <w:rPr>
          <w:rFonts w:ascii="Times New Roman" w:cs="Times New Roman" w:eastAsia="Times New Roman" w:hAnsi="Times New Roman"/>
          <w:sz w:val="22"/>
          <w:szCs w:val="22"/>
          <w:u w:val="single" w:color="auto"/>
          <w:color w:val="auto"/>
        </w:rPr>
        <w:t>Notice of Immunity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41414"/>
        </w:rPr>
        <w:t>Notwithstanding any provision of this Agreement to the contrary,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41414"/>
        </w:rPr>
        <w:t>Employee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(ii) Employee shall not be held criminally or civilly liable under any Federal or State trade secret law for the disclosure of a trade secret that is made in a complaint or other document filed in a lawsuit or other proceeding, if such filing is made under seal; and (iii) if Employee files a lawsuit for retaliation by an employer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141414"/>
        </w:rPr>
        <w:t xml:space="preserve">8.16 </w:t>
      </w:r>
      <w:r>
        <w:rPr>
          <w:rFonts w:ascii="Times New Roman" w:cs="Times New Roman" w:eastAsia="Times New Roman" w:hAnsi="Times New Roman"/>
          <w:sz w:val="22"/>
          <w:szCs w:val="22"/>
          <w:u w:val="single" w:color="auto"/>
          <w:color w:val="141414"/>
        </w:rPr>
        <w:t>Survival</w:t>
      </w:r>
      <w:r>
        <w:rPr>
          <w:rFonts w:ascii="Times New Roman" w:cs="Times New Roman" w:eastAsia="Times New Roman" w:hAnsi="Times New Roman"/>
          <w:sz w:val="22"/>
          <w:szCs w:val="22"/>
          <w:color w:val="141414"/>
        </w:rPr>
        <w:t xml:space="preserve">. The rights and obligations of the parties under the provisions of this Agreement shall survive, and remain binding and enforceable, notwithstanding the expiration of the Term, the termination of this Agreement, the termination of </w:t>
      </w:r>
      <w:r>
        <w:rPr>
          <w:rFonts w:ascii="Times New Roman" w:cs="Times New Roman" w:eastAsia="Times New Roman" w:hAnsi="Times New Roman"/>
          <w:sz w:val="22"/>
          <w:szCs w:val="22"/>
          <w:color w:val="000000"/>
        </w:rPr>
        <w:t>Employee’</w:t>
      </w:r>
      <w:r>
        <w:rPr>
          <w:rFonts w:ascii="Times New Roman" w:cs="Times New Roman" w:eastAsia="Times New Roman" w:hAnsi="Times New Roman"/>
          <w:sz w:val="22"/>
          <w:szCs w:val="22"/>
          <w:color w:val="141414"/>
        </w:rPr>
        <w:t xml:space="preserve">s employment hereunder or any settlement of the financial rights and obligations arising from </w:t>
      </w:r>
      <w:r>
        <w:rPr>
          <w:rFonts w:ascii="Times New Roman" w:cs="Times New Roman" w:eastAsia="Times New Roman" w:hAnsi="Times New Roman"/>
          <w:sz w:val="22"/>
          <w:szCs w:val="22"/>
          <w:color w:val="000000"/>
        </w:rPr>
        <w:t>Employee</w:t>
      </w:r>
      <w:r>
        <w:rPr>
          <w:rFonts w:ascii="Times New Roman" w:cs="Times New Roman" w:eastAsia="Times New Roman" w:hAnsi="Times New Roman"/>
          <w:sz w:val="22"/>
          <w:szCs w:val="22"/>
          <w:color w:val="141414"/>
        </w:rPr>
        <w:t>’s employment hereunder, to the extent necessary to preserve the intended benefits of such provisions.</w:t>
      </w:r>
    </w:p>
    <w:p>
      <w:pPr>
        <w:spacing w:after="0" w:line="17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141414"/>
        </w:rPr>
        <w:t xml:space="preserve">8.17 </w:t>
      </w:r>
      <w:r>
        <w:rPr>
          <w:rFonts w:ascii="Times New Roman" w:cs="Times New Roman" w:eastAsia="Times New Roman" w:hAnsi="Times New Roman"/>
          <w:sz w:val="21"/>
          <w:szCs w:val="21"/>
          <w:u w:val="single" w:color="auto"/>
          <w:color w:val="000000"/>
        </w:rPr>
        <w:t>Counterparts; Facsimile or .pdf Signatures</w:t>
      </w:r>
      <w:r>
        <w:rPr>
          <w:rFonts w:ascii="Times New Roman" w:cs="Times New Roman" w:eastAsia="Times New Roman" w:hAnsi="Times New Roman"/>
          <w:sz w:val="21"/>
          <w:szCs w:val="21"/>
          <w:color w:val="000000"/>
        </w:rPr>
        <w:t>. This Agreement may be executed in any number of</w:t>
      </w:r>
      <w:r>
        <w:rPr>
          <w:rFonts w:ascii="Times New Roman" w:cs="Times New Roman" w:eastAsia="Times New Roman" w:hAnsi="Times New Roman"/>
          <w:sz w:val="21"/>
          <w:szCs w:val="21"/>
          <w:color w:val="141414"/>
        </w:rPr>
        <w:t xml:space="preserve"> </w:t>
      </w:r>
      <w:r>
        <w:rPr>
          <w:rFonts w:ascii="Times New Roman" w:cs="Times New Roman" w:eastAsia="Times New Roman" w:hAnsi="Times New Roman"/>
          <w:sz w:val="21"/>
          <w:szCs w:val="21"/>
          <w:color w:val="000000"/>
        </w:rPr>
        <w:t>counterparts, each of which when so executed and delivered will be deemed an original, and all of which together shall constitute one and the same agreement. This Agreement may be executed and delivered by facsimile or by</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.pdf file and upon such delivery the facsimile or .pdf signature will be deemed to have the same effect as if the original signature had been delivered to the other party.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on following page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92" w:name="page193"/>
    <w:bookmarkEnd w:id="192"/>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executed this Agreement as of the date set forth in the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paragraph.</w:t>
      </w:r>
    </w:p>
    <w:p>
      <w:pPr>
        <w:spacing w:after="0" w:line="1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CAMPING WORLD HOLDINGS, INC.</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By:/s/ Lindsey J. Christen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10795</wp:posOffset>
            </wp:positionV>
            <wp:extent cx="29229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7">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CWGS ENTERPRISES, LLC</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By:/s/ Lindsey J. Christen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10795</wp:posOffset>
            </wp:positionV>
            <wp:extent cx="292290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By:/s/ Marcus A. Lemonis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10795</wp:posOffset>
            </wp:positionV>
            <wp:extent cx="29229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Marcus A. Lemonis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00"/>
          </w:cols>
          <w:pgMar w:left="980" w:top="864" w:right="121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 AND ADVANCEMENT AGREEMENT</w:t>
      </w:r>
    </w:p>
    <w:p>
      <w:pPr>
        <w:spacing w:after="0" w:line="31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Indemnification and Advancement Agreement (“Agreement”) is made as of January 1, 2025 by and between Camping World Holdings, Inc., a Delaware corporation (the “Company”), and Marcus A. Lemonis, a member of the Board of Directors and an officer of the Company (“Indemnitee”). This Agreement supersedes and replaces any and all previous Agreements between the Company and Indemnitee covering indemnification and advancement of expenses.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WHEREAS, the Board of Directors of the Company (the “Board”) believes that highly competent persons have become more reluctant to serve publicly-held corporations as directors, officers, or in other capacities unless they are provided with adequate protection through insurance or adequate indemnification and advancement of expenses against inordinate risks of claims and actions against them arising out of their service to and activities on behalf of the corporation;</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WHEREAS, the Board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Company’s Amended and Restated Bylaws (the “Bylaws”) and Amended and Restated Certificate of Incorporation (the “Certificate of Incorporation”) require indemnification of the officers and directors of the Company. Indemnitee may also be entitled to indemnification pursuant to the General Corporation Law of the State of Delaware (the “DGCL”). The Bylaws, the Certificate of Incorporation, and the DGCL expressly provide that the indemnification provisions set forth therein are not exclusive, and thereby contemplate that contracts may be entered into between the Company and its directors, officers, and other persons with respect to indemnification and advancement of expenses;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the uncertainties relating to such insurance, to indemnification, and to advancement of expenses may increase the difficulty of attracting and retaining such persons;</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it is reasonable, prudent and necessary for the Company contractually to obligate itself to indemnify, and to advance expenses on behalf of, such persons to the fullest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94" w:name="page195"/>
    <w:bookmarkEnd w:id="194"/>
    <w:p>
      <w:pPr>
        <w:jc w:val="both"/>
        <w:spacing w:after="0" w:line="258" w:lineRule="auto"/>
        <w:rPr>
          <w:sz w:val="20"/>
          <w:szCs w:val="20"/>
          <w:color w:val="auto"/>
        </w:rPr>
      </w:pPr>
      <w:r>
        <w:rPr>
          <w:rFonts w:ascii="Times New Roman" w:cs="Times New Roman" w:eastAsia="Times New Roman" w:hAnsi="Times New Roman"/>
          <w:sz w:val="22"/>
          <w:szCs w:val="22"/>
          <w:color w:val="auto"/>
        </w:rPr>
        <w:t>permitted by applicable law so that they will serve or continue to serve the Company free from undue concern that they will not be so indemnified;</w:t>
      </w:r>
    </w:p>
    <w:p>
      <w:pPr>
        <w:spacing w:after="0" w:line="1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WHEREAS, this Agreement is a supplement to, and in furtherance of, the Bylaws, the Certificate of Incorporation and any resolutions adopted pursuant thereto, as well as any rights of Indemnitee under any directors’ and officers’ liability insurance policy, and is not a substitute therefor, and does not diminish or abrogate any rights of Indemnitee thereunder; and</w:t>
      </w:r>
    </w:p>
    <w:p>
      <w:pPr>
        <w:spacing w:after="0" w:line="18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Indemnitee does not regard the protection available under the Bylaws, the Certificate of Incorporation, and available insurance as adequate in the present circumstances, and may not be willing to serve or continue to serve as a director and officer without adequate additional protection, and the Company desires Indemnitee to serve or continue to serve in such capacity. Indemnitee is willing to serve, continue to serve and to take on additional service for or on behalf of the Company on the condition that Indemnitee be so indemnified and be advanced expenses.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the covenants contained herein, the Company and Indemnitee do hereby covenant and agree as follows:</w:t>
      </w:r>
    </w:p>
    <w:p>
      <w:pPr>
        <w:spacing w:after="0" w:line="15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Services to the Company.</w:t>
      </w:r>
      <w:r>
        <w:rPr>
          <w:rFonts w:ascii="Times New Roman" w:cs="Times New Roman" w:eastAsia="Times New Roman" w:hAnsi="Times New Roman"/>
          <w:sz w:val="22"/>
          <w:szCs w:val="22"/>
          <w:color w:val="auto"/>
        </w:rPr>
        <w:t xml:space="preserve"> Indemnitee agrees to serve as a director and officer of the Company. Indemnitee may at any time and for any reason resign from such position (subject to any other contractual obligation or any obligation imposed by operation of law). This Agreement does not create any obligation on the Company to continue Indemnitee in such position and is not an employment contract between the Company (or any of its subsidiaries or any Enterprise) and Indemnitee.</w:t>
      </w:r>
    </w:p>
    <w:p>
      <w:pPr>
        <w:spacing w:after="0" w:line="17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 xml:space="preserve">Definitions. </w:t>
      </w:r>
      <w:r>
        <w:rPr>
          <w:rFonts w:ascii="Times New Roman" w:cs="Times New Roman" w:eastAsia="Times New Roman" w:hAnsi="Times New Roman"/>
          <w:sz w:val="21"/>
          <w:szCs w:val="21"/>
          <w:color w:val="auto"/>
        </w:rPr>
        <w:t>As used in this Agreement:</w:t>
      </w:r>
    </w:p>
    <w:p>
      <w:pPr>
        <w:spacing w:after="0" w:line="206" w:lineRule="exact"/>
        <w:rPr>
          <w:sz w:val="20"/>
          <w:szCs w:val="20"/>
          <w:color w:val="auto"/>
        </w:rPr>
      </w:pPr>
    </w:p>
    <w:p>
      <w:pPr>
        <w:ind w:firstLine="1304"/>
        <w:spacing w:after="0" w:line="258" w:lineRule="auto"/>
        <w:tabs>
          <w:tab w:leader="none" w:pos="19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means any person who is authorized by the Company or an Enterprise to act for or represent the interests of the Company or an Enterprise, respectively.</w:t>
      </w:r>
    </w:p>
    <w:p>
      <w:pPr>
        <w:spacing w:after="0" w:line="158"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occurs upon the earliest to occur after the date of this Agreement of any of the following events:</w:t>
      </w:r>
    </w:p>
    <w:p>
      <w:pPr>
        <w:spacing w:after="0" w:line="158" w:lineRule="exact"/>
        <w:rPr>
          <w:rFonts w:ascii="Times New Roman" w:cs="Times New Roman" w:eastAsia="Times New Roman" w:hAnsi="Times New Roman"/>
          <w:sz w:val="22"/>
          <w:szCs w:val="22"/>
          <w:color w:val="auto"/>
        </w:rPr>
      </w:pPr>
    </w:p>
    <w:p>
      <w:pPr>
        <w:jc w:val="both"/>
        <w:ind w:firstLine="1952"/>
        <w:spacing w:after="0" w:line="236" w:lineRule="auto"/>
        <w:tabs>
          <w:tab w:leader="none" w:pos="2592"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 of Stock by Third Party. Any Person (as defined below), other than a Permitted Holder (as defined below), is or becomes the Beneficial Owner (as defined below), directly or indirectly, of securities of the Company representing fifteen percent (15%)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81"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92"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Board of Directors.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2(b)(i), 2(b)(iii) or 2(b)(iv) of this Agreement) whose election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95" w:name="page196"/>
    <w:bookmarkEnd w:id="195"/>
    <w:p>
      <w:pPr>
        <w:jc w:val="both"/>
        <w:spacing w:after="0" w:line="239" w:lineRule="auto"/>
        <w:rPr>
          <w:sz w:val="20"/>
          <w:szCs w:val="20"/>
          <w:color w:val="auto"/>
        </w:rPr>
      </w:pPr>
      <w:r>
        <w:rPr>
          <w:rFonts w:ascii="Times New Roman" w:cs="Times New Roman" w:eastAsia="Times New Roman" w:hAnsi="Times New Roman"/>
          <w:sz w:val="22"/>
          <w:szCs w:val="22"/>
          <w:color w:val="auto"/>
        </w:rPr>
        <w:t>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80" w:lineRule="exact"/>
        <w:rPr>
          <w:sz w:val="20"/>
          <w:szCs w:val="20"/>
          <w:color w:val="auto"/>
        </w:rPr>
      </w:pPr>
    </w:p>
    <w:p>
      <w:pPr>
        <w:jc w:val="both"/>
        <w:ind w:firstLine="1952"/>
        <w:spacing w:after="0" w:line="235" w:lineRule="auto"/>
        <w:tabs>
          <w:tab w:leader="none" w:pos="259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83"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7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Liquidation. The approval by the stockholders of the Company of a complete liquidation of the Company or an agreement for the sale or disposition by the Company of all or substantially all of the Company’s assets; and</w:t>
      </w:r>
    </w:p>
    <w:p>
      <w:pPr>
        <w:spacing w:after="0" w:line="173" w:lineRule="exact"/>
        <w:rPr>
          <w:rFonts w:ascii="Times New Roman" w:cs="Times New Roman" w:eastAsia="Times New Roman" w:hAnsi="Times New Roman"/>
          <w:sz w:val="22"/>
          <w:szCs w:val="22"/>
          <w:color w:val="auto"/>
        </w:rPr>
      </w:pPr>
    </w:p>
    <w:p>
      <w:pPr>
        <w:jc w:val="both"/>
        <w:ind w:firstLine="1952"/>
        <w:spacing w:after="0" w:line="239" w:lineRule="auto"/>
        <w:tabs>
          <w:tab w:leader="none" w:pos="257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Section 2(b), the following terms have the following meanings:</w:t>
      </w:r>
    </w:p>
    <w:p>
      <w:pPr>
        <w:spacing w:after="0" w:line="218" w:lineRule="exact"/>
        <w:rPr>
          <w:sz w:val="20"/>
          <w:szCs w:val="20"/>
          <w:color w:val="auto"/>
        </w:rPr>
      </w:pPr>
    </w:p>
    <w:p>
      <w:pPr>
        <w:ind w:left="3240" w:hanging="640"/>
        <w:spacing w:after="0" w:line="258" w:lineRule="auto"/>
        <w:tabs>
          <w:tab w:leader="none" w:pos="32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Act” means the Securities Exchange Act of 1934, as amended from time to time.</w:t>
      </w:r>
    </w:p>
    <w:p>
      <w:pPr>
        <w:spacing w:after="0" w:line="158" w:lineRule="exact"/>
        <w:rPr>
          <w:sz w:val="20"/>
          <w:szCs w:val="20"/>
          <w:color w:val="auto"/>
        </w:rPr>
      </w:pPr>
    </w:p>
    <w:p>
      <w:pPr>
        <w:jc w:val="both"/>
        <w:ind w:left="3240" w:hanging="640"/>
        <w:spacing w:after="0" w:line="236" w:lineRule="auto"/>
        <w:tabs>
          <w:tab w:leader="none" w:pos="32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has the meaning as set forth in Sections 13(d) and 14(d) of the Exchange Act; provided, however, that Person excludes (i) the Company, (ii) any trustee or other fiduciary holding securities under an employee benefit plan of the Company, and (iii) any entity owned, directly or indirectly, by the stockholders of the Company in substantially the same proportions as their ownership of stock of the Company.</w:t>
      </w:r>
    </w:p>
    <w:p>
      <w:pPr>
        <w:spacing w:after="0" w:line="181" w:lineRule="exact"/>
        <w:rPr>
          <w:sz w:val="20"/>
          <w:szCs w:val="20"/>
          <w:color w:val="auto"/>
        </w:rPr>
      </w:pPr>
    </w:p>
    <w:p>
      <w:pPr>
        <w:jc w:val="both"/>
        <w:ind w:left="3240" w:hanging="640"/>
        <w:spacing w:after="0" w:line="238" w:lineRule="auto"/>
        <w:tabs>
          <w:tab w:leader="none" w:pos="324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 has the meaning given to such term in Rule 13d-3 under the Exchange Act; provided, however, that Beneficial Owner excludes any Person otherwise becoming a Beneficial Owner by reason of the stockholders of the Company approving a merger of the Company with another entity.</w:t>
      </w:r>
    </w:p>
    <w:p>
      <w:pPr>
        <w:spacing w:after="0" w:line="176"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Status” describes the status of a person who is or was acting as a director, officer, employee, or Agent of the Company or an Enterprise.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96" w:name="page197"/>
    <w:bookmarkEnd w:id="196"/>
    <w:p>
      <w:pPr>
        <w:ind w:right="20" w:firstLine="1304"/>
        <w:spacing w:after="0" w:line="258" w:lineRule="auto"/>
        <w:tabs>
          <w:tab w:leader="none" w:pos="19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“Disinterested Director” means a director of the Company who is not and was not a party to the Proceeding in respect of which indemnification is sought by Indemnitee.</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“Enterprise” means any other corporation, limited liability company, partnership, joint venture, trust, employee benefit plan or other entity for which Indemnitee is or was serving at the request of the Company as a director, officer, employee, or Agent.</w:t>
      </w:r>
    </w:p>
    <w:p>
      <w:pPr>
        <w:spacing w:after="0" w:line="173"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includes all reasonable attorneys’ fees, retainers, court costs, transcript costs, fees and other costs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obligations,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its equivalent, and (ii) for purposes of Section 14(d) of this Agreement only, Expenses incurred by Indemnitee in connection with the interpretation, enforcement or defense of Indemnitee’s rights under this Agreement, by litigation or otherwise. Expenses, however, do not include amounts paid in settlement by Indemnitee or the amount of judgments or fines against Indemnitee.</w:t>
      </w:r>
    </w:p>
    <w:p>
      <w:pPr>
        <w:spacing w:after="0" w:line="182"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Counsel”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does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w:t>
      </w:r>
    </w:p>
    <w:p>
      <w:pPr>
        <w:spacing w:after="0" w:line="18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Holder” means each of Marcus Lemonis, ML Acquisition Company, LLC and its permitted transferees of common units of CWGS Enterprises, LLC, and Crestview Advisors, L.L.C., funds affiliated with Crestview Partners II GP, L.P. and their permitted transferees of common units of CWGS Enterprises, LLC.</w:t>
      </w:r>
    </w:p>
    <w:p>
      <w:pPr>
        <w:spacing w:after="0" w:line="180"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4"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“Proceeding” includes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regulatory, or investigative (formal or informal) nature, including any appeal therefrom, in which Indemnitee was, is, or will be involved as a party, potential party, non-party witness, or otherwise by reason of Indemnitee’s Corporate Status or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97" w:name="page198"/>
    <w:bookmarkEnd w:id="197"/>
    <w:p>
      <w:pPr>
        <w:jc w:val="both"/>
        <w:spacing w:after="0" w:line="238" w:lineRule="auto"/>
        <w:rPr>
          <w:sz w:val="20"/>
          <w:szCs w:val="20"/>
          <w:color w:val="auto"/>
        </w:rPr>
      </w:pPr>
      <w:r>
        <w:rPr>
          <w:rFonts w:ascii="Times New Roman" w:cs="Times New Roman" w:eastAsia="Times New Roman" w:hAnsi="Times New Roman"/>
          <w:sz w:val="22"/>
          <w:szCs w:val="22"/>
          <w:color w:val="auto"/>
        </w:rPr>
        <w:t>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A Proceeding also includes a situation the Indemnitee believes in good faith may lead to, or culminate in, the institution of a Proceeding.</w:t>
      </w:r>
    </w:p>
    <w:p>
      <w:pPr>
        <w:spacing w:after="0" w:line="177" w:lineRule="exact"/>
        <w:rPr>
          <w:sz w:val="20"/>
          <w:szCs w:val="20"/>
          <w:color w:val="auto"/>
        </w:rPr>
      </w:pPr>
    </w:p>
    <w:p>
      <w:pPr>
        <w:ind w:firstLine="1304"/>
        <w:spacing w:after="0" w:line="258" w:lineRule="auto"/>
        <w:tabs>
          <w:tab w:leader="none" w:pos="19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“Sponsor Entities” means Crestview Advisors, L.L.C., funds affiliated with Crestview Partners II GP, L.P. and their permitted transferees of common units of CWGS Enterprises, LLC.</w:t>
      </w:r>
    </w:p>
    <w:p>
      <w:pPr>
        <w:spacing w:after="0" w:line="15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Indemnity in Third-Party Proceedings.</w:t>
      </w:r>
      <w:r>
        <w:rPr>
          <w:rFonts w:ascii="Times New Roman" w:cs="Times New Roman" w:eastAsia="Times New Roman" w:hAnsi="Times New Roman"/>
          <w:sz w:val="22"/>
          <w:szCs w:val="22"/>
          <w:color w:val="auto"/>
        </w:rPr>
        <w:t xml:space="preserve"> The Company will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the Company will indemnify Indemnitee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7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u w:val="single" w:color="auto"/>
          <w:color w:val="auto"/>
        </w:rPr>
        <w:t>Indemnity in Proceedings by or in the Right of the Company.</w:t>
      </w:r>
      <w:r>
        <w:rPr>
          <w:rFonts w:ascii="Times New Roman" w:cs="Times New Roman" w:eastAsia="Times New Roman" w:hAnsi="Times New Roman"/>
          <w:sz w:val="21"/>
          <w:szCs w:val="21"/>
          <w:color w:val="auto"/>
        </w:rPr>
        <w:t xml:space="preserve"> The Company will indemnify Indemnitee in accordance with the provisions of this Section 4 if Indemnitee is, or is threatened to be made, a party to or a participant in any Proceeding by or in the right of the Company to procure a judgment in its favor. Pursuant to this Section 4, the Company will indemnify Indemnitee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The Company will not indemnify Indemnitee for Expenses under this Section 4 related to any claim, issue, or matter in a Proceeding for which Indemnitee has been finally adjudged by a court to be liable to the Company, unless, and only to the extent that, the Court of Chancery of the state of Delaware (the “Delaware Court”) or any court in which the Proceeding was brought determines upon application by Indemnitee that, despite the adjudication of liability but in view of all the circumstances of the case, Indemnitee is fairly and reasonably entitled to indemnification.</w:t>
      </w:r>
    </w:p>
    <w:p>
      <w:pPr>
        <w:spacing w:after="0" w:line="17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Indemnification for Expenses of a Party Who is Wholly or Partly Successful.</w:t>
      </w:r>
      <w:r>
        <w:rPr>
          <w:rFonts w:ascii="Times New Roman" w:cs="Times New Roman" w:eastAsia="Times New Roman" w:hAnsi="Times New Roman"/>
          <w:sz w:val="22"/>
          <w:szCs w:val="22"/>
          <w:color w:val="auto"/>
        </w:rPr>
        <w:t xml:space="preserve"> To the fullest extent permitted by applicable law, the Company will indemnify Indemnitee against all Expenses actually and reasonably incurred by Indemnitee in connection with any Proceeding to the extent that Indemnitee is successful, on the merits or otherwise. If Indemnitee is not wholly successful in such Proceeding but is successful, on the merits or otherwise, as to one or more but less than all claims, issues, or matters in such Proceeding, the Company will indemnify Indemnitee against all Expenses actually and reasonably incurred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98" w:name="page199"/>
    <w:bookmarkEnd w:id="198"/>
    <w:p>
      <w:pPr>
        <w:jc w:val="both"/>
        <w:spacing w:after="0" w:line="239" w:lineRule="auto"/>
        <w:rPr>
          <w:sz w:val="20"/>
          <w:szCs w:val="20"/>
          <w:color w:val="auto"/>
        </w:rPr>
      </w:pPr>
      <w:r>
        <w:rPr>
          <w:rFonts w:ascii="Times New Roman" w:cs="Times New Roman" w:eastAsia="Times New Roman" w:hAnsi="Times New Roman"/>
          <w:sz w:val="22"/>
          <w:szCs w:val="22"/>
          <w:color w:val="auto"/>
        </w:rPr>
        <w:t>Indemnitee or on Indemnitee’s behalf in connection with or related to each successfully resolved claim, issue or matter to the fullest extent permitted by law. For purposes of this Section 5 and without limitation, the termination of any claim, issue, or matter in such a Proceeding by dismissal, with or without prejudice, will be deemed to be a successful result as to such claim, issue, or matter.</w:t>
      </w:r>
    </w:p>
    <w:p>
      <w:pPr>
        <w:spacing w:after="0" w:line="18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Indemnification for Expenses of a Witness.</w:t>
      </w:r>
      <w:r>
        <w:rPr>
          <w:rFonts w:ascii="Times New Roman" w:cs="Times New Roman" w:eastAsia="Times New Roman" w:hAnsi="Times New Roman"/>
          <w:sz w:val="22"/>
          <w:szCs w:val="22"/>
          <w:color w:val="auto"/>
        </w:rPr>
        <w:t xml:space="preserve"> To the fullest extent permitted by applicable law, the Company will indemnify Indemnitee against all Expenses actually and reasonably incurred by Indemnitee or on Indemnitee’s behalf in connection with any Proceeding to which Indemnitee is not a party but to which Indemnitee is a witness, deponent, interviewee, or otherwise asked to participate or provide information.</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Partial Indemnification.</w:t>
      </w:r>
      <w:r>
        <w:rPr>
          <w:rFonts w:ascii="Times New Roman" w:cs="Times New Roman" w:eastAsia="Times New Roman" w:hAnsi="Times New Roman"/>
          <w:sz w:val="22"/>
          <w:szCs w:val="22"/>
          <w:color w:val="auto"/>
        </w:rPr>
        <w:t xml:space="preserve"> If Indemnitee is entitled under any provision of this Agreement to indemnification by the Company for some or a portion of Expenses, but not, however, for the total amount thereof, the Company will indemnify Indemnitee for the portion thereof to which Indemnitee is entitled.</w:t>
      </w:r>
    </w:p>
    <w:p>
      <w:pPr>
        <w:spacing w:after="0" w:line="17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Additional Indemnification.</w:t>
      </w:r>
      <w:r>
        <w:rPr>
          <w:rFonts w:ascii="Times New Roman" w:cs="Times New Roman" w:eastAsia="Times New Roman" w:hAnsi="Times New Roman"/>
          <w:sz w:val="22"/>
          <w:szCs w:val="22"/>
          <w:color w:val="auto"/>
        </w:rPr>
        <w:t xml:space="preserve"> Notwithstanding any limitation in Sections 3, 4, or 5 of this Agreement, the Company will indemnify Indemnitee to the fullest extent permitted by applicable law (including but not limited to, the DGCL and any amendments to or replacements of the DGCL adopted after the date of this Agreement that expand the Company’s ability to indemnify its officers, directors, employees or Agents) if Indemnitee is a party to, or threatened to be made a party to, any Proceeding (including a Proceeding by or in the right of the Company to procure a judgment in its favor).</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Exclusions.</w:t>
      </w:r>
      <w:r>
        <w:rPr>
          <w:rFonts w:ascii="Times New Roman" w:cs="Times New Roman" w:eastAsia="Times New Roman" w:hAnsi="Times New Roman"/>
          <w:sz w:val="22"/>
          <w:szCs w:val="22"/>
          <w:color w:val="auto"/>
        </w:rPr>
        <w:t xml:space="preserve"> Notwithstanding any provision in this Agreement, the Company is not obligated under this Agreement to indemnify Indemnitee for:</w:t>
      </w:r>
    </w:p>
    <w:p>
      <w:pPr>
        <w:spacing w:after="0" w:line="158" w:lineRule="exact"/>
        <w:rPr>
          <w:sz w:val="20"/>
          <w:szCs w:val="20"/>
          <w:color w:val="auto"/>
        </w:rPr>
      </w:pPr>
    </w:p>
    <w:p>
      <w:pPr>
        <w:jc w:val="both"/>
        <w:ind w:firstLine="1304"/>
        <w:spacing w:after="0" w:line="244" w:lineRule="auto"/>
        <w:tabs>
          <w:tab w:leader="none" w:pos="19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amount actually paid to or on behalf of Indemnitee under any insurance policy or other indemnity provision, except to the extent provided in Section 16(b) of this Agreement and except with respect to any excess beyond the amount paid under any insurance policy or other indemnity provision;</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accounting of profits made from the purchase and sale (or sale and purchase) by Indemnitee of securities of the Company within the meaning of Section 16(b) of the Exchange Act or similar provisions of state statutory law or common law;</w:t>
      </w:r>
    </w:p>
    <w:p>
      <w:pPr>
        <w:spacing w:after="0" w:line="173"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9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w:t>
      </w:r>
    </w:p>
    <w:p>
      <w:pPr>
        <w:spacing w:after="0" w:line="181"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of the Company by Indemnitee of any compensation pursuant to any compensation recoupment or clawback policy adopted by the Board or the compensation committee of the Board, including but not limited to any such policy adopted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22"/>
          <w:szCs w:val="22"/>
          <w:color w:val="auto"/>
        </w:rPr>
        <w:t>comply with stock exchange listing requirements implementing Section 10D of the Exchange Act; or</w:t>
      </w:r>
    </w:p>
    <w:p>
      <w:pPr>
        <w:spacing w:after="0" w:line="206" w:lineRule="exact"/>
        <w:rPr>
          <w:sz w:val="20"/>
          <w:szCs w:val="20"/>
          <w:color w:val="auto"/>
        </w:rPr>
      </w:pPr>
    </w:p>
    <w:p>
      <w:pPr>
        <w:jc w:val="both"/>
        <w:ind w:firstLine="1304"/>
        <w:spacing w:after="0" w:line="235" w:lineRule="auto"/>
        <w:tabs>
          <w:tab w:leader="none" w:pos="194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Proceeding initiated by Indemnitee, including any Proceeding (or any part of any Proceeding) initiated by Indemnitee against the Company or its directors, officers, employees or other indemnitees, unless (i) the Proceeding or part of any Proceeding is to enforce Indemnitee’s rights to indemnification or advancement, of Expenses, including a Proceeding (or any part of any Proceeding) initiated pursuant to Section 14 of this Agreement, (ii) the Board authorized the Proceeding (or any part of any Proceeding) prior to its initiation or (iii) the Company provides the indemnification, in its sole discretion, pursuant to the powers vested in the Company under applicable law.</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10.</w:t>
      </w:r>
      <w:r>
        <w:rPr>
          <w:sz w:val="20"/>
          <w:szCs w:val="20"/>
          <w:color w:val="auto"/>
        </w:rPr>
        <w:tab/>
      </w:r>
      <w:r>
        <w:rPr>
          <w:rFonts w:ascii="Times New Roman" w:cs="Times New Roman" w:eastAsia="Times New Roman" w:hAnsi="Times New Roman"/>
          <w:sz w:val="21"/>
          <w:szCs w:val="21"/>
          <w:u w:val="single" w:color="auto"/>
          <w:color w:val="auto"/>
        </w:rPr>
        <w:t>Advances of Expenses.</w:t>
      </w:r>
    </w:p>
    <w:p>
      <w:pPr>
        <w:spacing w:after="0" w:line="206" w:lineRule="exact"/>
        <w:rPr>
          <w:sz w:val="20"/>
          <w:szCs w:val="20"/>
          <w:color w:val="auto"/>
        </w:rPr>
      </w:pPr>
    </w:p>
    <w:p>
      <w:pPr>
        <w:ind w:firstLine="1304"/>
        <w:spacing w:after="0" w:line="258" w:lineRule="auto"/>
        <w:tabs>
          <w:tab w:leader="none" w:pos="194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advance, to the extent not prohibited by law, the Expenses incurred by Indemnitee in connection with:</w:t>
      </w:r>
    </w:p>
    <w:p>
      <w:pPr>
        <w:spacing w:after="0" w:line="15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Proceeding (or any part of any Proceeding) not initiated by Indemnitee; or</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Proceeding (or any part of any Proceeding) initiated by Indemnitee if</w:t>
      </w:r>
    </w:p>
    <w:p>
      <w:pPr>
        <w:spacing w:after="0" w:line="206" w:lineRule="exact"/>
        <w:rPr>
          <w:rFonts w:ascii="Times New Roman" w:cs="Times New Roman" w:eastAsia="Times New Roman" w:hAnsi="Times New Roman"/>
          <w:sz w:val="22"/>
          <w:szCs w:val="22"/>
          <w:color w:val="auto"/>
        </w:rPr>
      </w:pPr>
    </w:p>
    <w:p>
      <w:pPr>
        <w:ind w:left="3240" w:hanging="648"/>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1the Proceeding or part of any Proceeding is to enforce Indemnitee’s rights to obtain indemnification or advancement of Expenses from the Company or Enterprise, including a proceeding initiated pursuant to Section 14 of this Agreement, or</w:t>
      </w:r>
    </w:p>
    <w:p>
      <w:pPr>
        <w:spacing w:after="0" w:line="180" w:lineRule="exact"/>
        <w:rPr>
          <w:sz w:val="20"/>
          <w:szCs w:val="20"/>
          <w:color w:val="auto"/>
        </w:rPr>
      </w:pPr>
    </w:p>
    <w:p>
      <w:pPr>
        <w:ind w:left="3240" w:hanging="640"/>
        <w:spacing w:after="0" w:line="258" w:lineRule="auto"/>
        <w:tabs>
          <w:tab w:leader="none" w:pos="324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authorized the Proceeding (or any part of any Proceeding) prior to its initiation.</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advance the Expenses within thirty (30) days after the receipt by the Company of a statement or statements requesting such advances from time to time, whether prior to or after final disposition of any Proceeding eligible for advancement of expenses.</w:t>
      </w:r>
    </w:p>
    <w:p>
      <w:pPr>
        <w:spacing w:after="0" w:line="173"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Advances will be unsecured and interest free. Indemnitee hereby undertakes to repay any amounts so advanced (without interest) to the extent that it is ultimately determined that Indemnitee is not entitled to be indemnified by the Company, thus Indemnitee qualifies for advances upon the execution of this Agreement and delivery to the Company. No other form of undertaking is required other than the execution of this Agreement. The Company will make advances without regard to Indemnitee’s ability to repay the Expenses and without regard to Indemnitee’s ultimate entitlement to indemnification under the other provisions of this Agreement.</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Procedure for Notification of Claim for Indemnification or Advancement.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00" w:name="page201"/>
    <w:bookmarkEnd w:id="200"/>
    <w:p>
      <w:pPr>
        <w:jc w:val="both"/>
        <w:ind w:firstLine="1304"/>
        <w:spacing w:after="0" w:line="233" w:lineRule="auto"/>
        <w:tabs>
          <w:tab w:leader="none" w:pos="19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Indemnitee will notify the Company in writing of any Proceeding with respect to which Indemnitee intends to seek indemnification or advancement of Expenses hereunder as soon as reasonably practicable following the receipt by Indemnitee of written notice thereof. Indemnitee will include in the written notification to the Company a description of the nature of the Proceeding and the facts underlying the Proceeding and provide such documentation and information as is reasonably available to Indemnitee and is reasonably necessary to determine whether and to what extent Indemnitee is entitled to indemnification following the final disposition of such Proceeding. Indemnitee’s failure to notify the Company will not relieve the Company from any obligation it may have to Indemnitee under this Agreement, and any delay in so notifying the Company will not constitute a waiver by Indemnitee of any rights under this Agreement. The Secretary of the Company will, promptly upon receipt of such a request for indemnification or advancement, advise the Board in writing that Indemnitee has requested indemnification or advancement.</w:t>
      </w:r>
    </w:p>
    <w:p>
      <w:pPr>
        <w:spacing w:after="0" w:line="18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be entitled to participate in the Proceeding at its own expense.</w:t>
      </w:r>
    </w:p>
    <w:p>
      <w:pPr>
        <w:spacing w:after="0" w:line="20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u w:val="single" w:color="auto"/>
          <w:color w:val="auto"/>
        </w:rPr>
        <w:t>Procedure Upon Application for Indemnification.</w:t>
      </w:r>
    </w:p>
    <w:p>
      <w:pPr>
        <w:spacing w:after="0" w:line="206" w:lineRule="exact"/>
        <w:rPr>
          <w:sz w:val="20"/>
          <w:szCs w:val="20"/>
          <w:color w:val="auto"/>
        </w:rPr>
      </w:pPr>
    </w:p>
    <w:p>
      <w:pPr>
        <w:ind w:firstLine="1304"/>
        <w:spacing w:after="0" w:line="258" w:lineRule="auto"/>
        <w:tabs>
          <w:tab w:leader="none" w:pos="194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Change of Control has occurred, the determination of Indemnitee’s entitlement to indemnification will be made:</w:t>
      </w:r>
    </w:p>
    <w:p>
      <w:pPr>
        <w:spacing w:after="0" w:line="15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 majority vote of the Disinterested Directors, even though less than a quorum of</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Board;</w:t>
      </w:r>
    </w:p>
    <w:p>
      <w:pPr>
        <w:spacing w:after="0" w:line="182" w:lineRule="exact"/>
        <w:rPr>
          <w:rFonts w:ascii="Times New Roman" w:cs="Times New Roman" w:eastAsia="Times New Roman" w:hAnsi="Times New Roman"/>
          <w:sz w:val="21"/>
          <w:szCs w:val="21"/>
          <w:color w:val="auto"/>
        </w:rPr>
      </w:pPr>
    </w:p>
    <w:p>
      <w:pPr>
        <w:ind w:firstLine="1952"/>
        <w:spacing w:after="0" w:line="258" w:lineRule="auto"/>
        <w:tabs>
          <w:tab w:leader="none" w:pos="2592"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 committee of Disinterested Directors designated by a majority vote of the Disinterested Directors, even though less than a quorum of the Board;</w:t>
      </w:r>
    </w:p>
    <w:p>
      <w:pPr>
        <w:spacing w:after="0" w:line="15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are no such Disinterested Directors or, if such Disinterested Directors so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by written opinion provided by Independent Counsel selected by the Board; or</w:t>
      </w:r>
    </w:p>
    <w:p>
      <w:pPr>
        <w:spacing w:after="0" w:line="18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so directed by the Board, by the stockholders of the Company.</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Control has occurred, the determination of Indemnitee’s entitlement to indemnification will be made by written opinion provided by Independent Counsel selected by Indemnitee (unless Indemnitee requests such selection be made by the Board)</w:t>
      </w:r>
    </w:p>
    <w:p>
      <w:pPr>
        <w:spacing w:after="0" w:line="173"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4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party selecting Independent Counsel pursuant to subsection (a)(iii) or (b) of this Section 12 will provide written notice of the selection to the other party. The notified party may, within ten (10) days after receiving written notice of the selection of Independent Counsel, deliver to the selecting party a written objection to such selection;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objection may be asserted only on the ground that the Independent Counsel so selected does not meet the requirements of “Independent Counsel” as defined in Section 2 of this Agreement, and the objection will set forth with particularity the factual basis of such assertion. Absent a proper and timely objection, the person so selected will act as Independent Counsel. If such written objection is so made and substantiated, the Independent Counsel so selected may not serve as Independent Counsel unless and until such objection is withdrawn or the Delaware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01" w:name="page202"/>
    <w:bookmarkEnd w:id="201"/>
    <w:p>
      <w:pPr>
        <w:jc w:val="both"/>
        <w:spacing w:after="0" w:line="234" w:lineRule="auto"/>
        <w:rPr>
          <w:sz w:val="20"/>
          <w:szCs w:val="20"/>
          <w:color w:val="auto"/>
        </w:rPr>
      </w:pPr>
      <w:r>
        <w:rPr>
          <w:rFonts w:ascii="Times New Roman" w:cs="Times New Roman" w:eastAsia="Times New Roman" w:hAnsi="Times New Roman"/>
          <w:sz w:val="22"/>
          <w:szCs w:val="22"/>
          <w:color w:val="auto"/>
        </w:rPr>
        <w:t>has determined that such objection is without merit. If, within thirty (30) days after the later of submission by Indemnitee of a written request for indemnification pursuant to Section 11(a) of this Agreement and the final disposition of the Proceeding, Independent Counsel has not been selected or, if selected, any objection to such selection has not been resolved, either the Company or Indemnitee may petition the Delaware Court for resolution of any objection made by the Company or Indemnitee to the other’s selection of Independent Counsel and/or for the appointment as Independent Counsel of a person selected by such court or by such other person as such court designates. Upon the due commencement of any judicial proceeding or arbitration pursuant to Section 14(a) of this Agreement, Independent Counsel will be discharged and relieved of any further responsibility in such capacity (subject to the applicable standards of professional conduct then prevailing).</w:t>
      </w:r>
    </w:p>
    <w:p>
      <w:pPr>
        <w:spacing w:after="0" w:line="183" w:lineRule="exact"/>
        <w:rPr>
          <w:sz w:val="20"/>
          <w:szCs w:val="20"/>
          <w:color w:val="auto"/>
        </w:rPr>
      </w:pPr>
    </w:p>
    <w:p>
      <w:pPr>
        <w:jc w:val="both"/>
        <w:ind w:firstLine="1304"/>
        <w:spacing w:after="0" w:line="246" w:lineRule="auto"/>
        <w:tabs>
          <w:tab w:leader="none" w:pos="1944"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Indemnitee will cooperate with the person, persons or entity making the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The Company will advance and pay any Expenses incurred by Indemnitee in so cooperating with the person, persons or entity making the indemnification determination irrespective of the determination as to Indemnitee’s entitlement to indemnification and the Company hereby indemnifies and agrees to hold Indemnitee harmless therefrom. The Company promptly will advise Indemnitee in writing of the determination that Indemnitee is or is not entitled to indemnification, including a description of any reason or basis for which indemnification has been denied and providing a copy of any written opinion provided to the Board by Independent Counsel.</w:t>
      </w:r>
    </w:p>
    <w:p>
      <w:pPr>
        <w:spacing w:after="0" w:line="170" w:lineRule="exact"/>
        <w:rPr>
          <w:rFonts w:ascii="Times New Roman" w:cs="Times New Roman" w:eastAsia="Times New Roman" w:hAnsi="Times New Roman"/>
          <w:sz w:val="21"/>
          <w:szCs w:val="21"/>
          <w:color w:val="auto"/>
        </w:rPr>
      </w:pPr>
    </w:p>
    <w:p>
      <w:pPr>
        <w:ind w:firstLine="1304"/>
        <w:spacing w:after="0" w:line="258" w:lineRule="auto"/>
        <w:tabs>
          <w:tab w:leader="none" w:pos="194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it is determined that Indemnitee is entitled to indemnification, the Company will make payment to Indemnitee within thirty (30) days after such determination.</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1"/>
          <w:szCs w:val="21"/>
          <w:u w:val="single" w:color="auto"/>
          <w:color w:val="auto"/>
        </w:rPr>
        <w:t>Presumptions and Effect of Certain Proceedings.</w:t>
      </w:r>
    </w:p>
    <w:p>
      <w:pPr>
        <w:spacing w:after="0" w:line="206" w:lineRule="exact"/>
        <w:rPr>
          <w:sz w:val="20"/>
          <w:szCs w:val="20"/>
          <w:color w:val="auto"/>
        </w:rPr>
      </w:pPr>
    </w:p>
    <w:p>
      <w:pPr>
        <w:jc w:val="both"/>
        <w:ind w:firstLine="1304"/>
        <w:spacing w:after="0" w:line="233" w:lineRule="auto"/>
        <w:tabs>
          <w:tab w:leader="none" w:pos="194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making a determination with respect to entitlement to indemnification under this Agreement, the person, persons, or entity making such determination will, to the fullest extent not prohibited by law, presume Indemnitee is entitled to indemnification under this Agreement if Indemnitee has submitted a request for indemnification in accordance with Section 11(a) of this Agreement, and the Company will, to the fullest extent not prohibited by law, have the burden of proof to overcome that presumption. Neither the failure of the Company (including by its directors or Independent Counsel) to have made a determination prior to the commencement of any action pursuant to this Agreement that indemnification is proper under the circumstances because Indemnitee has met the applicable standard of conduct, nor an actual determination by the Company (including by its directors or Independent Counsel) that Indemnitee has not met such applicable standard of conduct, will be a defense to the action or create a presumption that Indemnitee has not met the applicable standard of conduct.</w:t>
      </w:r>
    </w:p>
    <w:p>
      <w:pPr>
        <w:spacing w:after="0" w:line="187"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determination of the Indemnitee’s entitlement to indemnification has not been made pursuant to Section 12 of this Agreement within sixty (60) days after the later of (i) receipt by the Company of Indemnitee’s request for indemnification pursuant to Section 11(a)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02" w:name="page203"/>
    <w:bookmarkEnd w:id="202"/>
    <w:p>
      <w:pPr>
        <w:jc w:val="both"/>
        <w:spacing w:after="0" w:line="244" w:lineRule="auto"/>
        <w:rPr>
          <w:sz w:val="20"/>
          <w:szCs w:val="20"/>
          <w:color w:val="auto"/>
        </w:rPr>
      </w:pPr>
      <w:r>
        <w:rPr>
          <w:rFonts w:ascii="Times New Roman" w:cs="Times New Roman" w:eastAsia="Times New Roman" w:hAnsi="Times New Roman"/>
          <w:sz w:val="21"/>
          <w:szCs w:val="21"/>
          <w:color w:val="auto"/>
        </w:rPr>
        <w:t>this Agreement and (ii) the final disposition of the Proceeding for which Indemnitee requested Indemnification (the “Determination Period”), the requisite determination of entitlement to indemnification will, to the fullest extent not prohibited by law, be deemed to have been made and Indemnitee will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The Determination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the Determination Period will not apply (i) if the determination of entitlement to indemnification is to be made by the stockholders pursuant to Section 12(a)(iv) of this Agreement and if (A) within fifteen (15) days after receipt by the Company of the request for such determination the Board has resolved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w:t>
      </w:r>
    </w:p>
    <w:p>
      <w:pPr>
        <w:spacing w:after="0" w:line="173" w:lineRule="exact"/>
        <w:rPr>
          <w:sz w:val="20"/>
          <w:szCs w:val="20"/>
          <w:color w:val="auto"/>
        </w:rPr>
      </w:pPr>
    </w:p>
    <w:p>
      <w:pPr>
        <w:jc w:val="both"/>
        <w:ind w:firstLine="1304"/>
        <w:spacing w:after="0" w:line="236" w:lineRule="auto"/>
        <w:tabs>
          <w:tab w:leader="none" w:pos="194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termination of any Proceeding or of any claim, issue, or matter therein by judgment, order, settlement or conviction, or upon a plea of </w:t>
      </w:r>
      <w:r>
        <w:rPr>
          <w:rFonts w:ascii="Times New Roman" w:cs="Times New Roman" w:eastAsia="Times New Roman" w:hAnsi="Times New Roman"/>
          <w:sz w:val="22"/>
          <w:szCs w:val="22"/>
          <w:u w:val="single" w:color="auto"/>
          <w:color w:val="auto"/>
        </w:rPr>
        <w:t>nolo contendere</w:t>
      </w:r>
      <w:r>
        <w:rPr>
          <w:rFonts w:ascii="Times New Roman" w:cs="Times New Roman" w:eastAsia="Times New Roman" w:hAnsi="Times New Roman"/>
          <w:sz w:val="22"/>
          <w:szCs w:val="22"/>
          <w:color w:val="auto"/>
        </w:rPr>
        <w:t xml:space="preserve"> or its equivalent, will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1" w:lineRule="exact"/>
        <w:rPr>
          <w:rFonts w:ascii="Times New Roman" w:cs="Times New Roman" w:eastAsia="Times New Roman" w:hAnsi="Times New Roman"/>
          <w:sz w:val="22"/>
          <w:szCs w:val="22"/>
          <w:color w:val="auto"/>
        </w:rPr>
      </w:pPr>
    </w:p>
    <w:p>
      <w:pPr>
        <w:jc w:val="both"/>
        <w:ind w:firstLine="1304"/>
        <w:spacing w:after="0" w:line="245" w:lineRule="auto"/>
        <w:tabs>
          <w:tab w:leader="none" w:pos="1944"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any determination of good faith, Indemnitee will be deemed to have acted in good faith if Indemnitee acted based on (i) the records or books of account of the Company, its subsidiaries, or an Enterprise, including financial statements, (ii) information supplied to Indemnitee by the directors or officers of the Company, its subsidiaries, or an Enterprise in the course of their duties, (iii) the advice of legal counsel for the Company, its subsidiaries, or an Enterprise or (iv) information or records given or reports made to the Company or an Enterprise by an independent certified public accountant or by an appraiser, financial advisor or other expert selected with reasonable care by or on behalf of the Company, its subsidiaries, or an Enterprise. Further, Indemnitee will be deemed to have acted in a manner “not opposed to the best interests of the Company,” as referred to in this Agreement if Indemnitee acted in good faith and in a manner Indemnitee reasonably believed to be in the best interests of the participants and beneficiaries of an employee benefit plan. The provisions of this Section 13(d) are not exclusive and do not limit in any way the other circumstances in which the Indemnitee may be deemed to have met the applicable standard of conduct set forth in this Agreement.</w:t>
      </w:r>
    </w:p>
    <w:p>
      <w:pPr>
        <w:spacing w:after="0" w:line="173" w:lineRule="exact"/>
        <w:rPr>
          <w:rFonts w:ascii="Times New Roman" w:cs="Times New Roman" w:eastAsia="Times New Roman" w:hAnsi="Times New Roman"/>
          <w:sz w:val="21"/>
          <w:szCs w:val="21"/>
          <w:color w:val="auto"/>
        </w:rPr>
      </w:pPr>
    </w:p>
    <w:p>
      <w:pPr>
        <w:ind w:firstLine="1304"/>
        <w:spacing w:after="0" w:line="258" w:lineRule="auto"/>
        <w:tabs>
          <w:tab w:leader="none" w:pos="194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knowledge and/or actions, or failure to act, of any other person affiliated with the Company or an Enterprise (including, but not limited to, a director,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03" w:name="page204"/>
    <w:bookmarkEnd w:id="203"/>
    <w:p>
      <w:pPr>
        <w:spacing w:after="0" w:line="258" w:lineRule="auto"/>
        <w:rPr>
          <w:sz w:val="20"/>
          <w:szCs w:val="20"/>
          <w:color w:val="auto"/>
        </w:rPr>
      </w:pPr>
      <w:r>
        <w:rPr>
          <w:rFonts w:ascii="Times New Roman" w:cs="Times New Roman" w:eastAsia="Times New Roman" w:hAnsi="Times New Roman"/>
          <w:sz w:val="22"/>
          <w:szCs w:val="22"/>
          <w:color w:val="auto"/>
        </w:rPr>
        <w:t>trustee, partner, managing member, Agent or employee) may not be imputed to Indemnitee for purposes of determining Indemnitee’s right to indemnification under this Agreement.</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14.</w:t>
      </w:r>
      <w:r>
        <w:rPr>
          <w:sz w:val="20"/>
          <w:szCs w:val="20"/>
          <w:color w:val="auto"/>
        </w:rPr>
        <w:tab/>
      </w:r>
      <w:r>
        <w:rPr>
          <w:rFonts w:ascii="Times New Roman" w:cs="Times New Roman" w:eastAsia="Times New Roman" w:hAnsi="Times New Roman"/>
          <w:sz w:val="21"/>
          <w:szCs w:val="21"/>
          <w:u w:val="single" w:color="auto"/>
          <w:color w:val="auto"/>
        </w:rPr>
        <w:t>Remedies of Indemnitee.</w:t>
      </w:r>
    </w:p>
    <w:p>
      <w:pPr>
        <w:spacing w:after="0" w:line="206" w:lineRule="exact"/>
        <w:rPr>
          <w:sz w:val="20"/>
          <w:szCs w:val="20"/>
          <w:color w:val="auto"/>
        </w:rPr>
      </w:pPr>
    </w:p>
    <w:p>
      <w:pPr>
        <w:jc w:val="both"/>
        <w:ind w:firstLine="1304"/>
        <w:spacing w:after="0" w:line="244" w:lineRule="auto"/>
        <w:tabs>
          <w:tab w:leader="none" w:pos="1944"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Indemnitee may commence litigation against the Company in the Delaware Court to obtain indemnification or advancement of Expenses provided by this Agreement in the event that (i) a determination is made pursuant to Section 12 of this Agreement that Indemnitee is not entitled to indemnification under this Agreement, (ii) the Company does not advance Expenses pursuant to Section 10 of this Agreement, (iii) the determination of entitlement to indemnification is not made pursuant to Section 12 of this Agreement within the Determination Period, (iv) the Company does not indemnify Indemnitee pursuant to Section 5 or 6 or the second to last sentence of Section 12(d) of this Agreement within thirty (30) days after receipt by the Company of a written request therefor, (v) the Company does not indemnify Indemnitee pursuant to Section 3, 4, 7, or 8 of this Agreement within thirty (30)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must commence such Proceeding seeking an adjudication or an award in arbitration within one hundred and eighty (180) days following the date on which Indemnitee first has the right to commence such Proceeding pursuant to this Section 14(a);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clause does not apply in respect of a Proceeding brought by Indemnitee to enforce Indemnitee’s rights under Section 5 of this Agreement. The Company will not oppose Indemnitee’s right to seek any such adjudication or award in arbitration.</w:t>
      </w:r>
    </w:p>
    <w:p>
      <w:pPr>
        <w:spacing w:after="0" w:line="173" w:lineRule="exact"/>
        <w:rPr>
          <w:rFonts w:ascii="Times New Roman" w:cs="Times New Roman" w:eastAsia="Times New Roman" w:hAnsi="Times New Roman"/>
          <w:sz w:val="21"/>
          <w:szCs w:val="21"/>
          <w:color w:val="auto"/>
        </w:rPr>
      </w:pPr>
    </w:p>
    <w:p>
      <w:pPr>
        <w:jc w:val="both"/>
        <w:ind w:firstLine="1304"/>
        <w:spacing w:after="0" w:line="236" w:lineRule="auto"/>
        <w:tabs>
          <w:tab w:leader="none" w:pos="194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determination is made pursuant to Section 12 of this Agreement that Indemnitee is not entitled to indemnification, any judicial proceeding commenced pursuant to this Section 14 will be conducted in all respects as a </w:t>
      </w:r>
      <w:r>
        <w:rPr>
          <w:rFonts w:ascii="Times New Roman" w:cs="Times New Roman" w:eastAsia="Times New Roman" w:hAnsi="Times New Roman"/>
          <w:sz w:val="22"/>
          <w:szCs w:val="22"/>
          <w:i w:val="1"/>
          <w:iCs w:val="1"/>
          <w:color w:val="auto"/>
        </w:rPr>
        <w:t>de novo</w:t>
      </w:r>
      <w:r>
        <w:rPr>
          <w:rFonts w:ascii="Times New Roman" w:cs="Times New Roman" w:eastAsia="Times New Roman" w:hAnsi="Times New Roman"/>
          <w:sz w:val="22"/>
          <w:szCs w:val="22"/>
          <w:color w:val="auto"/>
        </w:rPr>
        <w:t xml:space="preserve"> trial on the merits and Indemnitee may not be prejudiced by reason of that adverse determination. In any judicial proceeding commenced pursuant to this Section 14 the Company will have the burden of proving Indemnitee is not entitled to indemnification or advancement of Expenses, as the case may be, and will not introduce evidence of the determination made pursuant to Section 12 of this Agreement.</w:t>
      </w:r>
    </w:p>
    <w:p>
      <w:pPr>
        <w:spacing w:after="0" w:line="181"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determination is made pursuant to Section 12 of this Agreement that Indemnitee is entitled to indemnification, the Company will be bound by such determination in any judicial proceeding commenced pursuant to this Section 14 unless (i) a made of a material fact, or an omission of a material fact necessary to make Indemnitee’s statement not materially misleading, in connection with Indemnitees’ request for indemnification, or (ii) the Company is prohibited from indemnifying Indemnitee under applicable law.</w:t>
      </w:r>
    </w:p>
    <w:p>
      <w:pPr>
        <w:spacing w:after="0" w:line="176"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to the fullest extent not prohibited by law, precluded from asserting in any judicial proceeding commenced pursuant to this Section 14 that the procedures and presumptions of this Agreement are not valid, binding, or enforceable and will stipulate in any such court that the Company is bound by all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04" w:name="page205"/>
    <w:bookmarkEnd w:id="204"/>
    <w:p>
      <w:pPr>
        <w:jc w:val="both"/>
        <w:ind w:firstLine="1304"/>
        <w:spacing w:after="0" w:line="233" w:lineRule="auto"/>
        <w:tabs>
          <w:tab w:leader="none" w:pos="194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under this Agreement. The Company, to the fullest extent permitted by law, will (within thirty (30) days after receipt by the Company of a written request therefor) advance to Indemnitee such Expenses which are incurred by Indemnitee in connection with a Proceeding concerning this Agreement, Indemnitee’s other rights to indemnification or advancement of Expenses from the Company, or concerning any directors’ and officers’ liability insurance policies maintained by the Company, and will indemnify Indemnitee against any and all such Expenses unless the court determines that Indemnitee’s claims in such action were made in bad faith or frivolous, or that the Company is prohibited by law from indemnifying Indemnitee for such Expenses.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15.</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0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16.</w:t>
      </w:r>
      <w:r>
        <w:rPr>
          <w:sz w:val="20"/>
          <w:szCs w:val="20"/>
          <w:color w:val="auto"/>
        </w:rPr>
        <w:tab/>
      </w:r>
      <w:r>
        <w:rPr>
          <w:rFonts w:ascii="Times New Roman" w:cs="Times New Roman" w:eastAsia="Times New Roman" w:hAnsi="Times New Roman"/>
          <w:sz w:val="21"/>
          <w:szCs w:val="21"/>
          <w:u w:val="single" w:color="auto"/>
          <w:color w:val="auto"/>
        </w:rPr>
        <w:t>Non-exclusivity; Survival of Rights; Insurance; Subrogation.</w:t>
      </w:r>
    </w:p>
    <w:p>
      <w:pPr>
        <w:spacing w:after="0" w:line="206" w:lineRule="exact"/>
        <w:rPr>
          <w:sz w:val="20"/>
          <w:szCs w:val="20"/>
          <w:color w:val="auto"/>
        </w:rPr>
      </w:pPr>
    </w:p>
    <w:p>
      <w:pPr>
        <w:jc w:val="both"/>
        <w:ind w:firstLine="1304"/>
        <w:spacing w:after="0" w:line="233" w:lineRule="auto"/>
        <w:tabs>
          <w:tab w:leader="none" w:pos="194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indemnification and advancement of Expenses provided by this Agreement are not exclusive of any other rights to which Indemnitee may at any time be entitled under applicable law, the Certificate of Incorporation, the Bylaws, any agreement, a vote of stockholders, a resolution of the board of directors, or otherwise. The indemnification and advancement of Expenses provided by this Agreement may not be limited or restricted by any amendment, alteration or repeal of this Agreement in any way with respect to any action taken or omitted by Indemnitee in Indemnitee’s Corporate Status occurring prior to any amendment, alteration or repeal of this Agreement. To the extent that a change in Delaware law, whether by statute or judicial decision, permits greater indemnification or advancement of Expenses than would be afforded currently under the Bylaws, the Certificate of Incorporation, or this Agreement, it is the intent of the parties hereto that Indemnitee enjoy by this Agreement the greater benefits so afforded by such change. No right or remedy herein conferred is intended to be exclusive of any other right or remedy, and every other right and remedy is cumulative and in addition to every other right and remedy given hereunder or now or hereafter existing at law or in equity or otherwise. The assertion or employment of any right or remedy hereunder, or otherwise, will not prevent the concurrent assertion or employment of any other right or remedy.</w:t>
      </w:r>
    </w:p>
    <w:p>
      <w:pPr>
        <w:spacing w:after="0" w:line="179"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acknowledges that Indemnitee may have certain rights to indemnification, advancement of Expenses and/or insurance provided by one or more other Persons with whom or which Indemnitee may be associated (including, without limitation, any Sponsor Entities). The relationship between the Company and such other Persons, other than an Enterprise, with respect to Indemnitee’s rights to indemnification, advancement of Expenses, and insurance is described by this subsection, subject to the provisions of subsection (d) of this Section 16 with respect to a Proceeding concerning Indemnitee’s Corporate Status with an Enterprise.</w:t>
      </w:r>
    </w:p>
    <w:p>
      <w:pPr>
        <w:spacing w:after="0" w:line="18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acknowledges and agrees: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05" w:name="page206"/>
    <w:bookmarkEnd w:id="205"/>
    <w:p>
      <w:pPr>
        <w:jc w:val="both"/>
        <w:ind w:firstLine="2600"/>
        <w:spacing w:after="0" w:line="239" w:lineRule="auto"/>
        <w:tabs>
          <w:tab w:leader="none" w:pos="324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obligations to Indemnitee are primary and any obligation of any other Persons, other than an Enterprise, are secondary (i.e., the Company is the indemnitor of first resort) with respect to any request for indemnification or advancement of Expenses made pursuant to this Agreement concerning any Proceeding;</w:t>
      </w:r>
    </w:p>
    <w:p>
      <w:pPr>
        <w:spacing w:after="0" w:line="180" w:lineRule="exact"/>
        <w:rPr>
          <w:rFonts w:ascii="Times New Roman" w:cs="Times New Roman" w:eastAsia="Times New Roman" w:hAnsi="Times New Roman"/>
          <w:sz w:val="22"/>
          <w:szCs w:val="22"/>
          <w:color w:val="auto"/>
        </w:rPr>
      </w:pPr>
    </w:p>
    <w:p>
      <w:pPr>
        <w:jc w:val="both"/>
        <w:ind w:firstLine="2600"/>
        <w:spacing w:after="0" w:line="244" w:lineRule="auto"/>
        <w:tabs>
          <w:tab w:leader="none" w:pos="3312"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primarily liable for all indemnification or advancement of Expenses obligations for any Proceeding, whether created by law, the Bylaws, the Certificate of Incorporation, contract (including this Agreement) or otherwise;</w:t>
      </w:r>
    </w:p>
    <w:p>
      <w:pPr>
        <w:spacing w:after="0" w:line="173" w:lineRule="exact"/>
        <w:rPr>
          <w:rFonts w:ascii="Times New Roman" w:cs="Times New Roman" w:eastAsia="Times New Roman" w:hAnsi="Times New Roman"/>
          <w:sz w:val="22"/>
          <w:szCs w:val="22"/>
          <w:color w:val="auto"/>
        </w:rPr>
      </w:pPr>
    </w:p>
    <w:p>
      <w:pPr>
        <w:jc w:val="both"/>
        <w:ind w:firstLine="2600"/>
        <w:spacing w:after="0" w:line="244" w:lineRule="auto"/>
        <w:tabs>
          <w:tab w:leader="none" w:pos="324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obligation of any other Persons with whom or which Indemnitee may be associated (including, without limitation, any Sponsor Entities) to indemnify Indemnitee and/or advance Expenses to Indemnitee in respect of any proceeding are secondary to the Company’s obligations;</w:t>
      </w:r>
    </w:p>
    <w:p>
      <w:pPr>
        <w:spacing w:after="0" w:line="173" w:lineRule="exact"/>
        <w:rPr>
          <w:rFonts w:ascii="Times New Roman" w:cs="Times New Roman" w:eastAsia="Times New Roman" w:hAnsi="Times New Roman"/>
          <w:sz w:val="22"/>
          <w:szCs w:val="22"/>
          <w:color w:val="auto"/>
        </w:rPr>
      </w:pPr>
    </w:p>
    <w:p>
      <w:pPr>
        <w:jc w:val="both"/>
        <w:ind w:firstLine="2600"/>
        <w:spacing w:after="0" w:line="239" w:lineRule="auto"/>
        <w:tabs>
          <w:tab w:leader="none" w:pos="324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indemnify Indemnitee and advance Expenses to Indemnitee hereunder to the fullest extent provided herein without regard to any rights Indemnitee may have against any other Person with whom or which Indemnitee may be associated (including, any Sponsor Entities) or an insurer of any such Person; and</w:t>
      </w:r>
    </w:p>
    <w:p>
      <w:pPr>
        <w:spacing w:after="0" w:line="180" w:lineRule="exact"/>
        <w:rPr>
          <w:rFonts w:ascii="Times New Roman" w:cs="Times New Roman" w:eastAsia="Times New Roman" w:hAnsi="Times New Roman"/>
          <w:sz w:val="22"/>
          <w:szCs w:val="22"/>
          <w:color w:val="auto"/>
        </w:rPr>
      </w:pPr>
    </w:p>
    <w:p>
      <w:pPr>
        <w:jc w:val="both"/>
        <w:ind w:firstLine="1952"/>
        <w:spacing w:after="0" w:line="234" w:lineRule="auto"/>
        <w:tabs>
          <w:tab w:leader="none" w:pos="2592"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irrevocably waives, relinquishes and releases (A) any other Person with whom or which Indemnitee may be associated (including, without limitation, any Sponsor Entities) from any claim of contribution, subrogation, reimbursement, exoneration or indemnification, or any other recovery of any kind in respect of amounts paid by the Company to Indemnitee pursuant to this Agreement and (B) any right to participate in any claim or remedy of Indemnitee against any Person (including, without limitation, any Sponsor Entities), whether or not such claim, remedy or right arises in equity or under contract, statute or common law, including, without limitation, the right to take or receive from any Person (including, without limitation, any Sponsor Entities), directly or indirectly, in cash or other property or by set-off or in any other manner, payment or security on account of such claim, remedy or right.</w:t>
      </w:r>
    </w:p>
    <w:p>
      <w:pPr>
        <w:spacing w:after="0" w:line="183" w:lineRule="exact"/>
        <w:rPr>
          <w:rFonts w:ascii="Times New Roman" w:cs="Times New Roman" w:eastAsia="Times New Roman" w:hAnsi="Times New Roman"/>
          <w:sz w:val="22"/>
          <w:szCs w:val="22"/>
          <w:color w:val="auto"/>
        </w:rPr>
      </w:pPr>
    </w:p>
    <w:p>
      <w:pPr>
        <w:jc w:val="both"/>
        <w:ind w:firstLine="1952"/>
        <w:spacing w:after="0" w:line="235" w:lineRule="auto"/>
        <w:tabs>
          <w:tab w:leader="none" w:pos="2592"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other Person with whom or which Indemnitee may be associated (including, without limitation, any Sponsor Entities) or their insurers advances or extinguishes any liability or loss for Indemnitee, the payor has a right of subrogation against the Company or its insurers for all amounts so paid which would otherwise be payable by the Company or its insurers under this Agreement. In no event will payment by any other Person with whom or which Indemnitee may be associated (including, without limitation, any Sponsor Entities) or their insurers affect the obligations of the Company hereunder or shift primary liability for the Company’s obligation to indemnify or advance Expenses to any other Person with whom or which Indemnitee may be associated (including, without limitation, any Sponsor Entities).</w:t>
      </w:r>
    </w:p>
    <w:p>
      <w:pPr>
        <w:spacing w:after="0" w:line="178"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7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indemnification or advancement of Expenses provided by any other Person with whom or which Indemnitee may be associated (including, without limitation, any Sponsor Entities) is specifically in excess over the Company’s obligation to indemnify and advance Expenses or any valid and collectible insurance (including but not limited to any malpractice insurance or professional errors and omissions insurance) provided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06" w:name="page207"/>
    <w:bookmarkEnd w:id="206"/>
    <w:p>
      <w:pPr>
        <w:jc w:val="both"/>
        <w:ind w:firstLine="1304"/>
        <w:spacing w:after="0" w:line="233" w:lineRule="auto"/>
        <w:tabs>
          <w:tab w:leader="none" w:pos="194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Company maintains an insurance policy or policies providing liability insurance for directors, officers, employees, or Agents of the Company, the Company will obtain a policy or policies covering Indemnitee to the maximum extent of the coverage available for any such director, officer, employee or Agent under such policy or policies, including coverage in the event the Company does not or cannot, for any reason, indemnify or advance Expenses to Indemnitee as required by this Agreement. If, at the time of the receipt of a notice of a claim pursuant to this Agreement, the Company has director and officer liability insurance in effect, the Company will give prompt notice of such claim or of the commencement of a Proceeding, as the case may be, to the insurers in accordance with the procedures set forth in the respective policies. The Company will thereafter take all necessary or desirable action to cause such insurers to pay, on behalf of Indemnitee, all amounts payable as a result of such Proceeding in accordance with the terms of such policies. Indemnitee agrees to assist the Company’s efforts to cause the insurers to pay such amounts and will comply with the terms of such policies, including selection of approved panel counsel, if required.</w:t>
      </w:r>
    </w:p>
    <w:p>
      <w:pPr>
        <w:spacing w:after="0" w:line="184"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4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obligation to indemnify or advance Expenses hereunder to Indemnitee for any Proceeding concerning Indemnitee’s Corporate Status with an Enterprise will be reduced by any amount Indemnitee has actually received as indemnification or advancement of Expenses from such Enterprise. The Company and Indemnitee intend that any such Enterprise (and its insurers) be the indemnitor of first resort with respect to indemnification and advancement of Expenses for any Proceeding related to or arising from Indemnitee’s Corporate Status with such Enterprise. The Company’s obligation to indemnify and advance Expenses to Indemnitee is secondary to the obligations the Enterprise or its insurers owe to Indemnitee. Indemnitee agrees to take all reasonably necessary and desirable action to obtain from an Enterprise indemnification and advancement of Expenses for any Proceeding related to, or arising from, Indemnitee’s Corporate Status with such Enterprise.</w:t>
      </w:r>
    </w:p>
    <w:p>
      <w:pPr>
        <w:spacing w:after="0" w:line="179"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payment made by the Company under this Agreement, the Company will be subrogated to the extent of such payment to all of the rights of recovery of Indemnitee from any Enterprise or its insurance carrier. Indemnitee will execute all papers required and take all action necessary to secure such rights, including execution of such documents as are necessary to enable the Company to bring suit to enforce such rights.</w:t>
      </w:r>
    </w:p>
    <w:p>
      <w:pPr>
        <w:spacing w:after="0" w:line="17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u w:val="single" w:color="auto"/>
          <w:color w:val="auto"/>
        </w:rPr>
        <w:t>Duration of Agreement.</w:t>
      </w:r>
      <w:r>
        <w:rPr>
          <w:rFonts w:ascii="Times New Roman" w:cs="Times New Roman" w:eastAsia="Times New Roman" w:hAnsi="Times New Roman"/>
          <w:sz w:val="22"/>
          <w:szCs w:val="22"/>
          <w:color w:val="auto"/>
        </w:rPr>
        <w:t xml:space="preserve"> The indemnification and advancement of Expenses rights provided by or granted pursuant to this Agreement are (i) binding upon and be enforceable by the parties hereto and their respective successors and assigns (including any direct or indirect successor by purchase, merger, consolidation or otherwise to all or substantially all of the business or assets of the Company), (ii) continue as to an Indemnitee who has ceased to be a director, officer, employee or Agent of the Company or of any other Enterprise, and (iii) inure to the benefit of Indemnitee and Indemnitee’s spouse, assigns, heirs, devisees, executors and administrators and other legal representatives.</w:t>
      </w:r>
    </w:p>
    <w:p>
      <w:pPr>
        <w:spacing w:after="0" w:line="18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If any provision or provisions of this Agreement is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07" w:name="page208"/>
    <w:bookmarkEnd w:id="207"/>
    <w:p>
      <w:pPr>
        <w:jc w:val="both"/>
        <w:spacing w:after="0" w:line="236" w:lineRule="auto"/>
        <w:rPr>
          <w:sz w:val="20"/>
          <w:szCs w:val="20"/>
          <w:color w:val="auto"/>
        </w:rPr>
      </w:pPr>
      <w:r>
        <w:rPr>
          <w:rFonts w:ascii="Times New Roman" w:cs="Times New Roman" w:eastAsia="Times New Roman" w:hAnsi="Times New Roman"/>
          <w:sz w:val="22"/>
          <w:szCs w:val="22"/>
          <w:color w:val="auto"/>
        </w:rPr>
        <w:t>or unenforceable) will not in any way be affected or impaired thereby and will remain enforceable to the fullest extent permitted by law; (b) such provision or provisions will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will be construed so as to give effect to the intent manifested thereby.</w:t>
      </w:r>
    </w:p>
    <w:p>
      <w:pPr>
        <w:spacing w:after="0" w:line="18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19.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Any ambiguity in the terms of this Agreement will be resolved in favor of Indemnitee and in a manner to provide the maximum indemnification and advancement of Expenses permitted by law. The Company and Indemnitee intend that this Agreement provide to the fullest extent permitted by law for indemnification and advancement of Expenses in excess of that expressly provided, without limitation, by the Certificate of Incorporation, the Bylaws, vote of the Company’s stockholders or disinterested directors, or applicable law.</w:t>
      </w:r>
    </w:p>
    <w:p>
      <w:pPr>
        <w:spacing w:after="0" w:line="18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w:t>
      </w:r>
      <w:r>
        <w:rPr>
          <w:sz w:val="20"/>
          <w:szCs w:val="20"/>
          <w:color w:val="auto"/>
        </w:rPr>
        <w:tab/>
      </w:r>
      <w:r>
        <w:rPr>
          <w:rFonts w:ascii="Times New Roman" w:cs="Times New Roman" w:eastAsia="Times New Roman" w:hAnsi="Times New Roman"/>
          <w:sz w:val="21"/>
          <w:szCs w:val="21"/>
          <w:u w:val="single" w:color="auto"/>
          <w:color w:val="auto"/>
        </w:rPr>
        <w:t>Enforcement.</w:t>
      </w:r>
    </w:p>
    <w:p>
      <w:pPr>
        <w:spacing w:after="0" w:line="206" w:lineRule="exact"/>
        <w:rPr>
          <w:sz w:val="20"/>
          <w:szCs w:val="20"/>
          <w:color w:val="auto"/>
        </w:rPr>
      </w:pPr>
    </w:p>
    <w:p>
      <w:pPr>
        <w:jc w:val="both"/>
        <w:ind w:firstLine="1304"/>
        <w:spacing w:after="0" w:line="239" w:lineRule="auto"/>
        <w:tabs>
          <w:tab w:leader="none" w:pos="194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expressly confirms and agrees that it has entered into this Agreement and assumed the obligations imposed on it hereby in order to induce Indemnitee to serve as a director, officer, employee, or Agent of the Company, and the Company acknowledges that Indemnitee is relying upon this Agreement in serving or continuing to serve as director, officer, employee, or Agent of the Company.</w:t>
      </w:r>
    </w:p>
    <w:p>
      <w:pPr>
        <w:spacing w:after="0" w:line="180"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of Incorporation, the Bylaws, any directors’ and officers’ insurance maintained by the Company, and applicable law, is not a substitute therefor, and does not diminish or abrogate any rights of Indemnitee thereunder.</w:t>
      </w:r>
    </w:p>
    <w:p>
      <w:pPr>
        <w:spacing w:after="0" w:line="18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Modification and Waiver.</w:t>
      </w:r>
      <w:r>
        <w:rPr>
          <w:rFonts w:ascii="Times New Roman" w:cs="Times New Roman" w:eastAsia="Times New Roman" w:hAnsi="Times New Roman"/>
          <w:sz w:val="22"/>
          <w:szCs w:val="22"/>
          <w:color w:val="auto"/>
        </w:rPr>
        <w:t xml:space="preserve"> No supplement, modification or amendment of this Agreement is binding unless executed in writing by the parties hereto. No waiver of any of the provisions of this Agreement will be deemed to constitute a waiver of any other provision of this Agreement nor will any waiver constitute a continuing waiver.</w:t>
      </w:r>
    </w:p>
    <w:p>
      <w:pPr>
        <w:spacing w:after="0" w:line="18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Notice by Indemnitee.</w:t>
      </w:r>
      <w:r>
        <w:rPr>
          <w:rFonts w:ascii="Times New Roman" w:cs="Times New Roman" w:eastAsia="Times New Roman" w:hAnsi="Times New Roman"/>
          <w:sz w:val="22"/>
          <w:szCs w:val="22"/>
          <w:color w:val="auto"/>
        </w:rPr>
        <w:t xml:space="preserve"> Indemnitee agrees to promptly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does not relieve the Company of any obligation which it may have to the Indemnitee under this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08" w:name="page209"/>
    <w:bookmarkEnd w:id="208"/>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requests, demands and other communications under this Agreement will be in writing and will be deemed to have been duly given if (a) delivered by hand to the other party, (b) sent by reputable overnight courier to the other party or (c) sent by facsimile transmission or electronic mail, with receipt of oral confirmation that such communication has been received:</w:t>
      </w:r>
    </w:p>
    <w:p>
      <w:pPr>
        <w:spacing w:after="0" w:line="180" w:lineRule="exact"/>
        <w:rPr>
          <w:sz w:val="20"/>
          <w:szCs w:val="20"/>
          <w:color w:val="auto"/>
        </w:rPr>
      </w:pPr>
    </w:p>
    <w:p>
      <w:pPr>
        <w:ind w:right="20" w:firstLine="1304"/>
        <w:spacing w:after="0" w:line="258" w:lineRule="auto"/>
        <w:tabs>
          <w:tab w:leader="none" w:pos="194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Indemnitee, at the address indicated on the signature page of this Agreement, or such other address as Indemnitee provides to the Company.</w:t>
      </w:r>
    </w:p>
    <w:p>
      <w:pPr>
        <w:spacing w:after="0" w:line="15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w:t>
      </w:r>
    </w:p>
    <w:p>
      <w:pPr>
        <w:spacing w:after="0" w:line="206"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Camping World Holdings, Inc.</w:t>
      </w:r>
    </w:p>
    <w:p>
      <w:pPr>
        <w:spacing w:after="0" w:line="14" w:lineRule="exact"/>
        <w:rPr>
          <w:rFonts w:ascii="Times New Roman" w:cs="Times New Roman" w:eastAsia="Times New Roman" w:hAnsi="Times New Roman"/>
          <w:sz w:val="22"/>
          <w:szCs w:val="22"/>
          <w:color w:val="auto"/>
        </w:rPr>
      </w:pPr>
    </w:p>
    <w:p>
      <w:pPr>
        <w:ind w:left="2840" w:right="5080" w:hanging="891"/>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Address: 2 Marriott Drive Lincolnshire, IL 60069</w:t>
      </w:r>
    </w:p>
    <w:p>
      <w:pPr>
        <w:spacing w:after="0" w:line="1" w:lineRule="exact"/>
        <w:rPr>
          <w:rFonts w:ascii="Times New Roman" w:cs="Times New Roman" w:eastAsia="Times New Roman" w:hAnsi="Times New Roman"/>
          <w:sz w:val="22"/>
          <w:szCs w:val="22"/>
          <w:color w:val="auto"/>
        </w:rPr>
      </w:pPr>
    </w:p>
    <w:p>
      <w:pPr>
        <w:ind w:left="284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Attention: Lindsey Christen, Chief Administrative and Legal Officer</w:t>
      </w: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LChristen@campingworld.com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to any other address as may have been furnished to Indemnitee by the Company.</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Section 24. </w:t>
      </w:r>
      <w:r>
        <w:rPr>
          <w:rFonts w:ascii="Times New Roman" w:cs="Times New Roman" w:eastAsia="Times New Roman" w:hAnsi="Times New Roman"/>
          <w:sz w:val="21"/>
          <w:szCs w:val="21"/>
          <w:u w:val="single" w:color="auto"/>
          <w:color w:val="auto"/>
        </w:rPr>
        <w:t>Contribution.</w:t>
      </w:r>
      <w:r>
        <w:rPr>
          <w:rFonts w:ascii="Times New Roman" w:cs="Times New Roman" w:eastAsia="Times New Roman" w:hAnsi="Times New Roman"/>
          <w:sz w:val="21"/>
          <w:szCs w:val="21"/>
          <w:color w:val="auto"/>
        </w:rPr>
        <w:t xml:space="preserve"> To the fullest extent permissible under applicable law, if the indemnification provided for in this Agreement is unavailable to Indemnitee for any reason whatsoever, the Company, in lieu of indemnifying Indemnitee, will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(a) the relative benefits received by the Company and Indemnitee as a result of the event(s) and/or transaction(s) giving cause to such Proceeding; and/or</w:t>
      </w:r>
    </w:p>
    <w:p>
      <w:pPr>
        <w:spacing w:after="0" w:line="6" w:lineRule="exact"/>
        <w:rPr>
          <w:sz w:val="20"/>
          <w:szCs w:val="20"/>
          <w:color w:val="auto"/>
        </w:rPr>
      </w:pPr>
    </w:p>
    <w:p>
      <w:pPr>
        <w:ind w:right="20" w:firstLine="8"/>
        <w:spacing w:after="0" w:line="237" w:lineRule="auto"/>
        <w:tabs>
          <w:tab w:leader="none" w:pos="35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relative fault of the Company (and its directors, officers, employees and Agents) and Indemnitee in connection with such event(s) and/or transaction(s).</w:t>
      </w:r>
    </w:p>
    <w:p>
      <w:pPr>
        <w:spacing w:after="0" w:line="17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 xml:space="preserve">Section 25. </w:t>
      </w:r>
      <w:r>
        <w:rPr>
          <w:rFonts w:ascii="Times New Roman" w:cs="Times New Roman" w:eastAsia="Times New Roman" w:hAnsi="Times New Roman"/>
          <w:sz w:val="21"/>
          <w:szCs w:val="21"/>
          <w:u w:val="single" w:color="auto"/>
          <w:color w:val="auto"/>
        </w:rPr>
        <w:t>Applicable Law and Consent to Jurisdiction.</w:t>
      </w:r>
      <w:r>
        <w:rPr>
          <w:rFonts w:ascii="Times New Roman" w:cs="Times New Roman" w:eastAsia="Times New Roman" w:hAnsi="Times New Roman"/>
          <w:sz w:val="21"/>
          <w:szCs w:val="21"/>
          <w:color w:val="auto"/>
        </w:rPr>
        <w:t xml:space="preserve"> This Agreement and the legal relations among the parties are governed by, and construed and enforced in accordance with, the laws of the State of Delaware, without regard to its conflict of laws rules. The Company and Indemnitee hereby irrevocably and unconditionally</w:t>
      </w:r>
    </w:p>
    <w:p>
      <w:pPr>
        <w:spacing w:after="0" w:line="1" w:lineRule="exact"/>
        <w:rPr>
          <w:sz w:val="20"/>
          <w:szCs w:val="20"/>
          <w:color w:val="auto"/>
        </w:rPr>
      </w:pPr>
    </w:p>
    <w:p>
      <w:pPr>
        <w:jc w:val="both"/>
        <w:ind w:firstLine="8"/>
        <w:spacing w:after="0" w:line="232" w:lineRule="auto"/>
        <w:tabs>
          <w:tab w:leader="none" w:pos="33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 that any action, claim, or proceeding between the parties arising out of or in connection with this Agreement may be brought only in the Delaware Court and not in any other state or federal court in the United States of America or any court in any other country, (b) consent to submit to the exclusive jurisdiction of the Delaware Court for purposes of any action, claim, or proceeding arising out of or in connection with this Agreement, (c) waive any objection to the laying of venue of any such action, claim, or proceeding in the Delaware Court, and (d) waive, and agree not to plead or to make, any claim that any such action, claim, or proceeding brought in the Delaware Court has been brought in an improper or inconvenient forum.</w:t>
      </w:r>
    </w:p>
    <w:p>
      <w:pPr>
        <w:spacing w:after="0" w:line="18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Identical Counterparts.</w:t>
      </w:r>
      <w:r>
        <w:rPr>
          <w:rFonts w:ascii="Times New Roman" w:cs="Times New Roman" w:eastAsia="Times New Roman" w:hAnsi="Times New Roman"/>
          <w:sz w:val="22"/>
          <w:szCs w:val="22"/>
          <w:color w:val="auto"/>
        </w:rPr>
        <w:t xml:space="preserve"> This Agreement may be executed in one or more counterparts, each of which will for all purposes be deemed to be an original but all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09" w:name="page210"/>
    <w:bookmarkEnd w:id="209"/>
    <w:p>
      <w:pPr>
        <w:spacing w:after="0" w:line="258" w:lineRule="auto"/>
        <w:rPr>
          <w:sz w:val="20"/>
          <w:szCs w:val="20"/>
          <w:color w:val="auto"/>
        </w:rPr>
      </w:pPr>
      <w:r>
        <w:rPr>
          <w:rFonts w:ascii="Times New Roman" w:cs="Times New Roman" w:eastAsia="Times New Roman" w:hAnsi="Times New Roman"/>
          <w:sz w:val="22"/>
          <w:szCs w:val="22"/>
          <w:color w:val="auto"/>
        </w:rPr>
        <w:t>together constitute one and the same Agreement. Only one such counterpart signed by the party against whom enforceability is sought needs to be produced to evidence the existence of this Agreement.</w:t>
      </w:r>
    </w:p>
    <w:p>
      <w:pPr>
        <w:spacing w:after="0" w:line="15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27.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xml:space="preserve"> The headings of this Agreement are inserted for convenience only and do not constitute part of this Agreement or affect the construction thereof.</w:t>
      </w:r>
    </w:p>
    <w:p>
      <w:pPr>
        <w:spacing w:after="0" w:line="15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signed as of the day and year first above written.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CAMPING WORLD HOLDINGS, INC.</w:t>
            </w:r>
          </w:p>
        </w:tc>
        <w:tc>
          <w:tcPr>
            <w:tcW w:w="49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 INDEMNITEE</w:t>
            </w:r>
          </w:p>
        </w:tc>
        <w:tc>
          <w:tcPr>
            <w:tcW w:w="0" w:type="dxa"/>
            <w:vAlign w:val="bottom"/>
          </w:tcPr>
          <w:p>
            <w:pPr>
              <w:spacing w:after="0"/>
              <w:rPr>
                <w:sz w:val="1"/>
                <w:szCs w:val="1"/>
                <w:color w:val="auto"/>
              </w:rPr>
            </w:pPr>
          </w:p>
        </w:tc>
      </w:tr>
      <w:tr>
        <w:trPr>
          <w:trHeight w:val="690"/>
        </w:trPr>
        <w:tc>
          <w:tcPr>
            <w:tcW w:w="4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Matthew D. Wagner</w:t>
            </w:r>
          </w:p>
        </w:tc>
        <w:tc>
          <w:tcPr>
            <w:tcW w:w="24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Marcus A. Lemonis</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4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7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vMerge w:val="continue"/>
          </w:tcPr>
          <w:p>
            <w:pPr>
              <w:spacing w:after="0"/>
              <w:rPr>
                <w:sz w:val="18"/>
                <w:szCs w:val="18"/>
                <w:color w:val="auto"/>
              </w:rPr>
            </w:pPr>
          </w:p>
        </w:tc>
        <w:tc>
          <w:tcPr>
            <w:tcW w:w="43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Matthew D. Wagner</w:t>
            </w:r>
          </w:p>
        </w:tc>
        <w:tc>
          <w:tcPr>
            <w:tcW w:w="240" w:type="dxa"/>
            <w:vAlign w:val="bottom"/>
          </w:tcPr>
          <w:p>
            <w:pPr>
              <w:spacing w:after="0"/>
              <w:rPr>
                <w:sz w:val="18"/>
                <w:szCs w:val="18"/>
                <w:color w:val="auto"/>
              </w:rPr>
            </w:pPr>
          </w:p>
        </w:tc>
        <w:tc>
          <w:tcPr>
            <w:tcW w:w="4720" w:type="dxa"/>
            <w:vAlign w:val="bottom"/>
            <w:gridSpan w:val="2"/>
          </w:tcPr>
          <w:p>
            <w:pPr>
              <w:spacing w:after="0" w:line="209" w:lineRule="exact"/>
              <w:rPr>
                <w:sz w:val="20"/>
                <w:szCs w:val="20"/>
                <w:color w:val="auto"/>
              </w:rPr>
            </w:pPr>
            <w:r>
              <w:rPr>
                <w:rFonts w:ascii="Times New Roman" w:cs="Times New Roman" w:eastAsia="Times New Roman" w:hAnsi="Times New Roman"/>
                <w:sz w:val="22"/>
                <w:szCs w:val="22"/>
                <w:color w:val="auto"/>
              </w:rPr>
              <w:t>Name: Marcus A. Lemonis</w:t>
            </w:r>
          </w:p>
        </w:tc>
        <w:tc>
          <w:tcPr>
            <w:tcW w:w="0" w:type="dxa"/>
            <w:vAlign w:val="bottom"/>
          </w:tcPr>
          <w:p>
            <w:pPr>
              <w:spacing w:after="0"/>
              <w:rPr>
                <w:sz w:val="1"/>
                <w:szCs w:val="1"/>
                <w:color w:val="auto"/>
              </w:rPr>
            </w:pPr>
          </w:p>
        </w:tc>
      </w:tr>
      <w:tr>
        <w:trPr>
          <w:trHeight w:val="270"/>
        </w:trPr>
        <w:tc>
          <w:tcPr>
            <w:tcW w:w="4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Office: President</w:t>
            </w:r>
          </w:p>
        </w:tc>
        <w:tc>
          <w:tcPr>
            <w:tcW w:w="240" w:type="dxa"/>
            <w:vAlign w:val="bottom"/>
          </w:tcPr>
          <w:p>
            <w:pPr>
              <w:spacing w:after="0"/>
              <w:rPr>
                <w:sz w:val="23"/>
                <w:szCs w:val="23"/>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Address:</w:t>
            </w: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10" w:name="page211"/>
    <w:bookmarkEnd w:id="21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EMPLOYMENT AGREEMENT</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THIS SECOND AMENDED AND RESTATED EMPLOYMENT AGREEMENT (this “Agreement”) is entered into as of December 5, 2025 and effective as of January 1, 2026 (the “Effective Date”), by and between Matthew Wagner (“Employee”), Camping World Holdings, Inc., a Delaware corporation (“Camping World”) and CWGS Enterprises, LLC, a Delaware limited liability company (the “Partnership” and, together with Camping World and any of the Affiliates of Camping World and the Partnership as may employ Employee from time to time, and any successor(s) thereto, the “Company”).</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181"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Employee is currently employed by the Company as its President pursuant to the terms of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Amended and Restated Employment Agreement by and between Employee and the Company, dated as of July 1, 2024 (the “Prior Agreement”);</w:t>
      </w:r>
    </w:p>
    <w:p>
      <w:pPr>
        <w:spacing w:after="0" w:line="144"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continue to employ Employee as its President and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terms set forth in this Agreement, and Employee desires to be employed by Company pursuant to the terms and conditions of this Agreement; and</w:t>
      </w:r>
    </w:p>
    <w:p>
      <w:pPr>
        <w:spacing w:after="0" w:line="130"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Employee desire to amend and restate the Prior Agreement, effective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w:t>
      </w:r>
    </w:p>
    <w:p>
      <w:pPr>
        <w:spacing w:after="0" w:line="114"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acknowledged, the parties agree as follows:</w:t>
      </w:r>
    </w:p>
    <w:p>
      <w:pPr>
        <w:spacing w:after="0" w:line="132" w:lineRule="exact"/>
        <w:rPr>
          <w:sz w:val="20"/>
          <w:szCs w:val="20"/>
          <w:color w:val="auto"/>
        </w:rPr>
      </w:pPr>
    </w:p>
    <w:p>
      <w:pPr>
        <w:jc w:val="both"/>
        <w:ind w:left="60" w:right="59" w:hanging="10"/>
        <w:spacing w:after="0" w:line="261" w:lineRule="auto"/>
        <w:tabs>
          <w:tab w:leader="none" w:pos="70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The Company agrees to employ Employee as the Company’s President and Chief Executive Officer on the terms and conditions set forth in this Agreement and Employee agrees to accept such employment and agrees to perform the services and duties for the Company as herein provided for the period and upon the other terms and conditions set forth in this Agreement. Employee shall be subject to the direction of the Company’s Board of Directors.</w:t>
      </w:r>
    </w:p>
    <w:p>
      <w:pPr>
        <w:spacing w:after="0" w:line="139" w:lineRule="exact"/>
        <w:rPr>
          <w:rFonts w:ascii="Times New Roman" w:cs="Times New Roman" w:eastAsia="Times New Roman" w:hAnsi="Times New Roman"/>
          <w:sz w:val="18"/>
          <w:szCs w:val="18"/>
          <w:color w:val="auto"/>
        </w:rPr>
      </w:pPr>
    </w:p>
    <w:p>
      <w:pPr>
        <w:jc w:val="both"/>
        <w:ind w:left="60" w:right="59" w:hanging="10"/>
        <w:spacing w:after="0" w:line="254" w:lineRule="auto"/>
        <w:tabs>
          <w:tab w:leader="none" w:pos="70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termination of Employee’s employment pursuant to Section 7 below, the initial term of Employee’s employment hereunder shall be for a period commencing as of the Effective Date and ending on the third anniversary of the Effective Date (the “Initial Expiration Date”); provided, however, that Employee’s employment shall automatically renew for an additional period of one year on the Initial Expiration Date and each one year anniversary of the Initial Expiration Date thereafter, unless and until either the Company or Employee provides written notice of non-renewal to the other party at least 90 days before the Initial Expiration Date or such applicable anniversary thereof; provided, further, that Employee’s employment under this Agreement may be terminated at any time pursuant to the provisions of Section 7. The period of time from the Effective Date through the termination of this Agreement and Employee’s employment hereunder pursuant to its terms is herein referred to as the “Term.”</w:t>
      </w:r>
    </w:p>
    <w:p>
      <w:pPr>
        <w:spacing w:after="0" w:line="147"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11" w:name="page212"/>
    <w:bookmarkEnd w:id="211"/>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3.01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During the Term, Employee agrees to serve as the Company’s President and Chief Executive Officer and undertake such additional duties as may be directed by the Company’s Board of Directors. In addition, during the Term, the Company shall cause Employee to be nominated to stand for election to the Company’s Board of Directors at any meeting of stockholders of the Company during which any such election is held and Employee’s term as director will expire if he is not reelected; provided, however, that the Company shall not be obligated to cause such nomination if (a) any of the events constituting Cause (as defined below) have occurred and not been cured or (b) Employee has issued a notice of termination of employment with the Company.</w:t>
      </w:r>
    </w:p>
    <w:p>
      <w:pPr>
        <w:spacing w:after="0" w:line="148"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left="60" w:right="59" w:firstLine="638"/>
        <w:spacing w:after="0" w:line="254" w:lineRule="auto"/>
        <w:tabs>
          <w:tab w:leader="none" w:pos="135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Agreement, Employee agrees to serve the Company and Employee will faithfully and to the best of his ability discharge his duties and will devote his full time during business hours for the Company and to the business and affairs of the Company, its direct and indirect subsidiaries and certain Affiliates (as defined below) of the Company. Employee hereby confirms that during the term of this Agreement, he will not render or perform services for any other corporation, firm, entity or person, except as set forth below. In addition, Employee understands that the Company’s Board of Directors may, from time to time, direct that Employee assist and provide services to one or more other entities directly or indirectly owned or controlled by, or under common ownership or control with, the Company (“Affiliates”). Employee recognizes that he will be required to travel to perform certain of his duties.</w:t>
      </w:r>
    </w:p>
    <w:p>
      <w:pPr>
        <w:spacing w:after="0" w:line="164" w:lineRule="exact"/>
        <w:rPr>
          <w:rFonts w:ascii="Times New Roman" w:cs="Times New Roman" w:eastAsia="Times New Roman" w:hAnsi="Times New Roman"/>
          <w:sz w:val="18"/>
          <w:szCs w:val="18"/>
          <w:color w:val="auto"/>
        </w:rPr>
      </w:pPr>
    </w:p>
    <w:p>
      <w:pPr>
        <w:jc w:val="both"/>
        <w:ind w:left="60" w:right="59" w:firstLine="638"/>
        <w:spacing w:after="0" w:line="256" w:lineRule="auto"/>
        <w:tabs>
          <w:tab w:leader="none" w:pos="135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Employee shall be permitted to (i) serve as a member of the board of directors for one unrelated entity so long as such participation does not, in the judgment of the Company’s Board of Directors, interfere with the performance of or create a potential conflict with Employee’s duties hereunder and (ii) participate in, and be involved with, such community, educational, charitable, professional, and religious organizations so long as such participation does not, in the judgment of the Company’s Board of Directors, interfere with the performance of or create a potential conflict with Employee’s duties hereunder.</w:t>
      </w:r>
    </w:p>
    <w:p>
      <w:pPr>
        <w:spacing w:after="0" w:line="146"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During the term of this Agreement, the Company shall pay to Employee a base annual</w:t>
      </w:r>
    </w:p>
    <w:p>
      <w:pPr>
        <w:spacing w:after="0" w:line="27"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color w:val="auto"/>
        </w:rPr>
        <w:t>salary of One Million and No/100 Dollars ($1,000,000) (“Base Salary”), which salary shall be paid in accordance with the Company's normal payroll procedures and policies.</w:t>
      </w:r>
    </w:p>
    <w:p>
      <w:pPr>
        <w:spacing w:after="0" w:line="15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4.02 </w:t>
      </w: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Employee shall remain eligible to receive any remaining “Incentive Compensation” (as defined in the Prior Agreement) for fiscal year 2025, payable on the terms set forth in Section 4.02 of the Prior Agreement.</w:t>
      </w:r>
    </w:p>
    <w:p>
      <w:pPr>
        <w:spacing w:after="0" w:line="13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4.03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During the Term, for each fiscal year, Employee shall have the opportunity to earn an annual bonus (“Annual Bonus”) based on performance against specified performance objectives (including, without limitation, budgetary or Adjusted EBITDA-based performance criteria) established prior to or as soon as practicable following the commencement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212" w:name="page213"/>
    <w:bookmarkEnd w:id="212"/>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of each fiscal year. For each fiscal year during the Term, Employee’s target annual bonus for such year shall be 135% of Employee’s Base Salary (“Target Bonus”), based upon the achievement of target-level performance objectives to be established each year by the Company’s Board of Directors or the Compensation Committee thereof (the “Target Performance Objectives”). For each fiscal year during the Term, Employee may earn an Annual Bonus of up to 175% of Employee’s Base Salary, based upon the achievement of maximum performance targets to be established each year by the Company’s Board of Directors or the Compensation Committee thereof that exceed the Target Performance Objectives. Employee’s Annual Bonus shall be paid within two and one-half months following the end of the fiscal year to which it relates. Except as provided in Section 7, Employee must remain employed by the Company through the date of payment of such Annual Bonus to be entitled to the Annual Bonus.</w:t>
      </w:r>
    </w:p>
    <w:p>
      <w:pPr>
        <w:spacing w:after="0" w:line="14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4.03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Employee may participate in all employee benefit plans or programs of Company consistent with such plans and programs of the Company. The Company does not guarantee the adoption or continuance of any particular employee benefit plan or program during the term of this Agreement, and Employee’s participation in any such plan or program shall be subject to the provisions, rules and regulations applicable thereto.</w:t>
      </w:r>
    </w:p>
    <w:p>
      <w:pPr>
        <w:spacing w:after="0" w:line="13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4.04 </w:t>
      </w:r>
      <w:r>
        <w:rPr>
          <w:rFonts w:ascii="Times New Roman" w:cs="Times New Roman" w:eastAsia="Times New Roman" w:hAnsi="Times New Roman"/>
          <w:sz w:val="18"/>
          <w:szCs w:val="18"/>
          <w:u w:val="single" w:color="auto"/>
          <w:color w:val="auto"/>
        </w:rPr>
        <w:t>Expenses; Contributions</w:t>
      </w:r>
      <w:r>
        <w:rPr>
          <w:rFonts w:ascii="Times New Roman" w:cs="Times New Roman" w:eastAsia="Times New Roman" w:hAnsi="Times New Roman"/>
          <w:sz w:val="18"/>
          <w:szCs w:val="18"/>
          <w:color w:val="auto"/>
        </w:rPr>
        <w:t>. Company agrees to reimburse all reasonable business expenses incurred by Employee consistent with the Company’s policies regarding reimbursement in the performance of Employee’s duties under this Agreement.</w:t>
      </w:r>
    </w:p>
    <w:p>
      <w:pPr>
        <w:spacing w:after="0" w:line="14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4.05 </w:t>
      </w:r>
      <w:r>
        <w:rPr>
          <w:rFonts w:ascii="Times New Roman" w:cs="Times New Roman" w:eastAsia="Times New Roman" w:hAnsi="Times New Roman"/>
          <w:sz w:val="18"/>
          <w:szCs w:val="18"/>
          <w:u w:val="single" w:color="auto"/>
          <w:color w:val="auto"/>
        </w:rPr>
        <w:t>Vehicle</w:t>
      </w:r>
      <w:r>
        <w:rPr>
          <w:rFonts w:ascii="Times New Roman" w:cs="Times New Roman" w:eastAsia="Times New Roman" w:hAnsi="Times New Roman"/>
          <w:sz w:val="18"/>
          <w:szCs w:val="18"/>
          <w:color w:val="auto"/>
        </w:rPr>
        <w:t>. During the Term, Employee shall receive a Company owned vehicle selected by the Company after consultation with Employee suitable for Employee’s position for his business and personal use, as mutually agreed by Employee. The Company shall pay the property taxes, insurance and any license fees or tags for such vehicles.</w:t>
      </w:r>
    </w:p>
    <w:p>
      <w:pPr>
        <w:spacing w:after="0" w:line="13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4.06 </w:t>
      </w:r>
      <w:r>
        <w:rPr>
          <w:rFonts w:ascii="Times New Roman" w:cs="Times New Roman" w:eastAsia="Times New Roman" w:hAnsi="Times New Roman"/>
          <w:sz w:val="18"/>
          <w:szCs w:val="18"/>
          <w:u w:val="single" w:color="auto"/>
          <w:color w:val="auto"/>
        </w:rPr>
        <w:t>Vacation and Sick leave</w:t>
      </w:r>
      <w:r>
        <w:rPr>
          <w:rFonts w:ascii="Times New Roman" w:cs="Times New Roman" w:eastAsia="Times New Roman" w:hAnsi="Times New Roman"/>
          <w:sz w:val="18"/>
          <w:szCs w:val="18"/>
          <w:color w:val="auto"/>
        </w:rPr>
        <w:t>. Employee shall be entitled to vacation during each year of employment consistent with other senior executives of the Company. Employee shall be entitled to sick leave and holidays in accordance with the policy of the Company as to its employees.</w:t>
      </w:r>
    </w:p>
    <w:p>
      <w:pPr>
        <w:spacing w:after="0" w:line="13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4.07 </w:t>
      </w:r>
      <w:r>
        <w:rPr>
          <w:rFonts w:ascii="Times New Roman" w:cs="Times New Roman" w:eastAsia="Times New Roman" w:hAnsi="Times New Roman"/>
          <w:sz w:val="18"/>
          <w:szCs w:val="18"/>
          <w:u w:val="single" w:color="auto"/>
          <w:color w:val="auto"/>
        </w:rPr>
        <w:t>Indemnification and Additional Insurance</w:t>
      </w:r>
      <w:r>
        <w:rPr>
          <w:rFonts w:ascii="Times New Roman" w:cs="Times New Roman" w:eastAsia="Times New Roman" w:hAnsi="Times New Roman"/>
          <w:sz w:val="18"/>
          <w:szCs w:val="18"/>
          <w:color w:val="auto"/>
        </w:rPr>
        <w:t>. The Company shall indemnify Employee with respect to matters relating to Employee’s services as an officer and director of the Company, or any of its Affiliates, occurring during the course and scope of Employee’s employment with the Company to the extent and pursuant to the provisions in the Delaware law. The foregoing indemnity is contractual and will survive any adverse amendment to or repeal of this Agreement. The Company will also cover Employee under a policy of officers’ and directors’ liability insurance providing coverage that is comparable to that provided now or hereafter to other senior executives of the Company. The provisions of this Section will survive the termination of this Agreement for any reason.</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4.08 </w:t>
      </w:r>
      <w:r>
        <w:rPr>
          <w:rFonts w:ascii="Times New Roman" w:cs="Times New Roman" w:eastAsia="Times New Roman" w:hAnsi="Times New Roman"/>
          <w:sz w:val="18"/>
          <w:szCs w:val="18"/>
          <w:u w:val="single" w:color="auto"/>
          <w:color w:val="auto"/>
        </w:rPr>
        <w:t>RSU Award</w:t>
      </w:r>
      <w:r>
        <w:rPr>
          <w:rFonts w:ascii="Times New Roman" w:cs="Times New Roman" w:eastAsia="Times New Roman" w:hAnsi="Times New Roman"/>
          <w:sz w:val="18"/>
          <w:szCs w:val="18"/>
          <w:color w:val="auto"/>
        </w:rPr>
        <w:t>. On or as soon as reasonably practicable following the Effective Date, subject to approval by the Company’s Board of Directors or Compensation Committee thereof, Employee shall be eligible to receive an equity award of 465,000 restricted stock units under the Camping World Holdings, Inc. 2016 Incentive Award Plan, as amended from time to time (or any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213" w:name="page214"/>
    <w:bookmarkEnd w:id="213"/>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successor plan). Such restricted stock unit award will vest in three equal installments on each of the first through third anniversaries of November 15, 2025, subject to the Employee’s continued service through the applicable vesting date(s) and the terms of the applicable award agreement.</w:t>
      </w:r>
    </w:p>
    <w:p>
      <w:pPr>
        <w:spacing w:after="0" w:line="41" w:lineRule="exact"/>
        <w:rPr>
          <w:sz w:val="20"/>
          <w:szCs w:val="20"/>
          <w:color w:val="auto"/>
        </w:rPr>
      </w:pPr>
    </w:p>
    <w:p>
      <w:pPr>
        <w:ind w:left="700" w:hanging="650"/>
        <w:spacing w:after="0"/>
        <w:tabs>
          <w:tab w:leader="none" w:pos="7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and Proprietary Information</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 xml:space="preserve">5.01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During the Term and at all times thereafter, Employee shall not divulge, furnish or make accessible to anyone or use in any way (other than in the ordinary course of the business of the Company or any of its Affiliates) any confidential or secret knowledge or information of the Company or any of its Affiliates which Employee has acquired or become acquainted with prior to the termination of the period of his employment by the Company (including employment by the Company or any affiliated companies prior to the date of this Agreement), whether developed by himself or by others, including, without limitation, any trade secrets, confidential or secret designs, processes, formulae, plans, devices or material (whether or not patented or patentable) directly or indirectly useful in any aspect of the business of the Company or any of the Affiliates, any customer or supplier lists of the Company or any of the Affiliates, any confidential or secret development or research work of the Company or any of the Affiliates, or any other confidential information or secret aspect of the business of the Company or any of the Affiliates (collectively, “Confidential Information”). Employee acknowledges that (a) the Company and its Affiliates have expended and shall continue to expend substantial amounts of time, money and effort to develop business strategies, employee and customer relationships and goodwill and build an effective organization, (b) Employee is and shall become familiar with the Company’s and its Affiliate’s Confidential Information, including trade secrets, and that Employee’s services are of special, unique and extraordinary value to the Company and its Affiliates, (c) the above-described knowledge or information constitutes a unique and valuable asset of the Company and its Affiliates and the Company and its Affiliates have a legitimate business interest and right in protecting its Confidential Information, business strategies, employee and customer relationships and goodwill and (d) any disclosure or other use of such knowledge or information other than for the sole benefit of the Company and any of the Affiliates would be wrongful and would cause irreparable harm to the Company and any of the Affiliates. However, the foregoing shall not apply to any knowledge or information which is now published, or which subsequently becomes generally publicly known in the form in which it was obtained from the Company or any of the Affiliates, other than as a direct or indirect result of the breach of this Agreement by Employee.</w:t>
      </w:r>
    </w:p>
    <w:p>
      <w:pPr>
        <w:spacing w:after="0" w:line="16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5.02 </w:t>
      </w: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(a) Employee agrees that the results and proceeds of Employee’s services for the Company or its Affiliates (including, but not limited to,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while an employee of the Company and any works in progress, whether or not patentable or registrable under copyright or similar statutes, that were made, developed, conceived or reduced to practice or learned by Employee, either alone or jointly with others (collectively, “Inventions”), shall be works-made-for-hire and the Company (or, if applicable or as directed by the Company or any of its Affiliates) shall be deemed the sole owner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214" w:name="page215"/>
    <w:bookmarkEnd w:id="214"/>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throughout the universe of any and all trade secret, patent, copyright and other intellectual property rights (collectively, “Proprietary Rights”) of whatsoever nature therein, whether or not now or hereafter known, existing, contemplated, recognized or developed, with the right to use the same in perpetuity in any manner the Company determines in its sole discretion, without any further payment to Employee whatsoever. If, for any reason, any of such results and proceeds shall not legally be a work-made-for-hire and/or there are any Proprietary Rights which do not accrue to the Company (or, as the case may be, any of its Affiliates) under the immediately preceding sentence, then Employee hereby irrevocably assigns and agrees to assign any and all of Employee’s right, title and interest thereto, including any and all Proprietary Rights of whatsoever nature therein, whether or not now or hereafter known, existing, contemplated, recognized or developed, to the Company (or, if applicable or as directed by the Company or any of its Affiliates), and the Company or its Affiliates shall have the right to use the same in perpetuity throughout the universe in any manner determined by the Company or such Affiliates without any further payment to Employee whatsoever. As to any Invention that Employee is required to assign, Employee shall promptly and fully disclose to the Company all information known to Employee concerning such Invention.</w:t>
      </w:r>
    </w:p>
    <w:p>
      <w:pPr>
        <w:spacing w:after="0" w:line="147" w:lineRule="exact"/>
        <w:rPr>
          <w:sz w:val="20"/>
          <w:szCs w:val="20"/>
          <w:color w:val="auto"/>
        </w:rPr>
      </w:pPr>
    </w:p>
    <w:p>
      <w:pPr>
        <w:jc w:val="both"/>
        <w:ind w:left="60" w:right="59" w:firstLine="638"/>
        <w:spacing w:after="0" w:line="252" w:lineRule="auto"/>
        <w:tabs>
          <w:tab w:leader="none" w:pos="135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from time to time, as may be requested by the Company and at the Company’s sole cost and expense, Employee shall do any and all things that the Company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Employee has any Proprietary Rights in the Inventions that cannot be assigned in the manner described above, Employee unconditionally and irrevocably waives the enforcement of such Proprietary Rights. This Section 5.02 is subject to and shall not be deemed to limit, restrict or constitute any waiver by the Company of any Proprietary Rights of ownership to which the Company may be entitled by operation of law by virtue of the Company’s being Employee’s employer. Employee further agrees that, from time to time, as may be requested by the Company and at the Company’s sole cost and expense, Employee shall assist the Company in every proper and lawful way to obtain and from time to time enforce Proprietary Rights relating to Inventions in any and all countries. To this end, Employee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Employee shall execute, verify, and deliver assignments of such Proprietary Rights to the Company or its designees. Employee’s obligation to assist the Company with respect to Proprietary Rights relating to such Inventions in any and all countries shall continue beyond the termination of Employee’s employment with the Company.</w:t>
      </w:r>
    </w:p>
    <w:p>
      <w:pPr>
        <w:spacing w:after="0" w:line="152"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135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hereby waives and quitclaims to the Company any and all claims, of any nature whatsoever, that Employee now or may hereafter have for infringement of any Proprietary Rights assigned hereunder to the Company.</w:t>
      </w:r>
    </w:p>
    <w:p>
      <w:pPr>
        <w:spacing w:after="0" w:line="134"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and Non-solicitation Covenants and Adversarial Restrictions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215" w:name="page216"/>
    <w:bookmarkEnd w:id="215"/>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 xml:space="preserve">6.01 </w:t>
      </w: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Employee agrees that, during the Term and for twelve months after the termination of Employee’s employment for any reason (the “Restricted Period”), other than by virtue of a resignation by Employee for Good Reason by reason of clause (d) under Section 7.04 below, Employee shall not, directly or indirectly, (a) engage in activities or businesses (including without limitation by owning any interest in, managing, controlling, participating in, consulting with, advising, rendering services for, or in any manner engaging in the business of owning, operating or managing any business) in any geographic location in which the Company, its subsidiaries or Affiliates engage in, whether through selling, distributing, manufacturing, marketing, purchasing, or otherwise, that compete directly or indirectly with the Company or any of its subsidiaries or Affiliates (“Competitive Activities”), it being understood that Competitive Activities as of the date hereof include, without limitation, the publication, campground, online marketplace, and membership businesses of the Company or any subsidiary of Affiliate of the Company; the sale, rental, repair or service of recreational vehicles or parts and accessories for recreational vehicles or the sale of any ancillary products that are sold in connection with the sale of recreational vehicles, including but not limited to credit life insurance, roadside assistance programs and mechanical breakdown and extended service contracts, in the recreational vehicle, camping and outdoor living markets; the business of developing, marketing, providing and implementing products and services (including insurance, financing, warranties and road-side assistance) to owners of recreational vehicles, automobiles, and motorcycles; the business of providing consumer shows to owners of recreational vehicles; and the business of publishing digital and print media, including magazines, periodicals, books, and blogs and online communities directed to owners of recreational vehicles, all-terrain vehicles, and outdoor enthusiasts; or (b) assist any person in any way to do, or attempt to do, anything prohibited by Section 6.01(a) above. Employee acknowledges (i) that the business of the Company and its Affiliates is national in scope and without geographical limitation within the United States and (ii) notwithstanding the jurisdiction of formation or principal office of the Company and its Affiliates, or the location of any of their respective executives or employees (including, without limitation, Employee), it is expected that the Company and its Affiliates will have business activities and have valuable business relationships within their respective industries throughout the United States.</w:t>
      </w:r>
    </w:p>
    <w:p>
      <w:pPr>
        <w:spacing w:after="0" w:line="16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6.02 </w:t>
      </w:r>
      <w:r>
        <w:rPr>
          <w:rFonts w:ascii="Times New Roman" w:cs="Times New Roman" w:eastAsia="Times New Roman" w:hAnsi="Times New Roman"/>
          <w:sz w:val="18"/>
          <w:szCs w:val="18"/>
          <w:u w:val="single" w:color="auto"/>
          <w:color w:val="auto"/>
        </w:rPr>
        <w:t>Indirect Competition</w:t>
      </w:r>
      <w:r>
        <w:rPr>
          <w:rFonts w:ascii="Times New Roman" w:cs="Times New Roman" w:eastAsia="Times New Roman" w:hAnsi="Times New Roman"/>
          <w:sz w:val="18"/>
          <w:szCs w:val="18"/>
          <w:color w:val="auto"/>
        </w:rPr>
        <w:t>. Employee further agrees that, during the Term and the Restricted Period, he will not, directly or indirectly, assist or encourage any other person in carrying out, direct or indirectly, any activity that would be prohibited by the above provisions of this Section 6 if such activity were carried out by Employee, either directly or indirectly; and in particular Employee agrees that he will not, directly or indirectly, induce any employee of the Company to carry out, directly or indirectly, any such activity.</w:t>
      </w:r>
    </w:p>
    <w:p>
      <w:pPr>
        <w:spacing w:after="0" w:line="14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6.03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Employee further agrees that, during the Term and the Restricted Period, he will not, directly or indirectly, assist or encourage any other person in seeking to employ or hire any employee, consultant, advisor or agent of the Company or any of its Affiliates or encouraging any such employee, consultant, advisor or agent to discontinue employment with the Company or any of its Affiliates.</w:t>
      </w:r>
    </w:p>
    <w:p>
      <w:pPr>
        <w:spacing w:after="0" w:line="153"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6.04 </w:t>
      </w:r>
      <w:r>
        <w:rPr>
          <w:rFonts w:ascii="Times New Roman" w:cs="Times New Roman" w:eastAsia="Times New Roman" w:hAnsi="Times New Roman"/>
          <w:sz w:val="18"/>
          <w:szCs w:val="18"/>
          <w:u w:val="single" w:color="auto"/>
          <w:color w:val="auto"/>
        </w:rPr>
        <w:t>Adversarial Restrictions</w:t>
      </w:r>
      <w:r>
        <w:rPr>
          <w:rFonts w:ascii="Times New Roman" w:cs="Times New Roman" w:eastAsia="Times New Roman" w:hAnsi="Times New Roman"/>
          <w:sz w:val="18"/>
          <w:szCs w:val="18"/>
          <w:color w:val="auto"/>
        </w:rPr>
        <w:t>. During the Term and at any time thereafter, Employee shall not voluntarily aid, assist, or cooperate with any actual or potential claimants or plaintiffs or their attorneys or agents in any claims or lawsuits proposed to be asserted, pending or commenced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216" w:name="page217"/>
    <w:bookmarkEnd w:id="216"/>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the date hereof or in the future against the Company or any of the Affiliates; provided, however, that nothing in this Section 6.04 will be construed to prevent Employee from testifying at an administrative hearing, a deposition, or in court in response to a lawful subpoena in any litigation or proceeding involving the Company or any Affiliate.</w:t>
      </w:r>
    </w:p>
    <w:p>
      <w:pPr>
        <w:spacing w:after="0" w:line="13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6.05 </w:t>
      </w:r>
      <w:r>
        <w:rPr>
          <w:rFonts w:ascii="Times New Roman" w:cs="Times New Roman" w:eastAsia="Times New Roman" w:hAnsi="Times New Roman"/>
          <w:sz w:val="18"/>
          <w:szCs w:val="18"/>
          <w:u w:val="single" w:color="auto"/>
          <w:color w:val="auto"/>
        </w:rPr>
        <w:t>Tolling of Periods and Enforceability</w:t>
      </w:r>
      <w:r>
        <w:rPr>
          <w:rFonts w:ascii="Times New Roman" w:cs="Times New Roman" w:eastAsia="Times New Roman" w:hAnsi="Times New Roman"/>
          <w:sz w:val="18"/>
          <w:szCs w:val="18"/>
          <w:color w:val="auto"/>
        </w:rPr>
        <w:t>. The Restricted Period shall be tolled during (and shall be deemed automatically extended by) any period in which Employee is in violation of the provisions of this Section 6. If a final and non-appealable judicial determination is made that any of the provisions of this Section 6 constitutes an unreasonable or otherwise unenforceable restriction against Employee, the provisions of this Section 6 will not be rendered void but will be deemed to be modified to the minimum extent necessary to remain in force and effect for the longest period and largest geographic area that would not constitute such an unreasonable or unenforceable restriction. Moreover, and without limiting the generality of Section 6, notwithstanding the fact that any provision of this Section 6 is determined to not be enforceable through specific performance, the Company will nevertheless be entitled to recover monetary damages as a result of Employee’s breach of such provision.</w:t>
      </w:r>
    </w:p>
    <w:p>
      <w:pPr>
        <w:spacing w:after="0" w:line="14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6.06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Neither party hereto shall, whether in writing or orally, malign, denigrate or disparage Employee, the Company, its subsidiaries or Affiliates, predecessors and successors, or any of the current or former directors, officers, employees, shareholders, partners, members, agents or representatives of any of the foregoing, with respect to any of their respective past or present activities, or otherwise publish (whether in writing or orally) statements that tend to portray any of the aforementioned parties in an unfavorable light. The Company’s obligations under the preceding sentence shall be limited to instructing its and its direct subsidiaries’ senior corporate executives having the rank of Senior Vice President or above to refrain from, whether in writing or orally, maligning, denigrating or disparaging Employee with respect to any of his past or present activities, or otherwise publish (whether in writing or orally) statements that tend to portray Employee in an unfavorable light.</w:t>
      </w:r>
    </w:p>
    <w:p>
      <w:pPr>
        <w:spacing w:after="0" w:line="161"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6.07 </w:t>
      </w:r>
      <w:r>
        <w:rPr>
          <w:rFonts w:ascii="Times New Roman" w:cs="Times New Roman" w:eastAsia="Times New Roman" w:hAnsi="Times New Roman"/>
          <w:sz w:val="18"/>
          <w:szCs w:val="18"/>
          <w:u w:val="single" w:color="auto"/>
          <w:color w:val="auto"/>
        </w:rPr>
        <w:t>Other Protections</w:t>
      </w:r>
      <w:r>
        <w:rPr>
          <w:rFonts w:ascii="Times New Roman" w:cs="Times New Roman" w:eastAsia="Times New Roman" w:hAnsi="Times New Roman"/>
          <w:sz w:val="18"/>
          <w:szCs w:val="18"/>
          <w:color w:val="auto"/>
        </w:rPr>
        <w:t>. Notwithstanding anything to the contrary herein, nothing in this Agreement shall prevent Employee or the Company from, as applicable, (i) communicating directly with, cooperating with, filing a charge with, reporting possible violations of federal law or regulation to, or providing information to any federal, state or local government agency, including without limitation, the U.S. Securities and Exchange Commission, the U.S. Commodity Futures Trading Commission, the U.S. Department of Justice, the U.S. Equal Employment Opportunity Commission, or the U.S. National Labor Relations Board, (ii) providing truthful information to the extent required by applicable law in connection with any legal proceeding, government investigation or other legal matter; (iii) exercising any rights Employee may have under Section 7 of the U.S. National Labor Relations Act, or (iv) discussing or disclosing information about unlawful acts in the workplace, such as harassment or discrimination based on a protected characteristic or any other conduct that Employee has reason to believe is unlawful.</w:t>
      </w:r>
    </w:p>
    <w:p>
      <w:pPr>
        <w:spacing w:after="0" w:line="154"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6.08 </w:t>
      </w: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Employee acknowledges that Employee has carefully read this Agreement and has given careful consideration to the restraints imposed upon Employee by this Agreement and is in full accord as to the necessity of such restraints for the reasonable and proper protection of the Confidential Information, business strategies, employee and customer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217" w:name="page218"/>
    <w:bookmarkEnd w:id="217"/>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relationships and goodwill of the Company and its subsidiaries and Affiliates now existing or to be developed in the future. Employee expressly acknowledges and agrees that each and every restraint imposed by this Agreement is reasonable with respect to subject matter, time period and geographical area. Employee further acknowledges that although Employee’s compliance with the covenants contained in Sections 5 and 6 may prevent Employee from earning a livelihood in a business similar to the business of the Company, Employee’s experience and capabilities are such that Employee has other opportunities to earn a livelihood and adequate means of support for Employee and Employee’s dependents.</w:t>
      </w:r>
    </w:p>
    <w:p>
      <w:pPr>
        <w:spacing w:after="0" w:line="52" w:lineRule="exact"/>
        <w:rPr>
          <w:sz w:val="20"/>
          <w:szCs w:val="20"/>
          <w:color w:val="auto"/>
        </w:rPr>
      </w:pPr>
    </w:p>
    <w:p>
      <w:pPr>
        <w:ind w:left="700" w:hanging="650"/>
        <w:spacing w:after="0"/>
        <w:tabs>
          <w:tab w:leader="none" w:pos="7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7.01 </w:t>
      </w:r>
      <w:r>
        <w:rPr>
          <w:rFonts w:ascii="Times New Roman" w:cs="Times New Roman" w:eastAsia="Times New Roman" w:hAnsi="Times New Roman"/>
          <w:sz w:val="18"/>
          <w:szCs w:val="18"/>
          <w:u w:val="single" w:color="auto"/>
          <w:color w:val="auto"/>
        </w:rPr>
        <w:t>Grounds for Termination</w:t>
      </w:r>
      <w:r>
        <w:rPr>
          <w:rFonts w:ascii="Times New Roman" w:cs="Times New Roman" w:eastAsia="Times New Roman" w:hAnsi="Times New Roman"/>
          <w:sz w:val="18"/>
          <w:szCs w:val="18"/>
          <w:color w:val="auto"/>
        </w:rPr>
        <w:t>. Employee’s employment with the Company shall terminate under any of the circumstances set forth below.</w:t>
      </w:r>
    </w:p>
    <w:p>
      <w:pPr>
        <w:spacing w:after="0" w:line="121" w:lineRule="exact"/>
        <w:rPr>
          <w:sz w:val="20"/>
          <w:szCs w:val="20"/>
          <w:color w:val="auto"/>
        </w:rPr>
      </w:pPr>
    </w:p>
    <w:p>
      <w:pPr>
        <w:ind w:left="1340" w:hanging="318"/>
        <w:spacing w:after="0"/>
        <w:tabs>
          <w:tab w:leader="none" w:pos="13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shall die or due to Employee’s Disability (as defined in Section 7.03 below);</w:t>
      </w:r>
    </w:p>
    <w:p>
      <w:pPr>
        <w:spacing w:after="0" w:line="27"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agreement of the Company and Employee;</w:t>
      </w:r>
    </w:p>
    <w:p>
      <w:pPr>
        <w:spacing w:after="0" w:line="9" w:lineRule="exact"/>
        <w:rPr>
          <w:rFonts w:ascii="Times New Roman" w:cs="Times New Roman" w:eastAsia="Times New Roman" w:hAnsi="Times New Roman"/>
          <w:sz w:val="18"/>
          <w:szCs w:val="18"/>
          <w:color w:val="auto"/>
        </w:rPr>
      </w:pPr>
    </w:p>
    <w:p>
      <w:pPr>
        <w:ind w:left="1340" w:right="79" w:hanging="318"/>
        <w:spacing w:after="0" w:line="250" w:lineRule="auto"/>
        <w:tabs>
          <w:tab w:leader="none" w:pos="13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Employee for any reason upon notice to the Company, or upon non-renewal of the Term by Employee;</w:t>
      </w:r>
    </w:p>
    <w:p>
      <w:pPr>
        <w:ind w:left="1340" w:hanging="318"/>
        <w:spacing w:after="0"/>
        <w:tabs>
          <w:tab w:leader="none" w:pos="13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for Cause (as defined in Section 7.02 below);</w:t>
      </w:r>
    </w:p>
    <w:p>
      <w:pPr>
        <w:spacing w:after="0" w:line="9"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without Cause;</w:t>
      </w:r>
    </w:p>
    <w:p>
      <w:pPr>
        <w:spacing w:after="0" w:line="9"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Employee for Good Reason (as defined in Section 7.04 below); and</w:t>
      </w:r>
    </w:p>
    <w:p>
      <w:pPr>
        <w:spacing w:after="0" w:line="9" w:lineRule="exact"/>
        <w:rPr>
          <w:rFonts w:ascii="Times New Roman" w:cs="Times New Roman" w:eastAsia="Times New Roman" w:hAnsi="Times New Roman"/>
          <w:sz w:val="18"/>
          <w:szCs w:val="18"/>
          <w:color w:val="auto"/>
        </w:rPr>
      </w:pPr>
    </w:p>
    <w:p>
      <w:pPr>
        <w:jc w:val="both"/>
        <w:ind w:left="1340" w:right="79" w:hanging="318"/>
        <w:spacing w:after="0" w:line="255" w:lineRule="auto"/>
        <w:tabs>
          <w:tab w:leader="none" w:pos="13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expiration of the Term due to the Company’s non-renewal of the Term pursuant to Section 2 above (which, for the avoidance of doubt, shall constitute a termination by the Company without Cause under Section 7.01(e)).</w:t>
      </w:r>
    </w:p>
    <w:p>
      <w:pPr>
        <w:spacing w:after="0" w:line="14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Notwithstanding any termination of this Agreement and Employee’s employment by the Company, Employee, in consideration of his employment hereunder to the date of such termination, shall remain bound by the provisions of this Agreement which specifically relate to periods, activities or obligations upon or subsequent to the termination of Employee’s employment including without limitation the provisions of Sections 5, 6 and 8 hereof.</w:t>
      </w:r>
    </w:p>
    <w:p>
      <w:pPr>
        <w:spacing w:after="0" w:line="153"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7.02 </w:t>
      </w:r>
      <w:r>
        <w:rPr>
          <w:rFonts w:ascii="Times New Roman" w:cs="Times New Roman" w:eastAsia="Times New Roman" w:hAnsi="Times New Roman"/>
          <w:sz w:val="18"/>
          <w:szCs w:val="18"/>
          <w:u w:val="single" w:color="auto"/>
          <w:color w:val="auto"/>
        </w:rPr>
        <w:t>For Cause Defined</w:t>
      </w:r>
      <w:r>
        <w:rPr>
          <w:rFonts w:ascii="Times New Roman" w:cs="Times New Roman" w:eastAsia="Times New Roman" w:hAnsi="Times New Roman"/>
          <w:sz w:val="18"/>
          <w:szCs w:val="18"/>
          <w:color w:val="auto"/>
        </w:rPr>
        <w:t>. Termination of Employee’s employment by the Company for any of the following reasons shall be deemed termination for “Cause”:</w:t>
      </w:r>
    </w:p>
    <w:p>
      <w:pPr>
        <w:spacing w:after="0" w:line="121" w:lineRule="exact"/>
        <w:rPr>
          <w:sz w:val="20"/>
          <w:szCs w:val="20"/>
          <w:color w:val="auto"/>
        </w:rPr>
      </w:pPr>
    </w:p>
    <w:p>
      <w:pPr>
        <w:jc w:val="both"/>
        <w:ind w:left="1340" w:right="79" w:hanging="318"/>
        <w:spacing w:after="0" w:line="248" w:lineRule="auto"/>
        <w:tabs>
          <w:tab w:leader="none" w:pos="134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Employee shall have breached this Agreement in any material respect, which breach in the case of this clause is not cured by, or is not capable of being cured, within ten (10) days after written notice of such breach is delivered to Employee; or</w:t>
      </w:r>
    </w:p>
    <w:p>
      <w:pPr>
        <w:ind w:left="1340" w:right="79" w:hanging="318"/>
        <w:spacing w:after="0" w:line="237" w:lineRule="auto"/>
        <w:tabs>
          <w:tab w:leader="none" w:pos="134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Employee has engaged in misconduct (including violation of the Company’s policies) that is materially injurious to the Company as reasonably determined by the Company’s Board of Directors; or</w:t>
      </w:r>
    </w:p>
    <w:p>
      <w:pPr>
        <w:ind w:left="1340" w:right="79" w:hanging="318"/>
        <w:spacing w:after="0" w:line="237" w:lineRule="auto"/>
        <w:tabs>
          <w:tab w:leader="none" w:pos="134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Employee has been convicted of (i) any felony or (ii) any misdemeanor involving a crime of moral turpitude, theft or fraud; or</w:t>
      </w:r>
    </w:p>
    <w:p>
      <w:pPr>
        <w:ind w:left="1340" w:hanging="318"/>
        <w:spacing w:after="0" w:line="225" w:lineRule="auto"/>
        <w:tabs>
          <w:tab w:leader="none" w:pos="134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Employee uses illegal substances; or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218" w:name="page219"/>
    <w:bookmarkEnd w:id="218"/>
    <w:p>
      <w:pPr>
        <w:ind w:left="1340" w:right="79" w:hanging="318"/>
        <w:spacing w:after="0" w:line="255" w:lineRule="auto"/>
        <w:tabs>
          <w:tab w:leader="none" w:pos="134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Employee knowingly falsifies or causes to be falsified, in any material respect, the financial records and financial statements of the Company.</w:t>
      </w:r>
    </w:p>
    <w:p>
      <w:pPr>
        <w:spacing w:after="0" w:line="14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7.03 “</w:t>
      </w:r>
      <w:r>
        <w:rPr>
          <w:rFonts w:ascii="Times New Roman" w:cs="Times New Roman" w:eastAsia="Times New Roman" w:hAnsi="Times New Roman"/>
          <w:sz w:val="18"/>
          <w:szCs w:val="18"/>
          <w:u w:val="single" w:color="auto"/>
          <w:color w:val="auto"/>
        </w:rPr>
        <w:t>Disability” Defined</w:t>
      </w:r>
      <w:r>
        <w:rPr>
          <w:rFonts w:ascii="Times New Roman" w:cs="Times New Roman" w:eastAsia="Times New Roman" w:hAnsi="Times New Roman"/>
          <w:sz w:val="18"/>
          <w:szCs w:val="18"/>
          <w:color w:val="auto"/>
        </w:rPr>
        <w:t>. The Company may determine that Employee is disabled if he shall fail, because of illness or incapacity, to render services of the character contemplated by this Agreement for a period of three (3) consecutive months.</w:t>
      </w:r>
    </w:p>
    <w:p>
      <w:pPr>
        <w:spacing w:after="0" w:line="13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7.04 “</w:t>
      </w:r>
      <w:r>
        <w:rPr>
          <w:rFonts w:ascii="Times New Roman" w:cs="Times New Roman" w:eastAsia="Times New Roman" w:hAnsi="Times New Roman"/>
          <w:sz w:val="18"/>
          <w:szCs w:val="18"/>
          <w:u w:val="single" w:color="auto"/>
          <w:color w:val="auto"/>
        </w:rPr>
        <w:t>Good Reason” Defined</w:t>
      </w:r>
      <w:r>
        <w:rPr>
          <w:rFonts w:ascii="Times New Roman" w:cs="Times New Roman" w:eastAsia="Times New Roman" w:hAnsi="Times New Roman"/>
          <w:sz w:val="18"/>
          <w:szCs w:val="18"/>
          <w:color w:val="auto"/>
        </w:rPr>
        <w:t>. For purposes of this Agreement, “Good Reason” shall mean the occurrence of any of the following without Employee’s written consent:</w:t>
      </w:r>
    </w:p>
    <w:p>
      <w:pPr>
        <w:spacing w:after="0" w:line="121" w:lineRule="exact"/>
        <w:rPr>
          <w:sz w:val="20"/>
          <w:szCs w:val="20"/>
          <w:color w:val="auto"/>
        </w:rPr>
      </w:pPr>
    </w:p>
    <w:p>
      <w:pPr>
        <w:jc w:val="both"/>
        <w:ind w:left="1340" w:right="79" w:hanging="318"/>
        <w:spacing w:after="0" w:line="249" w:lineRule="auto"/>
        <w:tabs>
          <w:tab w:leader="none" w:pos="134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material reduction of Employee’s duties, title, authority or responsibilities, relative to Employee’s duties, title, authority or responsibilities as in effect immediately prior to such reduction, or the assignment to Employee of such reduced duties, title, authority or responsibilities, including, without limitation, following a Change in Control (as defined in the Camping World 2016 Incentive Award Plan, as amended from time to time), Employee ceasing to report to the board of directors of the ultimate parent entity of the Company (or its successor), and/or Employee ceasing to serve as the chief executive officer of such ultimate parent entity;</w:t>
      </w:r>
    </w:p>
    <w:p>
      <w:pPr>
        <w:spacing w:after="0" w:line="3" w:lineRule="exact"/>
        <w:rPr>
          <w:rFonts w:ascii="Times New Roman" w:cs="Times New Roman" w:eastAsia="Times New Roman" w:hAnsi="Times New Roman"/>
          <w:sz w:val="20"/>
          <w:szCs w:val="20"/>
          <w:color w:val="auto"/>
        </w:rPr>
      </w:pPr>
    </w:p>
    <w:p>
      <w:pPr>
        <w:ind w:left="1340" w:right="79" w:hanging="318"/>
        <w:spacing w:after="0" w:line="237" w:lineRule="auto"/>
        <w:tabs>
          <w:tab w:leader="none" w:pos="134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material reduction by the Company in the Base Salary or Target Bonus as in effect immediately prior to such reduction or, following a Change in Control, a material reduction in Employee’s compensation;</w:t>
      </w:r>
    </w:p>
    <w:p>
      <w:pPr>
        <w:ind w:left="1340" w:right="79" w:hanging="318"/>
        <w:spacing w:after="0" w:line="237" w:lineRule="auto"/>
        <w:tabs>
          <w:tab w:leader="none" w:pos="134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material change in the principal geographic location at which Employee must perform services by more than 35 miles from the Company’s principal executive offices; or</w:t>
      </w:r>
    </w:p>
    <w:p>
      <w:pPr>
        <w:ind w:left="1340" w:right="339" w:hanging="318"/>
        <w:spacing w:after="0" w:line="237" w:lineRule="auto"/>
        <w:tabs>
          <w:tab w:leader="none" w:pos="134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Company’s material breach of this Agreement or any other written agreement between Employee and the Company.</w:t>
      </w:r>
    </w:p>
    <w:p>
      <w:pPr>
        <w:spacing w:after="0" w:line="15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Employee will not be deemed to have resigned for Good Reason unless (1) Employee provides the Company with written notice setting forth in reasonable detail the facts and circumstances claimed by Employee to constitute Good Reason within sixty (60) days after the date of the occurrence of any event that Employee knows or should reasonably have known to constitute Good Reason, (2) the Company fails to cure such acts or omissions within thirty (30) days following its receipt of such notice, and (3) the effective date of Employee’s termination for Good Reason occurs no later than sixty (60) days after the expiration of the cure period.</w:t>
      </w:r>
    </w:p>
    <w:p>
      <w:pPr>
        <w:spacing w:after="0" w:line="16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7.05 </w:t>
      </w:r>
      <w:r>
        <w:rPr>
          <w:rFonts w:ascii="Times New Roman" w:cs="Times New Roman" w:eastAsia="Times New Roman" w:hAnsi="Times New Roman"/>
          <w:sz w:val="18"/>
          <w:szCs w:val="18"/>
          <w:u w:val="single" w:color="auto"/>
          <w:color w:val="auto"/>
        </w:rPr>
        <w:t>Surrender of Records and Property</w:t>
      </w:r>
      <w:r>
        <w:rPr>
          <w:rFonts w:ascii="Times New Roman" w:cs="Times New Roman" w:eastAsia="Times New Roman" w:hAnsi="Times New Roman"/>
          <w:sz w:val="18"/>
          <w:szCs w:val="18"/>
          <w:color w:val="auto"/>
        </w:rPr>
        <w:t>. Upon termination of his employment with the Company for any reason, Employee shall deliver promptly to the Company all records, manuals, books, blank forms, documents, letters, memoranda, notes, notebooks, reports, data, tables, calculations or copies thereof, which are the property of the Company or any of its Affiliates or which relate in any way to the business, products, practices or techniques of the Company or any of its Affiliates, and all other property, trade secrets and confidential information of the Company or any of its Affiliates, including, but not limited to, all documents which in whole or in part contain any trade secrets or confidential information of the Company or any of its Affiliates, which in any of these cases are in his possession or under his control.</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219" w:name="page220"/>
    <w:bookmarkEnd w:id="219"/>
    <w:p>
      <w:pPr>
        <w:ind w:left="700"/>
        <w:spacing w:after="0"/>
        <w:tabs>
          <w:tab w:leader="none" w:pos="1320" w:val="left"/>
        </w:tabs>
        <w:rPr>
          <w:sz w:val="20"/>
          <w:szCs w:val="20"/>
          <w:color w:val="auto"/>
        </w:rPr>
      </w:pPr>
      <w:r>
        <w:rPr>
          <w:rFonts w:ascii="Times New Roman" w:cs="Times New Roman" w:eastAsia="Times New Roman" w:hAnsi="Times New Roman"/>
          <w:sz w:val="18"/>
          <w:szCs w:val="18"/>
          <w:color w:val="auto"/>
        </w:rPr>
        <w:t>7.06</w:t>
      </w:r>
      <w:r>
        <w:rPr>
          <w:sz w:val="20"/>
          <w:szCs w:val="20"/>
          <w:color w:val="auto"/>
        </w:rPr>
        <w:tab/>
      </w:r>
      <w:r>
        <w:rPr>
          <w:rFonts w:ascii="Times New Roman" w:cs="Times New Roman" w:eastAsia="Times New Roman" w:hAnsi="Times New Roman"/>
          <w:sz w:val="17"/>
          <w:szCs w:val="17"/>
          <w:u w:val="single" w:color="auto"/>
          <w:color w:val="auto"/>
        </w:rPr>
        <w:t>Payments Upon Termination</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left="60" w:right="59" w:firstLine="962"/>
        <w:spacing w:after="0" w:line="258" w:lineRule="auto"/>
        <w:tabs>
          <w:tab w:leader="none" w:pos="135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If this Agreement is terminated for any reason set forth in Section 7, then Employee shall be entitled to receive (a) his Base Salary and any accrued but unpaid vacation or paid time off through the date of the termination and (b) reimbursement of any business expenses incurred in the ordinary course of business through the date of termination that have not yet been reimbursed pursuant to Section 4.04 (the amounts in this clause (a), the “Accrued Obligations”).</w:t>
      </w:r>
    </w:p>
    <w:p>
      <w:pPr>
        <w:spacing w:after="0" w:line="142" w:lineRule="exact"/>
        <w:rPr>
          <w:rFonts w:ascii="Times New Roman" w:cs="Times New Roman" w:eastAsia="Times New Roman" w:hAnsi="Times New Roman"/>
          <w:sz w:val="18"/>
          <w:szCs w:val="18"/>
          <w:color w:val="auto"/>
        </w:rPr>
      </w:pPr>
    </w:p>
    <w:p>
      <w:pPr>
        <w:jc w:val="both"/>
        <w:ind w:left="60" w:right="59" w:firstLine="962"/>
        <w:spacing w:after="0" w:line="253" w:lineRule="auto"/>
        <w:tabs>
          <w:tab w:leader="none" w:pos="135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Due to Death or Disability</w:t>
      </w:r>
      <w:r>
        <w:rPr>
          <w:rFonts w:ascii="Times New Roman" w:cs="Times New Roman" w:eastAsia="Times New Roman" w:hAnsi="Times New Roman"/>
          <w:sz w:val="18"/>
          <w:szCs w:val="18"/>
          <w:color w:val="auto"/>
        </w:rPr>
        <w:t>. If Employee’s employment is terminated pursuant to Section 7.01(a) then Employee, or Employee’s heirs and assigns, as the case may be, shall be entitled to receive, in addition to the Accrued Obligations: (a) any Incentive Compensation pursuant to Section 4.02 for 2025 to the extent not yet paid when due and the amount which would be payable pursuant to Section 4.02 as if his employment had not terminated; (b)employment any Annual Bonus pursuant to Section 4.03 for the preceding calendar year to the extent not yet paid when such amount would have been payable pursuant to Section 4.03 if his employment had not terminated;</w:t>
      </w:r>
    </w:p>
    <w:p>
      <w:pPr>
        <w:spacing w:after="0" w:line="5" w:lineRule="exact"/>
        <w:rPr>
          <w:rFonts w:ascii="Times New Roman" w:cs="Times New Roman" w:eastAsia="Times New Roman" w:hAnsi="Times New Roman"/>
          <w:sz w:val="18"/>
          <w:szCs w:val="18"/>
          <w:color w:val="auto"/>
        </w:rPr>
      </w:pPr>
    </w:p>
    <w:p>
      <w:pPr>
        <w:jc w:val="both"/>
        <w:ind w:left="60" w:right="59" w:hanging="10"/>
        <w:spacing w:after="0" w:line="252" w:lineRule="auto"/>
        <w:tabs>
          <w:tab w:leader="none" w:pos="30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Bonus for the calendar year in which Employee’s employment is terminated which for purposes hereof shall be equal to Employee’s Target Bonus for such year, multiplied by a fraction, (i) the numerator of which shall be the number of days Employee was employed during the then such current calendar year and (ii) the denominator of which shall be three hundred sixty-five (365), which payment shall be made within seventy-five (75) days following the date on which the Employee’s employment was so terminated; and (d) any outstanding unvested time-based equity awards held by Employee will accelerate and vest as of such termination date (with the vesting of any equity awards that is tied in whole or in part to performance to be governed by the terms of the applicable award agreement).</w:t>
      </w:r>
    </w:p>
    <w:p>
      <w:pPr>
        <w:spacing w:after="0" w:line="161" w:lineRule="exact"/>
        <w:rPr>
          <w:rFonts w:ascii="Times New Roman" w:cs="Times New Roman" w:eastAsia="Times New Roman" w:hAnsi="Times New Roman"/>
          <w:sz w:val="18"/>
          <w:szCs w:val="18"/>
          <w:color w:val="auto"/>
        </w:rPr>
      </w:pPr>
    </w:p>
    <w:p>
      <w:pPr>
        <w:jc w:val="both"/>
        <w:ind w:left="60" w:right="59" w:firstLine="962"/>
        <w:spacing w:after="0" w:line="252" w:lineRule="auto"/>
        <w:tabs>
          <w:tab w:leader="none" w:pos="135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Resignation for Good Reason</w:t>
      </w:r>
      <w:r>
        <w:rPr>
          <w:rFonts w:ascii="Times New Roman" w:cs="Times New Roman" w:eastAsia="Times New Roman" w:hAnsi="Times New Roman"/>
          <w:sz w:val="18"/>
          <w:szCs w:val="18"/>
          <w:color w:val="auto"/>
        </w:rPr>
        <w:t>. If Employee’s employment is terminated pursuant to Section 7.01(e) or (f) and provided that Employee shall have executed and delivered to the Company the Company’s standard form of release of claims (a “Release”) and any period for rescission of such Release shall have expired without Employee having rescinding such Release, in addition to the Accrued Obligations,, Employee shall be entitled to receive: (a) any Incentive Compensation pursuant to Section 4.02 for 2025 to the extent not yet paid when such amount would have been payable pursuant to Section 4.02 if his employment had not terminated; (b) any Annual Bonus pursuant to Section 4.03 for the preceding calendar year to the extent not yet paid when such amount would have been payable pursuant to Section 4.03 if his employment had not terminated; (c) the Annual Bonus for the calendar year in which Employee’s employment is terminated which for purposes hereof shall be equal to Employee’s Target Bonus for such year, multiplied by a fraction, (i) the numerator of which shall be the number of days Employee was employed during the then such current calendar year and (ii) the denominator of which shall be three hundred sixty-five (365), which payment shall be made within seventy-five (75) days following such termination of Employee’s employment; (d) any outstanding unvested time-based equity awards held by Employee will accelerate and vest as of such termination date (with the vesting of any equity awards that is tied in whole or in part to performance to be governed by the terms of the applicable award agreement); (e) payment by the Company for COBRA benefits for a period of eighteen (18) months following termination for Employee and any dependents covered immediately prior to termination; and (f) the Severance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220" w:name="page221"/>
    <w:bookmarkEnd w:id="220"/>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Amount (as defined below), which Severance Amount shall be paid over a twelve (12) month period at the same times and in the same manner as Employee’s Base Salary had been paid to Employee prior to the termination of his employment hereunder, with the first such payment to occur on the First Payment Date (as defined below) (and any installment payments that would have been made to Employee prior to the First Payment Date shall be paid to Employee in a lump sum on the First Payment Date and the remaining payments shall be made as provided in this clause (g)). As used herein, the “Severance Amount” shall be equal to the sum of (a) Base Salary, as in effect on the date of termination, for one year, and (b) the Annual Bonus, which for purposes hereof shall be equal to the Employee’s Target Bonus for the year in which the date of termination occurs.</w:t>
      </w:r>
    </w:p>
    <w:p>
      <w:pPr>
        <w:spacing w:after="0" w:line="151" w:lineRule="exact"/>
        <w:rPr>
          <w:sz w:val="20"/>
          <w:szCs w:val="20"/>
          <w:color w:val="auto"/>
        </w:rPr>
      </w:pPr>
    </w:p>
    <w:p>
      <w:pPr>
        <w:ind w:left="700" w:hanging="650"/>
        <w:spacing w:after="0"/>
        <w:tabs>
          <w:tab w:leader="none" w:pos="7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60" w:right="5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8.01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Agreement is made under and shall be governed by and construed in accordance with the laws of the State of Delaware.</w:t>
      </w:r>
    </w:p>
    <w:p>
      <w:pPr>
        <w:spacing w:after="0" w:line="121"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8.02 </w:t>
      </w:r>
      <w:r>
        <w:rPr>
          <w:rFonts w:ascii="Times New Roman" w:cs="Times New Roman" w:eastAsia="Times New Roman" w:hAnsi="Times New Roman"/>
          <w:sz w:val="18"/>
          <w:szCs w:val="18"/>
          <w:u w:val="single" w:color="auto"/>
          <w:color w:val="auto"/>
        </w:rPr>
        <w:t>Prior Agreements</w:t>
      </w:r>
      <w:r>
        <w:rPr>
          <w:rFonts w:ascii="Times New Roman" w:cs="Times New Roman" w:eastAsia="Times New Roman" w:hAnsi="Times New Roman"/>
          <w:sz w:val="18"/>
          <w:szCs w:val="18"/>
          <w:color w:val="auto"/>
        </w:rPr>
        <w:t>. This Agreement contains the entire agreement of the parties relating to the subject matter hereof and supersedes all prior agreements and understandings with respect to such subject matter (including, without limitation, the Prior Agreement), and the parties hereto have made no agreement, representations or warranties relating to the subject matter of this Agreement which are not set forth herein.</w:t>
      </w:r>
    </w:p>
    <w:p>
      <w:pPr>
        <w:spacing w:after="0" w:line="13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8.03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The Company may withhold from any benefits payable under this Agreement all federal, state, city or other taxes as shall be required pursuant to any law or governmental regulation or ruling.</w:t>
      </w:r>
    </w:p>
    <w:p>
      <w:pPr>
        <w:spacing w:after="0" w:line="13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8.04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amendments or modifications of this Agreement shall be deemed effective unless made in writing and signed by the parties hereto.</w:t>
      </w:r>
    </w:p>
    <w:p>
      <w:pPr>
        <w:spacing w:after="0" w:line="121"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8.05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No term or condition of this Agreement shall be deemed to have been waived, nor shall there by an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spacing w:after="0" w:line="143"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18"/>
          <w:szCs w:val="18"/>
          <w:color w:val="auto"/>
        </w:rPr>
        <w:t>8.06</w:t>
      </w:r>
      <w:r>
        <w:rPr>
          <w:sz w:val="20"/>
          <w:szCs w:val="20"/>
          <w:color w:val="auto"/>
        </w:rPr>
        <w:tab/>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left="60" w:right="59" w:firstLine="638"/>
        <w:spacing w:after="0" w:line="255" w:lineRule="auto"/>
        <w:tabs>
          <w:tab w:leader="none" w:pos="135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“Section 409A” means Section 409A of the Internal Revenue Code of 1986, as amended (the “Code”), and the Treasury Regulations promulgated thereunder (and such other Treasury or Internal Revenue Service guidance) as in effect from time to time. The parties intend that any amounts payable hereunder will be compliant with Section 409A or will be exempt from Section 409A. Notwithstanding the foregoing, Employee shall be solely responsible and liable for the satisfaction of all taxes and penalties that may be imposed on or for the account of Employee in connection with this Agreement (including any taxes and penalties under Section 409A of the Code), and neither the Company nor any of its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21" w:name="page222"/>
    <w:bookmarkEnd w:id="221"/>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Affiliates shall have any obligation to indemnify or otherwise hold Employee (or any beneficiary) harmless from any or all of such taxes or penalties. No provision of this Agreement shall be interpreted or construed to transfer any liability for failure to comply with the requirements of Section 409A from Employee or any other individual to the Company or any of its affiliates, employees or agents.</w:t>
      </w:r>
    </w:p>
    <w:p>
      <w:pPr>
        <w:spacing w:after="0" w:line="139" w:lineRule="exact"/>
        <w:rPr>
          <w:sz w:val="20"/>
          <w:szCs w:val="20"/>
          <w:color w:val="auto"/>
        </w:rPr>
      </w:pPr>
    </w:p>
    <w:p>
      <w:pPr>
        <w:jc w:val="both"/>
        <w:ind w:left="60" w:right="59" w:firstLine="638"/>
        <w:spacing w:after="0" w:line="254" w:lineRule="auto"/>
        <w:tabs>
          <w:tab w:leader="none" w:pos="135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the following special rule shall apply, if and to the extent required by Section 409A, in the event that (i) Employee is deemed to be a “specified employee” within the meaning of Section 409A(a)(2)(B)(i), (ii) amounts or benefits under this Agreement or any other program, plan or arrangement of the Company or a controlled group affiliate thereof are due or payable on account of “separation from service” within the meaning of Treasury Regulations Section 1.409A-l(h) and (iii) Employee is employed by a public company or a controlled group affiliate thereof, then no payments hereunder that are “nonqualified deferred compensation” subject to Section 409A shall be made to Employee prior to the date that is six (6) months after the date of Employee’s separation from service or, if earlier, Employee’s date of death, and following any applicable six (6) month delay, all such delayed payments will be paid in a single lump sum on the earliest permissible payment date.</w:t>
      </w:r>
    </w:p>
    <w:p>
      <w:pPr>
        <w:spacing w:after="0" w:line="147" w:lineRule="exact"/>
        <w:rPr>
          <w:rFonts w:ascii="Times New Roman" w:cs="Times New Roman" w:eastAsia="Times New Roman" w:hAnsi="Times New Roman"/>
          <w:sz w:val="18"/>
          <w:szCs w:val="18"/>
          <w:color w:val="auto"/>
        </w:rPr>
      </w:pPr>
    </w:p>
    <w:p>
      <w:pPr>
        <w:jc w:val="both"/>
        <w:ind w:left="60" w:right="59" w:firstLine="638"/>
        <w:spacing w:after="0" w:line="253" w:lineRule="auto"/>
        <w:tabs>
          <w:tab w:leader="none" w:pos="135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made under this Agreement (including each separate installment payment in the case of a series of installment payments) shall be deemed to be a separate payment for purposes of Section 409A. Amounts payable under this Agreement shall be deemed not to be a “deferral of compensation” subject to Section 409A to the extent provided in the exceptions in Treasury Regulation §§ 1.409A-1(b)(4) (“short-term deferrals”) and (b)(9) (“separation pay plans,” including the exception under subparagraph (iii)) and other applicable provisions of Section 409A. For purposes of this Agreement, with respect to payments of any amounts that are considered to be “nonqualified deferred compensation” subject to Section 409A or exempt from Section 409A under Treasury Regulation §§ 1.409A-1(b)(9) (“separation pay plans”), references to “termination of employment,” “termination,” or words and phrases of similar import, shall be deemed to refer to Employee’s “separation from service” as defined in Section 409A, and shall be interpreted and applied in a manner that is consistent with the requirements of Section 409A.</w:t>
      </w:r>
    </w:p>
    <w:p>
      <w:pPr>
        <w:spacing w:after="0" w:line="167" w:lineRule="exact"/>
        <w:rPr>
          <w:rFonts w:ascii="Times New Roman" w:cs="Times New Roman" w:eastAsia="Times New Roman" w:hAnsi="Times New Roman"/>
          <w:sz w:val="18"/>
          <w:szCs w:val="18"/>
          <w:color w:val="auto"/>
        </w:rPr>
      </w:pPr>
    </w:p>
    <w:p>
      <w:pPr>
        <w:jc w:val="both"/>
        <w:ind w:left="60" w:right="59" w:firstLine="638"/>
        <w:spacing w:after="0" w:line="253" w:lineRule="auto"/>
        <w:tabs>
          <w:tab w:leader="none" w:pos="135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any payment or benefit under this Agreement or otherwise that is exempt from Section 409A pursuant to Treasury Regulation § 1.409A-l(b)(9)(v)(A) or (C) (relating to certain reimbursements and in-kind benefits) shall be paid or provided to Employee only to the extent that the expenses are not incurred, or the benefits are not provided, beyond the last day of the second calendar year following the calendar year in which Employee’s “separation from service” occurs; and provided further that such expenses are reimbursed no later than the last day of the third calendar year following the calendar year in which Employee’s “separation from service” occurs. To the extent any indemnification payment, expense reimbursement, or the provision of any in-kind benefit is determined to be subject to Section 409A (and not exempt pursuant to the prior sentence or otherwise), the amount of any such indemnification payment or expenses eligible for reimbursement, or the provision of any in-kind benefit, in one calendar year shall not affect the indemnification payment or provision of in-kind benefits or expenses eligible for reimbursement in any other calendar year (except for any life-time or other aggregate limitation applicable to medical expenses), and in no event shall any indemnification payment or expenses be reimbursed after the last day of the calendar year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222" w:name="page223"/>
    <w:bookmarkEnd w:id="222"/>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following the calendar year in which Employee incurred such indemnification payment or expenses, and in no event shall any right to indemnification payment or reimbursement or the provision of any in-kind benefit be subject to liquidation or exchange for another benefit.</w:t>
      </w:r>
    </w:p>
    <w:p>
      <w:pPr>
        <w:spacing w:after="0" w:line="135" w:lineRule="exact"/>
        <w:rPr>
          <w:sz w:val="20"/>
          <w:szCs w:val="20"/>
          <w:color w:val="auto"/>
        </w:rPr>
      </w:pPr>
    </w:p>
    <w:p>
      <w:pPr>
        <w:jc w:val="both"/>
        <w:ind w:left="60" w:right="59" w:firstLine="638"/>
        <w:spacing w:after="0" w:line="252" w:lineRule="auto"/>
        <w:tabs>
          <w:tab w:leader="none" w:pos="135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to the extent that any payments due under this Agreement as a result of the Employee’s termination of employment with the Company are subject to the Employee’s execution and delivery and non-revocation of the Release (i) no such payments shall be made unless the Release Effective Date (as defined below) occurs on or prior to the sixtieth (60th) day immediately following Employee’s date of termination, (ii) the Company shall deliver the Release to the Employee within seven (7) days immediately following the date of termination, and (iii) if, as of the Release Expiration Date (as defined below), the Employee has failed to execute the Release or has timely revoked his acceptance of the Release thereafter, the Employee shall not be entitled to any payments or benefits otherwise conditioned on the Release. Subject to Section 8.06(b), to the extent that any payments due under this Agreement as a result of the Employee’s termination of employment with the Company are “nonqualified deferred compensation” (within the meaning of Section 409A), no such payments shall be paid (or, in the case of installments, shall commence) until the sixtieth (60th) day following the date of termination (the “First Payment Date”) (and any payments that are delayed pursuant to this Section 8.06(e)(iv) shall be paid in a lump sum on such First Payment Date and the remaining payments shall be made as provided in this Agreement). For purposes of this Agreement, the “Release Effective Date” shall mean the date on which the Release becomes effective and irrevocable in accordance with its terms. For purposes of this Section 8.06, “Release Expiration Date” shall mean the date that is twenty-one (21) days following the date upon which the Company timely delivers the Release to the Employee, or, in the event that the Employee’s termination of employment is “in connection with an exit incentive or other employment termination program” (as such phrase is defined in the Age Discrimination in Employment act of 1967), the date that is forty-five (45) days following such delivery date.</w:t>
      </w:r>
    </w:p>
    <w:p>
      <w:pPr>
        <w:spacing w:after="0" w:line="150"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18"/>
          <w:szCs w:val="18"/>
          <w:color w:val="auto"/>
        </w:rPr>
        <w:t>8.07</w:t>
      </w:r>
      <w:r>
        <w:rPr>
          <w:sz w:val="20"/>
          <w:szCs w:val="20"/>
          <w:color w:val="auto"/>
        </w:rPr>
        <w:tab/>
      </w:r>
      <w:r>
        <w:rPr>
          <w:rFonts w:ascii="Times New Roman" w:cs="Times New Roman" w:eastAsia="Times New Roman" w:hAnsi="Times New Roman"/>
          <w:sz w:val="18"/>
          <w:szCs w:val="18"/>
          <w:u w:val="single" w:color="auto"/>
          <w:color w:val="auto"/>
        </w:rPr>
        <w:t>280G Parachute Payments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left="60" w:right="59" w:firstLine="638"/>
        <w:spacing w:after="0" w:line="253" w:lineRule="auto"/>
        <w:tabs>
          <w:tab w:leader="none" w:pos="135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Agreement to the contrary, in the event that any payment or benefit received or to be received by you (including any payment or benefit received in connection with a Change in Control or the termination of your employment, whether pursuant to the terms of this Agreement or any other plan, arrangement or agreement) (all such payments and benefits being hereinafter referred to as the “Total Payments”) would be subject (in whole or part), to the excise tax imposed under Section 4999 of the Code (the “Excise Tax”), then, after taking into account any reduction in the Total Payments provided by reason of Section 280G of the Code in such other plan, arrangement or agreement, the cash severance payments shall first be reduced, and the noncash severance payments shall thereafter be reduced, to the extent necessary so that no portion of the Total Payments is subject to the Excise Tax but only if (i) the net amount of such Total Payments without such reduction (but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Employee would be subject in respect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223" w:name="page224"/>
    <w:bookmarkEnd w:id="223"/>
    <w:p>
      <w:pPr>
        <w:ind w:left="60" w:right="59"/>
        <w:spacing w:after="0" w:line="282" w:lineRule="auto"/>
        <w:rPr>
          <w:sz w:val="20"/>
          <w:szCs w:val="20"/>
          <w:color w:val="auto"/>
        </w:rPr>
      </w:pPr>
      <w:r>
        <w:rPr>
          <w:rFonts w:ascii="Times New Roman" w:cs="Times New Roman" w:eastAsia="Times New Roman" w:hAnsi="Times New Roman"/>
          <w:sz w:val="18"/>
          <w:szCs w:val="18"/>
          <w:color w:val="auto"/>
        </w:rPr>
        <w:t>of such unreduced Total Payments and after taking into account the phase out of itemized deductions and personal exemptions attributable to such unreduced Total Payments).</w:t>
      </w:r>
    </w:p>
    <w:p>
      <w:pPr>
        <w:spacing w:after="0" w:line="121" w:lineRule="exact"/>
        <w:rPr>
          <w:sz w:val="20"/>
          <w:szCs w:val="20"/>
          <w:color w:val="auto"/>
        </w:rPr>
      </w:pPr>
    </w:p>
    <w:p>
      <w:pPr>
        <w:jc w:val="both"/>
        <w:ind w:left="60" w:right="59" w:firstLine="638"/>
        <w:spacing w:after="0" w:line="253" w:lineRule="auto"/>
        <w:tabs>
          <w:tab w:leader="none" w:pos="135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whether and the extent to which the Total Payments will be subject to the Excise Tax, (i) no portion of the Total Payments the receipt or enjoyment of which Employee shall have waived at such time and in such manner as not to constitute a “payment” within the meaning of Section 280G(b) of the Code shall be taken into account, (ii) no portion of the Total Payments shall be taken into account which, in the written opinion of independent auditors or consultants of nationally recognized standing (“Independent Advisors”) selected by the Company, does not constitute a “parachute payment” within the meaning of Section 280G(b)(2) of the Code (including by reason of Section 280G(b)(4)(A) of the Code) and, in calculating the Excise Tax, no portion of such Total Payments shall be taken into account which, in the opinion of the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 280G(d)(3) and (4) of the Code.</w:t>
      </w:r>
    </w:p>
    <w:p>
      <w:pPr>
        <w:spacing w:after="0" w:line="14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8.08 </w:t>
      </w:r>
      <w:r>
        <w:rPr>
          <w:rFonts w:ascii="Times New Roman" w:cs="Times New Roman" w:eastAsia="Times New Roman" w:hAnsi="Times New Roman"/>
          <w:sz w:val="18"/>
          <w:szCs w:val="18"/>
          <w:u w:val="single" w:color="auto"/>
          <w:color w:val="auto"/>
        </w:rPr>
        <w:t>Compensation Recovery Policy</w:t>
      </w:r>
      <w:r>
        <w:rPr>
          <w:rFonts w:ascii="Times New Roman" w:cs="Times New Roman" w:eastAsia="Times New Roman" w:hAnsi="Times New Roman"/>
          <w:sz w:val="18"/>
          <w:szCs w:val="18"/>
          <w:color w:val="auto"/>
        </w:rPr>
        <w:t>. The Employee acknowledges and agrees that he shall take all action necessary or appropriate to comply with the clawback or similar policy adopted by the Company pursuant to the Dodd-Frank Wall Street Reform and Consumer Protection Act or any other clawback or similar policy otherwise adopted by the Company, and any rules and regulations promulgated thereunder (including, without limitation, entering into any further agreements, amendments or policies necessary or appropriate to implement and/or enforce such policy with respect to past, present and future compensation, as appropriate).</w:t>
      </w:r>
    </w:p>
    <w:p>
      <w:pPr>
        <w:spacing w:after="0" w:line="16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8.09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any provision of this Agreement shall be invalid or unenforceable, it shall be considered deleted herefrom and the remainder of such provision and of this Agreement shall be unaffected and shall continue in full force and effect. In furtherance and not in limitation of the foregoing, should the duration or geographical extent of, or business activities covered by, any provision of this Agreement be in excess of that which is valid and enforceable under applicable law, then such provision shall be construed to cover only that duration, extent or activities which may validly and enforceably be covered. Employee acknowledges the uncertainty of the law in this respect and expressly stipulates that this Agreement be given the construction which renders its provisions valid and enforceable to the maximum extent (not exceeding its express terms) possible under applicable law.</w:t>
      </w:r>
    </w:p>
    <w:p>
      <w:pPr>
        <w:spacing w:after="0" w:line="151"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not be assignable, in whole or in part, by either party without the written consent of the other party. After any such assignment by the Company, the Company shall be discharged from all further liability hereunder and such assignee shall thereafter be deemed to be the Company for the purposes of all provisions of this Agreement including this Section 8.</w:t>
      </w:r>
    </w:p>
    <w:p>
      <w:pPr>
        <w:spacing w:after="0" w:line="13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Employee agrees that it would be difficult to compensate the Company fully for damages for any violation of the provisions of this Agreement, including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224" w:name="page225"/>
    <w:bookmarkEnd w:id="224"/>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without limitation the provisions of Sections 5 and 6. Accordingly, Employee specifically agrees that the Company shall be entitled to temporary and permanent injunctive relief to enforce the provisions of this Agreement and that such relief may be granted without the necessity of proving actual damages. This provision with respect to injunctive relief shall not, however, diminish the right of the Company to claim and recover damages in addition to injunctive relief.</w:t>
      </w:r>
    </w:p>
    <w:p>
      <w:pPr>
        <w:spacing w:after="0" w:line="13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Attorneys’ Fees and Costs</w:t>
      </w:r>
      <w:r>
        <w:rPr>
          <w:rFonts w:ascii="Times New Roman" w:cs="Times New Roman" w:eastAsia="Times New Roman" w:hAnsi="Times New Roman"/>
          <w:sz w:val="18"/>
          <w:szCs w:val="18"/>
          <w:color w:val="auto"/>
        </w:rPr>
        <w:t>. The Company and Employee agree that in the event any litigation arises out of this Agreement between Company and Employee, the prevailing party in such litigation shall be entitled to recover its attorney’s fees and costs brought relating to such litigation.</w:t>
      </w:r>
    </w:p>
    <w:p>
      <w:pPr>
        <w:spacing w:after="0" w:line="135" w:lineRule="exact"/>
        <w:rPr>
          <w:sz w:val="20"/>
          <w:szCs w:val="20"/>
          <w:color w:val="auto"/>
        </w:rPr>
      </w:pPr>
    </w:p>
    <w:p>
      <w:pPr>
        <w:jc w:val="both"/>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No Mitigation Obligation</w:t>
      </w:r>
      <w:r>
        <w:rPr>
          <w:rFonts w:ascii="Times New Roman" w:cs="Times New Roman" w:eastAsia="Times New Roman" w:hAnsi="Times New Roman"/>
          <w:sz w:val="18"/>
          <w:szCs w:val="18"/>
          <w:color w:val="auto"/>
        </w:rPr>
        <w:t>. All amounts paid to Employee under this Agreement following Employee’s termination of employment and this Agreement are acknowledged by the Company and Employee to be reasonable and to be liquidated damages, and Employee will not be required to reduce the amount of such payments by seeking other employment or otherwise, nor will any profits, income, earnings or other benefits from any source whatsoever (including from other employment) create any mitigation, offset, reduction or any other obligation on the part of Employee under this Agreement.</w:t>
      </w:r>
    </w:p>
    <w:p>
      <w:pPr>
        <w:spacing w:after="0" w:line="16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payment, demand or communication required or permitted to be given by the provisions of this Agreement shall be deemed to have been effectively given and received as follows: (i) by personal delivery when delivered personally; (ii) by overnight courier upon written verification of receipt; (iii) by email, telecopy or facsimile transmission upon acknowledgment of receipt of electronic transmission; or (iv) by certified or registered mail, return receipt requested, upon verification of receipt. Notice shall be sent to Employee at the address listed on the Company’s personnel records and to the Company at its principal place of business, to the attention of the General Counsel, or such other address as either party may specify in writing.</w:t>
      </w:r>
    </w:p>
    <w:p>
      <w:pPr>
        <w:spacing w:after="0" w:line="14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Notice of Immunity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41414"/>
        </w:rPr>
        <w:t>Notwithstanding any provision of this Agreement to the contrary, (i) Employee shall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41414"/>
        </w:rPr>
        <w:t>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(ii) Employee shall not be held criminally or civilly liable under any Federal or State trade secret law for the disclosure of a trade secret that is made in a complaint or other document filed in a lawsuit or other proceeding, if such filing is made under seal; and (iii) if Employee files a lawsuit for retaliation by an employer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w:t>
      </w:r>
    </w:p>
    <w:p>
      <w:pPr>
        <w:spacing w:after="0" w:line="14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Solely for purposes of determining the amount of “Incentive Compensation” (as defined in the Prior Agreement) for fiscal year 2025, in the event Employee shall disagree with the amount of Adjusted EBITDA, as determined by the Company (written notice of which shall be given by the Employee within thirty (30) days of the receipt of such determination by the Company), Adjusted EBITDA shall be determined by the independent certified public accountants of the Company or, if the Company has not then engaged a firm of</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225" w:name="page226"/>
    <w:bookmarkEnd w:id="225"/>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independent certified public accountants, any nationally recognized firm of public accountants selected by the Company (the “Independent Accountant”). The Independent Accountant shall determine the Adjusted EBITDA within thirty (30) days after its appointment and shall be instructed to deliver to the Company and Employee a written report of its determination of the amount of Adjusted EBITDA. The cost of the accounting services performed by the Independent Accountant shall be borne by the Company (but the cost thereof shall be considered a liability of the Company) unless the amount of the Adjusted EBITDA as determined by the Independent Accountant is the same as the amount determined by the Company, in which event the entire cost of the services of the Independent Accountant shall be borne by the Employee.</w:t>
      </w:r>
    </w:p>
    <w:p>
      <w:pPr>
        <w:spacing w:after="0" w:line="14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8.17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rights and obligations of the parties under the provisions of this Agreement shall survive, and remain binding and enforceable, notwithstanding the expiration of the Term, the termination of this Agreement, the termination of Employee’s employment hereunder or any settlement of the financial rights and obligations arising from Employee’s employment hereunder, to the extent necessary to preserve the intended benefits of such provisions.</w:t>
      </w:r>
    </w:p>
    <w:p>
      <w:pPr>
        <w:spacing w:after="0" w:line="13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8.18 </w:t>
      </w:r>
      <w:r>
        <w:rPr>
          <w:rFonts w:ascii="Times New Roman" w:cs="Times New Roman" w:eastAsia="Times New Roman" w:hAnsi="Times New Roman"/>
          <w:sz w:val="18"/>
          <w:szCs w:val="18"/>
          <w:u w:val="single" w:color="auto"/>
          <w:color w:val="auto"/>
        </w:rPr>
        <w:t>Counterparts; Facsimile or .pdf Signatures</w:t>
      </w:r>
      <w:r>
        <w:rPr>
          <w:rFonts w:ascii="Times New Roman" w:cs="Times New Roman" w:eastAsia="Times New Roman" w:hAnsi="Times New Roman"/>
          <w:sz w:val="18"/>
          <w:szCs w:val="18"/>
          <w:color w:val="auto"/>
        </w:rPr>
        <w:t>. This Agreement may be executed in any number of counterparts, each of which when so executed and delivered will be deemed an original, and all of which together shall constitute one and the same agreement. This Agreement may be executed and delivered by facsimile or by .pdf file and upon such delivery the facsimile or .pdf signature will be deemed to have the same effect as if the original signature had been delivered to the other party.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on following page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226" w:name="page227"/>
    <w:bookmarkEnd w:id="226"/>
    <w:p>
      <w:pPr>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as of the date set forth in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w:t>
      </w:r>
    </w:p>
    <w:p>
      <w:pPr>
        <w:spacing w:after="0" w:line="16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CAMPING WORLD HOLDINGS, INC.</w:t>
      </w:r>
    </w:p>
    <w:p>
      <w:pPr>
        <w:spacing w:after="0" w:line="2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By:/s/ Lindsey J. Christen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5971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Name:Lindsey J. Christen</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Administrative &amp; Legal Officer</w:t>
      </w:r>
    </w:p>
    <w:p>
      <w:pPr>
        <w:spacing w:after="0" w:line="20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CWGS ENTERPRISES, LLC</w:t>
      </w:r>
    </w:p>
    <w:p>
      <w:pPr>
        <w:spacing w:after="0" w:line="2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By:/s/ Lindsey J. Christen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59715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Name:Lindsey J. Christen</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Administrative &amp; Legal Officer</w:t>
      </w:r>
    </w:p>
    <w:p>
      <w:pPr>
        <w:spacing w:after="0" w:line="20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By:/s/ Matthew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59715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Matthew Wagner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27" w:name="page228"/>
    <w:bookmarkEnd w:id="227"/>
    <w:p>
      <w:pPr>
        <w:ind w:left="9220"/>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5240" w:type="dxa"/>
            <w:vAlign w:val="bottom"/>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 State of Incorporation</w:t>
            </w:r>
          </w:p>
        </w:tc>
      </w:tr>
      <w:tr>
        <w:trPr>
          <w:trHeight w:val="35"/>
        </w:trPr>
        <w:tc>
          <w:tcPr>
            <w:tcW w:w="500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63"/>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Active Sports, LLC</w:t>
            </w:r>
          </w:p>
        </w:tc>
        <w:tc>
          <w:tcPr>
            <w:tcW w:w="200" w:type="dxa"/>
            <w:vAlign w:val="bottom"/>
            <w:shd w:val="clear" w:color="auto" w:fill="CCEEFF"/>
          </w:tcPr>
          <w:p>
            <w:pPr>
              <w:spacing w:after="0"/>
              <w:rPr>
                <w:sz w:val="22"/>
                <w:szCs w:val="22"/>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Affinity Brokerage,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Affinity Group Holding,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Affinity Guest Services,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Affinity Road &amp; Travel Club,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Texas</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Affinity Service Plans, Inc.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Illinois</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Affinity Service Plans,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Illinois</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AGI Intermediate Holdco,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AGI Productions,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American RV Centers,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Americas Road &amp; Travel Club, Inc.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Texas</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Arizona RV Centers,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Atlantic RV Centers,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 &amp; B RV, Inc.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California</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Blaine Jensen RV Centers,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Bodily RV II, Inc.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Idaho</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Bodily RV, Inc.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Idaho</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Burnside Brokers,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Burnside Finance,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Burnside RV Centers,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Camp Coast to Coast,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Camping Time RV Centers,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Camping World Card Services,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Ohio</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Camping World Insurance Services of Kentucky,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Camping World Insurance Services of Texas,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Texas</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Camping World Leasing Company,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Camping World Property,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Camping World RV Sales,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Camping World,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Kentucky</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Coast Marketing Group,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Cullum &amp; Maxey Camping Center, Inc.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Tennessee</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CWDS,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CWFR Capital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CWGS Enterprises,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CWGS Group,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CWGS Ventures,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CWH BR,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CWI,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Kentucky</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CWRV Birch Run Brokers,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CWRV Birch Run Finance,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CWRV Broker Escanaba,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CWRV Broker Ishpeming,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CWRV Brokers Belleville,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CWRV Brokers,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CWRV Finance Belleville,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CWRV Finance Chelsea,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CWRV Finance Escanaba,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560"/>
        </w:trPr>
        <w:tc>
          <w:tcPr>
            <w:tcW w:w="5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4" w:right="839" w:bottom="1440" w:gutter="0" w:footer="0" w:header="0"/>
        </w:sectPr>
      </w:pPr>
    </w:p>
    <w:bookmarkStart w:id="228" w:name="page229"/>
    <w:bookmarkEnd w:id="2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5240" w:type="dxa"/>
            <w:vAlign w:val="bottom"/>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 State of Incorporation</w:t>
            </w:r>
          </w:p>
        </w:tc>
        <w:tc>
          <w:tcPr>
            <w:tcW w:w="0" w:type="dxa"/>
            <w:vAlign w:val="bottom"/>
          </w:tcPr>
          <w:p>
            <w:pPr>
              <w:spacing w:after="0"/>
              <w:rPr>
                <w:sz w:val="1"/>
                <w:szCs w:val="1"/>
                <w:color w:val="auto"/>
              </w:rPr>
            </w:pPr>
          </w:p>
        </w:tc>
      </w:tr>
      <w:tr>
        <w:trPr>
          <w:trHeight w:val="35"/>
        </w:trPr>
        <w:tc>
          <w:tcPr>
            <w:tcW w:w="50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CWRV Finance Ishpeming, LLC</w:t>
            </w:r>
          </w:p>
        </w:tc>
        <w:tc>
          <w:tcPr>
            <w:tcW w:w="200" w:type="dxa"/>
            <w:vAlign w:val="bottom"/>
          </w:tcPr>
          <w:p>
            <w:pPr>
              <w:spacing w:after="0"/>
              <w:rPr>
                <w:sz w:val="21"/>
                <w:szCs w:val="21"/>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CWRV Finance,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CWRV Quincy Brokers,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CWRV Quincy Finance,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Dusty’s Camper World,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Ehlert Publishing Group,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Emerald Coast RV Center,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F2 Creative,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Foley RV Center,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FreedomCare Insurance Services,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FreedomRoads Finance Company,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FreedomRoads Holding Company,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FreedomRoads Intermediate Holdco,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FreedomRoads Operations Company,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FreedomRoads Property Company,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FreedomRoads RV, Inc.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FreedomRoads,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FRHP 1,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FRHP 2,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FRHP 3,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FRHP 4,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FRHP 5,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FRHP 6,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FRHP 7,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FRHP 8,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FRHP 9,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FRHP Holding 1,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FRHP Holding 2,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FRHP Holding 3,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FRHP Holding 4,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FRHP Holding 5,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FRHP Holding 6,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FRHP Holding 7,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FRHP Holding 8,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FRHP Holding 9,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FRHP Lincolnshire,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FRI,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Gary’s RV Centers,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Golf Card International,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Golf Card Resort Services,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Good Sam Digital Solutions,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Good Sam Enterprises,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Good Sam Outdoors,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GSS Enterprises,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Hart City RV Center,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Holiday Kamper Company of Columbia,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ITM Holding Company #2,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ITM Holding Company,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K&amp;C RV Centers,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2"/>
        </w:trPr>
        <w:tc>
          <w:tcPr>
            <w:tcW w:w="5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126" w:right="839" w:bottom="1440" w:gutter="0" w:footer="0" w:header="0"/>
        </w:sectPr>
      </w:pPr>
    </w:p>
    <w:bookmarkStart w:id="229" w:name="page230"/>
    <w:bookmarkEnd w:id="2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5240" w:type="dxa"/>
            <w:vAlign w:val="bottom"/>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 State of Incorporation</w:t>
            </w:r>
          </w:p>
        </w:tc>
      </w:tr>
      <w:tr>
        <w:trPr>
          <w:trHeight w:val="35"/>
        </w:trPr>
        <w:tc>
          <w:tcPr>
            <w:tcW w:w="500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63"/>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Meyer’s RV Centers, LLC</w:t>
            </w:r>
          </w:p>
        </w:tc>
        <w:tc>
          <w:tcPr>
            <w:tcW w:w="200" w:type="dxa"/>
            <w:vAlign w:val="bottom"/>
            <w:shd w:val="clear" w:color="auto" w:fill="CCEEFF"/>
          </w:tcPr>
          <w:p>
            <w:pPr>
              <w:spacing w:after="0"/>
              <w:rPr>
                <w:sz w:val="22"/>
                <w:szCs w:val="22"/>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Northwest RV Centers,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Olinger RV Centers,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Outdoor Buys,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Kentucky</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Power Sports Media,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RV World,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RV’S.com,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Shipp’s RV Centers,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Sirpilla RV Centers,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Southwest RV Centers,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Stier’s RV Centers,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Stout’s RV Center,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TL Enterprises, LLC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Tom Johnson Camping Center Charlotte, Inc.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North Carolina</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Tom Johnson Camping Center, Inc.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North Carolina</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VBI,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r>
      <w:tr>
        <w:trPr>
          <w:trHeight w:val="28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Venture Out RV Centers, Inc.</w:t>
            </w:r>
          </w:p>
        </w:tc>
        <w:tc>
          <w:tcPr>
            <w:tcW w:w="200" w:type="dxa"/>
            <w:vAlign w:val="bottom"/>
            <w:shd w:val="clear" w:color="auto" w:fill="CCEEFF"/>
          </w:tcPr>
          <w:p>
            <w:pPr>
              <w:spacing w:after="0"/>
              <w:rPr>
                <w:sz w:val="24"/>
                <w:szCs w:val="24"/>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California</w:t>
            </w:r>
          </w:p>
        </w:tc>
        <w:tc>
          <w:tcPr>
            <w:tcW w:w="20" w:type="dxa"/>
            <w:vAlign w:val="bottom"/>
          </w:tcPr>
          <w:p>
            <w:pPr>
              <w:spacing w:after="0"/>
              <w:rPr>
                <w:sz w:val="24"/>
                <w:szCs w:val="24"/>
                <w:color w:val="auto"/>
              </w:rPr>
            </w:pPr>
          </w:p>
        </w:tc>
      </w:tr>
      <w:tr>
        <w:trPr>
          <w:trHeight w:val="258"/>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Wheeler RV Las Vegas, LLC</w:t>
            </w:r>
          </w:p>
        </w:tc>
        <w:tc>
          <w:tcPr>
            <w:tcW w:w="200" w:type="dxa"/>
            <w:vAlign w:val="bottom"/>
          </w:tcPr>
          <w:p>
            <w:pPr>
              <w:spacing w:after="0"/>
              <w:rPr>
                <w:sz w:val="22"/>
                <w:szCs w:val="22"/>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802"/>
        </w:trPr>
        <w:tc>
          <w:tcPr>
            <w:tcW w:w="5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26" w:right="839" w:bottom="1440" w:gutter="0" w:footer="0" w:header="0"/>
        </w:sectPr>
      </w:pPr>
    </w:p>
    <w:bookmarkStart w:id="230" w:name="page231"/>
    <w:bookmarkEnd w:id="230"/>
    <w:p>
      <w:pPr>
        <w:jc w:val="right"/>
        <w:ind w:right="59"/>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2"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8"/>
          <w:szCs w:val="18"/>
          <w:color w:val="auto"/>
        </w:rPr>
        <w:t>We consent to the incorporation by reference in Registration Statement No. 333-214040 on Form S-8 and Registration Statement No. 333-282897 on Form S-3 of our reports dated February 27, 2026, relating to the financial statements of Camping World Holdings, Inc. (the “Company”) and the effectiveness of the Company's internal control over financial reporting appearing in this Annual Report on Form 10-K for the year ended December 31, 2025.</w:t>
      </w:r>
    </w:p>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Chicago, Illinois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31" w:name="page232"/>
    <w:bookmarkEnd w:id="231"/>
    <w:p>
      <w:pPr>
        <w:ind w:left="9240"/>
        <w:spacing w:after="0"/>
        <w:rPr>
          <w:sz w:val="20"/>
          <w:szCs w:val="20"/>
          <w:color w:val="auto"/>
        </w:rPr>
      </w:pPr>
      <w:r>
        <w:rPr>
          <w:rFonts w:ascii="Arial" w:cs="Arial" w:eastAsia="Arial" w:hAnsi="Arial"/>
          <w:sz w:val="17"/>
          <w:szCs w:val="17"/>
          <w:b w:val="1"/>
          <w:bCs w:val="1"/>
          <w:color w:val="auto"/>
        </w:rPr>
        <w:t>Exhibit 24.1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40" w:lineRule="exact"/>
        <w:rPr>
          <w:sz w:val="20"/>
          <w:szCs w:val="20"/>
          <w:color w:val="auto"/>
        </w:rPr>
      </w:pPr>
    </w:p>
    <w:p>
      <w:pPr>
        <w:jc w:val="both"/>
        <w:ind w:left="20"/>
        <w:spacing w:after="0" w:line="248" w:lineRule="auto"/>
        <w:rPr>
          <w:sz w:val="20"/>
          <w:szCs w:val="20"/>
          <w:color w:val="auto"/>
        </w:rPr>
      </w:pPr>
      <w:r>
        <w:rPr>
          <w:rFonts w:ascii="Arial" w:cs="Arial" w:eastAsia="Arial" w:hAnsi="Arial"/>
          <w:sz w:val="20"/>
          <w:szCs w:val="20"/>
          <w:color w:val="auto"/>
        </w:rPr>
        <w:t>KNOW ALL MEN BY THESE PRESENTS, that CAMPING WORLD HOLDINGS, INC., a Delaware corporation (the “Company”), and each of the undersigned directors of the Company, hereby constitutes and appoints Matthew D. Wagner and Thomas E. Kirn, and each of them (with full power to each of them to act alone), his or her true and lawful attorney-in-fact and agent, with full power of substitution and resubstitution, for him or her and on his or her behalf in his or her name, place and stead, in any and all capacities to sign, execute, affix his or her seal thereto and file, or cause such actions to be taken with regards to, the Company’s Annual Report on Form 10-K for the year ended December 31, 2025 under the Securities Exchange Act of 1934, as amended, including any amendment or amendments thereto, with all exhibits and any all documents required to be filed with respect thereto with any regulatory authority.</w:t>
      </w:r>
    </w:p>
    <w:p>
      <w:pPr>
        <w:spacing w:after="0" w:line="210" w:lineRule="exact"/>
        <w:rPr>
          <w:sz w:val="20"/>
          <w:szCs w:val="20"/>
          <w:color w:val="auto"/>
        </w:rPr>
      </w:pPr>
    </w:p>
    <w:p>
      <w:pPr>
        <w:jc w:val="both"/>
        <w:ind w:left="20"/>
        <w:spacing w:after="0" w:line="255" w:lineRule="auto"/>
        <w:rPr>
          <w:sz w:val="20"/>
          <w:szCs w:val="20"/>
          <w:color w:val="auto"/>
        </w:rPr>
      </w:pPr>
      <w:r>
        <w:rPr>
          <w:rFonts w:ascii="Arial" w:cs="Arial" w:eastAsia="Arial" w:hAnsi="Arial"/>
          <w:sz w:val="20"/>
          <w:szCs w:val="20"/>
          <w:color w:val="auto"/>
        </w:rPr>
        <w:t>There is hereby granted to said attorneys-in-fact and agents, and each of them, full power and authority to do and perform each and every act and thing, requisite and necessary to be done in respect of the foregoing as fully as he or she might or could do if personally present, thereby ratifying and confirming all that said attorneys-in-fact and agents, or their substitute or substitutes may lawfully do or cause to be done by virtue hereof.</w:t>
      </w:r>
    </w:p>
    <w:p>
      <w:pPr>
        <w:spacing w:after="0" w:line="197" w:lineRule="exact"/>
        <w:rPr>
          <w:sz w:val="20"/>
          <w:szCs w:val="20"/>
          <w:color w:val="auto"/>
        </w:rPr>
      </w:pPr>
    </w:p>
    <w:p>
      <w:pPr>
        <w:jc w:val="both"/>
        <w:ind w:left="20"/>
        <w:spacing w:after="0" w:line="262" w:lineRule="auto"/>
        <w:rPr>
          <w:sz w:val="20"/>
          <w:szCs w:val="20"/>
          <w:color w:val="auto"/>
        </w:rPr>
      </w:pPr>
      <w:r>
        <w:rPr>
          <w:rFonts w:ascii="Arial" w:cs="Arial" w:eastAsia="Arial" w:hAnsi="Arial"/>
          <w:sz w:val="20"/>
          <w:szCs w:val="20"/>
          <w:color w:val="auto"/>
        </w:rPr>
        <w:t>This Power of Attorney may be executed in any number of counterparts, each of which shall be an original, but all of which taken together shall constitute one and the same instrument and any of the undersigned directors may execute this Power of Attorney by signing any such counterpart.</w:t>
      </w:r>
    </w:p>
    <w:p>
      <w:pPr>
        <w:spacing w:after="0" w:line="204" w:lineRule="exact"/>
        <w:rPr>
          <w:sz w:val="20"/>
          <w:szCs w:val="20"/>
          <w:color w:val="auto"/>
        </w:rPr>
      </w:pPr>
    </w:p>
    <w:p>
      <w:pPr>
        <w:ind w:left="1420"/>
        <w:spacing w:after="0"/>
        <w:tabs>
          <w:tab w:leader="none" w:pos="3500" w:val="left"/>
          <w:tab w:leader="none" w:pos="5000" w:val="left"/>
          <w:tab w:leader="none" w:pos="6760" w:val="left"/>
          <w:tab w:leader="none" w:pos="83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15240</wp:posOffset>
            </wp:positionV>
            <wp:extent cx="642048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9">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/s/ Andris A. Baltins</w:t>
            </w:r>
          </w:p>
        </w:tc>
        <w:tc>
          <w:tcPr>
            <w:tcW w:w="3480" w:type="dxa"/>
            <w:vAlign w:val="bottom"/>
            <w:vMerge w:val="restart"/>
          </w:tcPr>
          <w:p>
            <w:pPr>
              <w:ind w:left="200"/>
              <w:spacing w:after="0"/>
              <w:rPr>
                <w:sz w:val="20"/>
                <w:szCs w:val="20"/>
                <w:color w:val="auto"/>
              </w:rPr>
            </w:pPr>
            <w:r>
              <w:rPr>
                <w:rFonts w:ascii="Arial" w:cs="Arial" w:eastAsia="Arial" w:hAnsi="Arial"/>
                <w:sz w:val="18"/>
                <w:szCs w:val="18"/>
                <w:color w:val="auto"/>
              </w:rPr>
              <w:t>Director</w:t>
            </w:r>
          </w:p>
        </w:tc>
        <w:tc>
          <w:tcPr>
            <w:tcW w:w="3320" w:type="dxa"/>
            <w:vAlign w:val="bottom"/>
            <w:gridSpan w:val="2"/>
          </w:tcPr>
          <w:p>
            <w:pPr>
              <w:ind w:left="900"/>
              <w:spacing w:after="0"/>
              <w:rPr>
                <w:sz w:val="20"/>
                <w:szCs w:val="20"/>
                <w:color w:val="auto"/>
              </w:rPr>
            </w:pPr>
            <w:r>
              <w:rPr>
                <w:rFonts w:ascii="Arial" w:cs="Arial" w:eastAsia="Arial" w:hAnsi="Arial"/>
                <w:sz w:val="18"/>
                <w:szCs w:val="18"/>
                <w:color w:val="auto"/>
              </w:rPr>
              <w:t>February 24, 2026</w:t>
            </w: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3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Andris A. Baltins</w:t>
            </w:r>
          </w:p>
        </w:tc>
        <w:tc>
          <w:tcPr>
            <w:tcW w:w="3480" w:type="dxa"/>
            <w:vAlign w:val="bottom"/>
            <w:vMerge w:val="continue"/>
          </w:tcPr>
          <w:p>
            <w:pPr>
              <w:spacing w:after="0"/>
              <w:rPr>
                <w:sz w:val="8"/>
                <w:szCs w:val="8"/>
                <w:color w:val="auto"/>
              </w:rPr>
            </w:pPr>
          </w:p>
        </w:tc>
        <w:tc>
          <w:tcPr>
            <w:tcW w:w="3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5"/>
        </w:trPr>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8"/>
              </w:rPr>
              <w:t>/s/ Brian P. Cassidy</w:t>
            </w:r>
          </w:p>
        </w:tc>
        <w:tc>
          <w:tcPr>
            <w:tcW w:w="3480" w:type="dxa"/>
            <w:vAlign w:val="bottom"/>
            <w:vMerge w:val="restart"/>
          </w:tcPr>
          <w:p>
            <w:pPr>
              <w:ind w:left="200"/>
              <w:spacing w:after="0"/>
              <w:rPr>
                <w:sz w:val="20"/>
                <w:szCs w:val="20"/>
                <w:color w:val="auto"/>
              </w:rPr>
            </w:pPr>
            <w:r>
              <w:rPr>
                <w:rFonts w:ascii="Arial" w:cs="Arial" w:eastAsia="Arial" w:hAnsi="Arial"/>
                <w:sz w:val="18"/>
                <w:szCs w:val="18"/>
                <w:color w:val="auto"/>
              </w:rPr>
              <w:t>Director</w:t>
            </w:r>
          </w:p>
        </w:tc>
        <w:tc>
          <w:tcPr>
            <w:tcW w:w="3320" w:type="dxa"/>
            <w:vAlign w:val="bottom"/>
            <w:gridSpan w:val="2"/>
          </w:tcPr>
          <w:p>
            <w:pPr>
              <w:ind w:left="900"/>
              <w:spacing w:after="0"/>
              <w:rPr>
                <w:sz w:val="20"/>
                <w:szCs w:val="20"/>
                <w:color w:val="auto"/>
              </w:rPr>
            </w:pPr>
            <w:r>
              <w:rPr>
                <w:rFonts w:ascii="Arial" w:cs="Arial" w:eastAsia="Arial" w:hAnsi="Arial"/>
                <w:sz w:val="18"/>
                <w:szCs w:val="18"/>
                <w:color w:val="auto"/>
              </w:rPr>
              <w:t>February 24, 2026</w:t>
            </w: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3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Brian P. Cassidy</w:t>
            </w:r>
          </w:p>
        </w:tc>
        <w:tc>
          <w:tcPr>
            <w:tcW w:w="3480" w:type="dxa"/>
            <w:vAlign w:val="bottom"/>
            <w:vMerge w:val="continue"/>
          </w:tcPr>
          <w:p>
            <w:pPr>
              <w:spacing w:after="0"/>
              <w:rPr>
                <w:sz w:val="8"/>
                <w:szCs w:val="8"/>
                <w:color w:val="auto"/>
              </w:rPr>
            </w:pPr>
          </w:p>
        </w:tc>
        <w:tc>
          <w:tcPr>
            <w:tcW w:w="3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5"/>
        </w:trPr>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/s/ Mary J. George</w:t>
            </w:r>
          </w:p>
        </w:tc>
        <w:tc>
          <w:tcPr>
            <w:tcW w:w="3480" w:type="dxa"/>
            <w:vAlign w:val="bottom"/>
            <w:vMerge w:val="restart"/>
          </w:tcPr>
          <w:p>
            <w:pPr>
              <w:ind w:left="200"/>
              <w:spacing w:after="0"/>
              <w:rPr>
                <w:sz w:val="20"/>
                <w:szCs w:val="20"/>
                <w:color w:val="auto"/>
              </w:rPr>
            </w:pPr>
            <w:r>
              <w:rPr>
                <w:rFonts w:ascii="Arial" w:cs="Arial" w:eastAsia="Arial" w:hAnsi="Arial"/>
                <w:sz w:val="18"/>
                <w:szCs w:val="18"/>
                <w:color w:val="auto"/>
              </w:rPr>
              <w:t>Director</w:t>
            </w:r>
          </w:p>
        </w:tc>
        <w:tc>
          <w:tcPr>
            <w:tcW w:w="3320" w:type="dxa"/>
            <w:vAlign w:val="bottom"/>
            <w:gridSpan w:val="2"/>
          </w:tcPr>
          <w:p>
            <w:pPr>
              <w:ind w:left="900"/>
              <w:spacing w:after="0"/>
              <w:rPr>
                <w:sz w:val="20"/>
                <w:szCs w:val="20"/>
                <w:color w:val="auto"/>
              </w:rPr>
            </w:pPr>
            <w:r>
              <w:rPr>
                <w:rFonts w:ascii="Arial" w:cs="Arial" w:eastAsia="Arial" w:hAnsi="Arial"/>
                <w:sz w:val="18"/>
                <w:szCs w:val="18"/>
                <w:color w:val="auto"/>
              </w:rPr>
              <w:t>February 24, 2026</w:t>
            </w: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3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Mary J. George</w:t>
            </w:r>
          </w:p>
        </w:tc>
        <w:tc>
          <w:tcPr>
            <w:tcW w:w="3480" w:type="dxa"/>
            <w:vAlign w:val="bottom"/>
            <w:vMerge w:val="continue"/>
          </w:tcPr>
          <w:p>
            <w:pPr>
              <w:spacing w:after="0"/>
              <w:rPr>
                <w:sz w:val="8"/>
                <w:szCs w:val="8"/>
                <w:color w:val="auto"/>
              </w:rPr>
            </w:pPr>
          </w:p>
        </w:tc>
        <w:tc>
          <w:tcPr>
            <w:tcW w:w="3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5"/>
        </w:trPr>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/s/ Kathleen S. Lane</w:t>
            </w:r>
          </w:p>
        </w:tc>
        <w:tc>
          <w:tcPr>
            <w:tcW w:w="3480" w:type="dxa"/>
            <w:vAlign w:val="bottom"/>
            <w:vMerge w:val="restart"/>
          </w:tcPr>
          <w:p>
            <w:pPr>
              <w:ind w:left="200"/>
              <w:spacing w:after="0"/>
              <w:rPr>
                <w:sz w:val="20"/>
                <w:szCs w:val="20"/>
                <w:color w:val="auto"/>
              </w:rPr>
            </w:pPr>
            <w:r>
              <w:rPr>
                <w:rFonts w:ascii="Arial" w:cs="Arial" w:eastAsia="Arial" w:hAnsi="Arial"/>
                <w:sz w:val="18"/>
                <w:szCs w:val="18"/>
                <w:color w:val="auto"/>
              </w:rPr>
              <w:t>Director</w:t>
            </w:r>
          </w:p>
        </w:tc>
        <w:tc>
          <w:tcPr>
            <w:tcW w:w="3320" w:type="dxa"/>
            <w:vAlign w:val="bottom"/>
            <w:gridSpan w:val="2"/>
          </w:tcPr>
          <w:p>
            <w:pPr>
              <w:ind w:left="900"/>
              <w:spacing w:after="0"/>
              <w:rPr>
                <w:sz w:val="20"/>
                <w:szCs w:val="20"/>
                <w:color w:val="auto"/>
              </w:rPr>
            </w:pPr>
            <w:r>
              <w:rPr>
                <w:rFonts w:ascii="Arial" w:cs="Arial" w:eastAsia="Arial" w:hAnsi="Arial"/>
                <w:sz w:val="18"/>
                <w:szCs w:val="18"/>
                <w:color w:val="auto"/>
              </w:rPr>
              <w:t>February 24, 2026</w:t>
            </w: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3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Kathleen S. Lane</w:t>
            </w:r>
          </w:p>
        </w:tc>
        <w:tc>
          <w:tcPr>
            <w:tcW w:w="3480" w:type="dxa"/>
            <w:vAlign w:val="bottom"/>
            <w:vMerge w:val="continue"/>
          </w:tcPr>
          <w:p>
            <w:pPr>
              <w:spacing w:after="0"/>
              <w:rPr>
                <w:sz w:val="8"/>
                <w:szCs w:val="8"/>
                <w:color w:val="auto"/>
              </w:rPr>
            </w:pPr>
          </w:p>
        </w:tc>
        <w:tc>
          <w:tcPr>
            <w:tcW w:w="3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5"/>
        </w:trPr>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/s/ Michael W. Malone</w:t>
            </w:r>
          </w:p>
        </w:tc>
        <w:tc>
          <w:tcPr>
            <w:tcW w:w="3480" w:type="dxa"/>
            <w:vAlign w:val="bottom"/>
            <w:vMerge w:val="restart"/>
          </w:tcPr>
          <w:p>
            <w:pPr>
              <w:ind w:left="200"/>
              <w:spacing w:after="0"/>
              <w:rPr>
                <w:sz w:val="20"/>
                <w:szCs w:val="20"/>
                <w:color w:val="auto"/>
              </w:rPr>
            </w:pPr>
            <w:r>
              <w:rPr>
                <w:rFonts w:ascii="Arial" w:cs="Arial" w:eastAsia="Arial" w:hAnsi="Arial"/>
                <w:sz w:val="18"/>
                <w:szCs w:val="18"/>
                <w:color w:val="auto"/>
              </w:rPr>
              <w:t>Director</w:t>
            </w:r>
          </w:p>
        </w:tc>
        <w:tc>
          <w:tcPr>
            <w:tcW w:w="3320" w:type="dxa"/>
            <w:vAlign w:val="bottom"/>
            <w:gridSpan w:val="2"/>
          </w:tcPr>
          <w:p>
            <w:pPr>
              <w:ind w:left="900"/>
              <w:spacing w:after="0"/>
              <w:rPr>
                <w:sz w:val="20"/>
                <w:szCs w:val="20"/>
                <w:color w:val="auto"/>
              </w:rPr>
            </w:pPr>
            <w:r>
              <w:rPr>
                <w:rFonts w:ascii="Arial" w:cs="Arial" w:eastAsia="Arial" w:hAnsi="Arial"/>
                <w:sz w:val="18"/>
                <w:szCs w:val="18"/>
                <w:color w:val="auto"/>
              </w:rPr>
              <w:t>February 24, 2026</w:t>
            </w: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3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Michael W. Malone</w:t>
            </w:r>
          </w:p>
        </w:tc>
        <w:tc>
          <w:tcPr>
            <w:tcW w:w="3480" w:type="dxa"/>
            <w:vAlign w:val="bottom"/>
            <w:vMerge w:val="continue"/>
          </w:tcPr>
          <w:p>
            <w:pPr>
              <w:spacing w:after="0"/>
              <w:rPr>
                <w:sz w:val="8"/>
                <w:szCs w:val="8"/>
                <w:color w:val="auto"/>
              </w:rPr>
            </w:pPr>
          </w:p>
        </w:tc>
        <w:tc>
          <w:tcPr>
            <w:tcW w:w="3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5"/>
        </w:trPr>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/s/ Brent Moody</w:t>
            </w:r>
          </w:p>
        </w:tc>
        <w:tc>
          <w:tcPr>
            <w:tcW w:w="3480" w:type="dxa"/>
            <w:vAlign w:val="bottom"/>
            <w:vMerge w:val="restart"/>
          </w:tcPr>
          <w:p>
            <w:pPr>
              <w:ind w:left="200"/>
              <w:spacing w:after="0"/>
              <w:rPr>
                <w:sz w:val="20"/>
                <w:szCs w:val="20"/>
                <w:color w:val="auto"/>
              </w:rPr>
            </w:pPr>
            <w:r>
              <w:rPr>
                <w:rFonts w:ascii="Arial" w:cs="Arial" w:eastAsia="Arial" w:hAnsi="Arial"/>
                <w:sz w:val="18"/>
                <w:szCs w:val="18"/>
                <w:color w:val="auto"/>
              </w:rPr>
              <w:t>Director, Chairman of the Board</w:t>
            </w:r>
          </w:p>
        </w:tc>
        <w:tc>
          <w:tcPr>
            <w:tcW w:w="3320" w:type="dxa"/>
            <w:vAlign w:val="bottom"/>
            <w:gridSpan w:val="2"/>
          </w:tcPr>
          <w:p>
            <w:pPr>
              <w:ind w:left="900"/>
              <w:spacing w:after="0"/>
              <w:rPr>
                <w:sz w:val="20"/>
                <w:szCs w:val="20"/>
                <w:color w:val="auto"/>
              </w:rPr>
            </w:pPr>
            <w:r>
              <w:rPr>
                <w:rFonts w:ascii="Arial" w:cs="Arial" w:eastAsia="Arial" w:hAnsi="Arial"/>
                <w:sz w:val="18"/>
                <w:szCs w:val="18"/>
                <w:color w:val="auto"/>
              </w:rPr>
              <w:t>February 24, 2026</w:t>
            </w: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3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Brent Moody</w:t>
            </w:r>
          </w:p>
        </w:tc>
        <w:tc>
          <w:tcPr>
            <w:tcW w:w="3480" w:type="dxa"/>
            <w:vAlign w:val="bottom"/>
            <w:vMerge w:val="continue"/>
          </w:tcPr>
          <w:p>
            <w:pPr>
              <w:spacing w:after="0"/>
              <w:rPr>
                <w:sz w:val="8"/>
                <w:szCs w:val="8"/>
                <w:color w:val="auto"/>
              </w:rPr>
            </w:pPr>
          </w:p>
        </w:tc>
        <w:tc>
          <w:tcPr>
            <w:tcW w:w="3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5"/>
        </w:trPr>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/s/ K. Dillon Schickli</w:t>
            </w:r>
          </w:p>
        </w:tc>
        <w:tc>
          <w:tcPr>
            <w:tcW w:w="3480" w:type="dxa"/>
            <w:vAlign w:val="bottom"/>
            <w:vMerge w:val="restart"/>
          </w:tcPr>
          <w:p>
            <w:pPr>
              <w:ind w:left="200"/>
              <w:spacing w:after="0"/>
              <w:rPr>
                <w:sz w:val="20"/>
                <w:szCs w:val="20"/>
                <w:color w:val="auto"/>
              </w:rPr>
            </w:pPr>
            <w:r>
              <w:rPr>
                <w:rFonts w:ascii="Arial" w:cs="Arial" w:eastAsia="Arial" w:hAnsi="Arial"/>
                <w:sz w:val="18"/>
                <w:szCs w:val="18"/>
                <w:color w:val="auto"/>
              </w:rPr>
              <w:t>Director</w:t>
            </w:r>
          </w:p>
        </w:tc>
        <w:tc>
          <w:tcPr>
            <w:tcW w:w="3320" w:type="dxa"/>
            <w:vAlign w:val="bottom"/>
            <w:gridSpan w:val="2"/>
          </w:tcPr>
          <w:p>
            <w:pPr>
              <w:ind w:left="900"/>
              <w:spacing w:after="0"/>
              <w:rPr>
                <w:sz w:val="20"/>
                <w:szCs w:val="20"/>
                <w:color w:val="auto"/>
              </w:rPr>
            </w:pPr>
            <w:r>
              <w:rPr>
                <w:rFonts w:ascii="Arial" w:cs="Arial" w:eastAsia="Arial" w:hAnsi="Arial"/>
                <w:sz w:val="18"/>
                <w:szCs w:val="18"/>
                <w:color w:val="auto"/>
              </w:rPr>
              <w:t>February 24, 2026</w:t>
            </w: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3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K. Dillon Schickli</w:t>
            </w:r>
          </w:p>
        </w:tc>
        <w:tc>
          <w:tcPr>
            <w:tcW w:w="3480" w:type="dxa"/>
            <w:vAlign w:val="bottom"/>
            <w:vMerge w:val="continue"/>
          </w:tcPr>
          <w:p>
            <w:pPr>
              <w:spacing w:after="0"/>
              <w:rPr>
                <w:sz w:val="8"/>
                <w:szCs w:val="8"/>
                <w:color w:val="auto"/>
              </w:rPr>
            </w:pPr>
          </w:p>
        </w:tc>
        <w:tc>
          <w:tcPr>
            <w:tcW w:w="3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7"/>
        </w:trPr>
        <w:tc>
          <w:tcPr>
            <w:tcW w:w="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122" w:right="8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Matthew D. Wagner, certify that:</w:t>
      </w:r>
    </w:p>
    <w:p>
      <w:pPr>
        <w:spacing w:after="0" w:line="225" w:lineRule="exact"/>
        <w:rPr>
          <w:sz w:val="20"/>
          <w:szCs w:val="20"/>
          <w:color w:val="auto"/>
        </w:rPr>
      </w:pPr>
    </w:p>
    <w:p>
      <w:pPr>
        <w:ind w:left="240" w:hanging="196"/>
        <w:spacing w:after="0"/>
        <w:tabs>
          <w:tab w:leader="none" w:pos="2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Camping World Holdings, Inc.;</w:t>
      </w:r>
    </w:p>
    <w:p>
      <w:pPr>
        <w:spacing w:after="0" w:line="225" w:lineRule="exact"/>
        <w:rPr>
          <w:rFonts w:ascii="Arial" w:cs="Arial" w:eastAsia="Arial" w:hAnsi="Arial"/>
          <w:sz w:val="18"/>
          <w:szCs w:val="18"/>
          <w:color w:val="auto"/>
        </w:rPr>
      </w:pPr>
    </w:p>
    <w:p>
      <w:pPr>
        <w:ind w:left="40" w:right="200" w:firstLine="4"/>
        <w:spacing w:after="0" w:line="268" w:lineRule="auto"/>
        <w:tabs>
          <w:tab w:leader="none" w:pos="2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8"/>
          <w:szCs w:val="18"/>
          <w:color w:val="auto"/>
        </w:rPr>
      </w:pPr>
    </w:p>
    <w:p>
      <w:pPr>
        <w:ind w:left="40" w:right="100" w:firstLine="4"/>
        <w:spacing w:after="0" w:line="268" w:lineRule="auto"/>
        <w:tabs>
          <w:tab w:leader="none" w:pos="2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40" w:right="220" w:firstLine="4"/>
        <w:spacing w:after="0" w:line="283" w:lineRule="auto"/>
        <w:tabs>
          <w:tab w:leader="none" w:pos="2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9" w:lineRule="exact"/>
        <w:rPr>
          <w:rFonts w:ascii="Arial" w:cs="Arial" w:eastAsia="Arial" w:hAnsi="Arial"/>
          <w:sz w:val="17"/>
          <w:szCs w:val="17"/>
          <w:color w:val="auto"/>
        </w:rPr>
      </w:pPr>
    </w:p>
    <w:p>
      <w:pPr>
        <w:ind w:left="700" w:right="300" w:hanging="8"/>
        <w:spacing w:after="0" w:line="262" w:lineRule="auto"/>
        <w:tabs>
          <w:tab w:leader="none" w:pos="97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700" w:right="120" w:hanging="8"/>
        <w:spacing w:after="0" w:line="262" w:lineRule="auto"/>
        <w:tabs>
          <w:tab w:leader="none" w:pos="97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700" w:right="220" w:hanging="8"/>
        <w:spacing w:after="0" w:line="268" w:lineRule="auto"/>
        <w:tabs>
          <w:tab w:leader="none" w:pos="9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jc w:val="both"/>
        <w:ind w:left="700" w:right="420" w:hanging="8"/>
        <w:spacing w:after="0" w:line="262" w:lineRule="auto"/>
        <w:tabs>
          <w:tab w:leader="none" w:pos="97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40" w:right="260" w:firstLine="4"/>
        <w:spacing w:after="0" w:line="261" w:lineRule="auto"/>
        <w:tabs>
          <w:tab w:leader="none" w:pos="2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ind w:left="700" w:right="280" w:hanging="8"/>
        <w:spacing w:after="0" w:line="268" w:lineRule="auto"/>
        <w:tabs>
          <w:tab w:leader="none" w:pos="97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700" w:right="600" w:hanging="8"/>
        <w:spacing w:after="0" w:line="287" w:lineRule="auto"/>
        <w:tabs>
          <w:tab w:leader="none" w:pos="97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80"/>
        <w:spacing w:after="0"/>
        <w:tabs>
          <w:tab w:leader="none" w:pos="4580" w:val="left"/>
        </w:tabs>
        <w:rPr>
          <w:sz w:val="20"/>
          <w:szCs w:val="20"/>
          <w:color w:val="auto"/>
        </w:rPr>
      </w:pPr>
      <w:r>
        <w:rPr>
          <w:rFonts w:ascii="Arial" w:cs="Arial" w:eastAsia="Arial" w:hAnsi="Arial"/>
          <w:sz w:val="18"/>
          <w:szCs w:val="18"/>
          <w:color w:val="auto"/>
        </w:rPr>
        <w:t>Date: February 27, 2026</w:t>
      </w:r>
      <w:r>
        <w:rPr>
          <w:sz w:val="20"/>
          <w:szCs w:val="20"/>
          <w:color w:val="auto"/>
        </w:rPr>
        <w:tab/>
      </w:r>
      <w:r>
        <w:rPr>
          <w:rFonts w:ascii="Arial" w:cs="Arial" w:eastAsia="Arial" w:hAnsi="Arial"/>
          <w:sz w:val="18"/>
          <w:szCs w:val="18"/>
          <w:color w:val="auto"/>
        </w:rPr>
        <w:t>By: /s/ Matthew D.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34925</wp:posOffset>
            </wp:positionV>
            <wp:extent cx="25628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Matthew D. Wagner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540385</wp:posOffset>
            </wp:positionV>
            <wp:extent cx="565785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122" w:right="141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jc w:val="center"/>
        <w:ind w:right="73"/>
        <w:spacing w:after="0"/>
        <w:rPr>
          <w:sz w:val="20"/>
          <w:szCs w:val="20"/>
          <w:color w:val="auto"/>
        </w:rPr>
      </w:pPr>
      <w:r>
        <w:rPr>
          <w:rFonts w:ascii="Arial" w:cs="Arial" w:eastAsia="Arial" w:hAnsi="Arial"/>
          <w:sz w:val="18"/>
          <w:szCs w:val="18"/>
          <w:b w:val="1"/>
          <w:bCs w:val="1"/>
          <w:color w:val="auto"/>
        </w:rPr>
        <w:t>CERTIFICATIONS</w:t>
      </w:r>
    </w:p>
    <w:p>
      <w:pPr>
        <w:spacing w:after="0" w:line="212" w:lineRule="exact"/>
        <w:rPr>
          <w:sz w:val="20"/>
          <w:szCs w:val="20"/>
          <w:color w:val="auto"/>
        </w:rPr>
      </w:pPr>
    </w:p>
    <w:p>
      <w:pPr>
        <w:ind w:left="7"/>
        <w:spacing w:after="0"/>
        <w:rPr>
          <w:sz w:val="20"/>
          <w:szCs w:val="20"/>
          <w:color w:val="auto"/>
        </w:rPr>
      </w:pPr>
      <w:r>
        <w:rPr>
          <w:rFonts w:ascii="Arial" w:cs="Arial" w:eastAsia="Arial" w:hAnsi="Arial"/>
          <w:sz w:val="18"/>
          <w:szCs w:val="18"/>
          <w:color w:val="auto"/>
        </w:rPr>
        <w:t>I, Thomas E. Kirn, certify that:</w:t>
      </w:r>
    </w:p>
    <w:p>
      <w:pPr>
        <w:spacing w:after="0" w:line="225" w:lineRule="exact"/>
        <w:rPr>
          <w:sz w:val="20"/>
          <w:szCs w:val="20"/>
          <w:color w:val="auto"/>
        </w:rPr>
      </w:pPr>
    </w:p>
    <w:p>
      <w:pPr>
        <w:ind w:left="207" w:hanging="207"/>
        <w:spacing w:after="0"/>
        <w:tabs>
          <w:tab w:leader="none" w:pos="20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Camping World Holdings, Inc.;</w:t>
      </w:r>
    </w:p>
    <w:p>
      <w:pPr>
        <w:spacing w:after="0" w:line="225" w:lineRule="exact"/>
        <w:rPr>
          <w:rFonts w:ascii="Arial" w:cs="Arial" w:eastAsia="Arial" w:hAnsi="Arial"/>
          <w:sz w:val="18"/>
          <w:szCs w:val="18"/>
          <w:color w:val="auto"/>
        </w:rPr>
      </w:pPr>
    </w:p>
    <w:p>
      <w:pPr>
        <w:jc w:val="both"/>
        <w:ind w:left="7" w:right="340" w:hanging="7"/>
        <w:spacing w:after="0" w:line="268" w:lineRule="auto"/>
        <w:tabs>
          <w:tab w:leader="none" w:pos="20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8"/>
          <w:szCs w:val="18"/>
          <w:color w:val="auto"/>
        </w:rPr>
      </w:pPr>
    </w:p>
    <w:p>
      <w:pPr>
        <w:ind w:left="7" w:right="340" w:hanging="7"/>
        <w:spacing w:after="0" w:line="268" w:lineRule="auto"/>
        <w:tabs>
          <w:tab w:leader="none" w:pos="20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7" w:right="260" w:hanging="7"/>
        <w:spacing w:after="0" w:line="261" w:lineRule="auto"/>
        <w:tabs>
          <w:tab w:leader="none" w:pos="20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ind w:left="647" w:right="200" w:firstLine="1"/>
        <w:spacing w:after="0" w:line="262" w:lineRule="auto"/>
        <w:tabs>
          <w:tab w:leader="none" w:pos="916"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927" w:hanging="279"/>
        <w:spacing w:after="0"/>
        <w:tabs>
          <w:tab w:leader="none" w:pos="927"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w:t>
      </w:r>
    </w:p>
    <w:p>
      <w:pPr>
        <w:spacing w:after="0" w:line="27" w:lineRule="exact"/>
        <w:rPr>
          <w:rFonts w:ascii="Arial" w:cs="Arial" w:eastAsia="Arial" w:hAnsi="Arial"/>
          <w:sz w:val="18"/>
          <w:szCs w:val="18"/>
          <w:color w:val="auto"/>
        </w:rPr>
      </w:pPr>
    </w:p>
    <w:p>
      <w:pPr>
        <w:ind w:left="647" w:right="160"/>
        <w:spacing w:after="0" w:line="258" w:lineRule="auto"/>
        <w:rPr>
          <w:rFonts w:ascii="Arial" w:cs="Arial" w:eastAsia="Arial" w:hAnsi="Arial"/>
          <w:sz w:val="18"/>
          <w:szCs w:val="18"/>
          <w:color w:val="auto"/>
        </w:rPr>
      </w:pPr>
      <w:r>
        <w:rPr>
          <w:rFonts w:ascii="Arial" w:cs="Arial" w:eastAsia="Arial" w:hAnsi="Arial"/>
          <w:sz w:val="18"/>
          <w:szCs w:val="18"/>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8"/>
          <w:szCs w:val="18"/>
          <w:color w:val="auto"/>
        </w:rPr>
      </w:pPr>
    </w:p>
    <w:p>
      <w:pPr>
        <w:ind w:left="647" w:right="220" w:firstLine="1"/>
        <w:spacing w:after="0" w:line="268" w:lineRule="auto"/>
        <w:tabs>
          <w:tab w:leader="none" w:pos="906" w:val="left"/>
        </w:tabs>
        <w:numPr>
          <w:ilvl w:val="1"/>
          <w:numId w:val="1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ind w:left="647" w:right="280" w:firstLine="1"/>
        <w:spacing w:after="0" w:line="262" w:lineRule="auto"/>
        <w:tabs>
          <w:tab w:leader="none" w:pos="916"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7" w:right="560" w:hanging="7"/>
        <w:spacing w:after="0" w:line="261" w:lineRule="auto"/>
        <w:tabs>
          <w:tab w:leader="none" w:pos="20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ind w:left="647" w:right="260" w:firstLine="1"/>
        <w:spacing w:after="0" w:line="268" w:lineRule="auto"/>
        <w:tabs>
          <w:tab w:leader="none" w:pos="916"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647" w:right="920" w:firstLine="1"/>
        <w:spacing w:after="0" w:line="287" w:lineRule="auto"/>
        <w:tabs>
          <w:tab w:leader="none" w:pos="916"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7"/>
        <w:spacing w:after="0"/>
        <w:tabs>
          <w:tab w:leader="none" w:pos="4646" w:val="left"/>
        </w:tabs>
        <w:rPr>
          <w:sz w:val="20"/>
          <w:szCs w:val="20"/>
          <w:color w:val="auto"/>
        </w:rPr>
      </w:pPr>
      <w:r>
        <w:rPr>
          <w:rFonts w:ascii="Arial" w:cs="Arial" w:eastAsia="Arial" w:hAnsi="Arial"/>
          <w:sz w:val="18"/>
          <w:szCs w:val="18"/>
          <w:color w:val="auto"/>
        </w:rPr>
        <w:t>Date: February 27, 2026</w:t>
      </w:r>
      <w:r>
        <w:rPr>
          <w:sz w:val="20"/>
          <w:szCs w:val="20"/>
          <w:color w:val="auto"/>
        </w:rPr>
        <w:tab/>
      </w:r>
      <w:r>
        <w:rPr>
          <w:rFonts w:ascii="Arial" w:cs="Arial" w:eastAsia="Arial" w:hAnsi="Arial"/>
          <w:sz w:val="18"/>
          <w:szCs w:val="18"/>
          <w:color w:val="auto"/>
        </w:rPr>
        <w:t>By: /s/ Thomas E.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34925</wp:posOffset>
            </wp:positionV>
            <wp:extent cx="264033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57" w:lineRule="exact"/>
        <w:rPr>
          <w:sz w:val="20"/>
          <w:szCs w:val="20"/>
          <w:color w:val="auto"/>
        </w:rPr>
      </w:pPr>
    </w:p>
    <w:p>
      <w:pPr>
        <w:ind w:left="5007"/>
        <w:spacing w:after="0"/>
        <w:rPr>
          <w:sz w:val="20"/>
          <w:szCs w:val="20"/>
          <w:color w:val="auto"/>
        </w:rPr>
      </w:pPr>
      <w:r>
        <w:rPr>
          <w:rFonts w:ascii="Arial" w:cs="Arial" w:eastAsia="Arial" w:hAnsi="Arial"/>
          <w:sz w:val="18"/>
          <w:szCs w:val="18"/>
          <w:color w:val="auto"/>
        </w:rPr>
        <w:t>Thomas E. Kirn</w:t>
      </w:r>
    </w:p>
    <w:p>
      <w:pPr>
        <w:spacing w:after="0" w:line="63" w:lineRule="exact"/>
        <w:rPr>
          <w:sz w:val="20"/>
          <w:szCs w:val="20"/>
          <w:color w:val="auto"/>
        </w:rPr>
      </w:pPr>
    </w:p>
    <w:p>
      <w:pPr>
        <w:ind w:left="5007"/>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007"/>
        <w:spacing w:after="0"/>
        <w:rPr>
          <w:sz w:val="20"/>
          <w:szCs w:val="20"/>
          <w:color w:val="auto"/>
        </w:rPr>
      </w:pPr>
      <w:r>
        <w:rPr>
          <w:rFonts w:ascii="Arial" w:cs="Arial" w:eastAsia="Arial" w:hAnsi="Arial"/>
          <w:sz w:val="18"/>
          <w:szCs w:val="18"/>
          <w:color w:val="auto"/>
        </w:rPr>
        <w:t>(Principal Financial Officer and Principal</w:t>
      </w:r>
    </w:p>
    <w:p>
      <w:pPr>
        <w:spacing w:after="0" w:line="27" w:lineRule="exact"/>
        <w:rPr>
          <w:sz w:val="20"/>
          <w:szCs w:val="20"/>
          <w:color w:val="auto"/>
        </w:rPr>
      </w:pPr>
    </w:p>
    <w:p>
      <w:pPr>
        <w:ind w:left="5007"/>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528955</wp:posOffset>
            </wp:positionV>
            <wp:extent cx="58032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3">
                      <a:extLst>
                        <a:ext uri="{28A0092B-C50C-407E-A947-70E740481C1C}"/>
                      </a:extLst>
                    </a:blip>
                    <a:srcRect/>
                    <a:stretch>
                      <a:fillRect/>
                    </a:stretch>
                  </pic:blipFill>
                  <pic:spPr bwMode="auto">
                    <a:xfrm>
                      <a:off x="0" y="0"/>
                      <a:ext cx="5803265" cy="26035"/>
                    </a:xfrm>
                    <a:prstGeom prst="rect">
                      <a:avLst/>
                    </a:prstGeom>
                    <a:noFill/>
                  </pic:spPr>
                </pic:pic>
              </a:graphicData>
            </a:graphic>
          </wp:anchor>
        </w:drawing>
      </w:r>
    </w:p>
    <w:p>
      <w:pPr>
        <w:sectPr>
          <w:pgSz w:w="11900" w:h="16838" w:orient="portrait"/>
          <w:cols w:equalWidth="0" w:num="1">
            <w:col w:w="9307"/>
          </w:cols>
          <w:pgMar w:left="1253" w:top="122" w:right="1339" w:bottom="1440" w:gutter="0" w:footer="0" w:header="0"/>
        </w:sectPr>
      </w:pPr>
    </w:p>
    <w:bookmarkStart w:id="234" w:name="page235"/>
    <w:bookmarkEnd w:id="234"/>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4"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left="540" w:right="59" w:firstLine="648"/>
        <w:spacing w:after="0" w:line="255" w:lineRule="auto"/>
        <w:rPr>
          <w:sz w:val="20"/>
          <w:szCs w:val="20"/>
          <w:color w:val="auto"/>
        </w:rPr>
      </w:pPr>
      <w:r>
        <w:rPr>
          <w:rFonts w:ascii="Arial" w:cs="Arial" w:eastAsia="Arial" w:hAnsi="Arial"/>
          <w:sz w:val="18"/>
          <w:szCs w:val="18"/>
          <w:color w:val="auto"/>
        </w:rPr>
        <w:t>In connection with the Annual Report on Form 10-K of Camping World Holdings, Inc. (the “Company”) for the period ended December 31, 2025, as filed with the U.S. Securities and Exchange Commission on the date hereof (the “Report”), I, Matthew D. Wagner, President and Chief Executive Officer of the Company, hereby certify, pursuant to 18 U.S.C. Section 1350, as adopted pursuant to Section 906 of the Sarbanes-Oxley Act of 2002, that, to my knowledge:</w:t>
      </w:r>
    </w:p>
    <w:p>
      <w:pPr>
        <w:spacing w:after="0" w:line="183" w:lineRule="exact"/>
        <w:rPr>
          <w:sz w:val="20"/>
          <w:szCs w:val="20"/>
          <w:color w:val="auto"/>
        </w:rPr>
      </w:pPr>
    </w:p>
    <w:p>
      <w:pPr>
        <w:ind w:left="540" w:right="59" w:firstLine="644"/>
        <w:spacing w:after="0" w:line="287" w:lineRule="auto"/>
        <w:tabs>
          <w:tab w:leader="none" w:pos="148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9" w:lineRule="exact"/>
        <w:rPr>
          <w:rFonts w:ascii="Arial" w:cs="Arial" w:eastAsia="Arial" w:hAnsi="Arial"/>
          <w:sz w:val="18"/>
          <w:szCs w:val="18"/>
          <w:color w:val="auto"/>
        </w:rPr>
      </w:pPr>
    </w:p>
    <w:p>
      <w:pPr>
        <w:ind w:left="540" w:right="59" w:firstLine="644"/>
        <w:spacing w:after="0" w:line="287" w:lineRule="auto"/>
        <w:tabs>
          <w:tab w:leader="none" w:pos="147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8"/>
          <w:szCs w:val="18"/>
          <w:color w:val="auto"/>
        </w:rPr>
        <w:t>Date: February 27, 2026</w:t>
      </w:r>
      <w:r>
        <w:rPr>
          <w:sz w:val="20"/>
          <w:szCs w:val="20"/>
          <w:color w:val="auto"/>
        </w:rPr>
        <w:tab/>
      </w:r>
      <w:r>
        <w:rPr>
          <w:rFonts w:ascii="Arial" w:cs="Arial" w:eastAsia="Arial" w:hAnsi="Arial"/>
          <w:sz w:val="18"/>
          <w:szCs w:val="18"/>
          <w:color w:val="auto"/>
        </w:rPr>
        <w:t>By:  /s/ Matthew D.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34925</wp:posOffset>
            </wp:positionV>
            <wp:extent cx="25203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5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Matthew D. Wagner</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540385</wp:posOffset>
            </wp:positionV>
            <wp:extent cx="565785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left="40" w:right="400" w:firstLine="648"/>
        <w:spacing w:after="0" w:line="255" w:lineRule="auto"/>
        <w:rPr>
          <w:sz w:val="20"/>
          <w:szCs w:val="20"/>
          <w:color w:val="auto"/>
        </w:rPr>
      </w:pPr>
      <w:r>
        <w:rPr>
          <w:rFonts w:ascii="Arial" w:cs="Arial" w:eastAsia="Arial" w:hAnsi="Arial"/>
          <w:sz w:val="18"/>
          <w:szCs w:val="18"/>
          <w:color w:val="auto"/>
        </w:rPr>
        <w:t>In connection with the Annual Report on Form 10-K of Camping World Holdings, Inc. (the “Company”) for the period ended December 31, 2025, as filed with the U.S. Securities and Exchange Commission on the date hereof (the “Report”), I, Thomas E. Kirn, Chief Financial Officer of the Company, hereby certify, pursuant to 18 U.S.C. Section 1350, as adopted pursuant to Section 906 of the Sarbanes-Oxley Act of 2002, that, to my knowledge:</w:t>
      </w:r>
    </w:p>
    <w:p>
      <w:pPr>
        <w:spacing w:after="0" w:line="183" w:lineRule="exact"/>
        <w:rPr>
          <w:sz w:val="20"/>
          <w:szCs w:val="20"/>
          <w:color w:val="auto"/>
        </w:rPr>
      </w:pPr>
    </w:p>
    <w:p>
      <w:pPr>
        <w:ind w:left="40" w:right="400" w:firstLine="652"/>
        <w:spacing w:after="0" w:line="287" w:lineRule="auto"/>
        <w:tabs>
          <w:tab w:leader="none" w:pos="96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9" w:lineRule="exact"/>
        <w:rPr>
          <w:rFonts w:ascii="Arial" w:cs="Arial" w:eastAsia="Arial" w:hAnsi="Arial"/>
          <w:sz w:val="18"/>
          <w:szCs w:val="18"/>
          <w:color w:val="auto"/>
        </w:rPr>
      </w:pPr>
    </w:p>
    <w:p>
      <w:pPr>
        <w:ind w:left="40" w:right="400" w:firstLine="652"/>
        <w:spacing w:after="0" w:line="287" w:lineRule="auto"/>
        <w:tabs>
          <w:tab w:leader="none" w:pos="95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220" w:type="dxa"/>
            <w:vAlign w:val="bottom"/>
          </w:tcPr>
          <w:p>
            <w:pPr>
              <w:spacing w:after="0"/>
              <w:rPr>
                <w:sz w:val="20"/>
                <w:szCs w:val="20"/>
                <w:color w:val="auto"/>
              </w:rPr>
            </w:pPr>
            <w:r>
              <w:rPr>
                <w:rFonts w:ascii="Arial" w:cs="Arial" w:eastAsia="Arial" w:hAnsi="Arial"/>
                <w:sz w:val="18"/>
                <w:szCs w:val="18"/>
                <w:color w:val="auto"/>
              </w:rPr>
              <w:t>Date: February 27, 2026</w:t>
            </w:r>
          </w:p>
        </w:tc>
        <w:tc>
          <w:tcPr>
            <w:tcW w:w="5700" w:type="dxa"/>
            <w:vAlign w:val="bottom"/>
            <w:gridSpan w:val="2"/>
          </w:tcPr>
          <w:p>
            <w:pPr>
              <w:ind w:left="1260"/>
              <w:spacing w:after="0"/>
              <w:rPr>
                <w:sz w:val="20"/>
                <w:szCs w:val="20"/>
                <w:color w:val="auto"/>
              </w:rPr>
            </w:pPr>
            <w:r>
              <w:rPr>
                <w:rFonts w:ascii="Arial" w:cs="Arial" w:eastAsia="Arial" w:hAnsi="Arial"/>
                <w:sz w:val="18"/>
                <w:szCs w:val="18"/>
                <w:color w:val="auto"/>
              </w:rPr>
              <w:t>By:  /s/ Thomas E. Kirn</w:t>
            </w:r>
          </w:p>
        </w:tc>
      </w:tr>
      <w:tr>
        <w:trPr>
          <w:trHeight w:val="191"/>
        </w:trPr>
        <w:tc>
          <w:tcPr>
            <w:tcW w:w="3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Thomas E. Kirn</w:t>
            </w:r>
          </w:p>
        </w:tc>
      </w:tr>
      <w:tr>
        <w:trPr>
          <w:trHeight w:val="216"/>
        </w:trPr>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9"/>
        </w:trPr>
        <w:tc>
          <w:tcPr>
            <w:tcW w:w="3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813"/>
        </w:trPr>
        <w:tc>
          <w:tcPr>
            <w:tcW w:w="3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360"/>
      </w:cols>
      <w:pgMar w:left="1440" w:top="122"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885E1B"/>
    <w:multiLevelType w:val="hybridMultilevel"/>
    <w:lvl w:ilvl="0">
      <w:lvlJc w:val="left"/>
      <w:lvlText w:val="☒"/>
      <w:numFmt w:val="bullet"/>
      <w:start w:val="1"/>
    </w:lvl>
  </w:abstractNum>
  <w:abstractNum w:abstractNumId="1">
    <w:nsid w:val="76272110"/>
    <w:multiLevelType w:val="hybridMultilevel"/>
    <w:lvl w:ilvl="0">
      <w:lvlJc w:val="left"/>
      <w:lvlText w:val="☐"/>
      <w:numFmt w:val="bullet"/>
      <w:start w:val="1"/>
    </w:lvl>
  </w:abstractNum>
  <w:abstractNum w:abstractNumId="2">
    <w:nsid w:val="4C04A8AF"/>
    <w:multiLevelType w:val="hybridMultilevel"/>
    <w:lvl w:ilvl="0">
      <w:lvlJc w:val="left"/>
      <w:lvlText w:val="●"/>
      <w:numFmt w:val="bullet"/>
      <w:start w:val="1"/>
    </w:lvl>
  </w:abstractNum>
  <w:abstractNum w:abstractNumId="3">
    <w:nsid w:val="1716703B"/>
    <w:multiLevelType w:val="hybridMultilevel"/>
    <w:lvl w:ilvl="0">
      <w:lvlJc w:val="left"/>
      <w:lvlText w:val="●"/>
      <w:numFmt w:val="bullet"/>
      <w:start w:val="1"/>
    </w:lvl>
  </w:abstractNum>
  <w:abstractNum w:abstractNumId="4">
    <w:nsid w:val="14E17E33"/>
    <w:multiLevelType w:val="hybridMultilevel"/>
    <w:lvl w:ilvl="0">
      <w:lvlJc w:val="left"/>
      <w:lvlText w:val="●"/>
      <w:numFmt w:val="bullet"/>
      <w:start w:val="1"/>
    </w:lvl>
  </w:abstractNum>
  <w:abstractNum w:abstractNumId="5">
    <w:nsid w:val="3222E7CD"/>
    <w:multiLevelType w:val="hybridMultilevel"/>
    <w:lvl w:ilvl="0">
      <w:lvlJc w:val="left"/>
      <w:lvlText w:val="●"/>
      <w:numFmt w:val="bullet"/>
      <w:start w:val="1"/>
    </w:lvl>
  </w:abstractNum>
  <w:abstractNum w:abstractNumId="6">
    <w:nsid w:val="74DE0EE3"/>
    <w:multiLevelType w:val="hybridMultilevel"/>
    <w:lvl w:ilvl="0">
      <w:lvlJc w:val="left"/>
      <w:lvlText w:val="•"/>
      <w:numFmt w:val="bullet"/>
      <w:start w:val="1"/>
    </w:lvl>
  </w:abstractNum>
  <w:abstractNum w:abstractNumId="7">
    <w:nsid w:val="68EBC550"/>
    <w:multiLevelType w:val="hybridMultilevel"/>
    <w:lvl w:ilvl="0">
      <w:lvlJc w:val="left"/>
      <w:lvlText w:val="•"/>
      <w:numFmt w:val="bullet"/>
      <w:start w:val="1"/>
    </w:lvl>
    <w:lvl w:ilvl="1">
      <w:lvlJc w:val="left"/>
      <w:lvlText w:val="(%2)"/>
      <w:numFmt w:val="decimal"/>
      <w:start w:val="1"/>
    </w:lvl>
  </w:abstractNum>
  <w:abstractNum w:abstractNumId="8">
    <w:nsid w:val="2DF6D648"/>
    <w:multiLevelType w:val="hybridMultilevel"/>
    <w:lvl w:ilvl="0">
      <w:lvlJc w:val="left"/>
      <w:lvlText w:val="•"/>
      <w:numFmt w:val="bullet"/>
      <w:start w:val="1"/>
    </w:lvl>
  </w:abstractNum>
  <w:abstractNum w:abstractNumId="9">
    <w:nsid w:val="46B7D447"/>
    <w:multiLevelType w:val="hybridMultilevel"/>
    <w:lvl w:ilvl="0">
      <w:lvlJc w:val="left"/>
      <w:lvlText w:val="●"/>
      <w:numFmt w:val="bullet"/>
      <w:start w:val="1"/>
    </w:lvl>
  </w:abstractNum>
  <w:abstractNum w:abstractNumId="10">
    <w:nsid w:val="4A2AC315"/>
    <w:multiLevelType w:val="hybridMultilevel"/>
    <w:lvl w:ilvl="0">
      <w:lvlJc w:val="left"/>
      <w:lvlText w:val="●"/>
      <w:numFmt w:val="bullet"/>
      <w:start w:val="1"/>
    </w:lvl>
  </w:abstractNum>
  <w:abstractNum w:abstractNumId="11">
    <w:nsid w:val="39EE015C"/>
    <w:multiLevelType w:val="hybridMultilevel"/>
    <w:lvl w:ilvl="0">
      <w:lvlJc w:val="left"/>
      <w:lvlText w:val="●"/>
      <w:numFmt w:val="bullet"/>
      <w:start w:val="1"/>
    </w:lvl>
  </w:abstractNum>
  <w:abstractNum w:abstractNumId="12">
    <w:nsid w:val="57FC4FBB"/>
    <w:multiLevelType w:val="hybridMultilevel"/>
    <w:lvl w:ilvl="0">
      <w:lvlJc w:val="left"/>
      <w:lvlText w:val="●"/>
      <w:numFmt w:val="bullet"/>
      <w:start w:val="1"/>
    </w:lvl>
  </w:abstractNum>
  <w:abstractNum w:abstractNumId="13">
    <w:nsid w:val="CC1016F"/>
    <w:multiLevelType w:val="hybridMultilevel"/>
    <w:lvl w:ilvl="0">
      <w:lvlJc w:val="left"/>
      <w:lvlText w:val="●"/>
      <w:numFmt w:val="bullet"/>
      <w:start w:val="1"/>
    </w:lvl>
  </w:abstractNum>
  <w:abstractNum w:abstractNumId="14">
    <w:nsid w:val="43F18422"/>
    <w:multiLevelType w:val="hybridMultilevel"/>
    <w:lvl w:ilvl="0">
      <w:lvlJc w:val="left"/>
      <w:lvlText w:val="●"/>
      <w:numFmt w:val="bullet"/>
      <w:start w:val="1"/>
    </w:lvl>
  </w:abstractNum>
  <w:abstractNum w:abstractNumId="15">
    <w:nsid w:val="60EF0119"/>
    <w:multiLevelType w:val="hybridMultilevel"/>
    <w:lvl w:ilvl="0">
      <w:lvlJc w:val="left"/>
      <w:lvlText w:val="●"/>
      <w:numFmt w:val="bullet"/>
      <w:start w:val="1"/>
    </w:lvl>
  </w:abstractNum>
  <w:abstractNum w:abstractNumId="16">
    <w:nsid w:val="26F324BA"/>
    <w:multiLevelType w:val="hybridMultilevel"/>
    <w:lvl w:ilvl="0">
      <w:lvlJc w:val="left"/>
      <w:lvlText w:val="●"/>
      <w:numFmt w:val="bullet"/>
      <w:start w:val="1"/>
    </w:lvl>
  </w:abstractNum>
  <w:abstractNum w:abstractNumId="17">
    <w:nsid w:val="7F01579B"/>
    <w:multiLevelType w:val="hybridMultilevel"/>
    <w:lvl w:ilvl="0">
      <w:lvlJc w:val="left"/>
      <w:lvlText w:val="●"/>
      <w:numFmt w:val="bullet"/>
      <w:start w:val="1"/>
    </w:lvl>
  </w:abstractNum>
  <w:abstractNum w:abstractNumId="18">
    <w:nsid w:val="49DA307D"/>
    <w:multiLevelType w:val="hybridMultilevel"/>
    <w:lvl w:ilvl="0">
      <w:lvlJc w:val="left"/>
      <w:lvlText w:val="●"/>
      <w:numFmt w:val="bullet"/>
      <w:start w:val="1"/>
    </w:lvl>
  </w:abstractNum>
  <w:abstractNum w:abstractNumId="19">
    <w:nsid w:val="7055A5F5"/>
    <w:multiLevelType w:val="hybridMultilevel"/>
    <w:lvl w:ilvl="0">
      <w:lvlJc w:val="left"/>
      <w:lvlText w:val="●"/>
      <w:numFmt w:val="bullet"/>
      <w:start w:val="1"/>
    </w:lvl>
  </w:abstractNum>
  <w:abstractNum w:abstractNumId="20">
    <w:nsid w:val="5FB8370B"/>
    <w:multiLevelType w:val="hybridMultilevel"/>
    <w:lvl w:ilvl="0">
      <w:lvlJc w:val="left"/>
      <w:lvlText w:val="●"/>
      <w:numFmt w:val="bullet"/>
      <w:start w:val="1"/>
    </w:lvl>
  </w:abstractNum>
  <w:abstractNum w:abstractNumId="21">
    <w:nsid w:val="50801EE1"/>
    <w:multiLevelType w:val="hybridMultilevel"/>
    <w:lvl w:ilvl="0">
      <w:lvlJc w:val="left"/>
      <w:lvlText w:val="●"/>
      <w:numFmt w:val="bullet"/>
      <w:start w:val="1"/>
    </w:lvl>
  </w:abstractNum>
  <w:abstractNum w:abstractNumId="22">
    <w:nsid w:val="488AC1A"/>
    <w:multiLevelType w:val="hybridMultilevel"/>
    <w:lvl w:ilvl="0">
      <w:lvlJc w:val="left"/>
      <w:lvlText w:val="(%1)"/>
      <w:numFmt w:val="lowerRoman"/>
      <w:start w:val="4"/>
    </w:lvl>
  </w:abstractNum>
  <w:abstractNum w:abstractNumId="23">
    <w:nsid w:val="5FB8011C"/>
    <w:multiLevelType w:val="hybridMultilevel"/>
    <w:lvl w:ilvl="0">
      <w:lvlJc w:val="left"/>
      <w:lvlText w:val="●"/>
      <w:numFmt w:val="bullet"/>
      <w:start w:val="1"/>
    </w:lvl>
  </w:abstractNum>
  <w:abstractNum w:abstractNumId="24">
    <w:nsid w:val="6AA78F7F"/>
    <w:multiLevelType w:val="hybridMultilevel"/>
    <w:lvl w:ilvl="0">
      <w:lvlJc w:val="left"/>
      <w:lvlText w:val="●"/>
      <w:numFmt w:val="bullet"/>
      <w:start w:val="1"/>
    </w:lvl>
  </w:abstractNum>
  <w:abstractNum w:abstractNumId="25">
    <w:nsid w:val="7672BD23"/>
    <w:multiLevelType w:val="hybridMultilevel"/>
    <w:lvl w:ilvl="0">
      <w:lvlJc w:val="left"/>
      <w:lvlText w:val="●"/>
      <w:numFmt w:val="bullet"/>
      <w:start w:val="1"/>
    </w:lvl>
  </w:abstractNum>
  <w:abstractNum w:abstractNumId="26">
    <w:nsid w:val="6FC75AF8"/>
    <w:multiLevelType w:val="hybridMultilevel"/>
    <w:lvl w:ilvl="0">
      <w:lvlJc w:val="left"/>
      <w:lvlText w:val="●"/>
      <w:numFmt w:val="bullet"/>
      <w:start w:val="1"/>
    </w:lvl>
  </w:abstractNum>
  <w:abstractNum w:abstractNumId="27">
    <w:nsid w:val="6A5F7029"/>
    <w:multiLevelType w:val="hybridMultilevel"/>
    <w:lvl w:ilvl="0">
      <w:lvlJc w:val="left"/>
      <w:lvlText w:val="●"/>
      <w:numFmt w:val="bullet"/>
      <w:start w:val="1"/>
    </w:lvl>
  </w:abstractNum>
  <w:abstractNum w:abstractNumId="28">
    <w:nsid w:val="7D5E18F8"/>
    <w:multiLevelType w:val="hybridMultilevel"/>
    <w:lvl w:ilvl="0">
      <w:lvlJc w:val="left"/>
      <w:lvlText w:val="(%1)"/>
      <w:numFmt w:val="decimal"/>
      <w:start w:val="1"/>
    </w:lvl>
  </w:abstractNum>
  <w:abstractNum w:abstractNumId="29">
    <w:nsid w:val="5F3534A4"/>
    <w:multiLevelType w:val="hybridMultilevel"/>
    <w:lvl w:ilvl="0">
      <w:lvlJc w:val="left"/>
      <w:lvlText w:val="(%1)"/>
      <w:numFmt w:val="lowerRoman"/>
      <w:start w:val="1"/>
    </w:lvl>
  </w:abstractNum>
  <w:abstractNum w:abstractNumId="30">
    <w:nsid w:val="73A1821B"/>
    <w:multiLevelType w:val="hybridMultilevel"/>
    <w:lvl w:ilvl="0">
      <w:lvlJc w:val="left"/>
      <w:lvlText w:val="(%1)"/>
      <w:numFmt w:val="decimal"/>
      <w:start w:val="1"/>
    </w:lvl>
  </w:abstractNum>
  <w:abstractNum w:abstractNumId="31">
    <w:nsid w:val="7DE67713"/>
    <w:multiLevelType w:val="hybridMultilevel"/>
    <w:lvl w:ilvl="0">
      <w:lvlJc w:val="left"/>
      <w:lvlText w:val="●"/>
      <w:numFmt w:val="bullet"/>
      <w:start w:val="1"/>
    </w:lvl>
  </w:abstractNum>
  <w:abstractNum w:abstractNumId="32">
    <w:nsid w:val="555C55B5"/>
    <w:multiLevelType w:val="hybridMultilevel"/>
    <w:lvl w:ilvl="0">
      <w:lvlJc w:val="left"/>
      <w:lvlText w:val="(%1)"/>
      <w:numFmt w:val="decimal"/>
      <w:start w:val="1"/>
    </w:lvl>
  </w:abstractNum>
  <w:abstractNum w:abstractNumId="33">
    <w:nsid w:val="3FA62ACA"/>
    <w:multiLevelType w:val="hybridMultilevel"/>
    <w:lvl w:ilvl="0">
      <w:lvlJc w:val="left"/>
      <w:lvlText w:val="(%1)"/>
      <w:numFmt w:val="decimal"/>
      <w:start w:val="1"/>
    </w:lvl>
  </w:abstractNum>
  <w:abstractNum w:abstractNumId="34">
    <w:nsid w:val="14FCE74E"/>
    <w:multiLevelType w:val="hybridMultilevel"/>
    <w:lvl w:ilvl="0">
      <w:lvlJc w:val="left"/>
      <w:lvlText w:val="(%1)"/>
      <w:numFmt w:val="decimal"/>
      <w:start w:val="1"/>
    </w:lvl>
  </w:abstractNum>
  <w:abstractNum w:abstractNumId="35">
    <w:nsid w:val="6A3DD3E8"/>
    <w:multiLevelType w:val="hybridMultilevel"/>
    <w:lvl w:ilvl="0">
      <w:lvlJc w:val="left"/>
      <w:lvlText w:val="(%1)"/>
      <w:numFmt w:val="lowerLetter"/>
      <w:start w:val="1"/>
    </w:lvl>
  </w:abstractNum>
  <w:abstractNum w:abstractNumId="36">
    <w:nsid w:val="71C91298"/>
    <w:multiLevelType w:val="hybridMultilevel"/>
    <w:lvl w:ilvl="0">
      <w:lvlJc w:val="left"/>
      <w:lvlText w:val="(%1)"/>
      <w:numFmt w:val="lowerLetter"/>
      <w:start w:val="7"/>
    </w:lvl>
  </w:abstractNum>
  <w:abstractNum w:abstractNumId="37">
    <w:nsid w:val="9DAF632"/>
    <w:multiLevelType w:val="hybridMultilevel"/>
    <w:lvl w:ilvl="0">
      <w:lvlJc w:val="left"/>
      <w:lvlText w:val="(%1)"/>
      <w:numFmt w:val="lowerLetter"/>
      <w:start w:val="8"/>
    </w:lvl>
  </w:abstractNum>
  <w:abstractNum w:abstractNumId="38">
    <w:nsid w:val="53299938"/>
    <w:multiLevelType w:val="hybridMultilevel"/>
    <w:lvl w:ilvl="0">
      <w:lvlJc w:val="left"/>
      <w:lvlText w:val="\endash "/>
      <w:numFmt w:val="bullet"/>
      <w:start w:val="1"/>
    </w:lvl>
  </w:abstractNum>
  <w:abstractNum w:abstractNumId="39">
    <w:nsid w:val="1FBFE8E0"/>
    <w:multiLevelType w:val="hybridMultilevel"/>
    <w:lvl w:ilvl="0">
      <w:lvlJc w:val="left"/>
      <w:lvlText w:val="(%1)"/>
      <w:numFmt w:val="lowerLetter"/>
      <w:start w:val="1"/>
    </w:lvl>
  </w:abstractNum>
  <w:abstractNum w:abstractNumId="40">
    <w:nsid w:val="5092CA79"/>
    <w:multiLevelType w:val="hybridMultilevel"/>
    <w:lvl w:ilvl="0">
      <w:lvlJc w:val="left"/>
      <w:lvlText w:val="(%1)"/>
      <w:numFmt w:val="lowerLetter"/>
      <w:start w:val="12"/>
    </w:lvl>
  </w:abstractNum>
  <w:abstractNum w:abstractNumId="41">
    <w:nsid w:val="1D545C4D"/>
    <w:multiLevelType w:val="hybridMultilevel"/>
    <w:lvl w:ilvl="0">
      <w:lvlJc w:val="left"/>
      <w:lvlText w:val="(%1)"/>
      <w:numFmt w:val="decimal"/>
      <w:start w:val="1"/>
    </w:lvl>
  </w:abstractNum>
  <w:abstractNum w:abstractNumId="42">
    <w:nsid w:val="59ADEA3D"/>
    <w:multiLevelType w:val="hybridMultilevel"/>
    <w:lvl w:ilvl="0">
      <w:lvlJc w:val="left"/>
      <w:lvlText w:val="(%1)"/>
      <w:numFmt w:val="decimal"/>
      <w:start w:val="4"/>
    </w:lvl>
  </w:abstractNum>
  <w:abstractNum w:abstractNumId="43">
    <w:nsid w:val="288F1A34"/>
    <w:multiLevelType w:val="hybridMultilevel"/>
    <w:lvl w:ilvl="0">
      <w:lvlJc w:val="left"/>
      <w:lvlText w:val="(%1)"/>
      <w:numFmt w:val="lowerRoman"/>
      <w:start w:val="2"/>
    </w:lvl>
    <w:lvl w:ilvl="1">
      <w:lvlJc w:val="left"/>
      <w:lvlText w:val="%2."/>
      <w:numFmt w:val="lowerRoman"/>
      <w:start w:val="1"/>
    </w:lvl>
  </w:abstractNum>
  <w:abstractNum w:abstractNumId="44">
    <w:nsid w:val="2A155DBC"/>
    <w:multiLevelType w:val="hybridMultilevel"/>
    <w:lvl w:ilvl="0">
      <w:lvlJc w:val="left"/>
      <w:lvlText w:val="•"/>
      <w:numFmt w:val="bullet"/>
      <w:start w:val="1"/>
    </w:lvl>
  </w:abstractNum>
  <w:abstractNum w:abstractNumId="45">
    <w:nsid w:val="1D9F6E5F"/>
    <w:multiLevelType w:val="hybridMultilevel"/>
    <w:lvl w:ilvl="0">
      <w:lvlJc w:val="left"/>
      <w:lvlText w:val="·"/>
      <w:numFmt w:val="bullet"/>
      <w:start w:val="1"/>
    </w:lvl>
    <w:lvl w:ilvl="1">
      <w:lvlJc w:val="left"/>
      <w:lvlText w:val="·"/>
      <w:numFmt w:val="bullet"/>
      <w:start w:val="1"/>
    </w:lvl>
  </w:abstractNum>
  <w:abstractNum w:abstractNumId="46">
    <w:nsid w:val="97E1B4E"/>
    <w:multiLevelType w:val="hybridMultilevel"/>
    <w:lvl w:ilvl="0">
      <w:lvlJc w:val="left"/>
      <w:lvlText w:val="·"/>
      <w:numFmt w:val="bullet"/>
      <w:start w:val="1"/>
    </w:lvl>
    <w:lvl w:ilvl="1">
      <w:lvlJc w:val="left"/>
      <w:lvlText w:val="·"/>
      <w:numFmt w:val="bullet"/>
      <w:start w:val="1"/>
    </w:lvl>
  </w:abstractNum>
  <w:abstractNum w:abstractNumId="47">
    <w:nsid w:val="51088277"/>
    <w:multiLevelType w:val="hybridMultilevel"/>
    <w:lvl w:ilvl="0">
      <w:lvlJc w:val="left"/>
      <w:lvlText w:val="·"/>
      <w:numFmt w:val="bullet"/>
      <w:start w:val="1"/>
    </w:lvl>
    <w:lvl w:ilvl="1">
      <w:lvlJc w:val="left"/>
      <w:lvlText w:val="·"/>
      <w:numFmt w:val="bullet"/>
      <w:start w:val="1"/>
    </w:lvl>
  </w:abstractNum>
  <w:abstractNum w:abstractNumId="48">
    <w:nsid w:val="1CA0C5FA"/>
    <w:multiLevelType w:val="hybridMultilevel"/>
    <w:lvl w:ilvl="0">
      <w:lvlJc w:val="left"/>
      <w:lvlText w:val="(%1)"/>
      <w:numFmt w:val="decimal"/>
      <w:start w:val="1"/>
    </w:lvl>
  </w:abstractNum>
  <w:abstractNum w:abstractNumId="49">
    <w:nsid w:val="53584BCB"/>
    <w:multiLevelType w:val="hybridMultilevel"/>
    <w:lvl w:ilvl="0">
      <w:lvlJc w:val="left"/>
      <w:lvlText w:val="%1."/>
      <w:numFmt w:val="decimal"/>
      <w:start w:val="1"/>
    </w:lvl>
  </w:abstractNum>
  <w:abstractNum w:abstractNumId="50">
    <w:nsid w:val="415E286C"/>
    <w:multiLevelType w:val="hybridMultilevel"/>
    <w:lvl w:ilvl="0">
      <w:lvlJc w:val="left"/>
      <w:lvlText w:val="(%1)"/>
      <w:numFmt w:val="lowerRoman"/>
      <w:start w:val="2"/>
    </w:lvl>
  </w:abstractNum>
  <w:abstractNum w:abstractNumId="51">
    <w:nsid w:val="7C58FD05"/>
    <w:multiLevelType w:val="hybridMultilevel"/>
    <w:lvl w:ilvl="0">
      <w:lvlJc w:val="left"/>
      <w:lvlText w:val="(%1)"/>
      <w:numFmt w:val="decimal"/>
      <w:start w:val="1"/>
    </w:lvl>
  </w:abstractNum>
  <w:abstractNum w:abstractNumId="52">
    <w:nsid w:val="23D86AAC"/>
    <w:multiLevelType w:val="hybridMultilevel"/>
    <w:lvl w:ilvl="0">
      <w:lvlJc w:val="left"/>
      <w:lvlText w:val="(%1)"/>
      <w:numFmt w:val="decimal"/>
      <w:start w:val="1"/>
    </w:lvl>
  </w:abstractNum>
  <w:abstractNum w:abstractNumId="53">
    <w:nsid w:val="45E6D486"/>
    <w:multiLevelType w:val="hybridMultilevel"/>
    <w:lvl w:ilvl="0">
      <w:lvlJc w:val="left"/>
      <w:lvlText w:val="(%1)"/>
      <w:numFmt w:val="decimal"/>
      <w:start w:val="3"/>
    </w:lvl>
  </w:abstractNum>
  <w:abstractNum w:abstractNumId="54">
    <w:nsid w:val="5C10FE21"/>
    <w:multiLevelType w:val="hybridMultilevel"/>
    <w:lvl w:ilvl="0">
      <w:lvlJc w:val="left"/>
      <w:lvlText w:val="%1."/>
      <w:numFmt w:val="decimal"/>
      <w:start w:val="5"/>
    </w:lvl>
  </w:abstractNum>
  <w:abstractNum w:abstractNumId="55">
    <w:nsid w:val="E7FFA2B"/>
    <w:multiLevelType w:val="hybridMultilevel"/>
    <w:lvl w:ilvl="0">
      <w:lvlJc w:val="left"/>
      <w:lvlText w:val="$"/>
      <w:numFmt w:val="bullet"/>
      <w:start w:val="1"/>
    </w:lvl>
  </w:abstractNum>
  <w:abstractNum w:abstractNumId="56">
    <w:nsid w:val="3C5991AA"/>
    <w:multiLevelType w:val="hybridMultilevel"/>
    <w:lvl w:ilvl="0">
      <w:lvlJc w:val="left"/>
      <w:lvlText w:val="$"/>
      <w:numFmt w:val="bullet"/>
      <w:start w:val="1"/>
    </w:lvl>
  </w:abstractNum>
  <w:abstractNum w:abstractNumId="57">
    <w:nsid w:val="4BD8591A"/>
    <w:multiLevelType w:val="hybridMultilevel"/>
    <w:lvl w:ilvl="0">
      <w:lvlJc w:val="left"/>
      <w:lvlText w:val="●"/>
      <w:numFmt w:val="bullet"/>
      <w:start w:val="1"/>
    </w:lvl>
  </w:abstractNum>
  <w:abstractNum w:abstractNumId="58">
    <w:nsid w:val="78DF6A55"/>
    <w:multiLevelType w:val="hybridMultilevel"/>
    <w:lvl w:ilvl="0">
      <w:lvlJc w:val="left"/>
      <w:lvlText w:val="(%1)"/>
      <w:numFmt w:val="decimal"/>
      <w:start w:val="1"/>
    </w:lvl>
  </w:abstractNum>
  <w:abstractNum w:abstractNumId="59">
    <w:nsid w:val="39B7AAA2"/>
    <w:multiLevelType w:val="hybridMultilevel"/>
    <w:lvl w:ilvl="0">
      <w:lvlJc w:val="left"/>
      <w:lvlText w:val="(%1)"/>
      <w:numFmt w:val="decimal"/>
      <w:start w:val="1"/>
    </w:lvl>
  </w:abstractNum>
  <w:abstractNum w:abstractNumId="60">
    <w:nsid w:val="2B0D8DBE"/>
    <w:multiLevelType w:val="hybridMultilevel"/>
    <w:lvl w:ilvl="0">
      <w:lvlJc w:val="left"/>
      <w:lvlText w:val="●"/>
      <w:numFmt w:val="bullet"/>
      <w:start w:val="1"/>
    </w:lvl>
  </w:abstractNum>
  <w:abstractNum w:abstractNumId="61">
    <w:nsid w:val="6C80EC70"/>
    <w:multiLevelType w:val="hybridMultilevel"/>
    <w:lvl w:ilvl="0">
      <w:lvlJc w:val="left"/>
      <w:lvlText w:val="(%1)"/>
      <w:numFmt w:val="decimal"/>
      <w:start w:val="1"/>
    </w:lvl>
    <w:lvl w:ilvl="1">
      <w:lvlJc w:val="left"/>
      <w:lvlText w:val="(%2)"/>
      <w:numFmt w:val="decimal"/>
      <w:start w:val="3"/>
    </w:lvl>
  </w:abstractNum>
  <w:abstractNum w:abstractNumId="62">
    <w:nsid w:val="379E21B5"/>
    <w:multiLevelType w:val="hybridMultilevel"/>
    <w:lvl w:ilvl="0">
      <w:lvlJc w:val="left"/>
      <w:lvlText w:val="(%1)"/>
      <w:numFmt w:val="decimal"/>
      <w:start w:val="1"/>
    </w:lvl>
  </w:abstractNum>
  <w:abstractNum w:abstractNumId="63">
    <w:nsid w:val="69E373"/>
    <w:multiLevelType w:val="hybridMultilevel"/>
    <w:lvl w:ilvl="0">
      <w:lvlJc w:val="left"/>
      <w:lvlText w:val="%1."/>
      <w:numFmt w:val="decimal"/>
      <w:start w:val="8"/>
    </w:lvl>
  </w:abstractNum>
  <w:abstractNum w:abstractNumId="64">
    <w:nsid w:val="2C27173B"/>
    <w:multiLevelType w:val="hybridMultilevel"/>
    <w:lvl w:ilvl="0">
      <w:lvlJc w:val="left"/>
      <w:lvlText w:val="(%1)"/>
      <w:numFmt w:val="decimal"/>
      <w:start w:val="1"/>
    </w:lvl>
  </w:abstractNum>
  <w:abstractNum w:abstractNumId="65">
    <w:nsid w:val="4C9B0904"/>
    <w:multiLevelType w:val="hybridMultilevel"/>
    <w:lvl w:ilvl="0">
      <w:lvlJc w:val="left"/>
      <w:lvlText w:val="(%1)"/>
      <w:numFmt w:val="decimal"/>
      <w:start w:val="1"/>
    </w:lvl>
  </w:abstractNum>
  <w:abstractNum w:abstractNumId="66">
    <w:nsid w:val="6AA7B75C"/>
    <w:multiLevelType w:val="hybridMultilevel"/>
    <w:lvl w:ilvl="0">
      <w:lvlJc w:val="left"/>
      <w:lvlText w:val="(%1)"/>
      <w:numFmt w:val="decimal"/>
      <w:start w:val="1"/>
    </w:lvl>
  </w:abstractNum>
  <w:abstractNum w:abstractNumId="67">
    <w:nsid w:val="1DF029D3"/>
    <w:multiLevelType w:val="hybridMultilevel"/>
    <w:lvl w:ilvl="0">
      <w:lvlJc w:val="left"/>
      <w:lvlText w:val="(%1)"/>
      <w:numFmt w:val="decimal"/>
      <w:start w:val="1"/>
    </w:lvl>
  </w:abstractNum>
  <w:abstractNum w:abstractNumId="68">
    <w:nsid w:val="5675FF36"/>
    <w:multiLevelType w:val="hybridMultilevel"/>
    <w:lvl w:ilvl="0">
      <w:lvlJc w:val="left"/>
      <w:lvlText w:val="(%1)"/>
      <w:numFmt w:val="decimal"/>
      <w:start w:val="1"/>
    </w:lvl>
  </w:abstractNum>
  <w:abstractNum w:abstractNumId="69">
    <w:nsid w:val="3DD15094"/>
    <w:multiLevelType w:val="hybridMultilevel"/>
    <w:lvl w:ilvl="0">
      <w:lvlJc w:val="left"/>
      <w:lvlText w:val="(%1)"/>
      <w:numFmt w:val="decimal"/>
      <w:start w:val="1"/>
    </w:lvl>
  </w:abstractNum>
  <w:abstractNum w:abstractNumId="70">
    <w:nsid w:val="3DB012B3"/>
    <w:multiLevelType w:val="hybridMultilevel"/>
    <w:lvl w:ilvl="0">
      <w:lvlJc w:val="left"/>
      <w:lvlText w:val="%1"/>
      <w:numFmt w:val="upperLetter"/>
      <w:start w:val="35"/>
    </w:lvl>
  </w:abstractNum>
  <w:abstractNum w:abstractNumId="71">
    <w:nsid w:val="2708C9AF"/>
    <w:multiLevelType w:val="hybridMultilevel"/>
    <w:lvl w:ilvl="0">
      <w:lvlJc w:val="left"/>
      <w:lvlText w:val="(%1)"/>
      <w:numFmt w:val="decimal"/>
      <w:start w:val="1"/>
    </w:lvl>
  </w:abstractNum>
  <w:abstractNum w:abstractNumId="72">
    <w:nsid w:val="5B25ACE2"/>
    <w:multiLevelType w:val="hybridMultilevel"/>
    <w:lvl w:ilvl="0">
      <w:lvlJc w:val="left"/>
      <w:lvlText w:val="(%1)"/>
      <w:numFmt w:val="decimal"/>
      <w:start w:val="1"/>
    </w:lvl>
  </w:abstractNum>
  <w:abstractNum w:abstractNumId="73">
    <w:nsid w:val="175DFCF0"/>
    <w:multiLevelType w:val="hybridMultilevel"/>
    <w:lvl w:ilvl="0">
      <w:lvlJc w:val="left"/>
      <w:lvlText w:val="%1."/>
      <w:numFmt w:val="decimal"/>
      <w:start w:val="14"/>
    </w:lvl>
  </w:abstractNum>
  <w:abstractNum w:abstractNumId="74">
    <w:nsid w:val="4F97E3E4"/>
    <w:multiLevelType w:val="hybridMultilevel"/>
    <w:lvl w:ilvl="0">
      <w:lvlJc w:val="left"/>
      <w:lvlText w:val="(%1)"/>
      <w:numFmt w:val="lowerRoman"/>
      <w:start w:val="7"/>
    </w:lvl>
  </w:abstractNum>
  <w:abstractNum w:abstractNumId="75">
    <w:nsid w:val="53B0A9E"/>
    <w:multiLevelType w:val="hybridMultilevel"/>
    <w:lvl w:ilvl="0">
      <w:lvlJc w:val="left"/>
      <w:lvlText w:val="%1."/>
      <w:numFmt w:val="decimal"/>
      <w:start w:val="19"/>
    </w:lvl>
  </w:abstractNum>
  <w:abstractNum w:abstractNumId="76">
    <w:nsid w:val="34FD6B4F"/>
    <w:multiLevelType w:val="hybridMultilevel"/>
    <w:lvl w:ilvl="0">
      <w:lvlJc w:val="left"/>
      <w:lvlText w:val="(%1)"/>
      <w:numFmt w:val="decimal"/>
      <w:start w:val="1"/>
    </w:lvl>
  </w:abstractNum>
  <w:abstractNum w:abstractNumId="77">
    <w:nsid w:val="5915FF32"/>
    <w:multiLevelType w:val="hybridMultilevel"/>
    <w:lvl w:ilvl="0">
      <w:lvlJc w:val="left"/>
      <w:lvlText w:val="(%1)"/>
      <w:numFmt w:val="decimal"/>
      <w:start w:val="1"/>
    </w:lvl>
  </w:abstractNum>
  <w:abstractNum w:abstractNumId="78">
    <w:nsid w:val="56438D15"/>
    <w:multiLevelType w:val="hybridMultilevel"/>
    <w:lvl w:ilvl="0">
      <w:lvlJc w:val="left"/>
      <w:lvlText w:val="(%1)"/>
      <w:numFmt w:val="decimal"/>
      <w:start w:val="1"/>
    </w:lvl>
  </w:abstractNum>
  <w:abstractNum w:abstractNumId="79">
    <w:nsid w:val="519E3149"/>
    <w:multiLevelType w:val="hybridMultilevel"/>
    <w:lvl w:ilvl="0">
      <w:lvlJc w:val="left"/>
      <w:lvlText w:val="(%1)"/>
      <w:numFmt w:val="decimal"/>
      <w:start w:val="1"/>
    </w:lvl>
  </w:abstractNum>
  <w:abstractNum w:abstractNumId="80">
    <w:nsid w:val="2C6E4AFD"/>
    <w:multiLevelType w:val="hybridMultilevel"/>
    <w:lvl w:ilvl="0">
      <w:lvlJc w:val="left"/>
      <w:lvlText w:val="(%1)"/>
      <w:numFmt w:val="decimal"/>
      <w:start w:val="2"/>
    </w:lvl>
  </w:abstractNum>
  <w:abstractNum w:abstractNumId="81">
    <w:nsid w:val="17A1B582"/>
    <w:multiLevelType w:val="hybridMultilevel"/>
    <w:lvl w:ilvl="0">
      <w:lvlJc w:val="left"/>
      <w:lvlText w:val="(%1)"/>
      <w:numFmt w:val="decimal"/>
      <w:start w:val="1"/>
    </w:lvl>
  </w:abstractNum>
  <w:abstractNum w:abstractNumId="82">
    <w:nsid w:val="4DF72E4E"/>
    <w:multiLevelType w:val="hybridMultilevel"/>
    <w:lvl w:ilvl="0">
      <w:lvlJc w:val="left"/>
      <w:lvlText w:val="(%1)"/>
      <w:numFmt w:val="decimal"/>
      <w:start w:val="1"/>
    </w:lvl>
  </w:abstractNum>
  <w:abstractNum w:abstractNumId="83">
    <w:nsid w:val="5046B5A9"/>
    <w:multiLevelType w:val="hybridMultilevel"/>
    <w:lvl w:ilvl="0">
      <w:lvlJc w:val="left"/>
      <w:lvlText w:val="(%1)"/>
      <w:numFmt w:val="lowerLetter"/>
      <w:start w:val="1"/>
    </w:lvl>
  </w:abstractNum>
  <w:abstractNum w:abstractNumId="84">
    <w:nsid w:val="5D888A08"/>
    <w:multiLevelType w:val="hybridMultilevel"/>
    <w:lvl w:ilvl="0">
      <w:lvlJc w:val="left"/>
      <w:lvlText w:val="(%1)"/>
      <w:numFmt w:val="decimal"/>
      <w:start w:val="1"/>
    </w:lvl>
  </w:abstractNum>
  <w:abstractNum w:abstractNumId="85">
    <w:nsid w:val="2A082C70"/>
    <w:multiLevelType w:val="hybridMultilevel"/>
    <w:lvl w:ilvl="0">
      <w:lvlJc w:val="left"/>
      <w:lvlText w:val="*"/>
      <w:numFmt w:val="bullet"/>
      <w:start w:val="1"/>
    </w:lvl>
  </w:abstractNum>
  <w:abstractNum w:abstractNumId="86">
    <w:nsid w:val="5EC6AFD4"/>
    <w:multiLevelType w:val="hybridMultilevel"/>
    <w:lvl w:ilvl="0">
      <w:lvlJc w:val="left"/>
      <w:lvlText w:val="**"/>
      <w:numFmt w:val="bullet"/>
      <w:start w:val="1"/>
    </w:lvl>
  </w:abstractNum>
  <w:abstractNum w:abstractNumId="87">
    <w:nsid w:val="19E21BB2"/>
    <w:multiLevelType w:val="hybridMultilevel"/>
    <w:lvl w:ilvl="0">
      <w:lvlJc w:val="left"/>
      <w:lvlText w:val="***"/>
      <w:numFmt w:val="bullet"/>
      <w:start w:val="1"/>
    </w:lvl>
  </w:abstractNum>
  <w:abstractNum w:abstractNumId="88">
    <w:nsid w:val="75E0858A"/>
    <w:multiLevelType w:val="hybridMultilevel"/>
    <w:lvl w:ilvl="0">
      <w:lvlJc w:val="left"/>
      <w:lvlText w:val="#"/>
      <w:numFmt w:val="bullet"/>
      <w:start w:val="1"/>
    </w:lvl>
  </w:abstractNum>
  <w:abstractNum w:abstractNumId="89">
    <w:nsid w:val="57A61A29"/>
    <w:multiLevelType w:val="hybridMultilevel"/>
    <w:lvl w:ilvl="0">
      <w:lvlJc w:val="left"/>
      <w:lvlText w:val="·"/>
      <w:numFmt w:val="bullet"/>
      <w:start w:val="1"/>
    </w:lvl>
  </w:abstractNum>
  <w:abstractNum w:abstractNumId="90">
    <w:nsid w:val="5399C654"/>
    <w:multiLevelType w:val="hybridMultilevel"/>
    <w:lvl w:ilvl="0">
      <w:lvlJc w:val="left"/>
      <w:lvlText w:val="(%1)"/>
      <w:numFmt w:val="decimal"/>
      <w:start w:val="1"/>
    </w:lvl>
  </w:abstractNum>
  <w:abstractNum w:abstractNumId="91">
    <w:nsid w:val="20EE1348"/>
    <w:multiLevelType w:val="hybridMultilevel"/>
    <w:lvl w:ilvl="0">
      <w:lvlJc w:val="left"/>
      <w:lvlText w:val="%1."/>
      <w:numFmt w:val="decimal"/>
      <w:start w:val="1"/>
    </w:lvl>
  </w:abstractNum>
  <w:abstractNum w:abstractNumId="92">
    <w:nsid w:val="4427069A"/>
    <w:multiLevelType w:val="hybridMultilevel"/>
    <w:lvl w:ilvl="0">
      <w:lvlJc w:val="left"/>
      <w:lvlText w:val="%1."/>
      <w:numFmt w:val="decimal"/>
      <w:start w:val="2"/>
    </w:lvl>
  </w:abstractNum>
  <w:abstractNum w:abstractNumId="93">
    <w:nsid w:val="B37E80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4">
    <w:nsid w:val="2157F6B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95">
    <w:nsid w:val="704E1DD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96">
    <w:nsid w:val="57D2F10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97">
    <w:nsid w:val="BFFAE18"/>
    <w:multiLevelType w:val="hybridMultilevel"/>
    <w:lvl w:ilvl="0">
      <w:lvlJc w:val="left"/>
      <w:lvlText w:val="(%1)"/>
      <w:numFmt w:val="lowerLetter"/>
      <w:start w:val="4"/>
    </w:lvl>
    <w:lvl w:ilvl="1">
      <w:lvlJc w:val="left"/>
      <w:lvlText w:val="*"/>
      <w:numFmt w:val="bullet"/>
      <w:start w:val="1"/>
    </w:lvl>
  </w:abstractNum>
  <w:abstractNum w:abstractNumId="98">
    <w:nsid w:val="E3E47A8"/>
    <w:multiLevelType w:val="hybridMultilevel"/>
    <w:lvl w:ilvl="0">
      <w:lvlJc w:val="left"/>
      <w:lvlText w:val="%1."/>
      <w:numFmt w:val="decimal"/>
      <w:start w:val="1"/>
    </w:lvl>
  </w:abstractNum>
  <w:abstractNum w:abstractNumId="99">
    <w:nsid w:val="2E48F044"/>
    <w:multiLevelType w:val="hybridMultilevel"/>
    <w:lvl w:ilvl="0">
      <w:lvlJc w:val="left"/>
      <w:lvlText w:val="%1."/>
      <w:numFmt w:val="decimal"/>
      <w:start w:val="3"/>
    </w:lvl>
  </w:abstractNum>
  <w:abstractNum w:abstractNumId="100">
    <w:nsid w:val="49D0FEAC"/>
    <w:multiLevelType w:val="hybridMultilevel"/>
    <w:lvl w:ilvl="0">
      <w:lvlJc w:val="left"/>
      <w:lvlText w:val="%1"/>
      <w:numFmt w:val="decimal"/>
      <w:start w:val="1"/>
    </w:lvl>
    <w:lvl w:ilvl="1">
      <w:lvlJc w:val="left"/>
      <w:lvlText w:val="(%2)"/>
      <w:numFmt w:val="lowerLetter"/>
      <w:start w:val="1"/>
    </w:lvl>
  </w:abstractNum>
  <w:abstractNum w:abstractNumId="101">
    <w:nsid w:val="4BEE5A5B"/>
    <w:multiLevelType w:val="hybridMultilevel"/>
    <w:lvl w:ilvl="0">
      <w:lvlJc w:val="left"/>
      <w:lvlText w:val="%1."/>
      <w:numFmt w:val="decimal"/>
      <w:start w:val="4"/>
    </w:lvl>
    <w:lvl w:ilvl="1">
      <w:lvlJc w:val="left"/>
      <w:lvlText w:val="%2"/>
      <w:numFmt w:val="lowerLetter"/>
      <w:start w:val="1"/>
    </w:lvl>
  </w:abstractNum>
  <w:abstractNum w:abstractNumId="102">
    <w:nsid w:val="5551B9F3"/>
    <w:multiLevelType w:val="hybridMultilevel"/>
    <w:lvl w:ilvl="0">
      <w:lvlJc w:val="left"/>
      <w:lvlText w:val="(%1)"/>
      <w:numFmt w:val="lowerLetter"/>
      <w:start w:val="1"/>
    </w:lvl>
  </w:abstractNum>
  <w:abstractNum w:abstractNumId="103">
    <w:nsid w:val="24F6AB8E"/>
    <w:multiLevelType w:val="hybridMultilevel"/>
    <w:lvl w:ilvl="0">
      <w:lvlJc w:val="left"/>
      <w:lvlText w:val="(%1)"/>
      <w:numFmt w:val="lowerLetter"/>
      <w:start w:val="2"/>
    </w:lvl>
  </w:abstractNum>
  <w:abstractNum w:abstractNumId="104">
    <w:nsid w:val="634C574C"/>
    <w:multiLevelType w:val="hybridMultilevel"/>
    <w:lvl w:ilvl="0">
      <w:lvlJc w:val="left"/>
      <w:lvlText w:val="(%1)"/>
      <w:numFmt w:val="lowerLetter"/>
      <w:start w:val="4"/>
    </w:lvl>
  </w:abstractNum>
  <w:abstractNum w:abstractNumId="105">
    <w:nsid w:val="24E99DD7"/>
    <w:multiLevelType w:val="hybridMultilevel"/>
    <w:lvl w:ilvl="0">
      <w:lvlJc w:val="left"/>
      <w:lvlText w:val="%1"/>
      <w:numFmt w:val="decimal"/>
      <w:start w:val="1"/>
    </w:lvl>
    <w:lvl w:ilvl="1">
      <w:lvlJc w:val="left"/>
      <w:lvlText w:val="(%2)"/>
      <w:numFmt w:val="lowerLetter"/>
      <w:start w:val="1"/>
    </w:lvl>
  </w:abstractNum>
  <w:abstractNum w:abstractNumId="106">
    <w:nsid w:val="2A31B62D"/>
    <w:multiLevelType w:val="hybridMultilevel"/>
    <w:lvl w:ilvl="0">
      <w:lvlJc w:val="left"/>
      <w:lvlText w:val="%1."/>
      <w:numFmt w:val="decimal"/>
      <w:start w:val="5"/>
    </w:lvl>
    <w:lvl w:ilvl="1">
      <w:lvlJc w:val="left"/>
      <w:lvlText w:val="%2"/>
      <w:numFmt w:val="lowerLetter"/>
      <w:start w:val="1"/>
    </w:lvl>
  </w:abstractNum>
  <w:abstractNum w:abstractNumId="107">
    <w:nsid w:val="1849C29B"/>
    <w:multiLevelType w:val="hybridMultilevel"/>
    <w:lvl w:ilvl="0">
      <w:lvlJc w:val="left"/>
      <w:lvlText w:val="(%1)"/>
      <w:numFmt w:val="lowerLetter"/>
      <w:start w:val="2"/>
    </w:lvl>
  </w:abstractNum>
  <w:abstractNum w:abstractNumId="108">
    <w:nsid w:val="7DFF9D09"/>
    <w:multiLevelType w:val="hybridMultilevel"/>
    <w:lvl w:ilvl="0">
      <w:lvlJc w:val="left"/>
      <w:lvlText w:val="(%1)"/>
      <w:numFmt w:val="lowerLetter"/>
      <w:start w:val="3"/>
    </w:lvl>
  </w:abstractNum>
  <w:abstractNum w:abstractNumId="109">
    <w:nsid w:val="754342"/>
    <w:multiLevelType w:val="hybridMultilevel"/>
    <w:lvl w:ilvl="0">
      <w:lvlJc w:val="left"/>
      <w:lvlText w:val="%1."/>
      <w:numFmt w:val="decimal"/>
      <w:start w:val="6"/>
    </w:lvl>
  </w:abstractNum>
  <w:abstractNum w:abstractNumId="110">
    <w:nsid w:val="69E7F3E5"/>
    <w:multiLevelType w:val="hybridMultilevel"/>
    <w:lvl w:ilvl="0">
      <w:lvlJc w:val="left"/>
      <w:lvlText w:val="%1."/>
      <w:numFmt w:val="decimal"/>
      <w:start w:val="7"/>
    </w:lvl>
  </w:abstractNum>
  <w:abstractNum w:abstractNumId="111">
    <w:nsid w:val="2A6DE806"/>
    <w:multiLevelType w:val="hybridMultilevel"/>
    <w:lvl w:ilvl="0">
      <w:lvlJc w:val="left"/>
      <w:lvlText w:val="(%1)"/>
      <w:numFmt w:val="lowerLetter"/>
      <w:start w:val="1"/>
    </w:lvl>
  </w:abstractNum>
  <w:abstractNum w:abstractNumId="112">
    <w:nsid w:val="1816F8C4"/>
    <w:multiLevelType w:val="hybridMultilevel"/>
    <w:lvl w:ilvl="0">
      <w:lvlJc w:val="left"/>
      <w:lvlText w:val="(%1)"/>
      <w:numFmt w:val="lowerLetter"/>
      <w:start w:val="1"/>
    </w:lvl>
  </w:abstractNum>
  <w:abstractNum w:abstractNumId="113">
    <w:nsid w:val="37DF2233"/>
    <w:multiLevelType w:val="hybridMultilevel"/>
    <w:lvl w:ilvl="0">
      <w:lvlJc w:val="left"/>
      <w:lvlText w:val="(%1)"/>
      <w:numFmt w:val="lowerLetter"/>
      <w:start w:val="3"/>
    </w:lvl>
  </w:abstractNum>
  <w:abstractNum w:abstractNumId="114">
    <w:nsid w:val="7AB49DAF"/>
    <w:multiLevelType w:val="hybridMultilevel"/>
    <w:lvl w:ilvl="0">
      <w:lvlJc w:val="left"/>
      <w:lvlText w:val="(%1)"/>
      <w:numFmt w:val="lowerLetter"/>
      <w:start w:val="1"/>
    </w:lvl>
  </w:abstractNum>
  <w:abstractNum w:abstractNumId="115">
    <w:nsid w:val="759F82CD"/>
    <w:multiLevelType w:val="hybridMultilevel"/>
    <w:lvl w:ilvl="0">
      <w:lvlJc w:val="left"/>
      <w:lvlText w:val="(%1)"/>
      <w:numFmt w:val="lowerLetter"/>
      <w:start w:val="1"/>
    </w:lvl>
  </w:abstractNum>
  <w:abstractNum w:abstractNumId="116">
    <w:nsid w:val="61E74EA3"/>
    <w:multiLevelType w:val="hybridMultilevel"/>
    <w:lvl w:ilvl="0">
      <w:lvlJc w:val="left"/>
      <w:lvlText w:val="(%1)"/>
      <w:numFmt w:val="lowerLetter"/>
      <w:start w:val="3"/>
    </w:lvl>
  </w:abstractNum>
  <w:abstractNum w:abstractNumId="117">
    <w:nsid w:val="597B4D84"/>
    <w:multiLevelType w:val="hybridMultilevel"/>
    <w:lvl w:ilvl="0">
      <w:lvlJc w:val="left"/>
      <w:lvlText w:val="%1."/>
      <w:numFmt w:val="decimal"/>
      <w:start w:val="8"/>
    </w:lvl>
  </w:abstractNum>
  <w:abstractNum w:abstractNumId="118">
    <w:nsid w:val="F819E7F"/>
    <w:multiLevelType w:val="hybridMultilevel"/>
    <w:lvl w:ilvl="0">
      <w:lvlJc w:val="left"/>
      <w:lvlText w:val="(%1)"/>
      <w:numFmt w:val="lowerLetter"/>
      <w:start w:val="1"/>
    </w:lvl>
  </w:abstractNum>
  <w:abstractNum w:abstractNumId="119">
    <w:nsid w:val="57C7D42D"/>
    <w:multiLevelType w:val="hybridMultilevel"/>
    <w:lvl w:ilvl="0">
      <w:lvlJc w:val="left"/>
      <w:lvlText w:val="%1"/>
      <w:numFmt w:val="lowerLetter"/>
      <w:start w:val="1"/>
    </w:lvl>
    <w:lvl w:ilvl="1">
      <w:lvlJc w:val="left"/>
      <w:lvlText w:val="(%2)"/>
      <w:numFmt w:val="lowerLetter"/>
      <w:start w:val="3"/>
    </w:lvl>
  </w:abstractNum>
  <w:abstractNum w:abstractNumId="120">
    <w:nsid w:val="312167AD"/>
    <w:multiLevelType w:val="hybridMultilevel"/>
    <w:lvl w:ilvl="0">
      <w:lvlJc w:val="left"/>
      <w:lvlText w:val="(%1)"/>
      <w:numFmt w:val="lowerLetter"/>
      <w:start w:val="61"/>
    </w:lvl>
    <w:lvl w:ilvl="1">
      <w:lvlJc w:val="left"/>
      <w:lvlText w:val="%2"/>
      <w:numFmt w:val="lowerLetter"/>
      <w:start w:val="1"/>
    </w:lvl>
  </w:abstractNum>
  <w:abstractNum w:abstractNumId="121">
    <w:nsid w:val="631B64D4"/>
    <w:multiLevelType w:val="hybridMultilevel"/>
    <w:lvl w:ilvl="0">
      <w:lvlJc w:val="left"/>
      <w:lvlText w:val="(%1)"/>
      <w:numFmt w:val="lowerRoman"/>
      <w:start w:val="1"/>
    </w:lvl>
  </w:abstractNum>
  <w:abstractNum w:abstractNumId="122">
    <w:nsid w:val="78B5E776"/>
    <w:multiLevelType w:val="hybridMultilevel"/>
    <w:lvl w:ilvl="0">
      <w:lvlJc w:val="left"/>
      <w:lvlText w:val="(%1)"/>
      <w:numFmt w:val="lowerLetter"/>
      <w:start w:val="1"/>
    </w:lvl>
  </w:abstractNum>
  <w:abstractNum w:abstractNumId="123">
    <w:nsid w:val="75486E47"/>
    <w:multiLevelType w:val="hybridMultilevel"/>
    <w:lvl w:ilvl="0">
      <w:lvlJc w:val="left"/>
      <w:lvlText w:val="(%1)"/>
      <w:numFmt w:val="lowerLetter"/>
      <w:start w:val="1"/>
    </w:lvl>
    <w:lvl w:ilvl="1">
      <w:lvlJc w:val="left"/>
      <w:lvlText w:val="%2."/>
      <w:numFmt w:val="lowerRoman"/>
      <w:start w:val="1"/>
    </w:lvl>
  </w:abstractNum>
  <w:abstractNum w:abstractNumId="124">
    <w:nsid w:val="6E534CDE"/>
    <w:multiLevelType w:val="hybridMultilevel"/>
    <w:lvl w:ilvl="0">
      <w:lvlJc w:val="left"/>
      <w:lvlText w:val="%1."/>
      <w:numFmt w:val="lowerRoman"/>
      <w:start w:val="3"/>
    </w:lvl>
  </w:abstractNum>
  <w:abstractNum w:abstractNumId="125">
    <w:nsid w:val="1A0DDE32"/>
    <w:multiLevelType w:val="hybridMultilevel"/>
    <w:lvl w:ilvl="0">
      <w:lvlJc w:val="left"/>
      <w:lvlText w:val="1"/>
      <w:numFmt w:val="bullet"/>
      <w:start w:val="1"/>
    </w:lvl>
  </w:abstractNum>
  <w:abstractNum w:abstractNumId="126">
    <w:nsid w:val="65968C1C"/>
    <w:multiLevelType w:val="hybridMultilevel"/>
    <w:lvl w:ilvl="0">
      <w:lvlJc w:val="left"/>
      <w:lvlText w:val="2"/>
      <w:numFmt w:val="bullet"/>
      <w:start w:val="1"/>
    </w:lvl>
  </w:abstractNum>
  <w:abstractNum w:abstractNumId="127">
    <w:nsid w:val="46263DEC"/>
    <w:multiLevelType w:val="hybridMultilevel"/>
    <w:lvl w:ilvl="0">
      <w:lvlJc w:val="left"/>
      <w:lvlText w:val="(%1)"/>
      <w:numFmt w:val="lowerLetter"/>
      <w:start w:val="2"/>
    </w:lvl>
    <w:lvl w:ilvl="1">
      <w:lvlJc w:val="left"/>
      <w:lvlText w:val="3"/>
      <w:numFmt w:val="bullet"/>
      <w:start w:val="1"/>
    </w:lvl>
  </w:abstractNum>
  <w:abstractNum w:abstractNumId="128">
    <w:nsid w:val="260D8C4A"/>
    <w:multiLevelType w:val="hybridMultilevel"/>
    <w:lvl w:ilvl="0">
      <w:lvlJc w:val="left"/>
      <w:lvlText w:val="(%1)"/>
      <w:numFmt w:val="lowerLetter"/>
      <w:start w:val="4"/>
    </w:lvl>
  </w:abstractNum>
  <w:abstractNum w:abstractNumId="129">
    <w:nsid w:val="73D4D3C4"/>
    <w:multiLevelType w:val="hybridMultilevel"/>
    <w:lvl w:ilvl="0">
      <w:lvlJc w:val="left"/>
      <w:lvlText w:val="(%1)"/>
      <w:numFmt w:val="lowerLetter"/>
      <w:start w:val="10"/>
    </w:lvl>
  </w:abstractNum>
  <w:abstractNum w:abstractNumId="130">
    <w:nsid w:val="746F2E30"/>
    <w:multiLevelType w:val="hybridMultilevel"/>
    <w:lvl w:ilvl="0">
      <w:lvlJc w:val="left"/>
      <w:lvlText w:val="(%1)"/>
      <w:numFmt w:val="lowerLetter"/>
      <w:start w:val="1"/>
    </w:lvl>
  </w:abstractNum>
  <w:abstractNum w:abstractNumId="131">
    <w:nsid w:val="6FDE8AF6"/>
    <w:multiLevelType w:val="hybridMultilevel"/>
    <w:lvl w:ilvl="0">
      <w:lvlJc w:val="left"/>
      <w:lvlText w:val="(%1)"/>
      <w:numFmt w:val="lowerLetter"/>
      <w:start w:val="5"/>
    </w:lvl>
  </w:abstractNum>
  <w:abstractNum w:abstractNumId="132">
    <w:nsid w:val="3FC32E20"/>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33">
    <w:nsid w:val="49C0E823"/>
    <w:multiLevelType w:val="hybridMultilevel"/>
    <w:lvl w:ilvl="0">
      <w:lvlJc w:val="left"/>
      <w:lvlText w:val="(%1)"/>
      <w:numFmt w:val="lowerLetter"/>
      <w:start w:val="1"/>
    </w:lvl>
    <w:lvl w:ilvl="1">
      <w:lvlJc w:val="left"/>
      <w:lvlText w:val="2"/>
      <w:numFmt w:val="bullet"/>
      <w:start w:val="1"/>
    </w:lvl>
  </w:abstractNum>
  <w:abstractNum w:abstractNumId="134">
    <w:nsid w:val="14D53685"/>
    <w:multiLevelType w:val="hybridMultilevel"/>
    <w:lvl w:ilvl="0">
      <w:lvlJc w:val="left"/>
      <w:lvlText w:val="(%1)"/>
      <w:numFmt w:val="lowerLetter"/>
      <w:start w:val="1"/>
    </w:lvl>
  </w:abstractNum>
  <w:abstractNum w:abstractNumId="135">
    <w:nsid w:val="230F856C"/>
    <w:multiLevelType w:val="hybridMultilevel"/>
    <w:lvl w:ilvl="0">
      <w:lvlJc w:val="left"/>
      <w:lvlText w:val="(%1)"/>
      <w:numFmt w:val="lowerLetter"/>
      <w:start w:val="1"/>
    </w:lvl>
    <w:lvl w:ilvl="1">
      <w:lvlJc w:val="left"/>
      <w:lvlText w:val="%2."/>
      <w:numFmt w:val="lowerRoman"/>
      <w:start w:val="1"/>
    </w:lvl>
  </w:abstractNum>
  <w:abstractNum w:abstractNumId="136">
    <w:nsid w:val="6EAA85FB"/>
    <w:multiLevelType w:val="hybridMultilevel"/>
    <w:lvl w:ilvl="0">
      <w:lvlJc w:val="left"/>
      <w:lvlText w:val="(%1)"/>
      <w:numFmt w:val="lowerLetter"/>
      <w:start w:val="4"/>
    </w:lvl>
  </w:abstractNum>
  <w:abstractNum w:abstractNumId="137">
    <w:nsid w:val="3F06ECB2"/>
    <w:multiLevelType w:val="hybridMultilevel"/>
    <w:lvl w:ilvl="0">
      <w:lvlJc w:val="left"/>
      <w:lvlText w:val="(%1)"/>
      <w:numFmt w:val="lowerLetter"/>
      <w:start w:val="1"/>
    </w:lvl>
  </w:abstractNum>
  <w:abstractNum w:abstractNumId="138">
    <w:nsid w:val="3B594807"/>
    <w:multiLevelType w:val="hybridMultilevel"/>
    <w:lvl w:ilvl="0">
      <w:lvlJc w:val="left"/>
      <w:lvlText w:val="(%1)"/>
      <w:numFmt w:val="lowerLetter"/>
      <w:start w:val="3"/>
    </w:lvl>
  </w:abstractNum>
  <w:abstractNum w:abstractNumId="139">
    <w:nsid w:val="6CAA2304"/>
    <w:multiLevelType w:val="hybridMultilevel"/>
    <w:lvl w:ilvl="0">
      <w:lvlJc w:val="left"/>
      <w:lvlText w:val="(%1)"/>
      <w:numFmt w:val="lowerLetter"/>
      <w:start w:val="1"/>
    </w:lvl>
  </w:abstractNum>
  <w:abstractNum w:abstractNumId="140">
    <w:nsid w:val="3F7C2FF4"/>
    <w:multiLevelType w:val="hybridMultilevel"/>
    <w:lvl w:ilvl="0">
      <w:lvlJc w:val="left"/>
      <w:lvlText w:val="(%1)"/>
      <w:numFmt w:val="lowerLetter"/>
      <w:start w:val="5"/>
    </w:lvl>
  </w:abstractNum>
  <w:abstractNum w:abstractNumId="141">
    <w:nsid w:val="25413BEC"/>
    <w:multiLevelType w:val="hybridMultilevel"/>
    <w:lvl w:ilvl="0">
      <w:lvlJc w:val="left"/>
      <w:lvlText w:val="(%1)"/>
      <w:numFmt w:val="lowerLetter"/>
      <w:start w:val="1"/>
    </w:lvl>
    <w:lvl w:ilvl="1">
      <w:lvlJc w:val="left"/>
      <w:lvlText w:val="%2."/>
      <w:numFmt w:val="lowerRoman"/>
      <w:start w:val="1"/>
    </w:lvl>
  </w:abstractNum>
  <w:abstractNum w:abstractNumId="142">
    <w:nsid w:val="17180B0B"/>
    <w:multiLevelType w:val="hybridMultilevel"/>
    <w:lvl w:ilvl="0">
      <w:lvlJc w:val="left"/>
      <w:lvlText w:val="%1"/>
      <w:numFmt w:val="lowerRoman"/>
      <w:start w:val="1"/>
    </w:lvl>
    <w:lvl w:ilvl="1">
      <w:lvlJc w:val="left"/>
      <w:lvlText w:val="%2)"/>
      <w:numFmt w:val="decimal"/>
      <w:start w:val="1"/>
    </w:lvl>
  </w:abstractNum>
  <w:abstractNum w:abstractNumId="143">
    <w:nsid w:val="579328B9"/>
    <w:multiLevelType w:val="hybridMultilevel"/>
    <w:lvl w:ilvl="0">
      <w:lvlJc w:val="left"/>
      <w:lvlText w:val="%1."/>
      <w:numFmt w:val="lowerRoman"/>
      <w:start w:val="2"/>
    </w:lvl>
    <w:lvl w:ilvl="1">
      <w:lvlJc w:val="left"/>
      <w:lvlText w:val="%2"/>
      <w:numFmt w:val="decimal"/>
      <w:start w:val="1"/>
    </w:lvl>
  </w:abstractNum>
  <w:abstractNum w:abstractNumId="144">
    <w:nsid w:val="5D205E20"/>
    <w:multiLevelType w:val="hybridMultilevel"/>
    <w:lvl w:ilvl="0">
      <w:lvlJc w:val="left"/>
      <w:lvlText w:val="(%1)"/>
      <w:numFmt w:val="lowerLetter"/>
      <w:start w:val="3"/>
    </w:lvl>
  </w:abstractNum>
  <w:abstractNum w:abstractNumId="145">
    <w:nsid w:val="11CCA8BA"/>
    <w:multiLevelType w:val="hybridMultilevel"/>
    <w:lvl w:ilvl="0">
      <w:lvlJc w:val="left"/>
      <w:lvlText w:val="(%1)"/>
      <w:numFmt w:val="lowerLetter"/>
      <w:start w:val="1"/>
    </w:lvl>
  </w:abstractNum>
  <w:abstractNum w:abstractNumId="146">
    <w:nsid w:val="4D32AB86"/>
    <w:multiLevelType w:val="hybridMultilevel"/>
    <w:lvl w:ilvl="0">
      <w:lvlJc w:val="left"/>
      <w:lvlText w:val="(%1)"/>
      <w:numFmt w:val="lowerLetter"/>
      <w:start w:val="1"/>
    </w:lvl>
  </w:abstractNum>
  <w:abstractNum w:abstractNumId="147">
    <w:nsid w:val="3F07ACC3"/>
    <w:multiLevelType w:val="hybridMultilevel"/>
    <w:lvl w:ilvl="0">
      <w:lvlJc w:val="left"/>
      <w:lvlText w:val="(%1)"/>
      <w:numFmt w:val="lowerLetter"/>
      <w:start w:val="2"/>
    </w:lvl>
  </w:abstractNum>
  <w:abstractNum w:abstractNumId="148">
    <w:nsid w:val="6B47F63E"/>
    <w:multiLevelType w:val="hybridMultilevel"/>
    <w:lvl w:ilvl="0">
      <w:lvlJc w:val="left"/>
      <w:lvlText w:val="(%1)"/>
      <w:numFmt w:val="lowerLetter"/>
      <w:start w:val="1"/>
    </w:lvl>
  </w:abstractNum>
  <w:abstractNum w:abstractNumId="149">
    <w:nsid w:val="5CB44A05"/>
    <w:multiLevelType w:val="hybridMultilevel"/>
    <w:lvl w:ilvl="0">
      <w:lvlJc w:val="left"/>
      <w:lvlText w:val="%1."/>
      <w:numFmt w:val="decimal"/>
      <w:start w:val="1"/>
    </w:lvl>
  </w:abstractNum>
  <w:abstractNum w:abstractNumId="150">
    <w:nsid w:val="16CF80F1"/>
    <w:multiLevelType w:val="hybridMultilevel"/>
    <w:lvl w:ilvl="0">
      <w:lvlJc w:val="left"/>
      <w:lvlText w:val="%1"/>
      <w:numFmt w:val="decimal"/>
      <w:start w:val="1"/>
    </w:lvl>
    <w:lvl w:ilvl="1">
      <w:lvlJc w:val="left"/>
      <w:lvlText w:val="(%2)"/>
      <w:numFmt w:val="lowerLetter"/>
      <w:start w:val="1"/>
    </w:lvl>
  </w:abstractNum>
  <w:abstractNum w:abstractNumId="151">
    <w:nsid w:val="1C695DEC"/>
    <w:multiLevelType w:val="hybridMultilevel"/>
    <w:lvl w:ilvl="0">
      <w:lvlJc w:val="left"/>
      <w:lvlText w:val="%1."/>
      <w:numFmt w:val="decimal"/>
      <w:start w:val="4"/>
    </w:lvl>
    <w:lvl w:ilvl="1">
      <w:lvlJc w:val="left"/>
      <w:lvlText w:val="%2"/>
      <w:numFmt w:val="lowerLetter"/>
      <w:start w:val="1"/>
    </w:lvl>
  </w:abstractNum>
  <w:abstractNum w:abstractNumId="152">
    <w:nsid w:val="3FCFAED9"/>
    <w:multiLevelType w:val="hybridMultilevel"/>
    <w:lvl w:ilvl="0">
      <w:lvlJc w:val="left"/>
      <w:lvlText w:val="%1."/>
      <w:numFmt w:val="decimal"/>
      <w:start w:val="5"/>
    </w:lvl>
  </w:abstractNum>
  <w:abstractNum w:abstractNumId="153">
    <w:nsid w:val="F856867"/>
    <w:multiLevelType w:val="hybridMultilevel"/>
    <w:lvl w:ilvl="0">
      <w:lvlJc w:val="left"/>
      <w:lvlText w:val="%1"/>
      <w:numFmt w:val="decimal"/>
      <w:start w:val="1"/>
    </w:lvl>
    <w:lvl w:ilvl="1">
      <w:lvlJc w:val="left"/>
      <w:lvlText w:val="(%2)"/>
      <w:numFmt w:val="lowerLetter"/>
      <w:start w:val="2"/>
    </w:lvl>
  </w:abstractNum>
  <w:abstractNum w:abstractNumId="154">
    <w:nsid w:val="11B1CC33"/>
    <w:multiLevelType w:val="hybridMultilevel"/>
    <w:lvl w:ilvl="0">
      <w:lvlJc w:val="left"/>
      <w:lvlText w:val="%1."/>
      <w:numFmt w:val="decimal"/>
      <w:start w:val="6"/>
    </w:lvl>
    <w:lvl w:ilvl="1">
      <w:lvlJc w:val="left"/>
      <w:lvlText w:val="%2"/>
      <w:numFmt w:val="lowerLetter"/>
      <w:start w:val="1"/>
    </w:lvl>
  </w:abstractNum>
  <w:abstractNum w:abstractNumId="155">
    <w:nsid w:val="2E22FBB7"/>
    <w:multiLevelType w:val="hybridMultilevel"/>
    <w:lvl w:ilvl="0">
      <w:lvlJc w:val="left"/>
      <w:lvlText w:val="%1."/>
      <w:numFmt w:val="decimal"/>
      <w:start w:val="7"/>
    </w:lvl>
  </w:abstractNum>
  <w:abstractNum w:abstractNumId="156">
    <w:nsid w:val="29934699"/>
    <w:multiLevelType w:val="hybridMultilevel"/>
    <w:lvl w:ilvl="0">
      <w:lvlJc w:val="left"/>
      <w:lvlText w:val="%1."/>
      <w:numFmt w:val="lowerLetter"/>
      <w:start w:val="1"/>
    </w:lvl>
  </w:abstractNum>
  <w:abstractNum w:abstractNumId="157">
    <w:nsid w:val="77485850"/>
    <w:multiLevelType w:val="hybridMultilevel"/>
    <w:lvl w:ilvl="0">
      <w:lvlJc w:val="left"/>
      <w:lvlText w:val="%1."/>
      <w:numFmt w:val="lowerLetter"/>
      <w:start w:val="1"/>
    </w:lvl>
  </w:abstractNum>
  <w:abstractNum w:abstractNumId="158">
    <w:nsid w:val="744939A3"/>
    <w:multiLevelType w:val="hybridMultilevel"/>
    <w:lvl w:ilvl="0">
      <w:lvlJc w:val="left"/>
      <w:lvlText w:val="%1."/>
      <w:numFmt w:val="lowerLetter"/>
      <w:start w:val="5"/>
    </w:lvl>
  </w:abstractNum>
  <w:abstractNum w:abstractNumId="159">
    <w:nsid w:val="4FA0D2E3"/>
    <w:multiLevelType w:val="hybridMultilevel"/>
    <w:lvl w:ilvl="0">
      <w:lvlJc w:val="left"/>
      <w:lvlText w:val="%1."/>
      <w:numFmt w:val="lowerLetter"/>
      <w:start w:val="1"/>
    </w:lvl>
  </w:abstractNum>
  <w:abstractNum w:abstractNumId="160">
    <w:nsid w:val="6B1D2C14"/>
    <w:multiLevelType w:val="hybridMultilevel"/>
    <w:lvl w:ilvl="0">
      <w:lvlJc w:val="left"/>
      <w:lvlText w:val="%1"/>
      <w:numFmt w:val="lowerLetter"/>
      <w:start w:val="1"/>
    </w:lvl>
    <w:lvl w:ilvl="1">
      <w:lvlJc w:val="left"/>
      <w:lvlText w:val="(%2)"/>
      <w:numFmt w:val="lowerLetter"/>
      <w:start w:val="1"/>
    </w:lvl>
  </w:abstractNum>
  <w:abstractNum w:abstractNumId="161">
    <w:nsid w:val="68B867D3"/>
    <w:multiLevelType w:val="hybridMultilevel"/>
    <w:lvl w:ilvl="0">
      <w:lvlJc w:val="left"/>
      <w:lvlText w:val="(%1)"/>
      <w:numFmt w:val="lowerLetter"/>
      <w:start w:val="3"/>
    </w:lvl>
    <w:lvl w:ilvl="1">
      <w:lvlJc w:val="left"/>
      <w:lvlText w:val="(%2)"/>
      <w:numFmt w:val="lowerLetter"/>
      <w:start w:val="3"/>
    </w:lvl>
  </w:abstractNum>
  <w:abstractNum w:abstractNumId="162">
    <w:nsid w:val="3F7F5DD9"/>
    <w:multiLevelType w:val="hybridMultilevel"/>
    <w:lvl w:ilvl="0">
      <w:lvlJc w:val="left"/>
      <w:lvlText w:val="%1."/>
      <w:numFmt w:val="decimal"/>
      <w:start w:val="8"/>
    </w:lvl>
  </w:abstractNum>
  <w:abstractNum w:abstractNumId="163">
    <w:nsid w:val="2AE05A34"/>
    <w:multiLevelType w:val="hybridMultilevel"/>
    <w:lvl w:ilvl="0">
      <w:lvlJc w:val="left"/>
      <w:lvlText w:val="(%1)"/>
      <w:numFmt w:val="lowerLetter"/>
      <w:start w:val="1"/>
    </w:lvl>
  </w:abstractNum>
  <w:abstractNum w:abstractNumId="164">
    <w:nsid w:val="32794FF7"/>
    <w:multiLevelType w:val="hybridMultilevel"/>
    <w:lvl w:ilvl="0">
      <w:lvlJc w:val="left"/>
      <w:lvlText w:val="(%1)"/>
      <w:numFmt w:val="lowerLetter"/>
      <w:start w:val="2"/>
    </w:lvl>
  </w:abstractNum>
  <w:abstractNum w:abstractNumId="165">
    <w:nsid w:val="5454945E"/>
    <w:multiLevelType w:val="hybridMultilevel"/>
    <w:lvl w:ilvl="0">
      <w:lvlJc w:val="left"/>
      <w:lvlText w:val="(%1)"/>
      <w:numFmt w:val="lowerLetter"/>
      <w:start w:val="5"/>
    </w:lvl>
  </w:abstractNum>
  <w:abstractNum w:abstractNumId="166">
    <w:nsid w:val="4DEFDFA0"/>
    <w:multiLevelType w:val="hybridMultilevel"/>
    <w:lvl w:ilvl="0">
      <w:lvlJc w:val="left"/>
      <w:lvlText w:val="(%1)"/>
      <w:numFmt w:val="lowerLetter"/>
      <w:start w:val="1"/>
    </w:lvl>
  </w:abstractNum>
  <w:abstractNum w:abstractNumId="167">
    <w:nsid w:val="2123D5F2"/>
    <w:multiLevelType w:val="hybridMultilevel"/>
    <w:lvl w:ilvl="0">
      <w:lvlJc w:val="left"/>
      <w:lvlText w:val="(%1)"/>
      <w:numFmt w:val="lowerLetter"/>
      <w:start w:val="2"/>
    </w:lvl>
  </w:abstractNum>
  <w:abstractNum w:abstractNumId="168">
    <w:nsid w:val="135B8110"/>
    <w:multiLevelType w:val="hybridMultilevel"/>
    <w:lvl w:ilvl="0">
      <w:lvlJc w:val="left"/>
      <w:lvlText w:val="%1."/>
      <w:numFmt w:val="decimal"/>
      <w:start w:val="1"/>
    </w:lvl>
    <w:lvl w:ilvl="1">
      <w:lvlJc w:val="left"/>
      <w:lvlText w:val="(%2)"/>
      <w:numFmt w:val="lowerLetter"/>
      <w:start w:val="1"/>
    </w:lvl>
  </w:abstractNum>
  <w:abstractNum w:abstractNumId="169">
    <w:nsid w:val="94927A8"/>
    <w:multiLevelType w:val="hybridMultilevel"/>
    <w:lvl w:ilvl="0">
      <w:lvlJc w:val="left"/>
      <w:lvlText w:val="%1."/>
      <w:numFmt w:val="decimal"/>
      <w:start w:val="1"/>
    </w:lvl>
    <w:lvl w:ilvl="1">
      <w:lvlJc w:val="left"/>
      <w:lvlText w:val="(%2)"/>
      <w:numFmt w:val="lowerLetter"/>
      <w:start w:val="1"/>
    </w:lvl>
  </w:abstractNum>
  <w:abstractNum w:abstractNumId="170">
    <w:nsid w:val="DCDF8F6"/>
    <w:multiLevelType w:val="hybridMultilevel"/>
    <w:lvl w:ilvl="0">
      <w:lvlJc w:val="left"/>
      <w:lvlText w:val="(%1)"/>
      <w:numFmt w:val="decimal"/>
      <w:start w:val="1"/>
    </w:lvl>
  </w:abstractNum>
  <w:abstractNum w:abstractNumId="171">
    <w:nsid w:val="52D7B1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200" Type="http://schemas.openxmlformats.org/officeDocument/2006/relationships/image" Target="media/image184.png"/><Relationship Id="rId210" Type="http://schemas.openxmlformats.org/officeDocument/2006/relationships/image" Target="media/image185.png"/><Relationship Id="rId221"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png"/><Relationship Id="rId255" Type="http://schemas.openxmlformats.org/officeDocument/2006/relationships/image" Target="media/image219.png"/><Relationship Id="rId256" Type="http://schemas.openxmlformats.org/officeDocument/2006/relationships/image" Target="media/image220.png"/><Relationship Id="rId257"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0" Type="http://schemas.openxmlformats.org/officeDocument/2006/relationships/image" Target="media/image224.png"/><Relationship Id="rId261" Type="http://schemas.openxmlformats.org/officeDocument/2006/relationships/image" Target="media/image225.png"/><Relationship Id="rId262" Type="http://schemas.openxmlformats.org/officeDocument/2006/relationships/image" Target="media/image226.png"/><Relationship Id="rId263" Type="http://schemas.openxmlformats.org/officeDocument/2006/relationships/image" Target="media/image227.png"/><Relationship Id="rId264" Type="http://schemas.openxmlformats.org/officeDocument/2006/relationships/image" Target="media/image228.png"/><Relationship Id="rId265" Type="http://schemas.openxmlformats.org/officeDocument/2006/relationships/image" Target="media/image229.png"/><Relationship Id="rId266" Type="http://schemas.openxmlformats.org/officeDocument/2006/relationships/image" Target="media/image230.png"/><Relationship Id="rId267" Type="http://schemas.openxmlformats.org/officeDocument/2006/relationships/image" Target="media/image231.png"/><Relationship Id="rId268" Type="http://schemas.openxmlformats.org/officeDocument/2006/relationships/image" Target="media/image232.png"/><Relationship Id="rId269" Type="http://schemas.openxmlformats.org/officeDocument/2006/relationships/image" Target="media/image233.png"/><Relationship Id="rId270" Type="http://schemas.openxmlformats.org/officeDocument/2006/relationships/image" Target="media/image234.png"/><Relationship Id="rId271" Type="http://schemas.openxmlformats.org/officeDocument/2006/relationships/image" Target="media/image235.png"/><Relationship Id="rId272" Type="http://schemas.openxmlformats.org/officeDocument/2006/relationships/image" Target="media/image236.png"/><Relationship Id="rId273" Type="http://schemas.openxmlformats.org/officeDocument/2006/relationships/image" Target="media/image237.png"/><Relationship Id="rId274" Type="http://schemas.openxmlformats.org/officeDocument/2006/relationships/image" Target="media/image238.png"/><Relationship Id="rId275" Type="http://schemas.openxmlformats.org/officeDocument/2006/relationships/image" Target="media/image239.png"/><Relationship Id="rId276" Type="http://schemas.openxmlformats.org/officeDocument/2006/relationships/image" Target="media/image240.png"/><Relationship Id="rId277" Type="http://schemas.openxmlformats.org/officeDocument/2006/relationships/image" Target="media/image241.png"/><Relationship Id="rId278" Type="http://schemas.openxmlformats.org/officeDocument/2006/relationships/image" Target="media/image242.png"/><Relationship Id="rId279" Type="http://schemas.openxmlformats.org/officeDocument/2006/relationships/image" Target="media/image243.png"/><Relationship Id="rId280" Type="http://schemas.openxmlformats.org/officeDocument/2006/relationships/image" Target="media/image244.png"/><Relationship Id="rId281" Type="http://schemas.openxmlformats.org/officeDocument/2006/relationships/image" Target="media/image245.png"/><Relationship Id="rId282" Type="http://schemas.openxmlformats.org/officeDocument/2006/relationships/image" Target="media/image246.png"/><Relationship Id="rId283" Type="http://schemas.openxmlformats.org/officeDocument/2006/relationships/image" Target="media/image247.png"/><Relationship Id="rId284" Type="http://schemas.openxmlformats.org/officeDocument/2006/relationships/image" Target="media/image248.png"/><Relationship Id="rId285" Type="http://schemas.openxmlformats.org/officeDocument/2006/relationships/image" Target="media/image249.png"/><Relationship Id="rId286" Type="http://schemas.openxmlformats.org/officeDocument/2006/relationships/image" Target="media/image250.png"/><Relationship Id="rId287" Type="http://schemas.openxmlformats.org/officeDocument/2006/relationships/image" Target="media/image251.png"/><Relationship Id="rId288" Type="http://schemas.openxmlformats.org/officeDocument/2006/relationships/image" Target="media/image252.png"/><Relationship Id="rId289" Type="http://schemas.openxmlformats.org/officeDocument/2006/relationships/image" Target="media/image253.png"/><Relationship Id="rId290" Type="http://schemas.openxmlformats.org/officeDocument/2006/relationships/image" Target="media/image254.png"/><Relationship Id="rId291" Type="http://schemas.openxmlformats.org/officeDocument/2006/relationships/image" Target="media/image255.png"/><Relationship Id="rId292" Type="http://schemas.openxmlformats.org/officeDocument/2006/relationships/image" Target="media/image256.png"/><Relationship Id="rId293" Type="http://schemas.openxmlformats.org/officeDocument/2006/relationships/image" Target="media/image257.png"/><Relationship Id="rId294" Type="http://schemas.openxmlformats.org/officeDocument/2006/relationships/image" Target="media/image258.png"/><Relationship Id="rId295" Type="http://schemas.openxmlformats.org/officeDocument/2006/relationships/image" Target="media/image259.png"/><Relationship Id="rId296" Type="http://schemas.openxmlformats.org/officeDocument/2006/relationships/image" Target="media/image260.png"/><Relationship Id="rId297" Type="http://schemas.openxmlformats.org/officeDocument/2006/relationships/image" Target="media/image261.png"/><Relationship Id="rId298" Type="http://schemas.openxmlformats.org/officeDocument/2006/relationships/image" Target="media/image262.png"/><Relationship Id="rId299" Type="http://schemas.openxmlformats.org/officeDocument/2006/relationships/image" Target="media/image263.png"/><Relationship Id="rId300" Type="http://schemas.openxmlformats.org/officeDocument/2006/relationships/image" Target="media/image264.png"/><Relationship Id="rId301" Type="http://schemas.openxmlformats.org/officeDocument/2006/relationships/image" Target="media/image265.png"/><Relationship Id="rId302" Type="http://schemas.openxmlformats.org/officeDocument/2006/relationships/image" Target="media/image266.png"/><Relationship Id="rId303" Type="http://schemas.openxmlformats.org/officeDocument/2006/relationships/image" Target="media/image267.png"/><Relationship Id="rId304" Type="http://schemas.openxmlformats.org/officeDocument/2006/relationships/image" Target="media/image268.png"/><Relationship Id="rId305" Type="http://schemas.openxmlformats.org/officeDocument/2006/relationships/image" Target="media/image269.png"/><Relationship Id="rId191" Type="http://schemas.openxmlformats.org/officeDocument/2006/relationships/hyperlink" Target="http://www.sec.gov/Archives/edgar/data/1669779/000155837016009958/cwh-20160930ex31ff0a1e6.htm" TargetMode="External"/><Relationship Id="rId192" Type="http://schemas.openxmlformats.org/officeDocument/2006/relationships/hyperlink" Target="https://www.sec.gov/Archives/edgar/data/1669779/000155837025007964/cwh-20250515xex3d1.htm" TargetMode="External"/><Relationship Id="rId193" Type="http://schemas.openxmlformats.org/officeDocument/2006/relationships/hyperlink" Target="https://www.sec.gov/Archives/edgar/data/1669779/000155837025006122/cwh-20250331xex3d2.htm" TargetMode="External"/><Relationship Id="rId194" Type="http://schemas.openxmlformats.org/officeDocument/2006/relationships/hyperlink" Target="https://www.sec.gov/Archives/edgar/data/1669779/000104746916015424/a2229683zex-4_1.htm" TargetMode="External"/><Relationship Id="rId195" Type="http://schemas.openxmlformats.org/officeDocument/2006/relationships/hyperlink" Target="http://www.sec.gov/Archives/edgar/data/1669779/000155837017001687/cwh-20161231ex101c4a695.htm" TargetMode="External"/><Relationship Id="rId196" Type="http://schemas.openxmlformats.org/officeDocument/2006/relationships/hyperlink" Target="https://www.sec.gov/Archives/edgar/data/1669779/000155837024001703/cwh-20231231xex10d22.htm" TargetMode="External"/><Relationship Id="rId197" Type="http://schemas.openxmlformats.org/officeDocument/2006/relationships/hyperlink" Target="http://www.sec.gov/Archives/edgar/data/1669779/000155837017001687/cwh-20161231ex102b51135.htm" TargetMode="External"/><Relationship Id="rId198" Type="http://schemas.openxmlformats.org/officeDocument/2006/relationships/hyperlink" Target="http://www.sec.gov/Archives/edgar/data/1669779/000155837017001687/cwh-20161231ex103b782d8.htm" TargetMode="External"/><Relationship Id="rId199" Type="http://schemas.openxmlformats.org/officeDocument/2006/relationships/hyperlink" Target="http://www.sec.gov/Archives/edgar/data/1669779/000155837017001687/cwh-20161231ex104bcf03b.htm" TargetMode="External"/><Relationship Id="rId201" Type="http://schemas.openxmlformats.org/officeDocument/2006/relationships/hyperlink" Target="https://www.sec.gov/Archives/edgar/data/1669779/000155837021008114/cwh-20210603xex10d1.htm" TargetMode="External"/><Relationship Id="rId202" Type="http://schemas.openxmlformats.org/officeDocument/2006/relationships/hyperlink" Target="https://www.sec.gov/Archives/edgar/data/1669779/000110465921153126/tm2136191d1_ex10-1.htm" TargetMode="External"/><Relationship Id="rId203" Type="http://schemas.openxmlformats.org/officeDocument/2006/relationships/hyperlink" Target="https://www.sec.gov/Archives/edgar/data/1669779/000155837024016046/cwh-20241202xex10d1.htm" TargetMode="External"/><Relationship Id="rId204" Type="http://schemas.openxmlformats.org/officeDocument/2006/relationships/hyperlink" Target="https://www.sec.gov/Archives/edgar/data/1669779/000155837022015969/cwh-20220930xex10d1.htm" TargetMode="External"/><Relationship Id="rId205" Type="http://schemas.openxmlformats.org/officeDocument/2006/relationships/hyperlink" Target="https://www.sec.gov/Archives/edgar/data/1669779/000155837024012550/cwh-20240827xex10d1.htm" TargetMode="External"/><Relationship Id="rId206" Type="http://schemas.openxmlformats.org/officeDocument/2006/relationships/hyperlink" Target="https://www.sec.gov/Archives/edgar/data/1669779/000155837025007964/cwh-20250515xex10d1.htm" TargetMode="External"/><Relationship Id="rId207" Type="http://schemas.openxmlformats.org/officeDocument/2006/relationships/hyperlink" Target="http://www.sec.gov/Archives/edgar/data/1669779/000155837017001687/cwh-20161231ex10211add3.htm" TargetMode="External"/><Relationship Id="rId208" Type="http://schemas.openxmlformats.org/officeDocument/2006/relationships/hyperlink" Target="http://www.sec.gov/Archives/edgar/data/1669779/000155837017001687/cwh-20161231ex102279a6b.htm" TargetMode="External"/><Relationship Id="rId209" Type="http://schemas.openxmlformats.org/officeDocument/2006/relationships/hyperlink" Target="http://www.sec.gov/Archives/edgar/data/1669779/000104746916015560/a2229763zex-10_28.htm" TargetMode="External"/><Relationship Id="rId211" Type="http://schemas.openxmlformats.org/officeDocument/2006/relationships/hyperlink" Target="http://www.sec.gov/Archives/edgar/data/1669779/000155837017006517/cwh-20170630ex1026e1df4.htm" TargetMode="External"/><Relationship Id="rId212" Type="http://schemas.openxmlformats.org/officeDocument/2006/relationships/hyperlink" Target="http://www.sec.gov/Archives/edgar/data/1669779/000155837017006517/cwh-20170630ex103c9f547.htm" TargetMode="External"/><Relationship Id="rId213" Type="http://schemas.openxmlformats.org/officeDocument/2006/relationships/hyperlink" Target="https://www.sec.gov/Archives/edgar/data/1669779/000155837025001939/cwh-20241231xex10d20.htm" TargetMode="External"/><Relationship Id="rId214" Type="http://schemas.openxmlformats.org/officeDocument/2006/relationships/hyperlink" Target="http://www.sec.gov/Archives/edgar/data/1669779/000104746916015697/a2229814zex-10_31.htm" TargetMode="External"/><Relationship Id="rId215" Type="http://schemas.openxmlformats.org/officeDocument/2006/relationships/hyperlink" Target="https://www.sec.gov/Archives/edgar/data/1669779/000155837025001939/cwh-20241231xex10d22.htm" TargetMode="External"/><Relationship Id="rId216" Type="http://schemas.openxmlformats.org/officeDocument/2006/relationships/hyperlink" Target="https://www.sec.gov/Archives/edgar/data/1669779/000155837024010595/cwh-20240630xex10d3.htm" TargetMode="External"/><Relationship Id="rId217" Type="http://schemas.openxmlformats.org/officeDocument/2006/relationships/hyperlink" Target="https://www.sec.gov/Archives/edgar/data/1669779/000155837024010595/cwh-20240630xex10d4.htm" TargetMode="External"/><Relationship Id="rId218" Type="http://schemas.openxmlformats.org/officeDocument/2006/relationships/hyperlink" Target="https://www.sec.gov/Archives/edgar/data/1669779/000155837024010595/cwh-20240630xex10d5.htm" TargetMode="External"/><Relationship Id="rId219" Type="http://schemas.openxmlformats.org/officeDocument/2006/relationships/hyperlink" Target="https://www.sec.gov/Archives/edgar/data/1669779/000155837025001117/cwh-20250219xex10d1.htm" TargetMode="External"/><Relationship Id="rId220" Type="http://schemas.openxmlformats.org/officeDocument/2006/relationships/hyperlink" Target="https://www.sec.gov/Archives/edgar/data/1669779/000155837025001939/cwh-20241231xex19d1.htm" TargetMode="External"/><Relationship Id="rId222" Type="http://schemas.openxmlformats.org/officeDocument/2006/relationships/hyperlink" Target="https://www.sec.gov/Archives/edgar/data/1669779/000155837024001703/cwh-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2026-02-27T15:32:05Z</dcterms:created>
  <dcterms:modified xsi:type="dcterms:W3CDTF">2026-02-27T15:32:05Z</dcterms:modified>
</cp:coreProperties>
</file>