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wh-20260630x10q.htm"/>
        <w:bookmarkStart w:id="1" w:name="kscwh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shd w:fill="00FF00" w:val="clear"/>
        </w:rPr>
      </w:pPr>
      <w:r>
        <w:rPr>
          <w:bdr w:val="single" w:sz="24" w:space="1" w:color="000000"/>
          <w:shd w:fill="00FF00" w:val="clear"/>
        </w:rPr>
        <w:t>​</w:t>
      </w:r>
    </w:p>
    <w:p>
      <w:pPr>
        <w:pStyle w:val="TextBody"/>
        <w:pBdr/>
        <w:bidi w:val="0"/>
        <w:spacing w:before="0" w:after="0"/>
        <w:ind w:left="0" w:right="0" w:hanging="0"/>
        <w:jc w:val="center"/>
        <w:rPr>
          <w:rFonts w:ascii="Arial;Helvetica;sans-serif" w:hAnsi="Arial;Helvetica;sans-serif"/>
          <w:b/>
          <w:sz w:val="24"/>
        </w:rPr>
      </w:pPr>
      <w:bookmarkStart w:id="2" w:name="_d2ed8d8f_2da9_4d2b_b5af_5c3f731ad094"/>
      <w:bookmarkEnd w:id="2"/>
      <w:r>
        <w:rPr>
          <w:rFonts w:ascii="Arial;Helvetica;sans-serif" w:hAnsi="Arial;Helvetica;sans-serif"/>
          <w:b/>
          <w:sz w:val="24"/>
        </w:rPr>
        <w:t>UNITED STATES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AND EXCHANGE COMMISSION</w:t>
      </w:r>
    </w:p>
    <w:p>
      <w:pPr>
        <w:pStyle w:val="TextBody"/>
        <w:bidi w:val="0"/>
        <w:spacing w:before="0" w:after="8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20"/>
        <w:ind w:left="0" w:right="0" w:hanging="0"/>
        <w:jc w:val="center"/>
        <w:rPr>
          <w:rFonts w:ascii="Arial;Helvetica;sans-serif" w:hAnsi="Arial;Helvetica;sans-serif"/>
          <w:b/>
          <w:sz w:val="32"/>
        </w:rPr>
      </w:pPr>
      <w:r>
        <w:rPr>
          <w:rFonts w:ascii="Arial;Helvetica;sans-serif" w:hAnsi="Arial;Helvetica;sans-serif"/>
          <w:b/>
          <w:sz w:val="32"/>
        </w:rPr>
        <w:t>FORM 10-Q</w:t>
      </w:r>
    </w:p>
    <w:p>
      <w:pPr>
        <w:pStyle w:val="Normal"/>
        <w:bidi w:val="0"/>
        <w:spacing w:before="0" w:after="0"/>
        <w:jc w:val="left"/>
        <w:rPr>
          <w:sz w:val="4"/>
          <w:szCs w:val="4"/>
        </w:rPr>
      </w:pPr>
      <w:r>
        <w:rPr>
          <w:sz w:val="4"/>
          <w:szCs w:val="4"/>
        </w:rPr>
      </w:r>
      <w:bookmarkStart w:id="3" w:name="Tc_fk-40SPhgEW05jY9kKfJ8w_1_1"/>
      <w:bookmarkStart w:id="4" w:name="_cfb17c08_3397_4c71_8327_d24241e1aa5c"/>
      <w:bookmarkStart w:id="5" w:name="Tc_fk-40SPhgEW05jY9kKfJ8w_1_1"/>
      <w:bookmarkStart w:id="6" w:name="_cfb17c08_3397_4c71_8327_d24241e1aa5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quarterly period ended June 30, 2026</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or</w:t>
      </w:r>
    </w:p>
    <w:p>
      <w:pPr>
        <w:pStyle w:val="Normal"/>
        <w:bidi w:val="0"/>
        <w:spacing w:before="0" w:after="0"/>
        <w:jc w:val="left"/>
        <w:rPr>
          <w:sz w:val="4"/>
          <w:szCs w:val="4"/>
        </w:rPr>
      </w:pPr>
      <w:r>
        <w:rPr>
          <w:sz w:val="4"/>
          <w:szCs w:val="4"/>
        </w:rPr>
      </w:r>
      <w:bookmarkStart w:id="7" w:name="Tc_J9p9TE_XOU24Mb1_KR4bOg_1_1"/>
      <w:bookmarkStart w:id="8" w:name="_6cb691b4_3410_4d68_836b_3f27bee69973"/>
      <w:bookmarkStart w:id="9" w:name="Tc_J9p9TE_XOU24Mb1_KR4bOg_1_1"/>
      <w:bookmarkStart w:id="10" w:name="_6cb691b4_3410_4d68_836b_3f27bee69973"/>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transition period from _____________ to _______________</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Commission File Number: 001-37908</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CAMPING WORLD HOLDINGS,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Normal"/>
        <w:bidi w:val="0"/>
        <w:spacing w:before="0" w:after="0"/>
        <w:jc w:val="left"/>
        <w:rPr>
          <w:sz w:val="4"/>
          <w:szCs w:val="4"/>
        </w:rPr>
      </w:pPr>
      <w:r>
        <w:rPr>
          <w:sz w:val="4"/>
          <w:szCs w:val="4"/>
        </w:rPr>
      </w:r>
      <w:bookmarkStart w:id="11" w:name="Tc_AHkXHKIEYUyvzQNCDY6JEg_1_1"/>
      <w:bookmarkStart w:id="12" w:name="Tc_8vgy7nk_2UOHba87sjp-ww_1_0"/>
      <w:bookmarkStart w:id="13" w:name="_8e5f4882_1a35_49bb_b172_774d97527ea4"/>
      <w:bookmarkStart w:id="14" w:name="Tc_AHkXHKIEYUyvzQNCDY6JEg_1_1"/>
      <w:bookmarkStart w:id="15" w:name="Tc_8vgy7nk_2UOHba87sjp-ww_1_0"/>
      <w:bookmarkStart w:id="16" w:name="_8e5f4882_1a35_49bb_b172_774d97527ea4"/>
      <w:bookmarkEnd w:id="14"/>
      <w:bookmarkEnd w:id="15"/>
      <w:bookmarkEnd w:id="16"/>
    </w:p>
    <w:tbl>
      <w:tblPr>
        <w:tblW w:w="8342" w:type="dxa"/>
        <w:jc w:val="left"/>
        <w:tblInd w:w="0" w:type="dxa"/>
        <w:tblLayout w:type="fixed"/>
        <w:tblCellMar>
          <w:top w:w="0" w:type="dxa"/>
          <w:left w:w="0" w:type="dxa"/>
          <w:bottom w:w="0" w:type="dxa"/>
          <w:right w:w="0" w:type="dxa"/>
        </w:tblCellMar>
      </w:tblPr>
      <w:tblGrid>
        <w:gridCol w:w="5146"/>
        <w:gridCol w:w="3196"/>
      </w:tblGrid>
      <w:tr>
        <w:trPr/>
        <w:tc>
          <w:tcPr>
            <w:tcW w:w="51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319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81-1737145</w:t>
            </w:r>
          </w:p>
        </w:tc>
      </w:tr>
      <w:tr>
        <w:trPr/>
        <w:tc>
          <w:tcPr>
            <w:tcW w:w="51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(State or other jurisdiction of incorporation or organization)</w:t>
            </w:r>
          </w:p>
        </w:tc>
        <w:tc>
          <w:tcPr>
            <w:tcW w:w="319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2 Marriott Drive</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Lincolnshire, IL</w:t>
      </w:r>
      <w:r>
        <w:rPr>
          <w:rFonts w:ascii="Arial;Helvetica;sans-serif" w:hAnsi="Arial;Helvetica;sans-serif"/>
          <w:sz w:val="20"/>
        </w:rPr>
        <w:t xml:space="preserve"> </w:t>
      </w:r>
      <w:r>
        <w:rPr>
          <w:rFonts w:ascii="Arial;Helvetica;sans-serif" w:hAnsi="Arial;Helvetica;sans-serif"/>
          <w:b/>
          <w:sz w:val="20"/>
        </w:rPr>
        <w:t>60069</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(Address of principal executive offices) (Zip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Telephone: (847) 808-3000</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(Former name, former address and former fiscal year, if changed since last report)</w:t>
      </w:r>
    </w:p>
    <w:p>
      <w:pPr>
        <w:pStyle w:val="TextBody"/>
        <w:bidi w:val="0"/>
        <w:spacing w:before="0" w:after="120"/>
        <w:ind w:left="0" w:right="0" w:firstLine="274"/>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Normal"/>
        <w:bidi w:val="0"/>
        <w:spacing w:before="0" w:after="0"/>
        <w:jc w:val="left"/>
        <w:rPr>
          <w:sz w:val="4"/>
          <w:szCs w:val="4"/>
        </w:rPr>
      </w:pPr>
      <w:r>
        <w:rPr>
          <w:sz w:val="4"/>
          <w:szCs w:val="4"/>
        </w:rPr>
      </w:r>
      <w:bookmarkStart w:id="17" w:name="Tc_82rn-5ellkygKf-E9x1gOw_1_2"/>
      <w:bookmarkStart w:id="18" w:name="Tc_MJaU88shh0G8kj2p-lzTlw_1_1"/>
      <w:bookmarkStart w:id="19" w:name="Tc_KmNsqbnxnESxjIps48IYVQ_1_0"/>
      <w:bookmarkStart w:id="20" w:name="_11f96129_73c9_4a8a_a373_3a537b35275e"/>
      <w:bookmarkStart w:id="21" w:name="Tc_82rn-5ellkygKf-E9x1gOw_1_2"/>
      <w:bookmarkStart w:id="22" w:name="Tc_MJaU88shh0G8kj2p-lzTlw_1_1"/>
      <w:bookmarkStart w:id="23" w:name="Tc_KmNsqbnxnESxjIps48IYVQ_1_0"/>
      <w:bookmarkStart w:id="24" w:name="_11f96129_73c9_4a8a_a373_3a537b35275e"/>
      <w:bookmarkEnd w:id="21"/>
      <w:bookmarkEnd w:id="22"/>
      <w:bookmarkEnd w:id="23"/>
      <w:bookmarkEnd w:id="24"/>
    </w:p>
    <w:tbl>
      <w:tblPr>
        <w:tblW w:w="8028" w:type="dxa"/>
        <w:jc w:val="left"/>
        <w:tblInd w:w="0" w:type="dxa"/>
        <w:tblLayout w:type="fixed"/>
        <w:tblCellMar>
          <w:top w:w="0" w:type="dxa"/>
          <w:left w:w="0" w:type="dxa"/>
          <w:bottom w:w="0" w:type="dxa"/>
          <w:right w:w="0" w:type="dxa"/>
        </w:tblCellMar>
      </w:tblPr>
      <w:tblGrid>
        <w:gridCol w:w="2326"/>
        <w:gridCol w:w="1696"/>
        <w:gridCol w:w="4006"/>
      </w:tblGrid>
      <w:tr>
        <w:trPr/>
        <w:tc>
          <w:tcPr>
            <w:tcW w:w="2326" w:type="dxa"/>
            <w:tcBorders/>
            <w:vAlign w:val="center"/>
          </w:tcPr>
          <w:p>
            <w:pPr>
              <w:pStyle w:val="TableContents"/>
              <w:bidi w:val="0"/>
              <w:spacing w:before="0" w:after="0"/>
              <w:ind w:left="0" w:right="0" w:hanging="0"/>
              <w:jc w:val="both"/>
              <w:rPr/>
            </w:pPr>
            <w:r>
              <w:rPr/>
              <w:t>​</w:t>
            </w:r>
          </w:p>
        </w:tc>
        <w:tc>
          <w:tcPr>
            <w:tcW w:w="1696"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Trading Symbol(s)</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Name of each exchange on which registered</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 Common Stock,</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 par value per share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CWH</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12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67" w:type="dxa"/>
        <w:jc w:val="left"/>
        <w:tblInd w:w="0" w:type="dxa"/>
        <w:tblLayout w:type="fixed"/>
        <w:tblCellMar>
          <w:top w:w="0" w:type="dxa"/>
          <w:left w:w="0" w:type="dxa"/>
          <w:bottom w:w="0" w:type="dxa"/>
          <w:right w:w="0" w:type="dxa"/>
        </w:tblCellMar>
      </w:tblPr>
      <w:tblGrid>
        <w:gridCol w:w="2386"/>
        <w:gridCol w:w="2881"/>
      </w:tblGrid>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Large 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Accelerated filer                   ☐</w:t>
            </w:r>
          </w:p>
        </w:tc>
      </w:tr>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Non-accelerated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Smaller reporting company  ☐</w:t>
            </w:r>
          </w:p>
        </w:tc>
      </w:tr>
      <w:tr>
        <w:trPr/>
        <w:tc>
          <w:tcPr>
            <w:tcW w:w="2386" w:type="dxa"/>
            <w:tcBorders/>
            <w:vAlign w:val="center"/>
          </w:tcPr>
          <w:p>
            <w:pPr>
              <w:pStyle w:val="TableContents"/>
              <w:pBdr/>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Emerging growth company  ☐</w:t>
            </w:r>
          </w:p>
        </w:tc>
      </w:tr>
      <w:tr>
        <w:trPr/>
        <w:tc>
          <w:tcPr>
            <w:tcW w:w="5267" w:type="dxa"/>
            <w:gridSpan w:val="2"/>
            <w:tcBorders/>
            <w:vAlign w:val="center"/>
          </w:tcPr>
          <w:p>
            <w:pPr>
              <w:pStyle w:val="TableContents"/>
              <w:pBdr/>
              <w:bidi w:val="0"/>
              <w:spacing w:before="0" w:after="0"/>
              <w:ind w:left="0" w:right="0" w:hanging="144"/>
              <w:jc w:val="left"/>
              <w:rPr/>
            </w:pPr>
            <w:r>
              <w:rPr/>
              <w:t>​</w:t>
            </w:r>
          </w:p>
        </w:tc>
      </w:tr>
    </w:tbl>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shell company (as defined in Rule 12b-2 of the Exchange Act).  Yes  ☐  No  ⌧</w:t>
      </w:r>
    </w:p>
    <w:p>
      <w:pPr>
        <w:pStyle w:val="TextBody"/>
        <w:pBdr/>
        <w:bidi w:val="0"/>
        <w:spacing w:before="120" w:after="0"/>
        <w:ind w:left="0" w:right="0" w:firstLine="274"/>
        <w:jc w:val="left"/>
        <w:rPr>
          <w:rFonts w:ascii="Arial;Helvetica;sans-serif" w:hAnsi="Arial;Helvetica;sans-serif"/>
          <w:sz w:val="20"/>
        </w:rPr>
      </w:pPr>
      <w:r>
        <w:rPr>
          <w:rFonts w:ascii="Arial;Helvetica;sans-serif" w:hAnsi="Arial;Helvetica;sans-serif"/>
          <w:sz w:val="20"/>
        </w:rPr>
        <w:t>As of July 24, 2026, the registrant had 63,827,952 shares of Class A common stock, 39,466,964 shares of Class B common stock and one share of Class C common stock outstanding.</w:t>
      </w:r>
    </w:p>
    <w:p>
      <w:pPr>
        <w:pStyle w:val="TextBody"/>
        <w:pBdr>
          <w:bottom w:val="single" w:sz="8" w:space="1" w:color="000000"/>
        </w:pBdr>
        <w:bidi w:val="0"/>
        <w:spacing w:before="0" w:after="0"/>
        <w:ind w:left="0" w:right="0" w:firstLine="274"/>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18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5" w:name="_53861336_cfda_4013_a116_a62f60865e54"/>
      <w:bookmarkEnd w:id="25"/>
      <w:r>
        <w:rPr>
          <w:rFonts w:ascii="Arial;Helvetica;sans-serif" w:hAnsi="Arial;Helvetica;sans-serif"/>
          <w:b/>
          <w:sz w:val="20"/>
        </w:rPr>
        <w:t>Camping World Holdings,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26" w:name="Toc"/>
      <w:bookmarkEnd w:id="26"/>
      <w:r>
        <w:rPr>
          <w:rFonts w:ascii="Arial;Helvetica;sans-serif" w:hAnsi="Arial;Helvetica;san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8"/>
        <w:gridCol w:w="8850"/>
        <w:gridCol w:w="617"/>
      </w:tblGrid>
      <w:tr>
        <w:trPr/>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8630" cy="175260"/>
                      <wp:effectExtent l="0" t="0" r="0" b="0"/>
                      <wp:wrapNone/>
                      <wp:docPr id="1" name="Frame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19750" cy="29210"/>
                      <wp:effectExtent l="0" t="0" r="0" b="0"/>
                      <wp:wrapNone/>
                      <wp:docPr id="2" name="Frame2"/>
                      <a:graphic xmlns:a="http://schemas.openxmlformats.org/drawingml/2006/main">
                        <a:graphicData uri="http://schemas.microsoft.com/office/word/2010/wordprocessingShape">
                          <wps:wsp>
                            <wps:cNvSpPr txBox="1"/>
                            <wps:spPr>
                              <a:xfrm>
                                <a:off x="0" y="0"/>
                                <a:ext cx="56197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29210"/>
                      <wp:effectExtent l="0" t="0" r="0" b="0"/>
                      <wp:wrapNone/>
                      <wp:docPr id="3" name="Frame3"/>
                      <a:graphic xmlns:a="http://schemas.openxmlformats.org/drawingml/2006/main">
                        <a:graphicData uri="http://schemas.microsoft.com/office/word/2010/wordprocessingShape">
                          <wps:wsp>
                            <wps:cNvSpPr txBox="1"/>
                            <wps:spPr>
                              <a:xfrm>
                                <a:off x="0" y="0"/>
                                <a:ext cx="391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283"/>
              <w:ind w:left="0" w:right="0" w:hanging="0"/>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both"/>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FinancialInformation">
              <w:r>
                <w:rPr>
                  <w:rStyle w:val="InternetLink"/>
                  <w:rFonts w:ascii="Arial;Helvetica;sans-serif" w:hAnsi="Arial;Helvetica;sans-serif"/>
                  <w:b/>
                  <w:i w:val="false"/>
                  <w:caps w:val="false"/>
                  <w:smallCaps w:val="false"/>
                  <w:sz w:val="20"/>
                </w:rPr>
                <w:t>PART I. FINANCIAL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hyperlink w:anchor="Item1FinancialStatements">
              <w:r>
                <w:rPr>
                  <w:rStyle w:val="InternetLink"/>
                  <w:rFonts w:ascii="Arial;Helvetica;sans-serif" w:hAnsi="Arial;Helvetica;sans-serif"/>
                  <w:b w:val="false"/>
                  <w:i w:val="false"/>
                  <w:caps w:val="false"/>
                  <w:smallCaps w:val="false"/>
                  <w:sz w:val="20"/>
                </w:rPr>
                <w:t>Item 1</w:t>
              </w:r>
            </w:hyperlink>
          </w:p>
        </w:tc>
        <w:tc>
          <w:tcPr>
            <w:tcW w:w="8850" w:type="dxa"/>
            <w:tcBorders/>
            <w:vAlign w:val="center"/>
          </w:tcPr>
          <w:p>
            <w:pPr>
              <w:pStyle w:val="TableContents"/>
              <w:bidi w:val="0"/>
              <w:spacing w:before="0" w:after="0"/>
              <w:ind w:left="0" w:right="0" w:hanging="0"/>
              <w:jc w:val="left"/>
              <w:rPr/>
            </w:pPr>
            <w:hyperlink w:anchor="Item1FinancialStatements">
              <w:r>
                <w:rPr>
                  <w:rStyle w:val="InternetLink"/>
                  <w:rFonts w:ascii="Arial;Helvetica;sans-serif" w:hAnsi="Arial;Helvetica;sans-serif"/>
                  <w:b w:val="false"/>
                  <w:i w:val="false"/>
                  <w:caps w:val="false"/>
                  <w:smallCaps w:val="false"/>
                  <w:sz w:val="20"/>
                </w:rPr>
                <w:t>Financial Statements (unaudited)</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BalanceSheets_66971">
              <w:r>
                <w:rPr>
                  <w:rStyle w:val="InternetLink"/>
                  <w:rFonts w:ascii="Arial;Helvetica;sans-serif" w:hAnsi="Arial;Helvetica;sans-serif"/>
                  <w:b w:val="false"/>
                  <w:i w:val="false"/>
                  <w:caps w:val="false"/>
                  <w:smallCaps w:val="false"/>
                  <w:sz w:val="20"/>
                </w:rPr>
                <w:t>Unaudited Condensed Consolidated Balance Sheets – June 30, 2026, December 31, 2025, and June 30,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Unaudited Condensed Consolidated Statements of Operations – Three and Six Months Ended June 30,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ondensedConsolidatedStatementofMembersD">
              <w:r>
                <w:rPr>
                  <w:rStyle w:val="InternetLink"/>
                  <w:rFonts w:ascii="Arial;Helvetica;sans-serif" w:hAnsi="Arial;Helvetica;sans-serif"/>
                  <w:b w:val="false"/>
                  <w:i w:val="false"/>
                  <w:caps w:val="false"/>
                  <w:smallCaps w:val="false"/>
                  <w:sz w:val="20"/>
                </w:rPr>
                <w:t>Unaudited Condensed Consolidated Statements of Stockholders’ Equity – Three and Six Months Ended June 30,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CashFlows_119686">
              <w:r>
                <w:rPr>
                  <w:rStyle w:val="InternetLink"/>
                  <w:rFonts w:ascii="Arial;Helvetica;sans-serif" w:hAnsi="Arial;Helvetica;sans-serif"/>
                  <w:b w:val="false"/>
                  <w:i w:val="false"/>
                  <w:caps w:val="false"/>
                  <w:smallCaps w:val="false"/>
                  <w:sz w:val="20"/>
                </w:rPr>
                <w:t>Unaudited Condensed Consolidated Statements of Cash Flows – Six Months Ended June 30,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hyperlink w:anchor="NotestoUnauditedCondensedConsolidatedFin">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738" w:type="dxa"/>
            <w:tcBorders/>
            <w:vAlign w:val="center"/>
          </w:tcPr>
          <w:p>
            <w:pPr>
              <w:pStyle w:val="TableContents"/>
              <w:bidi w:val="0"/>
              <w:spacing w:before="0" w:after="0"/>
              <w:ind w:left="0" w:right="0" w:hanging="0"/>
              <w:jc w:val="both"/>
              <w:rPr/>
            </w:pPr>
            <w:hyperlink w:anchor="Item2ManagementsDiscussionandAnalysis_80">
              <w:r>
                <w:rPr>
                  <w:rStyle w:val="InternetLink"/>
                  <w:rFonts w:ascii="Arial;Helvetica;sans-serif" w:hAnsi="Arial;Helvetica;sans-serif"/>
                  <w:b w:val="false"/>
                  <w:i w:val="false"/>
                  <w:caps w:val="false"/>
                  <w:smallCaps w:val="false"/>
                  <w:sz w:val="20"/>
                </w:rPr>
                <w:t>Item 2</w:t>
              </w:r>
            </w:hyperlink>
          </w:p>
        </w:tc>
        <w:tc>
          <w:tcPr>
            <w:tcW w:w="8850" w:type="dxa"/>
            <w:tcBorders/>
            <w:vAlign w:val="center"/>
          </w:tcPr>
          <w:p>
            <w:pPr>
              <w:pStyle w:val="TableContents"/>
              <w:bidi w:val="0"/>
              <w:spacing w:before="0" w:after="0"/>
              <w:ind w:left="0" w:right="0" w:hanging="0"/>
              <w:jc w:val="left"/>
              <w:rPr/>
            </w:pPr>
            <w:hyperlink w:anchor="Item2ManagementsDiscussionandAnalysis_80">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r>
      <w:tr>
        <w:trPr/>
        <w:tc>
          <w:tcPr>
            <w:tcW w:w="738" w:type="dxa"/>
            <w:tcBorders/>
            <w:vAlign w:val="center"/>
          </w:tcPr>
          <w:p>
            <w:pPr>
              <w:pStyle w:val="TableContents"/>
              <w:bidi w:val="0"/>
              <w:spacing w:before="0" w:after="0"/>
              <w:ind w:left="0" w:right="0" w:hanging="0"/>
              <w:jc w:val="both"/>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850"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56</w:t>
            </w:r>
          </w:p>
        </w:tc>
      </w:tr>
      <w:tr>
        <w:trPr/>
        <w:tc>
          <w:tcPr>
            <w:tcW w:w="738" w:type="dxa"/>
            <w:tcBorders/>
            <w:vAlign w:val="center"/>
          </w:tcPr>
          <w:p>
            <w:pPr>
              <w:pStyle w:val="TableContents"/>
              <w:bidi w:val="0"/>
              <w:spacing w:before="0" w:after="0"/>
              <w:ind w:left="0" w:right="0" w:hanging="0"/>
              <w:jc w:val="both"/>
              <w:rPr/>
            </w:pPr>
            <w:hyperlink w:anchor="Item4ControlsAndProcedures">
              <w:r>
                <w:rPr>
                  <w:rStyle w:val="InternetLink"/>
                  <w:rFonts w:ascii="Arial;Helvetica;sans-serif" w:hAnsi="Arial;Helvetica;sans-serif"/>
                  <w:b w:val="false"/>
                  <w:i w:val="false"/>
                  <w:caps w:val="false"/>
                  <w:smallCaps w:val="false"/>
                  <w:sz w:val="20"/>
                </w:rPr>
                <w:t>Item 4</w:t>
              </w:r>
            </w:hyperlink>
          </w:p>
        </w:tc>
        <w:tc>
          <w:tcPr>
            <w:tcW w:w="8850" w:type="dxa"/>
            <w:tcBorders/>
            <w:vAlign w:val="center"/>
          </w:tcPr>
          <w:p>
            <w:pPr>
              <w:pStyle w:val="TableContents"/>
              <w:bidi w:val="0"/>
              <w:spacing w:before="0" w:after="0"/>
              <w:ind w:left="0" w:right="0" w:hanging="0"/>
              <w:jc w:val="left"/>
              <w:rPr/>
            </w:pPr>
            <w:hyperlink w:anchor="Item4ControlsAndProcedures">
              <w:r>
                <w:rPr>
                  <w:rStyle w:val="InternetLink"/>
                  <w:rFonts w:ascii="Arial;Helvetica;sans-serif" w:hAnsi="Arial;Helvetica;sans-serif"/>
                  <w:b w:val="false"/>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56</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IOtherInformation_137709">
              <w:r>
                <w:rPr>
                  <w:rStyle w:val="InternetLink"/>
                  <w:rFonts w:ascii="Arial;Helvetica;sans-serif" w:hAnsi="Arial;Helvetica;sans-serif"/>
                  <w:b/>
                  <w:i w:val="false"/>
                  <w:caps w:val="false"/>
                  <w:smallCaps w:val="false"/>
                  <w:sz w:val="20"/>
                </w:rPr>
                <w:t>PART II. OTHER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38" w:type="dxa"/>
            <w:tcBorders/>
            <w:vAlign w:val="center"/>
          </w:tcPr>
          <w:p>
            <w:pPr>
              <w:pStyle w:val="TableContents"/>
              <w:bidi w:val="0"/>
              <w:spacing w:before="0" w:after="0"/>
              <w:ind w:left="0" w:right="0" w:hanging="0"/>
              <w:jc w:val="both"/>
              <w:rPr/>
            </w:pPr>
            <w:hyperlink w:anchor="Item1LegalProceedings_968537">
              <w:r>
                <w:rPr>
                  <w:rStyle w:val="InternetLink"/>
                  <w:rFonts w:ascii="Arial;Helvetica;sans-serif" w:hAnsi="Arial;Helvetica;sans-serif"/>
                  <w:b w:val="false"/>
                  <w:i w:val="false"/>
                  <w:caps w:val="false"/>
                  <w:smallCaps w:val="false"/>
                  <w:sz w:val="20"/>
                </w:rPr>
                <w:t>Item 1</w:t>
              </w:r>
            </w:hyperlink>
          </w:p>
        </w:tc>
        <w:tc>
          <w:tcPr>
            <w:tcW w:w="8850" w:type="dxa"/>
            <w:tcBorders/>
            <w:vAlign w:val="center"/>
          </w:tcPr>
          <w:p>
            <w:pPr>
              <w:pStyle w:val="TableContents"/>
              <w:bidi w:val="0"/>
              <w:spacing w:before="0" w:after="0"/>
              <w:ind w:left="0" w:right="0" w:hanging="0"/>
              <w:jc w:val="left"/>
              <w:rPr/>
            </w:pPr>
            <w:hyperlink w:anchor="Item1LegalProceedings_968537">
              <w:r>
                <w:rPr>
                  <w:rStyle w:val="InternetLink"/>
                  <w:rFonts w:ascii="Arial;Helvetica;sans-serif" w:hAnsi="Arial;Helvetica;sans-serif"/>
                  <w:b w:val="false"/>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57</w:t>
            </w:r>
          </w:p>
        </w:tc>
      </w:tr>
      <w:tr>
        <w:trPr/>
        <w:tc>
          <w:tcPr>
            <w:tcW w:w="738" w:type="dxa"/>
            <w:tcBorders/>
            <w:vAlign w:val="center"/>
          </w:tcPr>
          <w:p>
            <w:pPr>
              <w:pStyle w:val="TableContents"/>
              <w:bidi w:val="0"/>
              <w:spacing w:before="0" w:after="0"/>
              <w:ind w:left="0" w:right="0" w:hanging="0"/>
              <w:jc w:val="both"/>
              <w:rPr/>
            </w:pPr>
            <w:hyperlink w:anchor="Item1ARiskFactors_106835">
              <w:r>
                <w:rPr>
                  <w:rStyle w:val="InternetLink"/>
                  <w:rFonts w:ascii="Arial;Helvetica;sans-serif" w:hAnsi="Arial;Helvetica;sans-serif"/>
                  <w:b w:val="false"/>
                  <w:i w:val="false"/>
                  <w:caps w:val="false"/>
                  <w:smallCaps w:val="false"/>
                  <w:sz w:val="20"/>
                </w:rPr>
                <w:t>Item 1A</w:t>
              </w:r>
            </w:hyperlink>
          </w:p>
        </w:tc>
        <w:tc>
          <w:tcPr>
            <w:tcW w:w="8850" w:type="dxa"/>
            <w:tcBorders/>
            <w:vAlign w:val="center"/>
          </w:tcPr>
          <w:p>
            <w:pPr>
              <w:pStyle w:val="TableContents"/>
              <w:bidi w:val="0"/>
              <w:spacing w:before="0" w:after="0"/>
              <w:ind w:left="0" w:right="0" w:hanging="0"/>
              <w:jc w:val="left"/>
              <w:rPr/>
            </w:pPr>
            <w:hyperlink w:anchor="Item1ARiskFactors_106835">
              <w:r>
                <w:rPr>
                  <w:rStyle w:val="InternetLink"/>
                  <w:rFonts w:ascii="Arial;Helvetica;sans-serif" w:hAnsi="Arial;Helvetica;sans-serif"/>
                  <w:b w:val="false"/>
                  <w:i w:val="false"/>
                  <w:caps w:val="false"/>
                  <w:smallCaps w:val="false"/>
                  <w:sz w:val="20"/>
                </w:rPr>
                <w:t>Risk Factors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57</w:t>
            </w:r>
          </w:p>
        </w:tc>
      </w:tr>
      <w:tr>
        <w:trPr/>
        <w:tc>
          <w:tcPr>
            <w:tcW w:w="738"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8850"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tc>
      </w:tr>
      <w:tr>
        <w:trPr/>
        <w:tc>
          <w:tcPr>
            <w:tcW w:w="738" w:type="dxa"/>
            <w:tcBorders/>
            <w:vAlign w:val="center"/>
          </w:tcPr>
          <w:p>
            <w:pPr>
              <w:pStyle w:val="TableContents"/>
              <w:bidi w:val="0"/>
              <w:spacing w:before="0" w:after="0"/>
              <w:ind w:left="0" w:right="0" w:hanging="0"/>
              <w:jc w:val="both"/>
              <w:rPr/>
            </w:pPr>
            <w:hyperlink w:anchor="Item3DefaultsUponSeniorSecurities_185005">
              <w:r>
                <w:rPr>
                  <w:rStyle w:val="InternetLink"/>
                  <w:rFonts w:ascii="Arial;Helvetica;sans-serif" w:hAnsi="Arial;Helvetica;sans-serif"/>
                  <w:b w:val="false"/>
                  <w:i w:val="false"/>
                  <w:caps w:val="false"/>
                  <w:smallCaps w:val="false"/>
                  <w:sz w:val="20"/>
                </w:rPr>
                <w:t>Item 3</w:t>
              </w:r>
            </w:hyperlink>
          </w:p>
        </w:tc>
        <w:tc>
          <w:tcPr>
            <w:tcW w:w="8850" w:type="dxa"/>
            <w:tcBorders/>
            <w:vAlign w:val="center"/>
          </w:tcPr>
          <w:p>
            <w:pPr>
              <w:pStyle w:val="TableContents"/>
              <w:bidi w:val="0"/>
              <w:spacing w:before="0" w:after="0"/>
              <w:ind w:left="0" w:right="0" w:hanging="0"/>
              <w:jc w:val="left"/>
              <w:rPr/>
            </w:pPr>
            <w:hyperlink w:anchor="Item3DefaultsUponSeniorSecurities_185005">
              <w:r>
                <w:rPr>
                  <w:rStyle w:val="InternetLink"/>
                  <w:rFonts w:ascii="Arial;Helvetica;sans-serif" w:hAnsi="Arial;Helvetica;sans-serif"/>
                  <w:b w:val="false"/>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4MineSafetyDisclosures_195268">
              <w:r>
                <w:rPr>
                  <w:rStyle w:val="InternetLink"/>
                  <w:rFonts w:ascii="Arial;Helvetica;sans-serif" w:hAnsi="Arial;Helvetica;sans-serif"/>
                  <w:b w:val="false"/>
                  <w:i w:val="false"/>
                  <w:caps w:val="false"/>
                  <w:smallCaps w:val="false"/>
                  <w:sz w:val="20"/>
                </w:rPr>
                <w:t>Item 4</w:t>
              </w:r>
            </w:hyperlink>
          </w:p>
        </w:tc>
        <w:tc>
          <w:tcPr>
            <w:tcW w:w="8850" w:type="dxa"/>
            <w:tcBorders/>
            <w:vAlign w:val="center"/>
          </w:tcPr>
          <w:p>
            <w:pPr>
              <w:pStyle w:val="TableContents"/>
              <w:bidi w:val="0"/>
              <w:spacing w:before="0" w:after="0"/>
              <w:ind w:left="0" w:right="0" w:hanging="0"/>
              <w:jc w:val="left"/>
              <w:rPr/>
            </w:pPr>
            <w:hyperlink w:anchor="Item4MineSafetyDisclosures_195268">
              <w:r>
                <w:rPr>
                  <w:rStyle w:val="InternetLink"/>
                  <w:rFonts w:ascii="Arial;Helvetica;sans-serif" w:hAnsi="Arial;Helvetica;sans-serif"/>
                  <w:b w:val="false"/>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5OtherInformation_609822">
              <w:r>
                <w:rPr>
                  <w:rStyle w:val="InternetLink"/>
                  <w:rFonts w:ascii="Arial;Helvetica;sans-serif" w:hAnsi="Arial;Helvetica;sans-serif"/>
                  <w:b w:val="false"/>
                  <w:i w:val="false"/>
                  <w:caps w:val="false"/>
                  <w:smallCaps w:val="false"/>
                  <w:sz w:val="20"/>
                </w:rPr>
                <w:t>Item 5</w:t>
              </w:r>
            </w:hyperlink>
          </w:p>
        </w:tc>
        <w:tc>
          <w:tcPr>
            <w:tcW w:w="8850" w:type="dxa"/>
            <w:tcBorders/>
            <w:vAlign w:val="center"/>
          </w:tcPr>
          <w:p>
            <w:pPr>
              <w:pStyle w:val="TableContents"/>
              <w:bidi w:val="0"/>
              <w:spacing w:before="0" w:after="0"/>
              <w:ind w:left="0" w:right="0" w:hanging="0"/>
              <w:jc w:val="left"/>
              <w:rPr/>
            </w:pPr>
            <w:hyperlink w:anchor="Item5OtherInformation_609822">
              <w:r>
                <w:rPr>
                  <w:rStyle w:val="InternetLink"/>
                  <w:rFonts w:ascii="Arial;Helvetica;sans-serif" w:hAnsi="Arial;Helvetica;sans-serif"/>
                  <w:b w:val="false"/>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r>
        <w:trPr/>
        <w:tc>
          <w:tcPr>
            <w:tcW w:w="738" w:type="dxa"/>
            <w:tcBorders/>
            <w:vAlign w:val="center"/>
          </w:tcPr>
          <w:p>
            <w:pPr>
              <w:pStyle w:val="TableContents"/>
              <w:bidi w:val="0"/>
              <w:spacing w:before="0" w:after="0"/>
              <w:ind w:left="0" w:right="0" w:hanging="0"/>
              <w:jc w:val="both"/>
              <w:rPr/>
            </w:pPr>
            <w:hyperlink w:anchor="Item6Exhibits_966381">
              <w:r>
                <w:rPr>
                  <w:rStyle w:val="InternetLink"/>
                  <w:rFonts w:ascii="Arial;Helvetica;sans-serif" w:hAnsi="Arial;Helvetica;sans-serif"/>
                  <w:b w:val="false"/>
                  <w:i w:val="false"/>
                  <w:caps w:val="false"/>
                  <w:smallCaps w:val="false"/>
                  <w:sz w:val="20"/>
                </w:rPr>
                <w:t>Item 6</w:t>
              </w:r>
            </w:hyperlink>
          </w:p>
        </w:tc>
        <w:tc>
          <w:tcPr>
            <w:tcW w:w="8850" w:type="dxa"/>
            <w:tcBorders/>
            <w:vAlign w:val="center"/>
          </w:tcPr>
          <w:p>
            <w:pPr>
              <w:pStyle w:val="TableContents"/>
              <w:bidi w:val="0"/>
              <w:spacing w:before="0" w:after="0"/>
              <w:ind w:left="0" w:right="0" w:hanging="0"/>
              <w:jc w:val="left"/>
              <w:rPr/>
            </w:pPr>
            <w:hyperlink w:anchor="Item6Exhibits_966381">
              <w:r>
                <w:rPr>
                  <w:rStyle w:val="InternetLink"/>
                  <w:rFonts w:ascii="Arial;Helvetica;sans-serif" w:hAnsi="Arial;Helvetica;sans-serif"/>
                  <w:b w:val="false"/>
                  <w:i w:val="false"/>
                  <w:caps w:val="false"/>
                  <w:smallCaps w:val="false"/>
                  <w:sz w:val="20"/>
                </w:rPr>
                <w:t>Exhibits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61</w:t>
            </w:r>
          </w:p>
        </w:tc>
      </w:tr>
      <w:tr>
        <w:trPr/>
        <w:tc>
          <w:tcPr>
            <w:tcW w:w="738" w:type="dxa"/>
            <w:tcBorders/>
            <w:vAlign w:val="center"/>
          </w:tcPr>
          <w:p>
            <w:pPr>
              <w:pStyle w:val="TableContents"/>
              <w:bidi w:val="0"/>
              <w:spacing w:before="0" w:after="0"/>
              <w:ind w:left="0" w:right="0" w:hanging="0"/>
              <w:jc w:val="both"/>
              <w:rPr/>
            </w:pPr>
            <w:r>
              <w:rPr/>
              <w:t>​</w:t>
            </w:r>
          </w:p>
        </w:tc>
        <w:tc>
          <w:tcPr>
            <w:tcW w:w="8850"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both"/>
              <w:rPr/>
            </w:pPr>
            <w:hyperlink w:anchor="SIGNATURE_621894">
              <w:r>
                <w:rPr>
                  <w:rStyle w:val="InternetLink"/>
                  <w:rFonts w:ascii="Arial;Helvetica;sans-serif" w:hAnsi="Arial;Helvetica;sans-serif"/>
                  <w:b w:val="false"/>
                  <w:i w:val="false"/>
                  <w:caps w:val="false"/>
                  <w:smallCaps w:val="false"/>
                  <w:sz w:val="20"/>
                </w:rPr>
                <w:t>Signatures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27" w:name="_575fcde7_8107_4388_9047_bc64219a61aa"/>
      <w:bookmarkStart w:id="28" w:name="BasisOfPresentation"/>
      <w:bookmarkEnd w:id="27"/>
      <w:bookmarkEnd w:id="28"/>
      <w:r>
        <w:rPr>
          <w:rFonts w:ascii="Arial;Helvetica;sans-serif" w:hAnsi="Arial;Helvetica;sans-serif"/>
          <w:b/>
          <w:sz w:val="20"/>
        </w:rPr>
        <w:t>BASIS OF PRESENTATION</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As used in this Quarterly Report on Form 10-Q (this “Form 10-Q”), unless the context otherwise requires, references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20"/>
              </w:rPr>
            </w:pPr>
            <w:r>
              <w:rPr>
                <w:rFonts w:ascii="Arial;Helvetica;sans-serif" w:hAnsi="Arial;Helvetica;sans-serif"/>
                <w:b w:val="false"/>
                <w:i w:val="false"/>
                <w:caps w:val="false"/>
                <w:smallCaps w:val="false"/>
                <w:spacing w:val="0"/>
                <w:sz w:val="20"/>
              </w:rPr>
              <w:t>"Active Customer" refers to a customer who has transacted with us in any of the eight most recently completed fiscal quarters prior to the date of measurement. Unless otherwise indicated, the date of measurement is June 30, 2026, our most recently completed fiscal quarter.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Annual Report” refers to our Annual Report on Form 10-K for the year ended December 31, 2025 filed with the Securities and Exchange Commission (“SEC”) on February 27,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Former Profits Unit Holders” refers collectively to Brent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ML Acquisition” refers to ML Acquisition Company, LLC, a Delaware limited liability company that is indirectly controlled by our former Chairman and Chief Executive Officer, Marcus A. Lemonis.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RV” refers to recreational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 xml:space="preserve">Tax Receivable Agreement” refers to the tax receivable agreement that the Company entered into with CWGS, LLC, each of the Continuing Equity Owners and Crestview Partners II GP, L.P. in connection with the Company’s IPO. </w:t>
            </w:r>
          </w:p>
        </w:tc>
      </w:tr>
    </w:tbl>
    <w:p>
      <w:pPr>
        <w:pStyle w:val="TextBody"/>
        <w:bidi w:val="0"/>
        <w:spacing w:before="0" w:after="200"/>
        <w:ind w:left="108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9" w:name="CAUTIONARYNOTEREGARDINGFORWARDLOOKINGSTA"/>
      <w:bookmarkStart w:id="30" w:name="_e8b65fa6_e9dd_42f7_b273_c01484d5b99e"/>
      <w:bookmarkEnd w:id="29"/>
      <w:bookmarkEnd w:id="30"/>
      <w:r>
        <w:rPr>
          <w:rFonts w:ascii="Arial;Helvetica;sans-serif" w:hAnsi="Arial;Helvetica;sans-serif"/>
          <w:b/>
          <w:sz w:val="20"/>
        </w:rPr>
        <w:t>CAUTIONARY NOTE REGARDING FORWARD-LOOKING STATEMENTS</w:t>
      </w:r>
    </w:p>
    <w:p>
      <w:pPr>
        <w:pStyle w:val="TextBody"/>
        <w:bidi w:val="0"/>
        <w:spacing w:before="0" w:after="0"/>
        <w:ind w:left="0" w:right="0" w:hanging="0"/>
        <w:jc w:val="center"/>
        <w:rPr/>
      </w:pPr>
      <w:r>
        <w:rPr/>
        <w:t>​</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market share expectations, sufficiency of our sources of liquidity and capital and potential need for additional financing;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the Iran conflict’s impact on gasoline prices and consumer demand; potential future tax benefits; expectations regarding our pending litigation; effects of seasonality on our business; future effects of new federal legislation,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economic conditions in our markets, including inflation and interest rates, as well as the health of the RV industry, and ongoing economic and financial uncertainties;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and cost of financing to us and our customers;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fuel shortages, high prices for fuel, or changes in energy 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well-being, as well as the continued popularity and reputation for quality, of our manufacturers, particularly Thor Industries, Inc. and Forest River, Inc.;</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consumer preferences for our products or our failure to gauge those preferences;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competition in the market for services, protection plans, products and resources targeting the RV lifestyle or RV enthusiast;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expansion into new, unfamiliar markets, businesses, or product lines or categories, as well as delays in opening new RV dealership locations, including greenfield locations and acquisitions;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unforeseen expenses, difficulties, and delays encountered in connection with acquisitions;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maintain the strength and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successfully order and manage our inventory to reflect consumer demand in a volatile market and anticipate changing consumer preferences and buying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fluctuations in our same store revenue and whether such revenue will be a meaningful indicator of future performance;</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cyclical and seasonal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operate and expand our business and to respond to changing business and economic conditions, which depends on the availability of adequate capital;</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restrictive covenants imposed by our Senior Secured Credit Facilities and Floor Plan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execute and achieve the expected benefits of our cost cutting initiatives and impairment charges incurred in connection with previous restructuring initiatives may be materially higher than expected or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reliance on our fulfillment and distribution centers for our retail and e-commerce businesses, which may be susceptible to a natural disaster or other serious disruption at any such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natural disasters, whether or not caused by climate change, unusual weather conditions, epidemic outbreaks, terrorist acts and political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dependence on our relationships with third party providers of services, protection plans, products and resources and a disruption of these relationships or of these providers’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of the products that we sell are manufactured abroad and any delays, new or increased tariffs, increased cost or quality control deficiencies in the importation of these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third-party lending institutions and insurance companies will continue to provide financing for RV purchases, insurance and extended service contracts that relate to a portion of our net income;</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retain senior executives and attract and retain other qualified employees;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associated with leasing substantial amounts of space;</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private brand offerings exposing us to various risks;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incur asset impairment charges for goodwill, intangible assets or other long-lived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is subject to numerous federal, state and local regulations and litigation risk, and we have been, and may continue to be, named in litigation from time to time;</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a failure in our e-commerce operations, security breaches and cybersecurity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maintain or upgrade our information technology systems or our inability to convert to alternate systems in an efficient and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disruptions or breaches involving our or our third-party providers’ information technology systems or confidential information or our failure to meet increasingly demanding regulatory requirements;</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relating to our organizational structure and to ownership of shares of our Class A common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other factors set forth under ‘‘Risk Factors’’ in Item 1A of Part I of our Annual Report and in our other filings with the SEC.</w:t>
            </w:r>
          </w:p>
        </w:tc>
      </w:tr>
    </w:tbl>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These risks may cause our actual results, performance or achievements to differ materially and adversely from those expressed or implied by the forward-looking statements.</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 xml:space="preserve">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6"/>
        </w:rPr>
      </w:pPr>
      <w:bookmarkStart w:id="31" w:name="_7e0e7041_f4a3_414e_904f_7a9bbbdf0394"/>
      <w:bookmarkStart w:id="32" w:name="PartIFinancialInformation"/>
      <w:bookmarkEnd w:id="31"/>
      <w:bookmarkEnd w:id="32"/>
      <w:r>
        <w:rPr>
          <w:rFonts w:ascii="Arial;Helvetica;sans-serif" w:hAnsi="Arial;Helvetica;sans-serif"/>
          <w:b/>
          <w:sz w:val="16"/>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16"/>
        </w:rPr>
      </w:pPr>
      <w:bookmarkStart w:id="33" w:name="Item1FinancialStatements"/>
      <w:bookmarkEnd w:id="33"/>
      <w:r>
        <w:rPr>
          <w:rFonts w:ascii="Arial;Helvetica;sans-serif" w:hAnsi="Arial;Helvetica;sans-serif"/>
          <w:b/>
          <w:sz w:val="16"/>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Camping World Holdings, Inc. and Subsidiaries</w:t>
      </w:r>
    </w:p>
    <w:p>
      <w:pPr>
        <w:pStyle w:val="TextBody"/>
        <w:bidi w:val="0"/>
        <w:spacing w:before="0" w:after="0"/>
        <w:ind w:left="0" w:right="0" w:hanging="0"/>
        <w:jc w:val="center"/>
        <w:rPr>
          <w:rFonts w:ascii="Arial;Helvetica;sans-serif" w:hAnsi="Arial;Helvetica;sans-serif"/>
          <w:sz w:val="16"/>
        </w:rPr>
      </w:pPr>
      <w:bookmarkStart w:id="34" w:name="CondensedConsolidatedBalanceSheets_66971"/>
      <w:bookmarkEnd w:id="34"/>
      <w:r>
        <w:rPr>
          <w:rFonts w:ascii="Arial;Helvetica;sans-serif" w:hAnsi="Arial;Helvetica;sans-serif"/>
          <w:sz w:val="16"/>
        </w:rPr>
        <w:t>Unaudited Condensed Consolidated Balance Sheets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 w:name="Tc_0-P8U8VjTkmDOpjG2xJCuA_51_8"/>
      <w:bookmarkStart w:id="36" w:name="Tc_eug4MgaL0kynNYNnzZ8G2Q_51_5"/>
      <w:bookmarkStart w:id="37" w:name="Tc_DsLvoEkFf0C_hr7_MJNhsw_51_2"/>
      <w:bookmarkStart w:id="38" w:name="Tc_quShJFvXQUa29d7oaXPkVA_51_0"/>
      <w:bookmarkStart w:id="39" w:name="Tc_9hyJ_vuPj06PCZ4uYc145w_50_0"/>
      <w:bookmarkStart w:id="40" w:name="Tc_ITKlFImsb0W1Mcyc4kQ2HQ_49_0"/>
      <w:bookmarkStart w:id="41" w:name="Tc_XvTn3X9JlkO19ikAfj2QrQ_48_0"/>
      <w:bookmarkStart w:id="42" w:name="Tc_vAKtQQ_0RkyoHlCYvZjw4w_47_0"/>
      <w:bookmarkStart w:id="43" w:name="Tc_Ln5vF55aBkqiR1Rchmiiyg_46_0"/>
      <w:bookmarkStart w:id="44" w:name="_1e417b66_4238_466c_a057_e8896d7de3ed_4"/>
      <w:bookmarkStart w:id="45" w:name="_1e417b66_4238_466c_a057_e8896d7de3ed_3"/>
      <w:bookmarkStart w:id="46" w:name="_1e417b66_4238_466c_a057_e8896d7de3ed_2"/>
      <w:bookmarkStart w:id="47" w:name="_1e417b66_4238_466c_a057_e8896d7de3ed"/>
      <w:bookmarkStart w:id="48" w:name="_0b513298_6ce4_49c7_a187_08970438c8e6_4"/>
      <w:bookmarkStart w:id="49" w:name="_0b513298_6ce4_49c7_a187_08970438c8e6_3"/>
      <w:bookmarkStart w:id="50" w:name="_0b513298_6ce4_49c7_a187_08970438c8e6_2"/>
      <w:bookmarkStart w:id="51" w:name="_0b513298_6ce4_49c7_a187_08970438c8e6"/>
      <w:bookmarkStart w:id="52" w:name="_760bfdba_d019_4efd_8610_2ee42bca7008_4"/>
      <w:bookmarkStart w:id="53" w:name="_760bfdba_d019_4efd_8610_2ee42bca7008_3"/>
      <w:bookmarkStart w:id="54" w:name="_760bfdba_d019_4efd_8610_2ee42bca7008_2"/>
      <w:bookmarkStart w:id="55" w:name="_760bfdba_d019_4efd_8610_2ee42bca7008"/>
      <w:bookmarkStart w:id="56" w:name="Tc_OmHlLzeT10Cffu4LonqoqA_45_0"/>
      <w:bookmarkStart w:id="57" w:name="Tc_QF6Rhcp7nE6U7YhVq9JI6Q_44_0"/>
      <w:bookmarkStart w:id="58" w:name="Tc_WZZUe2i4-E2kgYVF1-GYVw_43_0"/>
      <w:bookmarkStart w:id="59" w:name="Tc_rAYgp1p1lEaH73Jy8CXIxQ_42_0"/>
      <w:bookmarkStart w:id="60" w:name="Tc_-Uuv-B0EPkmW31lcQ6XqoA_41_0"/>
      <w:bookmarkStart w:id="61" w:name="Tc_ro6HxTWOT0WYwcYTiVZQAw_40_0"/>
      <w:bookmarkStart w:id="62" w:name="Tc_pJn79f97EE64B1d9peT36A_39_0"/>
      <w:bookmarkStart w:id="63" w:name="Tc_exj-2TRMPUm8ub-cdqpeog_38_0"/>
      <w:bookmarkStart w:id="64" w:name="Tc_PGFAsJw0Ik6Y57NPVaPoug_37_0"/>
      <w:bookmarkStart w:id="65" w:name="Tc__pbOv4wkkkGLbb9gSOU3TA_36_0"/>
      <w:bookmarkStart w:id="66" w:name="Tc_mnyDjVLUYUa5KpCQAluLfg_35_0"/>
      <w:bookmarkStart w:id="67" w:name="Tc_cjpZUBjiqEqSjKRMZ89UwA_34_0"/>
      <w:bookmarkStart w:id="68" w:name="Tc_opnF6YPnbkydQczcb5QEdg_33_0"/>
      <w:bookmarkStart w:id="69" w:name="Tc_nv86CdtsG0aGN9rNuwW7dg_31_0"/>
      <w:bookmarkStart w:id="70" w:name="Tc__9cNPOthV0mPqIFgO9ICGA_30_0"/>
      <w:bookmarkStart w:id="71" w:name="Tc_hKxEWp9YI0SEtJg-7WBZRw_29_0"/>
      <w:bookmarkStart w:id="72" w:name="Tc_BBbi-dDXi0uGCgFNX-0H1Q_28_0"/>
      <w:bookmarkStart w:id="73" w:name="Tc_OmVe5sJbP0mtCVE22K_teQ_27_0"/>
      <w:bookmarkStart w:id="74" w:name="Tc_gbZ1pwOHIU6vKyd2fvnmZQ_26_0"/>
      <w:bookmarkStart w:id="75" w:name="Tc_V4NJZVdIEUqD5RSNDE4lNg_25_0"/>
      <w:bookmarkStart w:id="76" w:name="Tc_xBXpOcvYs0W9WkJvqtW5aA_24_0"/>
      <w:bookmarkStart w:id="77" w:name="Tc_8Jz4WZGO7UOAeF0nujo-jw_23_0"/>
      <w:bookmarkStart w:id="78" w:name="Tc_DJnkmUbMkkqkmVj95vh0Vw_22_8"/>
      <w:bookmarkStart w:id="79" w:name="Tc_LGwIoYm1P0KhHtTpy2s86A_22_5"/>
      <w:bookmarkStart w:id="80" w:name="Tc_SHQdPRkMY0GU8NOrRKLnhw_22_2"/>
      <w:bookmarkStart w:id="81" w:name="Tc_graTdMawaEWjBt24enXMFQ_22_0"/>
      <w:bookmarkStart w:id="82" w:name="Tc_4URdf2B66kKGZ19A2sHznQ_21_0"/>
      <w:bookmarkStart w:id="83" w:name="Tc_PDScY2ISrEadWFZlHrJA0g_20_0"/>
      <w:bookmarkStart w:id="84" w:name="Tc_8BE4R2XOuEazoNS7IVrPtQ_19_8"/>
      <w:bookmarkStart w:id="85" w:name="Tc_G9_A_tskxkaNb0HE5YtpUg_19_5"/>
      <w:bookmarkStart w:id="86" w:name="Tc_S6NJvFk8X0yQtp1iNJBHHA_19_2"/>
      <w:bookmarkStart w:id="87" w:name="Tc_mDawhZL6W06q0A-E9LQegw_19_0"/>
      <w:bookmarkStart w:id="88" w:name="Tc_7-mbqRgjtE2VtEO3_GNBgQ_18_0"/>
      <w:bookmarkStart w:id="89" w:name="Tc_38zSS8lGiU6XOgNQ9nY5rw_17_0"/>
      <w:bookmarkStart w:id="90" w:name="Tc_jJa4TBny_ka_1Hioo3_HoA_16_0"/>
      <w:bookmarkStart w:id="91" w:name="Tc_X3XGJIfBX0OSayXYldlScQ_15_0"/>
      <w:bookmarkStart w:id="92" w:name="Tc_wCCEn3pM0EijHL2c2u_1Tg_14_0"/>
      <w:bookmarkStart w:id="93" w:name="Tc_HGIbZH9-AEmPT6KuwzWZmg_13_0"/>
      <w:bookmarkStart w:id="94" w:name="Tc_dzokDs9ykEW9I0DuoCKG3g_11_0"/>
      <w:bookmarkStart w:id="95" w:name="Tc_-iUTJT_t9U-Vt8WpO72vxg_10_0"/>
      <w:bookmarkStart w:id="96" w:name="Tc_jtX1OP-NDUOk2ApiK_W93A_9_0"/>
      <w:bookmarkStart w:id="97" w:name="Tc_PqJR3JJrHEOECAppiPTeew_8_0"/>
      <w:bookmarkStart w:id="98" w:name="Tc_S0gloiCO6ECwOiHztjPjGA_7_0"/>
      <w:bookmarkStart w:id="99" w:name="Tc_uCih5KspdUSCmgDmxeR-Dg_6_0"/>
      <w:bookmarkStart w:id="100" w:name="Tc_hhs-yqAsi0W4jzdgN-h8ng_5_8"/>
      <w:bookmarkStart w:id="101" w:name="Tc_--WMAJqGuE2N2FnNgabN3A_5_5"/>
      <w:bookmarkStart w:id="102" w:name="Tc_HVlt4d2XDkWY1DS67diVAw_5_2"/>
      <w:bookmarkStart w:id="103" w:name="Tc_RZeCaDdZKkmWcw997jEUPg_5_0"/>
      <w:bookmarkStart w:id="104" w:name="Tc_gynaqNdGb0yw_sqamUZzsQ_4_0"/>
      <w:bookmarkStart w:id="105" w:name="Tc_epJMzsYU2EiIz0e3Pp2NOQ_3_0"/>
      <w:bookmarkStart w:id="106" w:name="Tc_A37Boi3PYk2J8Xayb5d-qQ_2_8"/>
      <w:bookmarkStart w:id="107" w:name="Tc_ZdShIXB_0E6wSksURbZZHg_2_5"/>
      <w:bookmarkStart w:id="108" w:name="Tc_hVjUkNk3ik-BSUowuoSoqA_2_2"/>
      <w:bookmarkStart w:id="109" w:name="Tc_gcQTzxjYGk2I8SxOhgfUqw_1_8"/>
      <w:bookmarkStart w:id="110" w:name="Tc_5cmuswsigUWa69sSekyLmA_1_5"/>
      <w:bookmarkStart w:id="111" w:name="Tc_FPjt_GvptE6CffEXy7_lgw_1_2"/>
      <w:bookmarkStart w:id="112" w:name="_0d7fe78f_57df_4c7d_938c_576740c43e13"/>
      <w:bookmarkStart w:id="113" w:name="Tc_0-P8U8VjTkmDOpjG2xJCuA_51_8"/>
      <w:bookmarkStart w:id="114" w:name="Tc_eug4MgaL0kynNYNnzZ8G2Q_51_5"/>
      <w:bookmarkStart w:id="115" w:name="Tc_DsLvoEkFf0C_hr7_MJNhsw_51_2"/>
      <w:bookmarkStart w:id="116" w:name="Tc_quShJFvXQUa29d7oaXPkVA_51_0"/>
      <w:bookmarkStart w:id="117" w:name="Tc_9hyJ_vuPj06PCZ4uYc145w_50_0"/>
      <w:bookmarkStart w:id="118" w:name="Tc_ITKlFImsb0W1Mcyc4kQ2HQ_49_0"/>
      <w:bookmarkStart w:id="119" w:name="Tc_XvTn3X9JlkO19ikAfj2QrQ_48_0"/>
      <w:bookmarkStart w:id="120" w:name="Tc_vAKtQQ_0RkyoHlCYvZjw4w_47_0"/>
      <w:bookmarkStart w:id="121" w:name="Tc_Ln5vF55aBkqiR1Rchmiiyg_46_0"/>
      <w:bookmarkStart w:id="122" w:name="_1e417b66_4238_466c_a057_e8896d7de3ed_4"/>
      <w:bookmarkStart w:id="123" w:name="_1e417b66_4238_466c_a057_e8896d7de3ed_3"/>
      <w:bookmarkStart w:id="124" w:name="_1e417b66_4238_466c_a057_e8896d7de3ed_2"/>
      <w:bookmarkStart w:id="125" w:name="_1e417b66_4238_466c_a057_e8896d7de3ed"/>
      <w:bookmarkStart w:id="126" w:name="_0b513298_6ce4_49c7_a187_08970438c8e6_4"/>
      <w:bookmarkStart w:id="127" w:name="_0b513298_6ce4_49c7_a187_08970438c8e6_3"/>
      <w:bookmarkStart w:id="128" w:name="_0b513298_6ce4_49c7_a187_08970438c8e6_2"/>
      <w:bookmarkStart w:id="129" w:name="_0b513298_6ce4_49c7_a187_08970438c8e6"/>
      <w:bookmarkStart w:id="130" w:name="_760bfdba_d019_4efd_8610_2ee42bca7008_4"/>
      <w:bookmarkStart w:id="131" w:name="_760bfdba_d019_4efd_8610_2ee42bca7008_3"/>
      <w:bookmarkStart w:id="132" w:name="_760bfdba_d019_4efd_8610_2ee42bca7008_2"/>
      <w:bookmarkStart w:id="133" w:name="_760bfdba_d019_4efd_8610_2ee42bca7008"/>
      <w:bookmarkStart w:id="134" w:name="Tc_OmHlLzeT10Cffu4LonqoqA_45_0"/>
      <w:bookmarkStart w:id="135" w:name="Tc_QF6Rhcp7nE6U7YhVq9JI6Q_44_0"/>
      <w:bookmarkStart w:id="136" w:name="Tc_WZZUe2i4-E2kgYVF1-GYVw_43_0"/>
      <w:bookmarkStart w:id="137" w:name="Tc_rAYgp1p1lEaH73Jy8CXIxQ_42_0"/>
      <w:bookmarkStart w:id="138" w:name="Tc_-Uuv-B0EPkmW31lcQ6XqoA_41_0"/>
      <w:bookmarkStart w:id="139" w:name="Tc_ro6HxTWOT0WYwcYTiVZQAw_40_0"/>
      <w:bookmarkStart w:id="140" w:name="Tc_pJn79f97EE64B1d9peT36A_39_0"/>
      <w:bookmarkStart w:id="141" w:name="Tc_exj-2TRMPUm8ub-cdqpeog_38_0"/>
      <w:bookmarkStart w:id="142" w:name="Tc_PGFAsJw0Ik6Y57NPVaPoug_37_0"/>
      <w:bookmarkStart w:id="143" w:name="Tc__pbOv4wkkkGLbb9gSOU3TA_36_0"/>
      <w:bookmarkStart w:id="144" w:name="Tc_mnyDjVLUYUa5KpCQAluLfg_35_0"/>
      <w:bookmarkStart w:id="145" w:name="Tc_cjpZUBjiqEqSjKRMZ89UwA_34_0"/>
      <w:bookmarkStart w:id="146" w:name="Tc_opnF6YPnbkydQczcb5QEdg_33_0"/>
      <w:bookmarkStart w:id="147" w:name="Tc_nv86CdtsG0aGN9rNuwW7dg_31_0"/>
      <w:bookmarkStart w:id="148" w:name="Tc__9cNPOthV0mPqIFgO9ICGA_30_0"/>
      <w:bookmarkStart w:id="149" w:name="Tc_hKxEWp9YI0SEtJg-7WBZRw_29_0"/>
      <w:bookmarkStart w:id="150" w:name="Tc_BBbi-dDXi0uGCgFNX-0H1Q_28_0"/>
      <w:bookmarkStart w:id="151" w:name="Tc_OmVe5sJbP0mtCVE22K_teQ_27_0"/>
      <w:bookmarkStart w:id="152" w:name="Tc_gbZ1pwOHIU6vKyd2fvnmZQ_26_0"/>
      <w:bookmarkStart w:id="153" w:name="Tc_V4NJZVdIEUqD5RSNDE4lNg_25_0"/>
      <w:bookmarkStart w:id="154" w:name="Tc_xBXpOcvYs0W9WkJvqtW5aA_24_0"/>
      <w:bookmarkStart w:id="155" w:name="Tc_8Jz4WZGO7UOAeF0nujo-jw_23_0"/>
      <w:bookmarkStart w:id="156" w:name="Tc_DJnkmUbMkkqkmVj95vh0Vw_22_8"/>
      <w:bookmarkStart w:id="157" w:name="Tc_LGwIoYm1P0KhHtTpy2s86A_22_5"/>
      <w:bookmarkStart w:id="158" w:name="Tc_SHQdPRkMY0GU8NOrRKLnhw_22_2"/>
      <w:bookmarkStart w:id="159" w:name="Tc_graTdMawaEWjBt24enXMFQ_22_0"/>
      <w:bookmarkStart w:id="160" w:name="Tc_4URdf2B66kKGZ19A2sHznQ_21_0"/>
      <w:bookmarkStart w:id="161" w:name="Tc_PDScY2ISrEadWFZlHrJA0g_20_0"/>
      <w:bookmarkStart w:id="162" w:name="Tc_8BE4R2XOuEazoNS7IVrPtQ_19_8"/>
      <w:bookmarkStart w:id="163" w:name="Tc_G9_A_tskxkaNb0HE5YtpUg_19_5"/>
      <w:bookmarkStart w:id="164" w:name="Tc_S6NJvFk8X0yQtp1iNJBHHA_19_2"/>
      <w:bookmarkStart w:id="165" w:name="Tc_mDawhZL6W06q0A-E9LQegw_19_0"/>
      <w:bookmarkStart w:id="166" w:name="Tc_7-mbqRgjtE2VtEO3_GNBgQ_18_0"/>
      <w:bookmarkStart w:id="167" w:name="Tc_38zSS8lGiU6XOgNQ9nY5rw_17_0"/>
      <w:bookmarkStart w:id="168" w:name="Tc_jJa4TBny_ka_1Hioo3_HoA_16_0"/>
      <w:bookmarkStart w:id="169" w:name="Tc_X3XGJIfBX0OSayXYldlScQ_15_0"/>
      <w:bookmarkStart w:id="170" w:name="Tc_wCCEn3pM0EijHL2c2u_1Tg_14_0"/>
      <w:bookmarkStart w:id="171" w:name="Tc_HGIbZH9-AEmPT6KuwzWZmg_13_0"/>
      <w:bookmarkStart w:id="172" w:name="Tc_dzokDs9ykEW9I0DuoCKG3g_11_0"/>
      <w:bookmarkStart w:id="173" w:name="Tc_-iUTJT_t9U-Vt8WpO72vxg_10_0"/>
      <w:bookmarkStart w:id="174" w:name="Tc_jtX1OP-NDUOk2ApiK_W93A_9_0"/>
      <w:bookmarkStart w:id="175" w:name="Tc_PqJR3JJrHEOECAppiPTeew_8_0"/>
      <w:bookmarkStart w:id="176" w:name="Tc_S0gloiCO6ECwOiHztjPjGA_7_0"/>
      <w:bookmarkStart w:id="177" w:name="Tc_uCih5KspdUSCmgDmxeR-Dg_6_0"/>
      <w:bookmarkStart w:id="178" w:name="Tc_hhs-yqAsi0W4jzdgN-h8ng_5_8"/>
      <w:bookmarkStart w:id="179" w:name="Tc_--WMAJqGuE2N2FnNgabN3A_5_5"/>
      <w:bookmarkStart w:id="180" w:name="Tc_HVlt4d2XDkWY1DS67diVAw_5_2"/>
      <w:bookmarkStart w:id="181" w:name="Tc_RZeCaDdZKkmWcw997jEUPg_5_0"/>
      <w:bookmarkStart w:id="182" w:name="Tc_gynaqNdGb0yw_sqamUZzsQ_4_0"/>
      <w:bookmarkStart w:id="183" w:name="Tc_epJMzsYU2EiIz0e3Pp2NOQ_3_0"/>
      <w:bookmarkStart w:id="184" w:name="Tc_A37Boi3PYk2J8Xayb5d-qQ_2_8"/>
      <w:bookmarkStart w:id="185" w:name="Tc_ZdShIXB_0E6wSksURbZZHg_2_5"/>
      <w:bookmarkStart w:id="186" w:name="Tc_hVjUkNk3ik-BSUowuoSoqA_2_2"/>
      <w:bookmarkStart w:id="187" w:name="Tc_gcQTzxjYGk2I8SxOhgfUqw_1_8"/>
      <w:bookmarkStart w:id="188" w:name="Tc_5cmuswsigUWa69sSekyLmA_1_5"/>
      <w:bookmarkStart w:id="189" w:name="Tc_FPjt_GvptE6CffEXy7_lgw_1_2"/>
      <w:bookmarkStart w:id="190" w:name="_0d7fe78f_57df_4c7d_938c_576740c43e13"/>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6261"/>
        <w:gridCol w:w="226"/>
        <w:gridCol w:w="196"/>
        <w:gridCol w:w="826"/>
        <w:gridCol w:w="109"/>
        <w:gridCol w:w="216"/>
        <w:gridCol w:w="912"/>
        <w:gridCol w:w="346"/>
        <w:gridCol w:w="196"/>
        <w:gridCol w:w="917"/>
      </w:tblGrid>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175260"/>
                      <wp:effectExtent l="0" t="0" r="0" b="0"/>
                      <wp:wrapNone/>
                      <wp:docPr id="6" name="Frame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160" cy="175260"/>
                      <wp:effectExtent l="0" t="0" r="0" b="0"/>
                      <wp:wrapNone/>
                      <wp:docPr id="8" name="Frame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9120" cy="175260"/>
                      <wp:effectExtent l="0" t="0" r="0" b="0"/>
                      <wp:wrapNone/>
                      <wp:docPr id="9" name="Frame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2295" cy="175260"/>
                      <wp:effectExtent l="0" t="0" r="0" b="0"/>
                      <wp:wrapNone/>
                      <wp:docPr id="12" name="Frame1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w:t>
            </w:r>
          </w:p>
        </w:tc>
        <w:tc>
          <w:tcPr>
            <w:tcW w:w="109" w:type="dxa"/>
            <w:tcBorders/>
            <w:vAlign w:val="center"/>
          </w:tcPr>
          <w:p>
            <w:pPr>
              <w:pStyle w:val="TableContents"/>
              <w:bidi w:val="0"/>
              <w:spacing w:before="0" w:after="0"/>
              <w:ind w:left="0" w:right="0" w:hanging="0"/>
              <w:jc w:val="center"/>
              <w:rPr/>
            </w:pPr>
            <w:r>
              <w:rPr/>
              <w:t>​</w:t>
            </w:r>
          </w:p>
        </w:tc>
        <w:tc>
          <w:tcPr>
            <w:tcW w:w="1128"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December 31, </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June 30, </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2026</w:t>
            </w:r>
          </w:p>
        </w:tc>
        <w:tc>
          <w:tcPr>
            <w:tcW w:w="109" w:type="dxa"/>
            <w:tcBorders/>
            <w:vAlign w:val="center"/>
          </w:tcPr>
          <w:p>
            <w:pPr>
              <w:pStyle w:val="TableContents"/>
              <w:bidi w:val="0"/>
              <w:spacing w:before="0" w:after="0"/>
              <w:ind w:left="0" w:right="0" w:hanging="0"/>
              <w:jc w:val="center"/>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2025</w:t>
            </w:r>
          </w:p>
        </w:tc>
        <w:tc>
          <w:tcPr>
            <w:tcW w:w="346" w:type="dxa"/>
            <w:tcBorders/>
            <w:vAlign w:val="center"/>
          </w:tcPr>
          <w:p>
            <w:pPr>
              <w:pStyle w:val="TableContents"/>
              <w:bidi w:val="0"/>
              <w:spacing w:before="0" w:after="0"/>
              <w:ind w:left="0" w:right="0" w:hanging="0"/>
              <w:jc w:val="center"/>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2025</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assets: </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both"/>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Cash and cash equivalents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224,069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215,043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118,084</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Contracts in transit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138,901</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53,327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163,767</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receivable,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161,979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170,498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137,822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Inventories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1,860,298</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2,111,900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2,061,160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Prepaid expenses and other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68,441</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67,338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57,974</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Assets held for sale</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175</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15,202</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2,453,863</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2,618,281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2,554,009</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Property and equipment,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818,734</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832,062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910,052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assets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786,101</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790,974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716,020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tax assets,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1,426</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1,426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211,435</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Intangible assets, net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14,065</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15,824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17,602</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Goodwill</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751,661</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749,321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748,561</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assets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32,943</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36,446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34,168</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4,858,793</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5,044,334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5,191,847</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Liabilities and stockholders' equity</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liabilities: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payable</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253,501</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147,707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283,450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Accrued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159,683</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128,399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182,581</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88,259</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90,456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94,041</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operating lease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64,629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65,365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65,488</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finance lease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8,920</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19,514</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Tax Receivable Agreement liability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1,700</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long-term debt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27,792</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57,939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23,023</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Notes payable – floor plan,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1,324,184</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1,603,645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1,280,102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current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82,064</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79,391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79,167</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2,009,032</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2,183,138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2,029,066</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liabilities, net of current portion</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810,047</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804,167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734,083</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Finance lease liabilities, net of current portion</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124,119</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125,384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128,598</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Tax Receivable Agreement liability, net of current portion</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148,672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Long-term debt, net of current portion</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1,377,503</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1,413,618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1,483,470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50,782</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56,773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63,337</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long-term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88,506</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89,455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88,042</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4,459,989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4,672,535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4,675,268</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Commitments and contingencies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Stockholders' equity: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Preferred stock, par value $0.01</w:t>
            </w:r>
            <w:r>
              <w:rPr>
                <w:rFonts w:ascii="Arial;Helvetica;sans-serif" w:hAnsi="Arial;Helvetica;sans-serif"/>
                <w:sz w:val="14"/>
              </w:rPr>
              <w:t xml:space="preserve"> </w:t>
            </w:r>
            <w:r>
              <w:rPr>
                <w:rFonts w:ascii="Arial;Helvetica;sans-serif" w:hAnsi="Arial;Helvetica;sans-serif"/>
                <w:sz w:val="15"/>
              </w:rPr>
              <w:t>per share – 20,000</w:t>
            </w:r>
            <w:r>
              <w:rPr>
                <w:rFonts w:ascii="Arial;Helvetica;sans-serif" w:hAnsi="Arial;Helvetica;sans-serif"/>
                <w:sz w:val="14"/>
              </w:rPr>
              <w:t xml:space="preserve"> </w:t>
            </w:r>
            <w:r>
              <w:rPr>
                <w:rFonts w:ascii="Arial;Helvetica;sans-serif" w:hAnsi="Arial;Helvetica;sans-serif"/>
                <w:sz w:val="15"/>
              </w:rPr>
              <w:t>shares authorized; none</w:t>
            </w:r>
            <w:r>
              <w:rPr>
                <w:rFonts w:ascii="Arial;Helvetica;sans-serif" w:hAnsi="Arial;Helvetica;sans-serif"/>
                <w:sz w:val="14"/>
              </w:rPr>
              <w:t xml:space="preserve"> </w:t>
            </w:r>
            <w:r>
              <w:rPr>
                <w:rFonts w:ascii="Arial;Helvetica;sans-serif" w:hAnsi="Arial;Helvetica;sans-serif"/>
                <w:sz w:val="15"/>
              </w:rPr>
              <w:t>issued and outstanding</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A common stock, par value $0.01</w:t>
            </w:r>
            <w:r>
              <w:rPr>
                <w:rFonts w:ascii="Arial;Helvetica;sans-serif" w:hAnsi="Arial;Helvetica;sans-serif"/>
                <w:sz w:val="14"/>
              </w:rPr>
              <w:t xml:space="preserve"> </w:t>
            </w:r>
            <w:r>
              <w:rPr>
                <w:rFonts w:ascii="Arial;Helvetica;sans-serif" w:hAnsi="Arial;Helvetica;sans-serif"/>
                <w:sz w:val="15"/>
              </w:rPr>
              <w:t>per share – 250,000</w:t>
            </w:r>
            <w:r>
              <w:rPr>
                <w:rFonts w:ascii="Arial;Helvetica;sans-serif" w:hAnsi="Arial;Helvetica;sans-serif"/>
                <w:sz w:val="14"/>
              </w:rPr>
              <w:t xml:space="preserve"> </w:t>
            </w:r>
            <w:r>
              <w:rPr>
                <w:rFonts w:ascii="Arial;Helvetica;sans-serif" w:hAnsi="Arial;Helvetica;sans-serif"/>
                <w:sz w:val="15"/>
              </w:rPr>
              <w:t>shares authorized; 63,828, 63,437</w:t>
            </w:r>
            <w:r>
              <w:rPr>
                <w:rFonts w:ascii="Arial;Helvetica;sans-serif" w:hAnsi="Arial;Helvetica;sans-serif"/>
                <w:sz w:val="14"/>
              </w:rPr>
              <w:t xml:space="preserve"> </w:t>
            </w:r>
            <w:r>
              <w:rPr>
                <w:rFonts w:ascii="Arial;Helvetica;sans-serif" w:hAnsi="Arial;Helvetica;sans-serif"/>
                <w:sz w:val="15"/>
              </w:rPr>
              <w:t>and 62,649</w:t>
            </w:r>
            <w:r>
              <w:rPr>
                <w:rFonts w:ascii="Arial;Helvetica;sans-serif" w:hAnsi="Arial;Helvetica;sans-serif"/>
                <w:sz w:val="14"/>
              </w:rPr>
              <w:t xml:space="preserve"> </w:t>
            </w:r>
            <w:r>
              <w:rPr>
                <w:rFonts w:ascii="Arial;Helvetica;sans-serif" w:hAnsi="Arial;Helvetica;sans-serif"/>
                <w:sz w:val="15"/>
              </w:rPr>
              <w:t>shares issued and outstanding, respectively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638</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626</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B common stock, par value $0.0001</w:t>
            </w:r>
            <w:r>
              <w:rPr>
                <w:rFonts w:ascii="Arial;Helvetica;sans-serif" w:hAnsi="Arial;Helvetica;sans-serif"/>
                <w:sz w:val="14"/>
              </w:rPr>
              <w:t xml:space="preserve"> </w:t>
            </w:r>
            <w:r>
              <w:rPr>
                <w:rFonts w:ascii="Arial;Helvetica;sans-serif" w:hAnsi="Arial;Helvetica;sans-serif"/>
                <w:sz w:val="15"/>
              </w:rPr>
              <w:t>per share – 75,000</w:t>
            </w:r>
            <w:r>
              <w:rPr>
                <w:rFonts w:ascii="Arial;Helvetica;sans-serif" w:hAnsi="Arial;Helvetica;sans-serif"/>
                <w:sz w:val="14"/>
              </w:rPr>
              <w:t xml:space="preserve"> </w:t>
            </w:r>
            <w:r>
              <w:rPr>
                <w:rFonts w:ascii="Arial;Helvetica;sans-serif" w:hAnsi="Arial;Helvetica;sans-serif"/>
                <w:sz w:val="15"/>
              </w:rPr>
              <w:t>shares authorized; 39,466</w:t>
            </w:r>
            <w:r>
              <w:rPr>
                <w:rFonts w:ascii="Arial;Helvetica;sans-serif" w:hAnsi="Arial;Helvetica;sans-serif"/>
                <w:sz w:val="14"/>
              </w:rPr>
              <w:t xml:space="preserve"> </w:t>
            </w:r>
            <w:r>
              <w:rPr>
                <w:rFonts w:ascii="Arial;Helvetica;sans-serif" w:hAnsi="Arial;Helvetica;sans-serif"/>
                <w:sz w:val="15"/>
              </w:rPr>
              <w:t>shares issued and outstanding</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C common stock, par value $0.0001</w:t>
            </w:r>
            <w:r>
              <w:rPr>
                <w:rFonts w:ascii="Arial;Helvetica;sans-serif" w:hAnsi="Arial;Helvetica;sans-serif"/>
                <w:sz w:val="14"/>
              </w:rPr>
              <w:t xml:space="preserve"> </w:t>
            </w:r>
            <w:r>
              <w:rPr>
                <w:rFonts w:ascii="Arial;Helvetica;sans-serif" w:hAnsi="Arial;Helvetica;sans-serif"/>
                <w:sz w:val="15"/>
              </w:rPr>
              <w:t>per share – 0.001</w:t>
            </w:r>
            <w:r>
              <w:rPr>
                <w:rFonts w:ascii="Arial;Helvetica;sans-serif" w:hAnsi="Arial;Helvetica;sans-serif"/>
                <w:sz w:val="14"/>
              </w:rPr>
              <w:t xml:space="preserve"> </w:t>
            </w:r>
            <w:r>
              <w:rPr>
                <w:rFonts w:ascii="Arial;Helvetica;sans-serif" w:hAnsi="Arial;Helvetica;sans-serif"/>
                <w:sz w:val="15"/>
              </w:rPr>
              <w:t>share authorized, issued</w:t>
            </w:r>
            <w:r>
              <w:rPr>
                <w:rFonts w:ascii="Arial;Helvetica;sans-serif" w:hAnsi="Arial;Helvetica;sans-serif"/>
                <w:sz w:val="14"/>
              </w:rPr>
              <w:t xml:space="preserve"> </w:t>
            </w:r>
            <w:r>
              <w:rPr>
                <w:rFonts w:ascii="Arial;Helvetica;sans-serif" w:hAnsi="Arial;Helvetica;sans-serif"/>
                <w:sz w:val="15"/>
              </w:rPr>
              <w:t xml:space="preserve">and outstanding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Additional paid-in capital</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223,593</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216,944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205,383</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Retained earnings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21,466</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11,008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134,525</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stockholders' equity attributable to Camping World Holdings, Inc.</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245,701</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228,590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340,538</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Non-controlling interests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153,103</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143,209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176,041</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stockholders' equity </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398,804</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371,799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516,579</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liabilities and stockholders' equity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4,858,793</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5,044,334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Arial;Helvetica;sans-serif" w:hAnsi="Arial;Helvetica;sans-serif"/>
                <w:sz w:val="15"/>
              </w:rPr>
            </w:pPr>
            <w:r>
              <w:rPr>
                <w:rFonts w:ascii="Arial;Helvetica;sans-serif" w:hAnsi="Arial;Helvetica;sans-serif"/>
                <w:sz w:val="15"/>
              </w:rPr>
              <w:t>5,191,847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17"/>
        </w:rPr>
      </w:pPr>
      <w:bookmarkStart w:id="191" w:name="_807f5f58_2fdd_4e53_ba78_d696570a5d10"/>
      <w:bookmarkEnd w:id="191"/>
      <w:r>
        <w:rPr>
          <w:rFonts w:ascii="Arial;Helvetica;sans-serif" w:hAnsi="Arial;Helvetica;sans-serif"/>
          <w:sz w:val="17"/>
        </w:rPr>
        <w:t>Camping World Holdings, Inc. and Subsidiaries</w:t>
      </w:r>
    </w:p>
    <w:p>
      <w:pPr>
        <w:pStyle w:val="TextBody"/>
        <w:bidi w:val="0"/>
        <w:spacing w:before="0" w:after="0"/>
        <w:ind w:left="0" w:right="0" w:hanging="0"/>
        <w:jc w:val="center"/>
        <w:rPr>
          <w:rFonts w:ascii="Arial;Helvetica;sans-serif" w:hAnsi="Arial;Helvetica;sans-serif"/>
          <w:sz w:val="17"/>
        </w:rPr>
      </w:pPr>
      <w:bookmarkStart w:id="192" w:name="CondensedConsolidatedStatementsofOperati"/>
      <w:bookmarkEnd w:id="192"/>
      <w:r>
        <w:rPr>
          <w:rFonts w:ascii="Arial;Helvetica;sans-serif" w:hAnsi="Arial;Helvetica;sans-serif"/>
          <w:sz w:val="17"/>
        </w:rPr>
        <w:t>Unaudited Condensed Consolidated Statements of Operations</w:t>
      </w:r>
    </w:p>
    <w:p>
      <w:pPr>
        <w:pStyle w:val="TextBody"/>
        <w:bidi w:val="0"/>
        <w:spacing w:before="0" w:after="0"/>
        <w:ind w:left="0" w:right="0" w:hanging="0"/>
        <w:jc w:val="center"/>
        <w:rPr>
          <w:rFonts w:ascii="Arial;Helvetica;sans-serif" w:hAnsi="Arial;Helvetica;sans-serif"/>
          <w:sz w:val="17"/>
        </w:rPr>
      </w:pPr>
      <w:r>
        <w:rPr>
          <w:rFonts w:ascii="Arial;Helvetica;sans-serif" w:hAnsi="Arial;Helvetica;sans-serif"/>
          <w:sz w:val="17"/>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3" w:name="Tc_rlzVxzQc_keJXOyeJRz9gg_47_0"/>
      <w:bookmarkStart w:id="194" w:name="Tc_hrqkvzE6C0SGC3htN3OzYA_46_0"/>
      <w:bookmarkStart w:id="195" w:name="Tc_4vGJ0p_j7kibUuf0n3VLpQ_45_0"/>
      <w:bookmarkStart w:id="196" w:name="Tc_NgiFjAerc02jsXPIefc2sQ_44_11"/>
      <w:bookmarkStart w:id="197" w:name="Tc_d0V1djchT0yqGgSecY1ADQ_44_8"/>
      <w:bookmarkStart w:id="198" w:name="Tc_9Tf8ePaDCkm_JA1FJiC1TA_44_5"/>
      <w:bookmarkStart w:id="199" w:name="Tc_jfcjgW7G-UOXtFS2Hnxs8w_44_2"/>
      <w:bookmarkStart w:id="200" w:name="Tc_VV5j9GueT0672NbwqSMdXw_44_0"/>
      <w:bookmarkStart w:id="201" w:name="Tc_zl22r7OioU67rK1mnFYpQw_43_11"/>
      <w:bookmarkStart w:id="202" w:name="Tc_9RGI_wi-zEuxsWdpn-TGnA_43_8"/>
      <w:bookmarkStart w:id="203" w:name="Tc_jOHuin4W-0SuC-qYbmTajQ_43_5"/>
      <w:bookmarkStart w:id="204" w:name="Tc_4GHhItumXUCZTji1FEibrQ_43_2"/>
      <w:bookmarkStart w:id="205" w:name="Tc_uIryw_08oUu4FSnaMYhjcw_43_0"/>
      <w:bookmarkStart w:id="206" w:name="Tc_3Tbmhb4bBUaSw_mIz1uq-w_42_0"/>
      <w:bookmarkStart w:id="207" w:name="Tc_Fiq5qFIYRU-ajrUpIxVCxA_40_11"/>
      <w:bookmarkStart w:id="208" w:name="Tc_FIJPlD7kTkao2BbL_6oN7A_40_8"/>
      <w:bookmarkStart w:id="209" w:name="Tc_UoYoX7ABjUCLKFrZB1TR8w_40_5"/>
      <w:bookmarkStart w:id="210" w:name="Tc_NS4In0tWrky2_DS28BUk0Q_40_2"/>
      <w:bookmarkStart w:id="211" w:name="Tc_Ny0tJov0NkmW5IUDgdVZQg_40_0"/>
      <w:bookmarkStart w:id="212" w:name="Tc_psvzTUxD3Emo65EK-CX30A_39_0"/>
      <w:bookmarkStart w:id="213" w:name="Tc_cRCd35m5QkqIbU_im0aMoA_38_0"/>
      <w:bookmarkStart w:id="214" w:name="Tc_1gVjEPar8ESfh7A1UD0x5w_37_0"/>
      <w:bookmarkStart w:id="215" w:name="Tc_7qG2r4gnfEWw_E-DRjAkeA_36_0"/>
      <w:bookmarkStart w:id="216" w:name="Tc_Y6d6ZihYsE25lK4m8V7ZpQ_35_0"/>
      <w:bookmarkStart w:id="217" w:name="Tc_A_nN5Nw6Aka6JzCE2XgUiQ_34_3"/>
      <w:bookmarkStart w:id="218" w:name="Tc_A1D3CkRltkW59-ACmOfNxw_34_0"/>
      <w:bookmarkStart w:id="219" w:name="Tc_Tai7u0Uq40eqXEIP-j9j6A_33_0"/>
      <w:bookmarkStart w:id="220" w:name="Tc_wRUQq-8SF0yOUNZJTrNNsg_32_0"/>
      <w:bookmarkStart w:id="221" w:name="Tc_-NxcyqXIUkefNMcLcc6KFQ_31_0"/>
      <w:bookmarkStart w:id="222" w:name="Tc_TMnj5RxuOkaNlRX_pDaa2g_30_0"/>
      <w:bookmarkStart w:id="223" w:name="Tc_lUwzZZiFxUOeL5swTBvEng_29_0"/>
      <w:bookmarkStart w:id="224" w:name="Tc_69hTP2RZg0usFgT5_jjqTw_28_0"/>
      <w:bookmarkStart w:id="225" w:name="Tc_M-E5znEcJ0S1hVIjjNgKBg_27_0"/>
      <w:bookmarkStart w:id="226" w:name="Tc_meARwfgEDUqdg-QnaGEE4Q_26_0"/>
      <w:bookmarkStart w:id="227" w:name="Tc_PhwZFh89k06MHK5K_MeHOw_25_0"/>
      <w:bookmarkStart w:id="228" w:name="Tc_0PvBdwtfhUiGrfJO-9Lxcw_24_0"/>
      <w:bookmarkStart w:id="229" w:name="Tc_sGK6BaV0o0G939EpASZB0Q_23_0"/>
      <w:bookmarkStart w:id="230" w:name="Tc_kYpSkUIiYUWOpzwfQlbnbg_22_0"/>
      <w:bookmarkStart w:id="231" w:name="Tc_nEB_hdjXcEu5hT15yqP_BQ_21_0"/>
      <w:bookmarkStart w:id="232" w:name="Tc_4Gp04VdvRES2llo2GNWkkw_20_0"/>
      <w:bookmarkStart w:id="233" w:name="Tc_fn3mrHFQG0SHwEbpywjKBw_19_0"/>
      <w:bookmarkStart w:id="234" w:name="Tc_sB5_gY5HoUudDfvrVVe8wQ_18_0"/>
      <w:bookmarkStart w:id="235" w:name="Tc_NNDtXBxV0Ey2ot1m5lc4Og_17_0"/>
      <w:bookmarkStart w:id="236" w:name="Tc_NtsBAIQ0k0aiRRVnALg5Aw_16_0"/>
      <w:bookmarkStart w:id="237" w:name="Tc_1Al_XJBdGEeoBiMmdGK_-A_15_0"/>
      <w:bookmarkStart w:id="238" w:name="Tc_ozpk_AFw0EKcvDQcKJi9QA_14_0"/>
      <w:bookmarkStart w:id="239" w:name="Tc_UxigP7KTyEWNLwHPicP9cA_13_0"/>
      <w:bookmarkStart w:id="240" w:name="Tc_wEwcPIYJk0iSdKwHTqRxXA_12_0"/>
      <w:bookmarkStart w:id="241" w:name="Tc_QNkSX1gCRU2LbtyrFFdaqg_11_0"/>
      <w:bookmarkStart w:id="242" w:name="Tc_A3IZ5wa9Uku_6Pial18uVg_10_0"/>
      <w:bookmarkStart w:id="243" w:name="Tc_yx1t25e4Vkm8DLoFwDV56w_9_0"/>
      <w:bookmarkStart w:id="244" w:name="Tc_jx-fZCzwmUCYZWsoI6YT0A_8_0"/>
      <w:bookmarkStart w:id="245" w:name="Tc_SEsXFDEQbkeuDRqyCZEMLw_7_0"/>
      <w:bookmarkStart w:id="246" w:name="Tc_bJRDySWNBUWKk4AZznxRRA_6_0"/>
      <w:bookmarkStart w:id="247" w:name="Tc_5mh6HJgDkkmME5d-0mHOKw_5_11"/>
      <w:bookmarkStart w:id="248" w:name="Tc_MbZl_myJbES7KQ_oeAZNMA_5_8"/>
      <w:bookmarkStart w:id="249" w:name="Tc_a-UiPzxeGkaROEk_rIeCNw_5_5"/>
      <w:bookmarkStart w:id="250" w:name="Tc_EFg2q1thjE2GNbCVYVenLg_5_2"/>
      <w:bookmarkStart w:id="251" w:name="Tc_Vt7Qs_DM2k6_z0f8sOEp0A_5_0"/>
      <w:bookmarkStart w:id="252" w:name="Tc_rIJdd4D8fkalzd8M9YkLEA_4_0"/>
      <w:bookmarkStart w:id="253" w:name="Tc_bsqN3v9pAkiFVyfb5bmGeQ_3_11"/>
      <w:bookmarkStart w:id="254" w:name="Tc_oS8dgzFpa0-5f31ZKgF66g_3_8"/>
      <w:bookmarkStart w:id="255" w:name="Tc_G3qvhufQCkO-ZH_CnhYwWg_3_5"/>
      <w:bookmarkStart w:id="256" w:name="Tc_tvDcq5e500OTTiStkQz3lw_3_2"/>
      <w:bookmarkStart w:id="257" w:name="Tc_RK3dzIGweUGbTESC5253QA_2_8"/>
      <w:bookmarkStart w:id="258" w:name="Tc_SBcBcBZKZECDKYFJRPqh8A_2_2"/>
      <w:bookmarkStart w:id="259" w:name="Tc_YYJacxVR0U2MmGi7AzdMjA_1_8"/>
      <w:bookmarkStart w:id="260" w:name="Tc_d2jYQNX7-k-kEdhpYPDFHA_1_2"/>
      <w:bookmarkStart w:id="261" w:name="_1d885dc6_a976_4f9e_b994_cdd59ca15b19"/>
      <w:bookmarkStart w:id="262" w:name="Tc_rlzVxzQc_keJXOyeJRz9gg_47_0"/>
      <w:bookmarkStart w:id="263" w:name="Tc_hrqkvzE6C0SGC3htN3OzYA_46_0"/>
      <w:bookmarkStart w:id="264" w:name="Tc_4vGJ0p_j7kibUuf0n3VLpQ_45_0"/>
      <w:bookmarkStart w:id="265" w:name="Tc_NgiFjAerc02jsXPIefc2sQ_44_11"/>
      <w:bookmarkStart w:id="266" w:name="Tc_d0V1djchT0yqGgSecY1ADQ_44_8"/>
      <w:bookmarkStart w:id="267" w:name="Tc_9Tf8ePaDCkm_JA1FJiC1TA_44_5"/>
      <w:bookmarkStart w:id="268" w:name="Tc_jfcjgW7G-UOXtFS2Hnxs8w_44_2"/>
      <w:bookmarkStart w:id="269" w:name="Tc_VV5j9GueT0672NbwqSMdXw_44_0"/>
      <w:bookmarkStart w:id="270" w:name="Tc_zl22r7OioU67rK1mnFYpQw_43_11"/>
      <w:bookmarkStart w:id="271" w:name="Tc_9RGI_wi-zEuxsWdpn-TGnA_43_8"/>
      <w:bookmarkStart w:id="272" w:name="Tc_jOHuin4W-0SuC-qYbmTajQ_43_5"/>
      <w:bookmarkStart w:id="273" w:name="Tc_4GHhItumXUCZTji1FEibrQ_43_2"/>
      <w:bookmarkStart w:id="274" w:name="Tc_uIryw_08oUu4FSnaMYhjcw_43_0"/>
      <w:bookmarkStart w:id="275" w:name="Tc_3Tbmhb4bBUaSw_mIz1uq-w_42_0"/>
      <w:bookmarkStart w:id="276" w:name="Tc_Fiq5qFIYRU-ajrUpIxVCxA_40_11"/>
      <w:bookmarkStart w:id="277" w:name="Tc_FIJPlD7kTkao2BbL_6oN7A_40_8"/>
      <w:bookmarkStart w:id="278" w:name="Tc_UoYoX7ABjUCLKFrZB1TR8w_40_5"/>
      <w:bookmarkStart w:id="279" w:name="Tc_NS4In0tWrky2_DS28BUk0Q_40_2"/>
      <w:bookmarkStart w:id="280" w:name="Tc_Ny0tJov0NkmW5IUDgdVZQg_40_0"/>
      <w:bookmarkStart w:id="281" w:name="Tc_psvzTUxD3Emo65EK-CX30A_39_0"/>
      <w:bookmarkStart w:id="282" w:name="Tc_cRCd35m5QkqIbU_im0aMoA_38_0"/>
      <w:bookmarkStart w:id="283" w:name="Tc_1gVjEPar8ESfh7A1UD0x5w_37_0"/>
      <w:bookmarkStart w:id="284" w:name="Tc_7qG2r4gnfEWw_E-DRjAkeA_36_0"/>
      <w:bookmarkStart w:id="285" w:name="Tc_Y6d6ZihYsE25lK4m8V7ZpQ_35_0"/>
      <w:bookmarkStart w:id="286" w:name="Tc_A_nN5Nw6Aka6JzCE2XgUiQ_34_3"/>
      <w:bookmarkStart w:id="287" w:name="Tc_A1D3CkRltkW59-ACmOfNxw_34_0"/>
      <w:bookmarkStart w:id="288" w:name="Tc_Tai7u0Uq40eqXEIP-j9j6A_33_0"/>
      <w:bookmarkStart w:id="289" w:name="Tc_wRUQq-8SF0yOUNZJTrNNsg_32_0"/>
      <w:bookmarkStart w:id="290" w:name="Tc_-NxcyqXIUkefNMcLcc6KFQ_31_0"/>
      <w:bookmarkStart w:id="291" w:name="Tc_TMnj5RxuOkaNlRX_pDaa2g_30_0"/>
      <w:bookmarkStart w:id="292" w:name="Tc_lUwzZZiFxUOeL5swTBvEng_29_0"/>
      <w:bookmarkStart w:id="293" w:name="Tc_69hTP2RZg0usFgT5_jjqTw_28_0"/>
      <w:bookmarkStart w:id="294" w:name="Tc_M-E5znEcJ0S1hVIjjNgKBg_27_0"/>
      <w:bookmarkStart w:id="295" w:name="Tc_meARwfgEDUqdg-QnaGEE4Q_26_0"/>
      <w:bookmarkStart w:id="296" w:name="Tc_PhwZFh89k06MHK5K_MeHOw_25_0"/>
      <w:bookmarkStart w:id="297" w:name="Tc_0PvBdwtfhUiGrfJO-9Lxcw_24_0"/>
      <w:bookmarkStart w:id="298" w:name="Tc_sGK6BaV0o0G939EpASZB0Q_23_0"/>
      <w:bookmarkStart w:id="299" w:name="Tc_kYpSkUIiYUWOpzwfQlbnbg_22_0"/>
      <w:bookmarkStart w:id="300" w:name="Tc_nEB_hdjXcEu5hT15yqP_BQ_21_0"/>
      <w:bookmarkStart w:id="301" w:name="Tc_4Gp04VdvRES2llo2GNWkkw_20_0"/>
      <w:bookmarkStart w:id="302" w:name="Tc_fn3mrHFQG0SHwEbpywjKBw_19_0"/>
      <w:bookmarkStart w:id="303" w:name="Tc_sB5_gY5HoUudDfvrVVe8wQ_18_0"/>
      <w:bookmarkStart w:id="304" w:name="Tc_NNDtXBxV0Ey2ot1m5lc4Og_17_0"/>
      <w:bookmarkStart w:id="305" w:name="Tc_NtsBAIQ0k0aiRRVnALg5Aw_16_0"/>
      <w:bookmarkStart w:id="306" w:name="Tc_1Al_XJBdGEeoBiMmdGK_-A_15_0"/>
      <w:bookmarkStart w:id="307" w:name="Tc_ozpk_AFw0EKcvDQcKJi9QA_14_0"/>
      <w:bookmarkStart w:id="308" w:name="Tc_UxigP7KTyEWNLwHPicP9cA_13_0"/>
      <w:bookmarkStart w:id="309" w:name="Tc_wEwcPIYJk0iSdKwHTqRxXA_12_0"/>
      <w:bookmarkStart w:id="310" w:name="Tc_QNkSX1gCRU2LbtyrFFdaqg_11_0"/>
      <w:bookmarkStart w:id="311" w:name="Tc_A3IZ5wa9Uku_6Pial18uVg_10_0"/>
      <w:bookmarkStart w:id="312" w:name="Tc_yx1t25e4Vkm8DLoFwDV56w_9_0"/>
      <w:bookmarkStart w:id="313" w:name="Tc_jx-fZCzwmUCYZWsoI6YT0A_8_0"/>
      <w:bookmarkStart w:id="314" w:name="Tc_SEsXFDEQbkeuDRqyCZEMLw_7_0"/>
      <w:bookmarkStart w:id="315" w:name="Tc_bJRDySWNBUWKk4AZznxRRA_6_0"/>
      <w:bookmarkStart w:id="316" w:name="Tc_5mh6HJgDkkmME5d-0mHOKw_5_11"/>
      <w:bookmarkStart w:id="317" w:name="Tc_MbZl_myJbES7KQ_oeAZNMA_5_8"/>
      <w:bookmarkStart w:id="318" w:name="Tc_a-UiPzxeGkaROEk_rIeCNw_5_5"/>
      <w:bookmarkStart w:id="319" w:name="Tc_EFg2q1thjE2GNbCVYVenLg_5_2"/>
      <w:bookmarkStart w:id="320" w:name="Tc_Vt7Qs_DM2k6_z0f8sOEp0A_5_0"/>
      <w:bookmarkStart w:id="321" w:name="Tc_rIJdd4D8fkalzd8M9YkLEA_4_0"/>
      <w:bookmarkStart w:id="322" w:name="Tc_bsqN3v9pAkiFVyfb5bmGeQ_3_11"/>
      <w:bookmarkStart w:id="323" w:name="Tc_oS8dgzFpa0-5f31ZKgF66g_3_8"/>
      <w:bookmarkStart w:id="324" w:name="Tc_G3qvhufQCkO-ZH_CnhYwWg_3_5"/>
      <w:bookmarkStart w:id="325" w:name="Tc_tvDcq5e500OTTiStkQz3lw_3_2"/>
      <w:bookmarkStart w:id="326" w:name="Tc_RK3dzIGweUGbTESC5253QA_2_8"/>
      <w:bookmarkStart w:id="327" w:name="Tc_SBcBcBZKZECDKYFJRPqh8A_2_2"/>
      <w:bookmarkStart w:id="328" w:name="Tc_YYJacxVR0U2MmGi7AzdMjA_1_8"/>
      <w:bookmarkStart w:id="329" w:name="Tc_d2jYQNX7-k-kEdhpYPDFHA_1_2"/>
      <w:bookmarkStart w:id="330" w:name="_1d885dc6_a976_4f9e_b994_cdd59ca15b19"/>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10205" w:type="dxa"/>
        <w:jc w:val="left"/>
        <w:tblInd w:w="0" w:type="dxa"/>
        <w:tblLayout w:type="fixed"/>
        <w:tblCellMar>
          <w:top w:w="0" w:type="dxa"/>
          <w:left w:w="0" w:type="dxa"/>
          <w:bottom w:w="0" w:type="dxa"/>
          <w:right w:w="0" w:type="dxa"/>
        </w:tblCellMar>
      </w:tblPr>
      <w:tblGrid>
        <w:gridCol w:w="4925"/>
        <w:gridCol w:w="109"/>
        <w:gridCol w:w="196"/>
        <w:gridCol w:w="826"/>
        <w:gridCol w:w="346"/>
        <w:gridCol w:w="196"/>
        <w:gridCol w:w="826"/>
        <w:gridCol w:w="346"/>
        <w:gridCol w:w="196"/>
        <w:gridCol w:w="826"/>
        <w:gridCol w:w="346"/>
        <w:gridCol w:w="196"/>
        <w:gridCol w:w="871"/>
      </w:tblGrid>
      <w:tr>
        <w:trPr/>
        <w:tc>
          <w:tcPr>
            <w:tcW w:w="492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both"/>
              <w:rPr/>
            </w:pPr>
            <w:r>
              <w:rPr/>
              <w:t>​</w:t>
            </w:r>
          </w:p>
        </w:tc>
      </w:tr>
      <w:tr>
        <w:trPr/>
        <w:tc>
          <w:tcPr>
            <w:tcW w:w="492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9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0"/>
              <w:ind w:left="0" w:right="0" w:hanging="0"/>
              <w:jc w:val="both"/>
              <w:rPr/>
            </w:pPr>
            <w:r>
              <w:rPr/>
              <w:t>​</w:t>
            </w:r>
          </w:p>
        </w:tc>
        <w:tc>
          <w:tcPr>
            <w:tcW w:w="243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492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both"/>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92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both"/>
              <w:rPr/>
            </w:pPr>
            <w:r>
              <w:rPr/>
              <w:t>​</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54,629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54,213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103,087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100,421</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869,047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915,106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1,456,741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1,536,538</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580,322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572,271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984,102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994,622</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217,563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222,890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375,983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387,882</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201,677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201,198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347,777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349,865</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10,801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10,270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20,954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20,144</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1,879,410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1,921,735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3,185,557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3,289,051</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1,934,039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1,975,948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3,288,644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3,389,472</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Costs applicable to revenue (exclusive of depreciation and amortization shown separately below):</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20,886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21,947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39,795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39,668</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773,986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788,873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1,289,899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1,325,232</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484,681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455,239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817,179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799,200</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114,707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116,412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197,480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201,151</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2,574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2,338</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1,374,775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1,361,746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2,307,132</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2,327,921</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costs applicable to 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1,395,661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1,383,693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2,346,927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2,367,589</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410,860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437,489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769,164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824,934</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47,352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45,963</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lease termination and/or remeasurement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446,530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461,986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827,784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870,772</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91,848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130,269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113,933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151,111</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(19,852)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(20,989)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(41,671)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(39,295)</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Other interest expense, net </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(26,912)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(30,836)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(53,761)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(61,367)</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(2,758)</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(46,764)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(54,425)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(95,594)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(103,420)</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before income taxes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45,084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75,844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18,339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47,691</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(18,321)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(14,850)</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43,713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57,523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17,052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32,841</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(16,853)</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(27,307)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(14,905)</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26,860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17,936</w:t>
            </w:r>
          </w:p>
        </w:tc>
      </w:tr>
      <w:tr>
        <w:trPr/>
        <w:tc>
          <w:tcPr>
            <w:tcW w:w="492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per share of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0.29</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 average shares of Class A common stock outstanding:</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92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63,668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62,610</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63,573</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62,571</w:t>
            </w:r>
          </w:p>
        </w:tc>
      </w:tr>
      <w:tr>
        <w:trPr/>
        <w:tc>
          <w:tcPr>
            <w:tcW w:w="492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64,175</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62,747</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64,166</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102,661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bookmarkStart w:id="331" w:name="CondensedConsolidatedComprehensiveIncome"/>
      <w:bookmarkEnd w:id="331"/>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332" w:name="_c90e3f3c_77c1_4c18_9abd_03bccee48a7b"/>
      <w:bookmarkEnd w:id="332"/>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333" w:name="CondensedConsolidatedStatementofMembersD"/>
      <w:bookmarkEnd w:id="333"/>
      <w:r>
        <w:rPr>
          <w:rFonts w:ascii="Arial;Helvetica;sans-serif" w:hAnsi="Arial;Helvetica;sans-serif"/>
          <w:sz w:val="20"/>
        </w:rPr>
        <w:t xml:space="preserve">Unaudited Condensed Consolidated Statements of Stockholders' Equity </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4" w:name="Tc_voLflwEw4ESriuUPQdjYUQ_21_26"/>
      <w:bookmarkStart w:id="335" w:name="Tc_If0Y0bssQk-LX1Urm0Icuw_21_23"/>
      <w:bookmarkStart w:id="336" w:name="Tc_kt2GHlvPQ0ScRa7ei6Dp9g_21_20"/>
      <w:bookmarkStart w:id="337" w:name="Tc_6M1ybKSG40KDZ5ix52YS0g_21_17"/>
      <w:bookmarkStart w:id="338" w:name="Tc_lXQHOIq_B0mnoE5Rr7FPIQ_21_15"/>
      <w:bookmarkStart w:id="339" w:name="Tc_If6IKte-yUWfBnnpXe_D9w_21_14"/>
      <w:bookmarkStart w:id="340" w:name="Tc_j1vXhlLpEkGFc9OK-WRukw_21_12"/>
      <w:bookmarkStart w:id="341" w:name="Tc_N6DndZUBM0uCiTbDK_fQcQ_21_9"/>
      <w:bookmarkStart w:id="342" w:name="Tc_YPIMreBNeEG3RdnyiTXlzQ_21_4"/>
      <w:bookmarkStart w:id="343" w:name="Tc_KFqySuafU0GCQmAWoLs6Lg_21_0"/>
      <w:bookmarkStart w:id="344" w:name="Tc_V6jkG-qDJ0CEKiiHvPe53Q_20_18"/>
      <w:bookmarkStart w:id="345" w:name="Tc_Zw5cYHttP0Kcg04tyxxZTg_20_15"/>
      <w:bookmarkStart w:id="346" w:name="Tc_Q3rI7WXdD0iNqXXcIwZX8g_20_12"/>
      <w:bookmarkStart w:id="347" w:name="Tc_BhT_42HycECjaVkPYXXQ5A_20_10"/>
      <w:bookmarkStart w:id="348" w:name="Tc_dScC8Zw9HU-cllkuwEa57A_20_7"/>
      <w:bookmarkStart w:id="349" w:name="Tc_gzGVJ6jg_06qyA99LhxWmw_20_5"/>
      <w:bookmarkStart w:id="350" w:name="Tc_35uPyajp0EuqIy64ABrmeg_20_2"/>
      <w:bookmarkStart w:id="351" w:name="Tc_38dDFBNq7UW3gNnaipoX4A_20_0"/>
      <w:bookmarkStart w:id="352" w:name="Tc_5tO_f0Z0rkGll6_tFn910A_19_27"/>
      <w:bookmarkStart w:id="353" w:name="Tc_ELO3Sj4anEK180WSrhZ6_A_19_21"/>
      <w:bookmarkStart w:id="354" w:name="Tc_nFe6v-fX7E6chemJMKPlkQ_19_15"/>
      <w:bookmarkStart w:id="355" w:name="Tc_XqhBKUMZgkWaMbu8xo-Gjg_19_12"/>
      <w:bookmarkStart w:id="356" w:name="Tc_-aW45EzyhEm8p9iipzAMvQ_19_10"/>
      <w:bookmarkStart w:id="357" w:name="Tc_g4eST8AIl0enb77X1FgYrQ_19_7"/>
      <w:bookmarkStart w:id="358" w:name="Tc_hNDL8QdAekajCC_-ztHxJw_19_5"/>
      <w:bookmarkStart w:id="359" w:name="Tc_tOWNeDKGYEejZMDE-IsFsw_19_2"/>
      <w:bookmarkStart w:id="360" w:name="Tc_PeiFiGknOE6Cs17JbryE3g_19_0"/>
      <w:bookmarkStart w:id="361" w:name="Tc_n8SX0Aa1CEGENp0ioVFqFg_18_21"/>
      <w:bookmarkStart w:id="362" w:name="Tc_OmoimMK9rk2Tu6dVexk96g_18_18"/>
      <w:bookmarkStart w:id="363" w:name="Tc_wNVII2zBTkGvx5z-triF4A_18_15"/>
      <w:bookmarkStart w:id="364" w:name="Tc_Lg1HaBXy9EiAiIIzfsJGww_18_12"/>
      <w:bookmarkStart w:id="365" w:name="Tc_UgHzA9Ikp0uZVEjFhzNK0Q_18_10"/>
      <w:bookmarkStart w:id="366" w:name="Tc_Wx-4Us3a30KZMFWcnd9oug_18_7"/>
      <w:bookmarkStart w:id="367" w:name="Tc_fD6Jh4FKOk-ngduzAvUmMg_18_5"/>
      <w:bookmarkStart w:id="368" w:name="Tc_dq-kibRRV0aBDKOv13Ck8A_18_2"/>
      <w:bookmarkStart w:id="369" w:name="Tc_FrhRd2mwA0Wki6PiSWjvqQ_18_0"/>
      <w:bookmarkStart w:id="370" w:name="Tc_1p0gdnGHP0OCBkhEh-_BXA_17_24"/>
      <w:bookmarkStart w:id="371" w:name="Tc_Z3n4UZNrLECgriEf_vcZ4g_17_21"/>
      <w:bookmarkStart w:id="372" w:name="Tc_35SYKAyBn065EWtQhPuPzg_17_15"/>
      <w:bookmarkStart w:id="373" w:name="Tc_heYEtTimkU6L2plY0UV1tw_17_12"/>
      <w:bookmarkStart w:id="374" w:name="Tc_zmQ0_VGRk0C3-EOdDXvNRg_17_10"/>
      <w:bookmarkStart w:id="375" w:name="Tc_TM8Mhft5lku8Yj4zjEV6FQ_17_7"/>
      <w:bookmarkStart w:id="376" w:name="Tc_NxUWeZd8pkuzD6I7QNs88w_17_0"/>
      <w:bookmarkStart w:id="377" w:name="Tc_f_HLoi2ZuEe16SuKcyNz2w_16_27"/>
      <w:bookmarkStart w:id="378" w:name="Tc_QkVB94gid0WT5yLjOmj41Q_16_21"/>
      <w:bookmarkStart w:id="379" w:name="Tc_tGyvP6juXk-fnIshtwuSRg_16_15"/>
      <w:bookmarkStart w:id="380" w:name="Tc_C8NclMz9QkeOKMcGkbomcg_16_12"/>
      <w:bookmarkStart w:id="381" w:name="Tc_Xx55rALpoUeCAOeROpWElQ_16_10"/>
      <w:bookmarkStart w:id="382" w:name="Tc_i4wcFufM20yZ8upD7aniiw_16_7"/>
      <w:bookmarkStart w:id="383" w:name="Tc_U5qSIw8i5kW4dTxt75LrPA_16_0"/>
      <w:bookmarkStart w:id="384" w:name="Tc_FkZmwfh_KU-K6PijNpwDvw_15_24"/>
      <w:bookmarkStart w:id="385" w:name="Tc_nZlAu1eegki6_vWstMctBQ_15_21"/>
      <w:bookmarkStart w:id="386" w:name="Tc_USvwnJVaXECEDl_IevRtDw_15_15"/>
      <w:bookmarkStart w:id="387" w:name="Tc_ypG0ldg1pEapHUFbZtJptg_15_12"/>
      <w:bookmarkStart w:id="388" w:name="Tc_l9h0SGUb5UGIlU2v4HEtoQ_15_10"/>
      <w:bookmarkStart w:id="389" w:name="Tc_vjvPwxG0zE-9vE95YaQmjQ_15_7"/>
      <w:bookmarkStart w:id="390" w:name="Tc_qs4w8L9r70i0vWvxtjCE5A_15_5"/>
      <w:bookmarkStart w:id="391" w:name="Tc_GVmv7r_SREC3irKObXsCGA_15_0"/>
      <w:bookmarkStart w:id="392" w:name="Tc_hnGml81Lh0-QgQKbrv7Srw_14_27"/>
      <w:bookmarkStart w:id="393" w:name="Tc_h9cii0RU_kiqqcAoEHnBcw_14_21"/>
      <w:bookmarkStart w:id="394" w:name="Tc_z1noGUWiMUCqXLGoL3luxA_14_15"/>
      <w:bookmarkStart w:id="395" w:name="Tc_QaswunHRDUC0Gaky0umnOA_14_12"/>
      <w:bookmarkStart w:id="396" w:name="Tc_s5vTNJjZFkObVWhFeTELZw_14_10"/>
      <w:bookmarkStart w:id="397" w:name="Tc_3WIVj6388ka1RMaJd25FMQ_14_7"/>
      <w:bookmarkStart w:id="398" w:name="Tc_ccTRH3T4rE6eGhDd30LFWA_14_0"/>
      <w:bookmarkStart w:id="399" w:name="Tc_O3WfSeaNaEiCZlkE9qn2Ug_13_21"/>
      <w:bookmarkStart w:id="400" w:name="Tc_d0e5xBSfK0utekqnj4mYHg_13_15"/>
      <w:bookmarkStart w:id="401" w:name="Tc_ibBvnPzhpkCg_65-AYfiXw_13_12"/>
      <w:bookmarkStart w:id="402" w:name="Tc_V6WnYLSFBEKCA0Y1veIsDw_13_10"/>
      <w:bookmarkStart w:id="403" w:name="Tc_SQU46iW-40SzsvmVQHQ5zg_13_7"/>
      <w:bookmarkStart w:id="404" w:name="Tc_yZiIFoX4MkG16zybr3YUIA_13_5"/>
      <w:bookmarkStart w:id="405" w:name="Tc_qvCjIpg9wUuYg7H0MoDb7A_13_2"/>
      <w:bookmarkStart w:id="406" w:name="Tc_nYmnp4T-k0yI2VxiEXEZ7A_13_0"/>
      <w:bookmarkStart w:id="407" w:name="Tc_griQ8Cmn30S_WferxieUdw_12_26"/>
      <w:bookmarkStart w:id="408" w:name="Tc_6wXhoDjTW0-KeZhxECe6Rw_12_23"/>
      <w:bookmarkStart w:id="409" w:name="Tc_DHIcxvzlzkicSBH4WJYMLQ_12_20"/>
      <w:bookmarkStart w:id="410" w:name="Tc_dTWyDOOov0aMIJCzqHQfNQ_12_17"/>
      <w:bookmarkStart w:id="411" w:name="Tc_oplATOB3ZUiAZ_F80uiF3w_12_15"/>
      <w:bookmarkStart w:id="412" w:name="Tc_NEoACYMNBkCRkAbELvuh3g_12_14"/>
      <w:bookmarkStart w:id="413" w:name="Tc_rtHVF0J_OUWOi-TKyVTPjw_12_12"/>
      <w:bookmarkStart w:id="414" w:name="Tc_-2l_HzyDDU6ga51E1400kQ_12_9"/>
      <w:bookmarkStart w:id="415" w:name="Tc_39OJyL_CXUGIEd4v99ZbNw_12_4"/>
      <w:bookmarkStart w:id="416" w:name="Tc_UnY3OPmorkSgBszmyLWHLA_12_0"/>
      <w:bookmarkStart w:id="417" w:name="Tc_8S5qclzZikOBD67-WFphCg_11_18"/>
      <w:bookmarkStart w:id="418" w:name="Tc_ukeVNgUJ5EKjJfTupcLcww_11_15"/>
      <w:bookmarkStart w:id="419" w:name="Tc_AwqI5cinNkGkObDWq6h-2A_11_12"/>
      <w:bookmarkStart w:id="420" w:name="Tc_vw_QjZZrskybokz2LDyiDg_11_10"/>
      <w:bookmarkStart w:id="421" w:name="Tc_sNo0m3SV2Eu5xXKoWuMk8Q_11_7"/>
      <w:bookmarkStart w:id="422" w:name="Tc_Wvz-QEbCWUWxhoDrmurVSQ_11_5"/>
      <w:bookmarkStart w:id="423" w:name="Tc_zWMv_4l2n0OH6WMuy2iU6A_11_2"/>
      <w:bookmarkStart w:id="424" w:name="Tc_UYaLHCma3Em8pDZy2r7DCg_11_0"/>
      <w:bookmarkStart w:id="425" w:name="Tc_jd_eKsQFz02zu8S9QpO-qw_10_27"/>
      <w:bookmarkStart w:id="426" w:name="Tc_v3Zsx4JlxkWHsdNfXD82cQ_10_21"/>
      <w:bookmarkStart w:id="427" w:name="Tc_mIg2dMwwpEOkgeXkVdh-OA_10_15"/>
      <w:bookmarkStart w:id="428" w:name="Tc_wKVOgcXsrECXJlK-b0P5nA_10_12"/>
      <w:bookmarkStart w:id="429" w:name="Tc_5-lrhVIE2kenDbnvveZtFg_10_10"/>
      <w:bookmarkStart w:id="430" w:name="Tc_-ymtcuiDuEe7IBSmXqKZGA_10_7"/>
      <w:bookmarkStart w:id="431" w:name="Tc_jZ54sIQ8qkyVnjYlNA6foA_10_5"/>
      <w:bookmarkStart w:id="432" w:name="Tc_H2ehH9fndEGZ2hfQGXhbQA_10_2"/>
      <w:bookmarkStart w:id="433" w:name="Tc_d5qe75MiGUSJB5zEn7Dfuw_10_0"/>
      <w:bookmarkStart w:id="434" w:name="Tc_OIiDYT14KE25ESzAArMQ5Q_9_21"/>
      <w:bookmarkStart w:id="435" w:name="Tc_LmSyv54UD0eTF147PPjaAA_9_18"/>
      <w:bookmarkStart w:id="436" w:name="Tc_hBXMdDr-oEGAUdBZleaE2A_9_15"/>
      <w:bookmarkStart w:id="437" w:name="Tc_m2PHtlqqMUSTsL4nJrSJcw_9_12"/>
      <w:bookmarkStart w:id="438" w:name="Tc_AahDMxxmkkmSU7hMgmOSXQ_9_10"/>
      <w:bookmarkStart w:id="439" w:name="Tc_6nbCXAHvoEKIGABhupy70g_9_7"/>
      <w:bookmarkStart w:id="440" w:name="Tc_LJFpiWY4EEiamQM1Q6K2lw_9_5"/>
      <w:bookmarkStart w:id="441" w:name="Tc_fxfpsh3WSEm3Ps-KOJYBew_9_2"/>
      <w:bookmarkStart w:id="442" w:name="Tc_m8IcRfdc8UaeNTye1wHmYg_9_0"/>
      <w:bookmarkStart w:id="443" w:name="Tc_y0VcKoXeDEeSanrVy6Vvyg_8_24"/>
      <w:bookmarkStart w:id="444" w:name="Tc_CUSF12_5w06pbgNh9m3iSw_8_21"/>
      <w:bookmarkStart w:id="445" w:name="Tc_n__CbEbEDUarU0Z5cH8_0A_8_15"/>
      <w:bookmarkStart w:id="446" w:name="Tc_lhGxsgF0sU27-RZDMoN4EQ_8_12"/>
      <w:bookmarkStart w:id="447" w:name="Tc_9EYLXsM4g0i-GfP1yvjmIA_8_10"/>
      <w:bookmarkStart w:id="448" w:name="Tc_LYB0TvxKrUic7bF2GYk40w_8_7"/>
      <w:bookmarkStart w:id="449" w:name="Tc_7_FG-mJg_0-KGS_N-x_B9g_8_5"/>
      <w:bookmarkStart w:id="450" w:name="Tc_ZuADRARrjUud68p5y1yZJQ_8_0"/>
      <w:bookmarkStart w:id="451" w:name="Tc_5Q_BPJvUZEqUItX6EUcsJg_7_27"/>
      <w:bookmarkStart w:id="452" w:name="Tc_WfL0wSOJJEilLG3mk75qQQ_7_21"/>
      <w:bookmarkStart w:id="453" w:name="Tc_6GAbvl1zmkWLajtMtBGnsQ_7_15"/>
      <w:bookmarkStart w:id="454" w:name="Tc_BGktpgx8KUiAc7XgPW9LIg_7_12"/>
      <w:bookmarkStart w:id="455" w:name="Tc_sJef4pjmr0WKcwDw8Aa5rg_7_10"/>
      <w:bookmarkStart w:id="456" w:name="Tc_RGLu0kz47kKixBtsGsWxeA_7_7"/>
      <w:bookmarkStart w:id="457" w:name="Tc_UjwhbedpvEKrnf-2khGovQ_7_0"/>
      <w:bookmarkStart w:id="458" w:name="Tc_sdTz1OSkBk21nXmNkNck9w_6_21"/>
      <w:bookmarkStart w:id="459" w:name="Tc_8pc_jLP_r06s3FiFEKDqWA_6_15"/>
      <w:bookmarkStart w:id="460" w:name="Tc_9n8u_NkBsUOxTrPnWYO7_g_6_12"/>
      <w:bookmarkStart w:id="461" w:name="Tc_iFqEqY_W-UiBDARziWLbRg_6_10"/>
      <w:bookmarkStart w:id="462" w:name="Tc_GaoVBCV4_0aoQHaKrtGgQg_6_7"/>
      <w:bookmarkStart w:id="463" w:name="Tc_muTOAFXv30uHErjFYFltPA_6_5"/>
      <w:bookmarkStart w:id="464" w:name="Tc_qCs4WUAvaku9ywypyAowXQ_6_2"/>
      <w:bookmarkStart w:id="465" w:name="Tc_yJyibHVjfkSXFN6cQzBmEA_6_0"/>
      <w:bookmarkStart w:id="466" w:name="Tc_M-Y4rYmO5UmOrjKiRr7r-w_5_26"/>
      <w:bookmarkStart w:id="467" w:name="Tc_fIKx6Elrxk-4ieNW1_onIw_5_23"/>
      <w:bookmarkStart w:id="468" w:name="Tc_TBkb0xp13k-S-84fraYEeA_5_20"/>
      <w:bookmarkStart w:id="469" w:name="Tc_z0QBIKDUS0KA2AmRJxxa4A_5_17"/>
      <w:bookmarkStart w:id="470" w:name="Tc_cvZbGZtY9Ua8n9y3vKC1_A_5_15"/>
      <w:bookmarkStart w:id="471" w:name="Tc_8XUpgzHZU0WWAn3O2QGimw_5_14"/>
      <w:bookmarkStart w:id="472" w:name="Tc_2vKaNIml_kiHKu_3nqXgew_5_12"/>
      <w:bookmarkStart w:id="473" w:name="Tc_6cFq-nH9XUa0RyDNttaLsA_5_9"/>
      <w:bookmarkStart w:id="474" w:name="Tc_UYBOnz_LzkS032k8xxlajg_5_4"/>
      <w:bookmarkStart w:id="475" w:name="Tc_mdF0QCY0HkqzdawjEQ-fIg_5_0"/>
      <w:bookmarkStart w:id="476" w:name="Tc_FygUIU3bqUCApKO4jctytQ_4_26"/>
      <w:bookmarkStart w:id="477" w:name="Tc_WYC4Smv_2Eu0MiPgDVrePQ_4_23"/>
      <w:bookmarkStart w:id="478" w:name="Tc_PlEOPhYHFU6tvS9V7dsynw_4_20"/>
      <w:bookmarkStart w:id="479" w:name="Tc_PQpkg7RO9kS1ZKr59-910Q_4_17"/>
      <w:bookmarkStart w:id="480" w:name="Tc_X1cXL64jVUeiHiUMBYs62w_4_14"/>
      <w:bookmarkStart w:id="481" w:name="Tc_iN233bZ7DE2sTeosmAY3fw_4_12"/>
      <w:bookmarkStart w:id="482" w:name="Tc_h0MYKQjX402FTs95CS0dXA_4_9"/>
      <w:bookmarkStart w:id="483" w:name="Tc_j2O4bJ9kjUOmHyctzQ21pg_4_7"/>
      <w:bookmarkStart w:id="484" w:name="Tc_rBEYgxYzLU67s4taq5tAPg_4_4"/>
      <w:bookmarkStart w:id="485" w:name="Tc_y89MZEBwEEirhvUgWrHvOg_4_2"/>
      <w:bookmarkStart w:id="486" w:name="Tc_n1p3wd7WGUeB26tXmerLxw_3_23"/>
      <w:bookmarkStart w:id="487" w:name="Tc_tw58Y3QFB0uovYy8lEge5A_3_20"/>
      <w:bookmarkStart w:id="488" w:name="Tc_7YLJTGH_k0WmZH6wNTC4ww_3_17"/>
      <w:bookmarkStart w:id="489" w:name="Tc_JgxnrBqln0urET3LZaFyUg_3_12"/>
      <w:bookmarkStart w:id="490" w:name="Tc_CiK95hg6oUmV7D88cn76gg_3_7"/>
      <w:bookmarkStart w:id="491" w:name="Tc_i6bxKuMoPUSJmYMCv8clUA_3_2"/>
      <w:bookmarkStart w:id="492" w:name="Tc_1SUTObyGrUmKgcM63waNQQ_2_23"/>
      <w:bookmarkStart w:id="493" w:name="Tc_-FPY5ib-60uIo5kN9kxrkw_2_20"/>
      <w:bookmarkStart w:id="494" w:name="Tc__9dWGDFLn0iIlnV4OgpZ8A_2_17"/>
      <w:bookmarkStart w:id="495" w:name="_13fc08ff_f46c_4494_8dc1_4bc6de12fe13"/>
      <w:bookmarkStart w:id="496" w:name="Tc_voLflwEw4ESriuUPQdjYUQ_21_26"/>
      <w:bookmarkStart w:id="497" w:name="Tc_If0Y0bssQk-LX1Urm0Icuw_21_23"/>
      <w:bookmarkStart w:id="498" w:name="Tc_kt2GHlvPQ0ScRa7ei6Dp9g_21_20"/>
      <w:bookmarkStart w:id="499" w:name="Tc_6M1ybKSG40KDZ5ix52YS0g_21_17"/>
      <w:bookmarkStart w:id="500" w:name="Tc_lXQHOIq_B0mnoE5Rr7FPIQ_21_15"/>
      <w:bookmarkStart w:id="501" w:name="Tc_If6IKte-yUWfBnnpXe_D9w_21_14"/>
      <w:bookmarkStart w:id="502" w:name="Tc_j1vXhlLpEkGFc9OK-WRukw_21_12"/>
      <w:bookmarkStart w:id="503" w:name="Tc_N6DndZUBM0uCiTbDK_fQcQ_21_9"/>
      <w:bookmarkStart w:id="504" w:name="Tc_YPIMreBNeEG3RdnyiTXlzQ_21_4"/>
      <w:bookmarkStart w:id="505" w:name="Tc_KFqySuafU0GCQmAWoLs6Lg_21_0"/>
      <w:bookmarkStart w:id="506" w:name="Tc_V6jkG-qDJ0CEKiiHvPe53Q_20_18"/>
      <w:bookmarkStart w:id="507" w:name="Tc_Zw5cYHttP0Kcg04tyxxZTg_20_15"/>
      <w:bookmarkStart w:id="508" w:name="Tc_Q3rI7WXdD0iNqXXcIwZX8g_20_12"/>
      <w:bookmarkStart w:id="509" w:name="Tc_BhT_42HycECjaVkPYXXQ5A_20_10"/>
      <w:bookmarkStart w:id="510" w:name="Tc_dScC8Zw9HU-cllkuwEa57A_20_7"/>
      <w:bookmarkStart w:id="511" w:name="Tc_gzGVJ6jg_06qyA99LhxWmw_20_5"/>
      <w:bookmarkStart w:id="512" w:name="Tc_35uPyajp0EuqIy64ABrmeg_20_2"/>
      <w:bookmarkStart w:id="513" w:name="Tc_38dDFBNq7UW3gNnaipoX4A_20_0"/>
      <w:bookmarkStart w:id="514" w:name="Tc_5tO_f0Z0rkGll6_tFn910A_19_27"/>
      <w:bookmarkStart w:id="515" w:name="Tc_ELO3Sj4anEK180WSrhZ6_A_19_21"/>
      <w:bookmarkStart w:id="516" w:name="Tc_nFe6v-fX7E6chemJMKPlkQ_19_15"/>
      <w:bookmarkStart w:id="517" w:name="Tc_XqhBKUMZgkWaMbu8xo-Gjg_19_12"/>
      <w:bookmarkStart w:id="518" w:name="Tc_-aW45EzyhEm8p9iipzAMvQ_19_10"/>
      <w:bookmarkStart w:id="519" w:name="Tc_g4eST8AIl0enb77X1FgYrQ_19_7"/>
      <w:bookmarkStart w:id="520" w:name="Tc_hNDL8QdAekajCC_-ztHxJw_19_5"/>
      <w:bookmarkStart w:id="521" w:name="Tc_tOWNeDKGYEejZMDE-IsFsw_19_2"/>
      <w:bookmarkStart w:id="522" w:name="Tc_PeiFiGknOE6Cs17JbryE3g_19_0"/>
      <w:bookmarkStart w:id="523" w:name="Tc_n8SX0Aa1CEGENp0ioVFqFg_18_21"/>
      <w:bookmarkStart w:id="524" w:name="Tc_OmoimMK9rk2Tu6dVexk96g_18_18"/>
      <w:bookmarkStart w:id="525" w:name="Tc_wNVII2zBTkGvx5z-triF4A_18_15"/>
      <w:bookmarkStart w:id="526" w:name="Tc_Lg1HaBXy9EiAiIIzfsJGww_18_12"/>
      <w:bookmarkStart w:id="527" w:name="Tc_UgHzA9Ikp0uZVEjFhzNK0Q_18_10"/>
      <w:bookmarkStart w:id="528" w:name="Tc_Wx-4Us3a30KZMFWcnd9oug_18_7"/>
      <w:bookmarkStart w:id="529" w:name="Tc_fD6Jh4FKOk-ngduzAvUmMg_18_5"/>
      <w:bookmarkStart w:id="530" w:name="Tc_dq-kibRRV0aBDKOv13Ck8A_18_2"/>
      <w:bookmarkStart w:id="531" w:name="Tc_FrhRd2mwA0Wki6PiSWjvqQ_18_0"/>
      <w:bookmarkStart w:id="532" w:name="Tc_1p0gdnGHP0OCBkhEh-_BXA_17_24"/>
      <w:bookmarkStart w:id="533" w:name="Tc_Z3n4UZNrLECgriEf_vcZ4g_17_21"/>
      <w:bookmarkStart w:id="534" w:name="Tc_35SYKAyBn065EWtQhPuPzg_17_15"/>
      <w:bookmarkStart w:id="535" w:name="Tc_heYEtTimkU6L2plY0UV1tw_17_12"/>
      <w:bookmarkStart w:id="536" w:name="Tc_zmQ0_VGRk0C3-EOdDXvNRg_17_10"/>
      <w:bookmarkStart w:id="537" w:name="Tc_TM8Mhft5lku8Yj4zjEV6FQ_17_7"/>
      <w:bookmarkStart w:id="538" w:name="Tc_NxUWeZd8pkuzD6I7QNs88w_17_0"/>
      <w:bookmarkStart w:id="539" w:name="Tc_f_HLoi2ZuEe16SuKcyNz2w_16_27"/>
      <w:bookmarkStart w:id="540" w:name="Tc_QkVB94gid0WT5yLjOmj41Q_16_21"/>
      <w:bookmarkStart w:id="541" w:name="Tc_tGyvP6juXk-fnIshtwuSRg_16_15"/>
      <w:bookmarkStart w:id="542" w:name="Tc_C8NclMz9QkeOKMcGkbomcg_16_12"/>
      <w:bookmarkStart w:id="543" w:name="Tc_Xx55rALpoUeCAOeROpWElQ_16_10"/>
      <w:bookmarkStart w:id="544" w:name="Tc_i4wcFufM20yZ8upD7aniiw_16_7"/>
      <w:bookmarkStart w:id="545" w:name="Tc_U5qSIw8i5kW4dTxt75LrPA_16_0"/>
      <w:bookmarkStart w:id="546" w:name="Tc_FkZmwfh_KU-K6PijNpwDvw_15_24"/>
      <w:bookmarkStart w:id="547" w:name="Tc_nZlAu1eegki6_vWstMctBQ_15_21"/>
      <w:bookmarkStart w:id="548" w:name="Tc_USvwnJVaXECEDl_IevRtDw_15_15"/>
      <w:bookmarkStart w:id="549" w:name="Tc_ypG0ldg1pEapHUFbZtJptg_15_12"/>
      <w:bookmarkStart w:id="550" w:name="Tc_l9h0SGUb5UGIlU2v4HEtoQ_15_10"/>
      <w:bookmarkStart w:id="551" w:name="Tc_vjvPwxG0zE-9vE95YaQmjQ_15_7"/>
      <w:bookmarkStart w:id="552" w:name="Tc_qs4w8L9r70i0vWvxtjCE5A_15_5"/>
      <w:bookmarkStart w:id="553" w:name="Tc_GVmv7r_SREC3irKObXsCGA_15_0"/>
      <w:bookmarkStart w:id="554" w:name="Tc_hnGml81Lh0-QgQKbrv7Srw_14_27"/>
      <w:bookmarkStart w:id="555" w:name="Tc_h9cii0RU_kiqqcAoEHnBcw_14_21"/>
      <w:bookmarkStart w:id="556" w:name="Tc_z1noGUWiMUCqXLGoL3luxA_14_15"/>
      <w:bookmarkStart w:id="557" w:name="Tc_QaswunHRDUC0Gaky0umnOA_14_12"/>
      <w:bookmarkStart w:id="558" w:name="Tc_s5vTNJjZFkObVWhFeTELZw_14_10"/>
      <w:bookmarkStart w:id="559" w:name="Tc_3WIVj6388ka1RMaJd25FMQ_14_7"/>
      <w:bookmarkStart w:id="560" w:name="Tc_ccTRH3T4rE6eGhDd30LFWA_14_0"/>
      <w:bookmarkStart w:id="561" w:name="Tc_O3WfSeaNaEiCZlkE9qn2Ug_13_21"/>
      <w:bookmarkStart w:id="562" w:name="Tc_d0e5xBSfK0utekqnj4mYHg_13_15"/>
      <w:bookmarkStart w:id="563" w:name="Tc_ibBvnPzhpkCg_65-AYfiXw_13_12"/>
      <w:bookmarkStart w:id="564" w:name="Tc_V6WnYLSFBEKCA0Y1veIsDw_13_10"/>
      <w:bookmarkStart w:id="565" w:name="Tc_SQU46iW-40SzsvmVQHQ5zg_13_7"/>
      <w:bookmarkStart w:id="566" w:name="Tc_yZiIFoX4MkG16zybr3YUIA_13_5"/>
      <w:bookmarkStart w:id="567" w:name="Tc_qvCjIpg9wUuYg7H0MoDb7A_13_2"/>
      <w:bookmarkStart w:id="568" w:name="Tc_nYmnp4T-k0yI2VxiEXEZ7A_13_0"/>
      <w:bookmarkStart w:id="569" w:name="Tc_griQ8Cmn30S_WferxieUdw_12_26"/>
      <w:bookmarkStart w:id="570" w:name="Tc_6wXhoDjTW0-KeZhxECe6Rw_12_23"/>
      <w:bookmarkStart w:id="571" w:name="Tc_DHIcxvzlzkicSBH4WJYMLQ_12_20"/>
      <w:bookmarkStart w:id="572" w:name="Tc_dTWyDOOov0aMIJCzqHQfNQ_12_17"/>
      <w:bookmarkStart w:id="573" w:name="Tc_oplATOB3ZUiAZ_F80uiF3w_12_15"/>
      <w:bookmarkStart w:id="574" w:name="Tc_NEoACYMNBkCRkAbELvuh3g_12_14"/>
      <w:bookmarkStart w:id="575" w:name="Tc_rtHVF0J_OUWOi-TKyVTPjw_12_12"/>
      <w:bookmarkStart w:id="576" w:name="Tc_-2l_HzyDDU6ga51E1400kQ_12_9"/>
      <w:bookmarkStart w:id="577" w:name="Tc_39OJyL_CXUGIEd4v99ZbNw_12_4"/>
      <w:bookmarkStart w:id="578" w:name="Tc_UnY3OPmorkSgBszmyLWHLA_12_0"/>
      <w:bookmarkStart w:id="579" w:name="Tc_8S5qclzZikOBD67-WFphCg_11_18"/>
      <w:bookmarkStart w:id="580" w:name="Tc_ukeVNgUJ5EKjJfTupcLcww_11_15"/>
      <w:bookmarkStart w:id="581" w:name="Tc_AwqI5cinNkGkObDWq6h-2A_11_12"/>
      <w:bookmarkStart w:id="582" w:name="Tc_vw_QjZZrskybokz2LDyiDg_11_10"/>
      <w:bookmarkStart w:id="583" w:name="Tc_sNo0m3SV2Eu5xXKoWuMk8Q_11_7"/>
      <w:bookmarkStart w:id="584" w:name="Tc_Wvz-QEbCWUWxhoDrmurVSQ_11_5"/>
      <w:bookmarkStart w:id="585" w:name="Tc_zWMv_4l2n0OH6WMuy2iU6A_11_2"/>
      <w:bookmarkStart w:id="586" w:name="Tc_UYaLHCma3Em8pDZy2r7DCg_11_0"/>
      <w:bookmarkStart w:id="587" w:name="Tc_jd_eKsQFz02zu8S9QpO-qw_10_27"/>
      <w:bookmarkStart w:id="588" w:name="Tc_v3Zsx4JlxkWHsdNfXD82cQ_10_21"/>
      <w:bookmarkStart w:id="589" w:name="Tc_mIg2dMwwpEOkgeXkVdh-OA_10_15"/>
      <w:bookmarkStart w:id="590" w:name="Tc_wKVOgcXsrECXJlK-b0P5nA_10_12"/>
      <w:bookmarkStart w:id="591" w:name="Tc_5-lrhVIE2kenDbnvveZtFg_10_10"/>
      <w:bookmarkStart w:id="592" w:name="Tc_-ymtcuiDuEe7IBSmXqKZGA_10_7"/>
      <w:bookmarkStart w:id="593" w:name="Tc_jZ54sIQ8qkyVnjYlNA6foA_10_5"/>
      <w:bookmarkStart w:id="594" w:name="Tc_H2ehH9fndEGZ2hfQGXhbQA_10_2"/>
      <w:bookmarkStart w:id="595" w:name="Tc_d5qe75MiGUSJB5zEn7Dfuw_10_0"/>
      <w:bookmarkStart w:id="596" w:name="Tc_OIiDYT14KE25ESzAArMQ5Q_9_21"/>
      <w:bookmarkStart w:id="597" w:name="Tc_LmSyv54UD0eTF147PPjaAA_9_18"/>
      <w:bookmarkStart w:id="598" w:name="Tc_hBXMdDr-oEGAUdBZleaE2A_9_15"/>
      <w:bookmarkStart w:id="599" w:name="Tc_m2PHtlqqMUSTsL4nJrSJcw_9_12"/>
      <w:bookmarkStart w:id="600" w:name="Tc_AahDMxxmkkmSU7hMgmOSXQ_9_10"/>
      <w:bookmarkStart w:id="601" w:name="Tc_6nbCXAHvoEKIGABhupy70g_9_7"/>
      <w:bookmarkStart w:id="602" w:name="Tc_LJFpiWY4EEiamQM1Q6K2lw_9_5"/>
      <w:bookmarkStart w:id="603" w:name="Tc_fxfpsh3WSEm3Ps-KOJYBew_9_2"/>
      <w:bookmarkStart w:id="604" w:name="Tc_m8IcRfdc8UaeNTye1wHmYg_9_0"/>
      <w:bookmarkStart w:id="605" w:name="Tc_y0VcKoXeDEeSanrVy6Vvyg_8_24"/>
      <w:bookmarkStart w:id="606" w:name="Tc_CUSF12_5w06pbgNh9m3iSw_8_21"/>
      <w:bookmarkStart w:id="607" w:name="Tc_n__CbEbEDUarU0Z5cH8_0A_8_15"/>
      <w:bookmarkStart w:id="608" w:name="Tc_lhGxsgF0sU27-RZDMoN4EQ_8_12"/>
      <w:bookmarkStart w:id="609" w:name="Tc_9EYLXsM4g0i-GfP1yvjmIA_8_10"/>
      <w:bookmarkStart w:id="610" w:name="Tc_LYB0TvxKrUic7bF2GYk40w_8_7"/>
      <w:bookmarkStart w:id="611" w:name="Tc_7_FG-mJg_0-KGS_N-x_B9g_8_5"/>
      <w:bookmarkStart w:id="612" w:name="Tc_ZuADRARrjUud68p5y1yZJQ_8_0"/>
      <w:bookmarkStart w:id="613" w:name="Tc_5Q_BPJvUZEqUItX6EUcsJg_7_27"/>
      <w:bookmarkStart w:id="614" w:name="Tc_WfL0wSOJJEilLG3mk75qQQ_7_21"/>
      <w:bookmarkStart w:id="615" w:name="Tc_6GAbvl1zmkWLajtMtBGnsQ_7_15"/>
      <w:bookmarkStart w:id="616" w:name="Tc_BGktpgx8KUiAc7XgPW9LIg_7_12"/>
      <w:bookmarkStart w:id="617" w:name="Tc_sJef4pjmr0WKcwDw8Aa5rg_7_10"/>
      <w:bookmarkStart w:id="618" w:name="Tc_RGLu0kz47kKixBtsGsWxeA_7_7"/>
      <w:bookmarkStart w:id="619" w:name="Tc_UjwhbedpvEKrnf-2khGovQ_7_0"/>
      <w:bookmarkStart w:id="620" w:name="Tc_sdTz1OSkBk21nXmNkNck9w_6_21"/>
      <w:bookmarkStart w:id="621" w:name="Tc_8pc_jLP_r06s3FiFEKDqWA_6_15"/>
      <w:bookmarkStart w:id="622" w:name="Tc_9n8u_NkBsUOxTrPnWYO7_g_6_12"/>
      <w:bookmarkStart w:id="623" w:name="Tc_iFqEqY_W-UiBDARziWLbRg_6_10"/>
      <w:bookmarkStart w:id="624" w:name="Tc_GaoVBCV4_0aoQHaKrtGgQg_6_7"/>
      <w:bookmarkStart w:id="625" w:name="Tc_muTOAFXv30uHErjFYFltPA_6_5"/>
      <w:bookmarkStart w:id="626" w:name="Tc_qCs4WUAvaku9ywypyAowXQ_6_2"/>
      <w:bookmarkStart w:id="627" w:name="Tc_yJyibHVjfkSXFN6cQzBmEA_6_0"/>
      <w:bookmarkStart w:id="628" w:name="Tc_M-Y4rYmO5UmOrjKiRr7r-w_5_26"/>
      <w:bookmarkStart w:id="629" w:name="Tc_fIKx6Elrxk-4ieNW1_onIw_5_23"/>
      <w:bookmarkStart w:id="630" w:name="Tc_TBkb0xp13k-S-84fraYEeA_5_20"/>
      <w:bookmarkStart w:id="631" w:name="Tc_z0QBIKDUS0KA2AmRJxxa4A_5_17"/>
      <w:bookmarkStart w:id="632" w:name="Tc_cvZbGZtY9Ua8n9y3vKC1_A_5_15"/>
      <w:bookmarkStart w:id="633" w:name="Tc_8XUpgzHZU0WWAn3O2QGimw_5_14"/>
      <w:bookmarkStart w:id="634" w:name="Tc_2vKaNIml_kiHKu_3nqXgew_5_12"/>
      <w:bookmarkStart w:id="635" w:name="Tc_6cFq-nH9XUa0RyDNttaLsA_5_9"/>
      <w:bookmarkStart w:id="636" w:name="Tc_UYBOnz_LzkS032k8xxlajg_5_4"/>
      <w:bookmarkStart w:id="637" w:name="Tc_mdF0QCY0HkqzdawjEQ-fIg_5_0"/>
      <w:bookmarkStart w:id="638" w:name="Tc_FygUIU3bqUCApKO4jctytQ_4_26"/>
      <w:bookmarkStart w:id="639" w:name="Tc_WYC4Smv_2Eu0MiPgDVrePQ_4_23"/>
      <w:bookmarkStart w:id="640" w:name="Tc_PlEOPhYHFU6tvS9V7dsynw_4_20"/>
      <w:bookmarkStart w:id="641" w:name="Tc_PQpkg7RO9kS1ZKr59-910Q_4_17"/>
      <w:bookmarkStart w:id="642" w:name="Tc_X1cXL64jVUeiHiUMBYs62w_4_14"/>
      <w:bookmarkStart w:id="643" w:name="Tc_iN233bZ7DE2sTeosmAY3fw_4_12"/>
      <w:bookmarkStart w:id="644" w:name="Tc_h0MYKQjX402FTs95CS0dXA_4_9"/>
      <w:bookmarkStart w:id="645" w:name="Tc_j2O4bJ9kjUOmHyctzQ21pg_4_7"/>
      <w:bookmarkStart w:id="646" w:name="Tc_rBEYgxYzLU67s4taq5tAPg_4_4"/>
      <w:bookmarkStart w:id="647" w:name="Tc_y89MZEBwEEirhvUgWrHvOg_4_2"/>
      <w:bookmarkStart w:id="648" w:name="Tc_n1p3wd7WGUeB26tXmerLxw_3_23"/>
      <w:bookmarkStart w:id="649" w:name="Tc_tw58Y3QFB0uovYy8lEge5A_3_20"/>
      <w:bookmarkStart w:id="650" w:name="Tc_7YLJTGH_k0WmZH6wNTC4ww_3_17"/>
      <w:bookmarkStart w:id="651" w:name="Tc_JgxnrBqln0urET3LZaFyUg_3_12"/>
      <w:bookmarkStart w:id="652" w:name="Tc_CiK95hg6oUmV7D88cn76gg_3_7"/>
      <w:bookmarkStart w:id="653" w:name="Tc_i6bxKuMoPUSJmYMCv8clUA_3_2"/>
      <w:bookmarkStart w:id="654" w:name="Tc_1SUTObyGrUmKgcM63waNQQ_2_23"/>
      <w:bookmarkStart w:id="655" w:name="Tc_-FPY5ib-60uIo5kN9kxrkw_2_20"/>
      <w:bookmarkStart w:id="656" w:name="Tc__9dWGDFLn0iIlnV4OgpZ8A_2_17"/>
      <w:bookmarkStart w:id="657" w:name="_13fc08ff_f46c_4494_8dc1_4bc6de12fe13"/>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tbl>
      <w:tblPr>
        <w:tblW w:w="10205" w:type="dxa"/>
        <w:jc w:val="left"/>
        <w:tblInd w:w="0" w:type="dxa"/>
        <w:tblLayout w:type="fixed"/>
        <w:tblCellMar>
          <w:top w:w="0" w:type="dxa"/>
          <w:left w:w="0" w:type="dxa"/>
          <w:bottom w:w="0" w:type="dxa"/>
          <w:right w:w="0" w:type="dxa"/>
        </w:tblCellMar>
      </w:tblPr>
      <w:tblGrid>
        <w:gridCol w:w="2279"/>
        <w:gridCol w:w="226"/>
        <w:gridCol w:w="475"/>
        <w:gridCol w:w="230"/>
        <w:gridCol w:w="175"/>
        <w:gridCol w:w="366"/>
        <w:gridCol w:w="226"/>
        <w:gridCol w:w="475"/>
        <w:gridCol w:w="230"/>
        <w:gridCol w:w="175"/>
        <w:gridCol w:w="366"/>
        <w:gridCol w:w="226"/>
        <w:gridCol w:w="475"/>
        <w:gridCol w:w="230"/>
        <w:gridCol w:w="175"/>
        <w:gridCol w:w="366"/>
        <w:gridCol w:w="226"/>
        <w:gridCol w:w="166"/>
        <w:gridCol w:w="496"/>
        <w:gridCol w:w="109"/>
        <w:gridCol w:w="166"/>
        <w:gridCol w:w="497"/>
        <w:gridCol w:w="226"/>
        <w:gridCol w:w="166"/>
        <w:gridCol w:w="507"/>
        <w:gridCol w:w="226"/>
        <w:gridCol w:w="166"/>
        <w:gridCol w:w="559"/>
      </w:tblGrid>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01625" cy="175260"/>
                      <wp:effectExtent l="0" t="0" r="0" b="0"/>
                      <wp:wrapNone/>
                      <wp:docPr id="14" name="Frame1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0" cy="175260"/>
                      <wp:effectExtent l="0" t="0" r="0" b="0"/>
                      <wp:wrapNone/>
                      <wp:docPr id="15" name="Frame1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1125" cy="175260"/>
                      <wp:effectExtent l="0" t="0" r="0" b="0"/>
                      <wp:wrapNone/>
                      <wp:docPr id="16" name="Frame16"/>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2410" cy="175260"/>
                      <wp:effectExtent l="0" t="0" r="0" b="0"/>
                      <wp:wrapNone/>
                      <wp:docPr id="17" name="Frame1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01625" cy="175260"/>
                      <wp:effectExtent l="0" t="0" r="0" b="0"/>
                      <wp:wrapNone/>
                      <wp:docPr id="19" name="Frame19"/>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6050" cy="175260"/>
                      <wp:effectExtent l="0" t="0" r="0" b="0"/>
                      <wp:wrapNone/>
                      <wp:docPr id="20" name="Frame2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1125" cy="175260"/>
                      <wp:effectExtent l="0" t="0" r="0" b="0"/>
                      <wp:wrapNone/>
                      <wp:docPr id="21" name="Frame21"/>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2410" cy="175260"/>
                      <wp:effectExtent l="0" t="0" r="0" b="0"/>
                      <wp:wrapNone/>
                      <wp:docPr id="22" name="Frame2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01625" cy="175260"/>
                      <wp:effectExtent l="0" t="0" r="0" b="0"/>
                      <wp:wrapNone/>
                      <wp:docPr id="24" name="Frame2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0" cy="175260"/>
                      <wp:effectExtent l="0" t="0" r="0" b="0"/>
                      <wp:wrapNone/>
                      <wp:docPr id="25" name="Frame2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1125" cy="175260"/>
                      <wp:effectExtent l="0" t="0" r="0" b="0"/>
                      <wp:wrapNone/>
                      <wp:docPr id="26" name="Frame26"/>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2410" cy="175260"/>
                      <wp:effectExtent l="0" t="0" r="0" b="0"/>
                      <wp:wrapNone/>
                      <wp:docPr id="27" name="Frame2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410" cy="175260"/>
                      <wp:effectExtent l="0" t="0" r="0" b="0"/>
                      <wp:wrapNone/>
                      <wp:docPr id="29" name="Frame2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4960" cy="175260"/>
                      <wp:effectExtent l="0" t="0" r="0" b="0"/>
                      <wp:wrapNone/>
                      <wp:docPr id="30" name="Frame3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5410" cy="175260"/>
                      <wp:effectExtent l="0" t="0" r="0" b="0"/>
                      <wp:wrapNone/>
                      <wp:docPr id="32" name="Frame3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15595" cy="175260"/>
                      <wp:effectExtent l="0" t="0" r="0" b="0"/>
                      <wp:wrapNone/>
                      <wp:docPr id="33" name="Frame3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21945" cy="175260"/>
                      <wp:effectExtent l="0" t="0" r="0" b="0"/>
                      <wp:wrapNone/>
                      <wp:docPr id="36" name="Frame36"/>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5410" cy="175260"/>
                      <wp:effectExtent l="0" t="0" r="0" b="0"/>
                      <wp:wrapNone/>
                      <wp:docPr id="38" name="Frame3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54965" cy="175260"/>
                      <wp:effectExtent l="0" t="0" r="0" b="0"/>
                      <wp:wrapNone/>
                      <wp:docPr id="39" name="Frame39"/>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both"/>
              <w:rPr/>
            </w:pPr>
            <w:r>
              <w:rPr/>
              <w:t>​</w:t>
            </w:r>
          </w:p>
        </w:tc>
      </w:tr>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109" w:type="dxa"/>
            <w:tcBorders/>
            <w:vAlign w:val="center"/>
          </w:tcPr>
          <w:p>
            <w:pPr>
              <w:pStyle w:val="TableContents"/>
              <w:bidi w:val="0"/>
              <w:spacing w:before="0" w:after="0"/>
              <w:ind w:left="0" w:right="0" w:hanging="0"/>
              <w:jc w:val="both"/>
              <w:rPr/>
            </w:pPr>
            <w:r>
              <w:rPr/>
              <w:t>​</w:t>
            </w:r>
          </w:p>
        </w:tc>
        <w:tc>
          <w:tcPr>
            <w:tcW w:w="66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both"/>
              <w:rPr/>
            </w:pPr>
            <w:r>
              <w:rPr/>
              <w:t>​</w:t>
            </w:r>
          </w:p>
        </w:tc>
      </w:tr>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24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26" w:type="dxa"/>
            <w:tcBorders/>
            <w:vAlign w:val="center"/>
          </w:tcPr>
          <w:p>
            <w:pPr>
              <w:pStyle w:val="TableContents"/>
              <w:bidi w:val="0"/>
              <w:spacing w:before="0" w:after="0"/>
              <w:ind w:left="0" w:right="0" w:hanging="0"/>
              <w:jc w:val="both"/>
              <w:rPr/>
            </w:pPr>
            <w:r>
              <w:rPr/>
              <w:t>​</w:t>
            </w:r>
          </w:p>
        </w:tc>
        <w:tc>
          <w:tcPr>
            <w:tcW w:w="124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26" w:type="dxa"/>
            <w:tcBorders/>
            <w:vAlign w:val="center"/>
          </w:tcPr>
          <w:p>
            <w:pPr>
              <w:pStyle w:val="TableContents"/>
              <w:bidi w:val="0"/>
              <w:spacing w:before="0" w:after="0"/>
              <w:ind w:left="0" w:right="0" w:hanging="0"/>
              <w:jc w:val="both"/>
              <w:rPr/>
            </w:pPr>
            <w:r>
              <w:rPr/>
              <w:t>​</w:t>
            </w:r>
          </w:p>
        </w:tc>
        <w:tc>
          <w:tcPr>
            <w:tcW w:w="124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109" w:type="dxa"/>
            <w:tcBorders/>
            <w:vAlign w:val="center"/>
          </w:tcPr>
          <w:p>
            <w:pPr>
              <w:pStyle w:val="TableContents"/>
              <w:bidi w:val="0"/>
              <w:spacing w:before="0" w:after="0"/>
              <w:ind w:left="0" w:right="0" w:hanging="0"/>
              <w:jc w:val="both"/>
              <w:rPr/>
            </w:pPr>
            <w:r>
              <w:rPr/>
              <w:t>​</w:t>
            </w:r>
          </w:p>
        </w:tc>
        <w:tc>
          <w:tcPr>
            <w:tcW w:w="66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Earnings</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both"/>
              <w:rPr/>
            </w:pPr>
            <w:r>
              <w:rPr/>
              <w:t>​</w:t>
            </w:r>
          </w:p>
        </w:tc>
      </w:tr>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0"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0"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0"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109" w:type="dxa"/>
            <w:tcBorders/>
            <w:vAlign w:val="center"/>
          </w:tcPr>
          <w:p>
            <w:pPr>
              <w:pStyle w:val="TableContents"/>
              <w:bidi w:val="0"/>
              <w:spacing w:before="0" w:after="0"/>
              <w:ind w:left="0" w:right="0" w:hanging="0"/>
              <w:jc w:val="both"/>
              <w:rPr/>
            </w:pPr>
            <w:r>
              <w:rPr/>
              <w:t>​</w:t>
            </w:r>
          </w:p>
        </w:tc>
        <w:tc>
          <w:tcPr>
            <w:tcW w:w="6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(Deficit)</w:t>
            </w:r>
          </w:p>
        </w:tc>
        <w:tc>
          <w:tcPr>
            <w:tcW w:w="226" w:type="dxa"/>
            <w:tcBorders/>
            <w:vAlign w:val="center"/>
          </w:tcPr>
          <w:p>
            <w:pPr>
              <w:pStyle w:val="TableContents"/>
              <w:bidi w:val="0"/>
              <w:spacing w:before="0" w:after="0"/>
              <w:ind w:left="0" w:right="0" w:hanging="0"/>
              <w:jc w:val="both"/>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26" w:type="dxa"/>
            <w:tcBorders/>
            <w:vAlign w:val="center"/>
          </w:tcPr>
          <w:p>
            <w:pPr>
              <w:pStyle w:val="TableContents"/>
              <w:bidi w:val="0"/>
              <w:spacing w:before="0" w:after="0"/>
              <w:ind w:left="0" w:right="0" w:hanging="0"/>
              <w:jc w:val="both"/>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January 1, 2026</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63,437</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634</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216,944</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11,008</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143,209</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9"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371,799</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2,931</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1,843</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4,774</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127</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311</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(312)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pPr>
            <w:r>
              <w:rPr/>
              <w:t>—</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(507)</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(507)</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Contributions from holders of LLC common units</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pPr>
            <w:r>
              <w:rPr/>
              <w:t>—</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loss</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(16,402)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(10,259)</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(26,661)</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2026</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63,520</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635</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219,708</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(5,394)</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134,515</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9"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349,468</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4,078</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2,556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6,634</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133</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199</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pPr>
            <w:r>
              <w:rPr/>
              <w:t>—</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(125)</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(125)</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 award to employee</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320</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589</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(592)</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pPr>
            <w:r>
              <w:rPr/>
              <w:t>—</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stock award to employee</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(126)</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(884)</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(885)</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9" w:type="dxa"/>
            <w:tcBorders/>
            <w:shd w:fill="CCEEFF" w:val="clear"/>
            <w:vAlign w:val="center"/>
          </w:tcPr>
          <w:p>
            <w:pPr>
              <w:pStyle w:val="TableContents"/>
              <w:bidi w:val="0"/>
              <w:spacing w:before="0" w:after="0"/>
              <w:ind w:left="0" w:right="0" w:hanging="0"/>
              <w:jc w:val="right"/>
              <w:rPr/>
            </w:pPr>
            <w:r>
              <w:rPr/>
              <w:t>—</w:t>
            </w:r>
          </w:p>
        </w:tc>
      </w:tr>
      <w:tr>
        <w:trPr/>
        <w:tc>
          <w:tcPr>
            <w:tcW w:w="2279"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income</w:t>
            </w:r>
          </w:p>
        </w:tc>
        <w:tc>
          <w:tcPr>
            <w:tcW w:w="226" w:type="dxa"/>
            <w:tcBorders/>
            <w:vAlign w:val="center"/>
          </w:tcPr>
          <w:p>
            <w:pPr>
              <w:pStyle w:val="TableContents"/>
              <w:bidi w:val="0"/>
              <w:spacing w:before="0" w:after="0"/>
              <w:ind w:left="0" w:right="0" w:hanging="0"/>
              <w:jc w:val="both"/>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26,860</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16,853</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43,713</w:t>
            </w:r>
          </w:p>
        </w:tc>
      </w:tr>
      <w:tr>
        <w:trPr/>
        <w:tc>
          <w:tcPr>
            <w:tcW w:w="2279"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June 30, 2026</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63,828</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638</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223,593</w:t>
            </w:r>
          </w:p>
        </w:tc>
        <w:tc>
          <w:tcPr>
            <w:tcW w:w="109"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21,466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153,103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398,804</w:t>
            </w:r>
          </w:p>
        </w:tc>
      </w:tr>
      <w:tr>
        <w:trPr/>
        <w:tc>
          <w:tcPr>
            <w:tcW w:w="227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5"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9"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8" w:name="Tc_fa9H5evXOEerrb2RcnoRiQ_21_26"/>
      <w:bookmarkStart w:id="659" w:name="Tc_oi9NANCc4kaB1LSP9m_ing_21_23"/>
      <w:bookmarkStart w:id="660" w:name="Tc_rho_MZzGmUStkGDuzsZ_aQ_21_20"/>
      <w:bookmarkStart w:id="661" w:name="Tc_thAK4ckC5EilrykuK23Ggg_21_17"/>
      <w:bookmarkStart w:id="662" w:name="Tc_3_Zo1XU7nkOfK6Hm7GM5gQ_21_15"/>
      <w:bookmarkStart w:id="663" w:name="Tc_OSIkITbDzkWbm-vaTvXBZw_21_14"/>
      <w:bookmarkStart w:id="664" w:name="Tc_Mb1SRImfNk6lUtQZfPDUew_21_12"/>
      <w:bookmarkStart w:id="665" w:name="Tc_rzENWxMTPkymdRSxnVTpbA_21_9"/>
      <w:bookmarkStart w:id="666" w:name="Tc_h_6UjtmnlE-jpeRC_bbxgA_21_4"/>
      <w:bookmarkStart w:id="667" w:name="Tc_7IR42Yuct0ujoENk0TbX1A_21_0"/>
      <w:bookmarkStart w:id="668" w:name="Tc_uHgIVdAt9U-yWZ9HkZGOoA_20_18"/>
      <w:bookmarkStart w:id="669" w:name="Tc_Rw5JgCagkEmvKVOldC0q5g_20_15"/>
      <w:bookmarkStart w:id="670" w:name="Tc_INEEPg6R6UaX80i0P10g9A_20_12"/>
      <w:bookmarkStart w:id="671" w:name="Tc_YzeJTMctDU6exrmeqJHnDg_20_10"/>
      <w:bookmarkStart w:id="672" w:name="Tc_Rd0oV5349UKVIv4ZcDFarg_20_7"/>
      <w:bookmarkStart w:id="673" w:name="Tc_dZvDL94vcUalD2kY6jj0Hg_20_5"/>
      <w:bookmarkStart w:id="674" w:name="Tc_paQzpj4vZUCHERlxcU64fA_20_2"/>
      <w:bookmarkStart w:id="675" w:name="Tc_dbHG82RjrEO8na5pOrfbWw_20_0"/>
      <w:bookmarkStart w:id="676" w:name="Tc_1IXLQ7bQGkOzV2EP9oG24Q_19_27"/>
      <w:bookmarkStart w:id="677" w:name="Tc_Rfj397AasUajpQJZok-ohQ_19_21"/>
      <w:bookmarkStart w:id="678" w:name="Tc_Jrm3neCcdEKCEJCeJeN5MA_19_15"/>
      <w:bookmarkStart w:id="679" w:name="Tc_qvAtz3_dOUWjwdNzIxnweg_19_12"/>
      <w:bookmarkStart w:id="680" w:name="Tc_q_VFETmns0uuzo-ZCc6rvA_19_10"/>
      <w:bookmarkStart w:id="681" w:name="Tc_FOZ75rXI50y6HBgJ_Emsqg_19_7"/>
      <w:bookmarkStart w:id="682" w:name="Tc_rWJ4_RDQEU-xo52h0tnUrw_19_5"/>
      <w:bookmarkStart w:id="683" w:name="Tc_Gg0Z3gJ2Y0SiH4sYuy3SGA_19_2"/>
      <w:bookmarkStart w:id="684" w:name="Tc_AFiLCWqZj0a_qZsTa3YbEg_19_0"/>
      <w:bookmarkStart w:id="685" w:name="Tc_5H-eAnB7mUmfI3eeiQzCRg_18_24"/>
      <w:bookmarkStart w:id="686" w:name="Tc_uxHlA1goA0yErzWz8XlN1A_18_18"/>
      <w:bookmarkStart w:id="687" w:name="Tc_EKB7Cmc6XUOO0D2Oida5pg_18_15"/>
      <w:bookmarkStart w:id="688" w:name="Tc_BKIv-eKRtkiifhIOVGkM1g_18_12"/>
      <w:bookmarkStart w:id="689" w:name="Tc_J2eqf3c-a02NH-HNKbLADg_18_10"/>
      <w:bookmarkStart w:id="690" w:name="Tc_SC4zkPllj0yYIXJCYPKBwQ_18_7"/>
      <w:bookmarkStart w:id="691" w:name="Tc_w6C7CIURCU2KH_VhdbMLrQ_18_5"/>
      <w:bookmarkStart w:id="692" w:name="Tc_N1M1DZ8uUkuBJwjYSF_Hrg_18_2"/>
      <w:bookmarkStart w:id="693" w:name="Tc_oRxTKWiRq0q_v9XrIb3fTA_18_0"/>
      <w:bookmarkStart w:id="694" w:name="Tc_kNYuhlQsdkWXvyG-sOJOYQ_17_21"/>
      <w:bookmarkStart w:id="695" w:name="Tc_Up4h3KzBO0SeceUBW44sdA_17_18"/>
      <w:bookmarkStart w:id="696" w:name="Tc_CQAIAsxh1USKdL8GTHGA5A_17_15"/>
      <w:bookmarkStart w:id="697" w:name="Tc_BCCmkLIPM0SA7zAZak8r7A_17_12"/>
      <w:bookmarkStart w:id="698" w:name="Tc_xPfEZg6jYEyYXX7m5OiRRA_17_10"/>
      <w:bookmarkStart w:id="699" w:name="Tc_6DvyXueGGky5PDbMaByY6A_17_7"/>
      <w:bookmarkStart w:id="700" w:name="Tc_ckVX4x8vhUaPLsraaeJZgg_17_5"/>
      <w:bookmarkStart w:id="701" w:name="Tc_-pwDcVgSiEiMOmbuNY1E-A_17_2"/>
      <w:bookmarkStart w:id="702" w:name="Tc_WQU0-DxeEkOnVYyflJ9HDA_17_0"/>
      <w:bookmarkStart w:id="703" w:name="Tc_ufpoA13Kc0WBv_cwpocUNA_16_24"/>
      <w:bookmarkStart w:id="704" w:name="Tc_AkHg71hWhUiNsZTOuslvLA_16_21"/>
      <w:bookmarkStart w:id="705" w:name="Tc_ua7vPo72XEal4ZB7uBt17A_16_15"/>
      <w:bookmarkStart w:id="706" w:name="Tc_ZJmM7d4880W_UqAKPw1GlA_16_12"/>
      <w:bookmarkStart w:id="707" w:name="Tc_H0LM6gicgE2u4-FRX_c1jw_16_10"/>
      <w:bookmarkStart w:id="708" w:name="Tc_WgtUkQhwhUmM8h9ozaM4Kw_16_7"/>
      <w:bookmarkStart w:id="709" w:name="Tc_jA_O7bybx06ReMJwvlm48w_16_5"/>
      <w:bookmarkStart w:id="710" w:name="Tc_CphWPPX6cUS2tZp455_7RA_16_0"/>
      <w:bookmarkStart w:id="711" w:name="Tc_-PphHcTWJEO0978G70Jqkg_15_27"/>
      <w:bookmarkStart w:id="712" w:name="Tc_YU6VQt9mBkWXxkOk7bP5lQ_15_21"/>
      <w:bookmarkStart w:id="713" w:name="Tc_I2g7YhtKF0WAhRAfhGsR7A_15_15"/>
      <w:bookmarkStart w:id="714" w:name="Tc_I0wkSsiTpkCydXGuHnLlHQ_15_12"/>
      <w:bookmarkStart w:id="715" w:name="Tc_QHHYoBOnD0CjHCIAHbHW3w_15_10"/>
      <w:bookmarkStart w:id="716" w:name="Tc_lmMzdSInpk2wrwExwrovNA_15_7"/>
      <w:bookmarkStart w:id="717" w:name="Tc_yEuQ86w7XEehjgiRUVzm4Q_15_5"/>
      <w:bookmarkStart w:id="718" w:name="Tc_9VqkWRYwVE6VHkSppbGYNw_15_0"/>
      <w:bookmarkStart w:id="719" w:name="Tc_D5jlw8uzVU6e_IhvYi_UDw_14_21"/>
      <w:bookmarkStart w:id="720" w:name="Tc_eTlmZX6BI0CkzvIB0RSZfw_14_15"/>
      <w:bookmarkStart w:id="721" w:name="Tc_RIpZ5BaePkOsD9ePhNaYog_14_12"/>
      <w:bookmarkStart w:id="722" w:name="Tc_zeHXgRh9dUScq7eDP8RkfA_14_10"/>
      <w:bookmarkStart w:id="723" w:name="Tc_VMsmXCfYy0un4a8_vzAo8A_14_7"/>
      <w:bookmarkStart w:id="724" w:name="Tc_rRKgQoqTmkOT9bw05SjDXg_14_5"/>
      <w:bookmarkStart w:id="725" w:name="Tc_XZVg7lgJpUOXhcNksMv6Jg_14_2"/>
      <w:bookmarkStart w:id="726" w:name="Tc_lNicjs3vDk2_xy9pVSXWrw_14_0"/>
      <w:bookmarkStart w:id="727" w:name="Tc_ltCkV-H6DkuEQRGC3DXTVw_13_26"/>
      <w:bookmarkStart w:id="728" w:name="Tc_5Ar10mnxLUqKDMFPVFfCmQ_13_23"/>
      <w:bookmarkStart w:id="729" w:name="Tc_wdS_Y47x5kei0ssDFqUuBg_13_20"/>
      <w:bookmarkStart w:id="730" w:name="Tc_PxOO5bV6l0Kt_CVjTBDcLQ_13_17"/>
      <w:bookmarkStart w:id="731" w:name="Tc_5x1i7t56vki5r0E2IG7fiQ_13_15"/>
      <w:bookmarkStart w:id="732" w:name="Tc_HOr-HfOqYUutSrshecA-VQ_13_14"/>
      <w:bookmarkStart w:id="733" w:name="Tc_CIjiZaqz_k-yMWCDlxbr5A_13_12"/>
      <w:bookmarkStart w:id="734" w:name="Tc__yjh7BwY_0G3wj_FGtv2Gg_13_9"/>
      <w:bookmarkStart w:id="735" w:name="Tc_F2-a26Avlkmkwa8DthH-VQ_13_4"/>
      <w:bookmarkStart w:id="736" w:name="Tc_rhbF6nB7GUKtjg2TAbIh3A_13_0"/>
      <w:bookmarkStart w:id="737" w:name="Tc_HiuGOKwgUUidx4Rfl81VTA_12_18"/>
      <w:bookmarkStart w:id="738" w:name="Tc_6hhhvrRtQkCd2kgu9bUs5Q_12_15"/>
      <w:bookmarkStart w:id="739" w:name="Tc_aFaWPr8xK06C-IXX-Ck3hA_12_12"/>
      <w:bookmarkStart w:id="740" w:name="Tc_NCVwazggHUGYkIu0mafIKg_12_10"/>
      <w:bookmarkStart w:id="741" w:name="Tc_nNNotm9bS0aEKGmcv3Dq7A_12_7"/>
      <w:bookmarkStart w:id="742" w:name="Tc_BBt3llB2Ekq3czKWJwFvpg_12_5"/>
      <w:bookmarkStart w:id="743" w:name="Tc_CtU6565SH0GdFILzNtxvTg_12_2"/>
      <w:bookmarkStart w:id="744" w:name="Tc_aAmybMUrR0yEkKLv1DaYwQ_12_0"/>
      <w:bookmarkStart w:id="745" w:name="Tc_gAYf_qCCE0ec2FL90AmY4w_11_27"/>
      <w:bookmarkStart w:id="746" w:name="Tc_ldD-J0Zx3Ua8znxoQOPThA_11_21"/>
      <w:bookmarkStart w:id="747" w:name="Tc_ys9U58xfV0eEVaNEEVU0_A_11_15"/>
      <w:bookmarkStart w:id="748" w:name="Tc_giVDjhVr2E-NbcmXS8Qbkg_11_12"/>
      <w:bookmarkStart w:id="749" w:name="Tc_JHDbuaAmt0Wig0Id6PChyQ_11_10"/>
      <w:bookmarkStart w:id="750" w:name="Tc_gk_nRqvpb0WXN24gEylE5g_11_7"/>
      <w:bookmarkStart w:id="751" w:name="Tc_ins-mUpS6EO-uiIBUy-RTQ_11_5"/>
      <w:bookmarkStart w:id="752" w:name="Tc_evd6HqGn306emittNbDXHQ_11_2"/>
      <w:bookmarkStart w:id="753" w:name="Tc_wepzAwZnu0Cz_Voft3eL9A_11_0"/>
      <w:bookmarkStart w:id="754" w:name="Tc_ndCbfgAdcEqplXTIwG5jCQ_10_24"/>
      <w:bookmarkStart w:id="755" w:name="Tc_UKz-dV-FX0GnCUwSP4_fXw_10_18"/>
      <w:bookmarkStart w:id="756" w:name="Tc_bHmT-VRg0EGcMDq2sbas9g_10_15"/>
      <w:bookmarkStart w:id="757" w:name="Tc_U0ZC1jWibUuHdUz5YQFAPQ_10_12"/>
      <w:bookmarkStart w:id="758" w:name="Tc_JX8tIHIV7EaH_LUj_zfecQ_10_10"/>
      <w:bookmarkStart w:id="759" w:name="Tc_UxitJt4j1U-f91hD8QGpQQ_10_7"/>
      <w:bookmarkStart w:id="760" w:name="Tc_Fb1Gc3RSLUinCmMhcBAJAw_10_5"/>
      <w:bookmarkStart w:id="761" w:name="Tc_NX4y3KQo30iijRmmdjBk-A_10_2"/>
      <w:bookmarkStart w:id="762" w:name="Tc_ni98N_Nxt0CBP7aQbvvocg_10_0"/>
      <w:bookmarkStart w:id="763" w:name="Tc_8G1vuGtZ8UCFFQqtzYMnow_9_21"/>
      <w:bookmarkStart w:id="764" w:name="Tc_oIfhoLjTRkiSz9oM4eZpZA_9_18"/>
      <w:bookmarkStart w:id="765" w:name="Tc_75InoEWw_0e2n1lanJjlUg_9_15"/>
      <w:bookmarkStart w:id="766" w:name="Tc_8V1INQ2bhUSc_BFF4BQu6Q_9_12"/>
      <w:bookmarkStart w:id="767" w:name="Tc_0BRmwe8CykWbJbQXoLG0Qg_9_10"/>
      <w:bookmarkStart w:id="768" w:name="Tc_bmPdx7RwmkWSKKkCVQSBgA_9_7"/>
      <w:bookmarkStart w:id="769" w:name="Tc_ytAu2o2yUUmRUADCJWDFgw_9_5"/>
      <w:bookmarkStart w:id="770" w:name="Tc_2CY_VqxFFUu7oOisB_rF5w_9_2"/>
      <w:bookmarkStart w:id="771" w:name="Tc_cApWTop1m0Ssrn9XvxVzMw_9_0"/>
      <w:bookmarkStart w:id="772" w:name="Tc__9usg9lrmkW1TB5C52NHFA_8_24"/>
      <w:bookmarkStart w:id="773" w:name="Tc_yyQdOBXnfkuzhoDUyYDRXA_8_21"/>
      <w:bookmarkStart w:id="774" w:name="Tc_G1s88_F9F0ufH7wbs1Zt4w_8_15"/>
      <w:bookmarkStart w:id="775" w:name="Tc_Iiguq2jkykWxn50J_wf-Gw_8_12"/>
      <w:bookmarkStart w:id="776" w:name="Tc_xDZCw_Oz3EKWiVkE178nBA_8_10"/>
      <w:bookmarkStart w:id="777" w:name="Tc_NwtjYwsHTkyKQNnWqfXbVw_8_7"/>
      <w:bookmarkStart w:id="778" w:name="Tc_0YWQHtvxcky-lB8qGBx1mw_8_5"/>
      <w:bookmarkStart w:id="779" w:name="Tc_LP5uMPhd1k-Xitx6iGHGdA_8_0"/>
      <w:bookmarkStart w:id="780" w:name="Tc_QvNwSIv7fE-vslhh9uoJxg_7_27"/>
      <w:bookmarkStart w:id="781" w:name="Tc_6yF_LW42b0eg1pqVb8p58w_7_21"/>
      <w:bookmarkStart w:id="782" w:name="Tc_46TmSNu-bkOTRAZ7ndKwHA_7_15"/>
      <w:bookmarkStart w:id="783" w:name="Tc_dsC3wOmXIE-NU7c6VEGN0w_7_12"/>
      <w:bookmarkStart w:id="784" w:name="Tc_cn5yjPgB6kqWch35lQcp_g_7_10"/>
      <w:bookmarkStart w:id="785" w:name="Tc_04S-tPDzk0CajbgW5GrzFw_7_7"/>
      <w:bookmarkStart w:id="786" w:name="Tc_kIupzqm5WEKxZoU_9l9h7g_7_0"/>
      <w:bookmarkStart w:id="787" w:name="Tc_hemacc7k80O9rJqw4NNA2Q_6_21"/>
      <w:bookmarkStart w:id="788" w:name="Tc_h1W_ZYf7jkOop4KkumPK-g_6_15"/>
      <w:bookmarkStart w:id="789" w:name="Tc_Qf0QnZL53kOikOmJ8Je69w_6_12"/>
      <w:bookmarkStart w:id="790" w:name="Tc_nKc9ocxd90C0O2YRuU2bkg_6_10"/>
      <w:bookmarkStart w:id="791" w:name="Tc_X8u7vgiQ40qfgpXKE361hg_6_7"/>
      <w:bookmarkStart w:id="792" w:name="Tc_avPIqWt0d0iQXWVW4ogyGw_6_5"/>
      <w:bookmarkStart w:id="793" w:name="Tc_T7ZPpF-e1kOqduGNQzC9qA_6_2"/>
      <w:bookmarkStart w:id="794" w:name="Tc_4vCl4SymRkGMKyR8DSNvAg_6_0"/>
      <w:bookmarkStart w:id="795" w:name="Tc_L_IFPhpKO0iL-jRtpV_lBw_5_26"/>
      <w:bookmarkStart w:id="796" w:name="Tc_FtN_BfRP1kWovtZQKZNxXw_5_23"/>
      <w:bookmarkStart w:id="797" w:name="Tc_jc56IeuJSkCwOE_KzEkLGg_5_20"/>
      <w:bookmarkStart w:id="798" w:name="Tc_sZm0d7Eblk2wMo0XBYoKAQ_5_17"/>
      <w:bookmarkStart w:id="799" w:name="Tc_WLALCcA-nEOXN5YTMCBI_Q_5_15"/>
      <w:bookmarkStart w:id="800" w:name="Tc_sAI6OKK9-0K177W2PeCmPQ_5_14"/>
      <w:bookmarkStart w:id="801" w:name="Tc_vvBJo8K3_E-WWU2l7ab9Tw_5_12"/>
      <w:bookmarkStart w:id="802" w:name="Tc_lJqPXqLVGkezhnzhLhxVdA_5_9"/>
      <w:bookmarkStart w:id="803" w:name="Tc_uwB_kuBKnUutD_YjXTb2Hw_5_4"/>
      <w:bookmarkStart w:id="804" w:name="Tc_xHLIHNCIdEm_bCjj_oIzMQ_5_0"/>
      <w:bookmarkStart w:id="805" w:name="Tc_xqa-pKIalUufeg91ym5S4Q_4_26"/>
      <w:bookmarkStart w:id="806" w:name="Tc_PfKYrNVvDEaewJAg9BFpfA_4_23"/>
      <w:bookmarkStart w:id="807" w:name="Tc_YtOVSahcaEOOk0nkGsbKMQ_4_20"/>
      <w:bookmarkStart w:id="808" w:name="Tc_LF2SWyKhgE2027EQuo1O1g_4_17"/>
      <w:bookmarkStart w:id="809" w:name="Tc_nCfZEmxBA0amSZCGnGyVyg_4_14"/>
      <w:bookmarkStart w:id="810" w:name="Tc_E6y6LEVuRU2yQnv9nJZa7Q_4_12"/>
      <w:bookmarkStart w:id="811" w:name="Tc_JP9mZPb_YEebUvtNlU-svg_4_9"/>
      <w:bookmarkStart w:id="812" w:name="Tc_KEu2knR_bEisCTR6usP3rg_4_7"/>
      <w:bookmarkStart w:id="813" w:name="Tc_raeKcs7jwU-Kfz8DjBxgDg_4_4"/>
      <w:bookmarkStart w:id="814" w:name="Tc_saD8_xrm70-oryr3z-sUyg_4_2"/>
      <w:bookmarkStart w:id="815" w:name="Tc_bwKKJN1WaU2sf_CBDNBcnA_3_23"/>
      <w:bookmarkStart w:id="816" w:name="Tc_vmx9_72c2UmmgauzBq_OCw_3_20"/>
      <w:bookmarkStart w:id="817" w:name="Tc_e1sEJe76u0ihKx1ne-bTFA_3_17"/>
      <w:bookmarkStart w:id="818" w:name="Tc_6nnj6cdGPU2TnJihqf9kpQ_3_12"/>
      <w:bookmarkStart w:id="819" w:name="Tc_qLu-zek1IkWz_Rs_f37mgw_3_7"/>
      <w:bookmarkStart w:id="820" w:name="Tc_FircIzEjuECwtljCGRRwTA_3_2"/>
      <w:bookmarkStart w:id="821" w:name="Tc_Put67MGISkaX78RHNa0H1Q_2_23"/>
      <w:bookmarkStart w:id="822" w:name="Tc_1gu4fgUjREm3ZPcY3S7IwA_2_17"/>
      <w:bookmarkStart w:id="823" w:name="_b4e5c29c_2210_40db_b68c_73babc310935"/>
      <w:bookmarkStart w:id="824" w:name="_fd656215_aad4_44da_a730_e6e6194c8e0d"/>
      <w:bookmarkStart w:id="825" w:name="_f9851689_9e0b_43e9_bed8_bd2790b253dd"/>
      <w:bookmarkStart w:id="826" w:name="Tc_fa9H5evXOEerrb2RcnoRiQ_21_26"/>
      <w:bookmarkStart w:id="827" w:name="Tc_oi9NANCc4kaB1LSP9m_ing_21_23"/>
      <w:bookmarkStart w:id="828" w:name="Tc_rho_MZzGmUStkGDuzsZ_aQ_21_20"/>
      <w:bookmarkStart w:id="829" w:name="Tc_thAK4ckC5EilrykuK23Ggg_21_17"/>
      <w:bookmarkStart w:id="830" w:name="Tc_3_Zo1XU7nkOfK6Hm7GM5gQ_21_15"/>
      <w:bookmarkStart w:id="831" w:name="Tc_OSIkITbDzkWbm-vaTvXBZw_21_14"/>
      <w:bookmarkStart w:id="832" w:name="Tc_Mb1SRImfNk6lUtQZfPDUew_21_12"/>
      <w:bookmarkStart w:id="833" w:name="Tc_rzENWxMTPkymdRSxnVTpbA_21_9"/>
      <w:bookmarkStart w:id="834" w:name="Tc_h_6UjtmnlE-jpeRC_bbxgA_21_4"/>
      <w:bookmarkStart w:id="835" w:name="Tc_7IR42Yuct0ujoENk0TbX1A_21_0"/>
      <w:bookmarkStart w:id="836" w:name="Tc_uHgIVdAt9U-yWZ9HkZGOoA_20_18"/>
      <w:bookmarkStart w:id="837" w:name="Tc_Rw5JgCagkEmvKVOldC0q5g_20_15"/>
      <w:bookmarkStart w:id="838" w:name="Tc_INEEPg6R6UaX80i0P10g9A_20_12"/>
      <w:bookmarkStart w:id="839" w:name="Tc_YzeJTMctDU6exrmeqJHnDg_20_10"/>
      <w:bookmarkStart w:id="840" w:name="Tc_Rd0oV5349UKVIv4ZcDFarg_20_7"/>
      <w:bookmarkStart w:id="841" w:name="Tc_dZvDL94vcUalD2kY6jj0Hg_20_5"/>
      <w:bookmarkStart w:id="842" w:name="Tc_paQzpj4vZUCHERlxcU64fA_20_2"/>
      <w:bookmarkStart w:id="843" w:name="Tc_dbHG82RjrEO8na5pOrfbWw_20_0"/>
      <w:bookmarkStart w:id="844" w:name="Tc_1IXLQ7bQGkOzV2EP9oG24Q_19_27"/>
      <w:bookmarkStart w:id="845" w:name="Tc_Rfj397AasUajpQJZok-ohQ_19_21"/>
      <w:bookmarkStart w:id="846" w:name="Tc_Jrm3neCcdEKCEJCeJeN5MA_19_15"/>
      <w:bookmarkStart w:id="847" w:name="Tc_qvAtz3_dOUWjwdNzIxnweg_19_12"/>
      <w:bookmarkStart w:id="848" w:name="Tc_q_VFETmns0uuzo-ZCc6rvA_19_10"/>
      <w:bookmarkStart w:id="849" w:name="Tc_FOZ75rXI50y6HBgJ_Emsqg_19_7"/>
      <w:bookmarkStart w:id="850" w:name="Tc_rWJ4_RDQEU-xo52h0tnUrw_19_5"/>
      <w:bookmarkStart w:id="851" w:name="Tc_Gg0Z3gJ2Y0SiH4sYuy3SGA_19_2"/>
      <w:bookmarkStart w:id="852" w:name="Tc_AFiLCWqZj0a_qZsTa3YbEg_19_0"/>
      <w:bookmarkStart w:id="853" w:name="Tc_5H-eAnB7mUmfI3eeiQzCRg_18_24"/>
      <w:bookmarkStart w:id="854" w:name="Tc_uxHlA1goA0yErzWz8XlN1A_18_18"/>
      <w:bookmarkStart w:id="855" w:name="Tc_EKB7Cmc6XUOO0D2Oida5pg_18_15"/>
      <w:bookmarkStart w:id="856" w:name="Tc_BKIv-eKRtkiifhIOVGkM1g_18_12"/>
      <w:bookmarkStart w:id="857" w:name="Tc_J2eqf3c-a02NH-HNKbLADg_18_10"/>
      <w:bookmarkStart w:id="858" w:name="Tc_SC4zkPllj0yYIXJCYPKBwQ_18_7"/>
      <w:bookmarkStart w:id="859" w:name="Tc_w6C7CIURCU2KH_VhdbMLrQ_18_5"/>
      <w:bookmarkStart w:id="860" w:name="Tc_N1M1DZ8uUkuBJwjYSF_Hrg_18_2"/>
      <w:bookmarkStart w:id="861" w:name="Tc_oRxTKWiRq0q_v9XrIb3fTA_18_0"/>
      <w:bookmarkStart w:id="862" w:name="Tc_kNYuhlQsdkWXvyG-sOJOYQ_17_21"/>
      <w:bookmarkStart w:id="863" w:name="Tc_Up4h3KzBO0SeceUBW44sdA_17_18"/>
      <w:bookmarkStart w:id="864" w:name="Tc_CQAIAsxh1USKdL8GTHGA5A_17_15"/>
      <w:bookmarkStart w:id="865" w:name="Tc_BCCmkLIPM0SA7zAZak8r7A_17_12"/>
      <w:bookmarkStart w:id="866" w:name="Tc_xPfEZg6jYEyYXX7m5OiRRA_17_10"/>
      <w:bookmarkStart w:id="867" w:name="Tc_6DvyXueGGky5PDbMaByY6A_17_7"/>
      <w:bookmarkStart w:id="868" w:name="Tc_ckVX4x8vhUaPLsraaeJZgg_17_5"/>
      <w:bookmarkStart w:id="869" w:name="Tc_-pwDcVgSiEiMOmbuNY1E-A_17_2"/>
      <w:bookmarkStart w:id="870" w:name="Tc_WQU0-DxeEkOnVYyflJ9HDA_17_0"/>
      <w:bookmarkStart w:id="871" w:name="Tc_ufpoA13Kc0WBv_cwpocUNA_16_24"/>
      <w:bookmarkStart w:id="872" w:name="Tc_AkHg71hWhUiNsZTOuslvLA_16_21"/>
      <w:bookmarkStart w:id="873" w:name="Tc_ua7vPo72XEal4ZB7uBt17A_16_15"/>
      <w:bookmarkStart w:id="874" w:name="Tc_ZJmM7d4880W_UqAKPw1GlA_16_12"/>
      <w:bookmarkStart w:id="875" w:name="Tc_H0LM6gicgE2u4-FRX_c1jw_16_10"/>
      <w:bookmarkStart w:id="876" w:name="Tc_WgtUkQhwhUmM8h9ozaM4Kw_16_7"/>
      <w:bookmarkStart w:id="877" w:name="Tc_jA_O7bybx06ReMJwvlm48w_16_5"/>
      <w:bookmarkStart w:id="878" w:name="Tc_CphWPPX6cUS2tZp455_7RA_16_0"/>
      <w:bookmarkStart w:id="879" w:name="Tc_-PphHcTWJEO0978G70Jqkg_15_27"/>
      <w:bookmarkStart w:id="880" w:name="Tc_YU6VQt9mBkWXxkOk7bP5lQ_15_21"/>
      <w:bookmarkStart w:id="881" w:name="Tc_I2g7YhtKF0WAhRAfhGsR7A_15_15"/>
      <w:bookmarkStart w:id="882" w:name="Tc_I0wkSsiTpkCydXGuHnLlHQ_15_12"/>
      <w:bookmarkStart w:id="883" w:name="Tc_QHHYoBOnD0CjHCIAHbHW3w_15_10"/>
      <w:bookmarkStart w:id="884" w:name="Tc_lmMzdSInpk2wrwExwrovNA_15_7"/>
      <w:bookmarkStart w:id="885" w:name="Tc_yEuQ86w7XEehjgiRUVzm4Q_15_5"/>
      <w:bookmarkStart w:id="886" w:name="Tc_9VqkWRYwVE6VHkSppbGYNw_15_0"/>
      <w:bookmarkStart w:id="887" w:name="Tc_D5jlw8uzVU6e_IhvYi_UDw_14_21"/>
      <w:bookmarkStart w:id="888" w:name="Tc_eTlmZX6BI0CkzvIB0RSZfw_14_15"/>
      <w:bookmarkStart w:id="889" w:name="Tc_RIpZ5BaePkOsD9ePhNaYog_14_12"/>
      <w:bookmarkStart w:id="890" w:name="Tc_zeHXgRh9dUScq7eDP8RkfA_14_10"/>
      <w:bookmarkStart w:id="891" w:name="Tc_VMsmXCfYy0un4a8_vzAo8A_14_7"/>
      <w:bookmarkStart w:id="892" w:name="Tc_rRKgQoqTmkOT9bw05SjDXg_14_5"/>
      <w:bookmarkStart w:id="893" w:name="Tc_XZVg7lgJpUOXhcNksMv6Jg_14_2"/>
      <w:bookmarkStart w:id="894" w:name="Tc_lNicjs3vDk2_xy9pVSXWrw_14_0"/>
      <w:bookmarkStart w:id="895" w:name="Tc_ltCkV-H6DkuEQRGC3DXTVw_13_26"/>
      <w:bookmarkStart w:id="896" w:name="Tc_5Ar10mnxLUqKDMFPVFfCmQ_13_23"/>
      <w:bookmarkStart w:id="897" w:name="Tc_wdS_Y47x5kei0ssDFqUuBg_13_20"/>
      <w:bookmarkStart w:id="898" w:name="Tc_PxOO5bV6l0Kt_CVjTBDcLQ_13_17"/>
      <w:bookmarkStart w:id="899" w:name="Tc_5x1i7t56vki5r0E2IG7fiQ_13_15"/>
      <w:bookmarkStart w:id="900" w:name="Tc_HOr-HfOqYUutSrshecA-VQ_13_14"/>
      <w:bookmarkStart w:id="901" w:name="Tc_CIjiZaqz_k-yMWCDlxbr5A_13_12"/>
      <w:bookmarkStart w:id="902" w:name="Tc__yjh7BwY_0G3wj_FGtv2Gg_13_9"/>
      <w:bookmarkStart w:id="903" w:name="Tc_F2-a26Avlkmkwa8DthH-VQ_13_4"/>
      <w:bookmarkStart w:id="904" w:name="Tc_rhbF6nB7GUKtjg2TAbIh3A_13_0"/>
      <w:bookmarkStart w:id="905" w:name="Tc_HiuGOKwgUUidx4Rfl81VTA_12_18"/>
      <w:bookmarkStart w:id="906" w:name="Tc_6hhhvrRtQkCd2kgu9bUs5Q_12_15"/>
      <w:bookmarkStart w:id="907" w:name="Tc_aFaWPr8xK06C-IXX-Ck3hA_12_12"/>
      <w:bookmarkStart w:id="908" w:name="Tc_NCVwazggHUGYkIu0mafIKg_12_10"/>
      <w:bookmarkStart w:id="909" w:name="Tc_nNNotm9bS0aEKGmcv3Dq7A_12_7"/>
      <w:bookmarkStart w:id="910" w:name="Tc_BBt3llB2Ekq3czKWJwFvpg_12_5"/>
      <w:bookmarkStart w:id="911" w:name="Tc_CtU6565SH0GdFILzNtxvTg_12_2"/>
      <w:bookmarkStart w:id="912" w:name="Tc_aAmybMUrR0yEkKLv1DaYwQ_12_0"/>
      <w:bookmarkStart w:id="913" w:name="Tc_gAYf_qCCE0ec2FL90AmY4w_11_27"/>
      <w:bookmarkStart w:id="914" w:name="Tc_ldD-J0Zx3Ua8znxoQOPThA_11_21"/>
      <w:bookmarkStart w:id="915" w:name="Tc_ys9U58xfV0eEVaNEEVU0_A_11_15"/>
      <w:bookmarkStart w:id="916" w:name="Tc_giVDjhVr2E-NbcmXS8Qbkg_11_12"/>
      <w:bookmarkStart w:id="917" w:name="Tc_JHDbuaAmt0Wig0Id6PChyQ_11_10"/>
      <w:bookmarkStart w:id="918" w:name="Tc_gk_nRqvpb0WXN24gEylE5g_11_7"/>
      <w:bookmarkStart w:id="919" w:name="Tc_ins-mUpS6EO-uiIBUy-RTQ_11_5"/>
      <w:bookmarkStart w:id="920" w:name="Tc_evd6HqGn306emittNbDXHQ_11_2"/>
      <w:bookmarkStart w:id="921" w:name="Tc_wepzAwZnu0Cz_Voft3eL9A_11_0"/>
      <w:bookmarkStart w:id="922" w:name="Tc_ndCbfgAdcEqplXTIwG5jCQ_10_24"/>
      <w:bookmarkStart w:id="923" w:name="Tc_UKz-dV-FX0GnCUwSP4_fXw_10_18"/>
      <w:bookmarkStart w:id="924" w:name="Tc_bHmT-VRg0EGcMDq2sbas9g_10_15"/>
      <w:bookmarkStart w:id="925" w:name="Tc_U0ZC1jWibUuHdUz5YQFAPQ_10_12"/>
      <w:bookmarkStart w:id="926" w:name="Tc_JX8tIHIV7EaH_LUj_zfecQ_10_10"/>
      <w:bookmarkStart w:id="927" w:name="Tc_UxitJt4j1U-f91hD8QGpQQ_10_7"/>
      <w:bookmarkStart w:id="928" w:name="Tc_Fb1Gc3RSLUinCmMhcBAJAw_10_5"/>
      <w:bookmarkStart w:id="929" w:name="Tc_NX4y3KQo30iijRmmdjBk-A_10_2"/>
      <w:bookmarkStart w:id="930" w:name="Tc_ni98N_Nxt0CBP7aQbvvocg_10_0"/>
      <w:bookmarkStart w:id="931" w:name="Tc_8G1vuGtZ8UCFFQqtzYMnow_9_21"/>
      <w:bookmarkStart w:id="932" w:name="Tc_oIfhoLjTRkiSz9oM4eZpZA_9_18"/>
      <w:bookmarkStart w:id="933" w:name="Tc_75InoEWw_0e2n1lanJjlUg_9_15"/>
      <w:bookmarkStart w:id="934" w:name="Tc_8V1INQ2bhUSc_BFF4BQu6Q_9_12"/>
      <w:bookmarkStart w:id="935" w:name="Tc_0BRmwe8CykWbJbQXoLG0Qg_9_10"/>
      <w:bookmarkStart w:id="936" w:name="Tc_bmPdx7RwmkWSKKkCVQSBgA_9_7"/>
      <w:bookmarkStart w:id="937" w:name="Tc_ytAu2o2yUUmRUADCJWDFgw_9_5"/>
      <w:bookmarkStart w:id="938" w:name="Tc_2CY_VqxFFUu7oOisB_rF5w_9_2"/>
      <w:bookmarkStart w:id="939" w:name="Tc_cApWTop1m0Ssrn9XvxVzMw_9_0"/>
      <w:bookmarkStart w:id="940" w:name="Tc__9usg9lrmkW1TB5C52NHFA_8_24"/>
      <w:bookmarkStart w:id="941" w:name="Tc_yyQdOBXnfkuzhoDUyYDRXA_8_21"/>
      <w:bookmarkStart w:id="942" w:name="Tc_G1s88_F9F0ufH7wbs1Zt4w_8_15"/>
      <w:bookmarkStart w:id="943" w:name="Tc_Iiguq2jkykWxn50J_wf-Gw_8_12"/>
      <w:bookmarkStart w:id="944" w:name="Tc_xDZCw_Oz3EKWiVkE178nBA_8_10"/>
      <w:bookmarkStart w:id="945" w:name="Tc_NwtjYwsHTkyKQNnWqfXbVw_8_7"/>
      <w:bookmarkStart w:id="946" w:name="Tc_0YWQHtvxcky-lB8qGBx1mw_8_5"/>
      <w:bookmarkStart w:id="947" w:name="Tc_LP5uMPhd1k-Xitx6iGHGdA_8_0"/>
      <w:bookmarkStart w:id="948" w:name="Tc_QvNwSIv7fE-vslhh9uoJxg_7_27"/>
      <w:bookmarkStart w:id="949" w:name="Tc_6yF_LW42b0eg1pqVb8p58w_7_21"/>
      <w:bookmarkStart w:id="950" w:name="Tc_46TmSNu-bkOTRAZ7ndKwHA_7_15"/>
      <w:bookmarkStart w:id="951" w:name="Tc_dsC3wOmXIE-NU7c6VEGN0w_7_12"/>
      <w:bookmarkStart w:id="952" w:name="Tc_cn5yjPgB6kqWch35lQcp_g_7_10"/>
      <w:bookmarkStart w:id="953" w:name="Tc_04S-tPDzk0CajbgW5GrzFw_7_7"/>
      <w:bookmarkStart w:id="954" w:name="Tc_kIupzqm5WEKxZoU_9l9h7g_7_0"/>
      <w:bookmarkStart w:id="955" w:name="Tc_hemacc7k80O9rJqw4NNA2Q_6_21"/>
      <w:bookmarkStart w:id="956" w:name="Tc_h1W_ZYf7jkOop4KkumPK-g_6_15"/>
      <w:bookmarkStart w:id="957" w:name="Tc_Qf0QnZL53kOikOmJ8Je69w_6_12"/>
      <w:bookmarkStart w:id="958" w:name="Tc_nKc9ocxd90C0O2YRuU2bkg_6_10"/>
      <w:bookmarkStart w:id="959" w:name="Tc_X8u7vgiQ40qfgpXKE361hg_6_7"/>
      <w:bookmarkStart w:id="960" w:name="Tc_avPIqWt0d0iQXWVW4ogyGw_6_5"/>
      <w:bookmarkStart w:id="961" w:name="Tc_T7ZPpF-e1kOqduGNQzC9qA_6_2"/>
      <w:bookmarkStart w:id="962" w:name="Tc_4vCl4SymRkGMKyR8DSNvAg_6_0"/>
      <w:bookmarkStart w:id="963" w:name="Tc_L_IFPhpKO0iL-jRtpV_lBw_5_26"/>
      <w:bookmarkStart w:id="964" w:name="Tc_FtN_BfRP1kWovtZQKZNxXw_5_23"/>
      <w:bookmarkStart w:id="965" w:name="Tc_jc56IeuJSkCwOE_KzEkLGg_5_20"/>
      <w:bookmarkStart w:id="966" w:name="Tc_sZm0d7Eblk2wMo0XBYoKAQ_5_17"/>
      <w:bookmarkStart w:id="967" w:name="Tc_WLALCcA-nEOXN5YTMCBI_Q_5_15"/>
      <w:bookmarkStart w:id="968" w:name="Tc_sAI6OKK9-0K177W2PeCmPQ_5_14"/>
      <w:bookmarkStart w:id="969" w:name="Tc_vvBJo8K3_E-WWU2l7ab9Tw_5_12"/>
      <w:bookmarkStart w:id="970" w:name="Tc_lJqPXqLVGkezhnzhLhxVdA_5_9"/>
      <w:bookmarkStart w:id="971" w:name="Tc_uwB_kuBKnUutD_YjXTb2Hw_5_4"/>
      <w:bookmarkStart w:id="972" w:name="Tc_xHLIHNCIdEm_bCjj_oIzMQ_5_0"/>
      <w:bookmarkStart w:id="973" w:name="Tc_xqa-pKIalUufeg91ym5S4Q_4_26"/>
      <w:bookmarkStart w:id="974" w:name="Tc_PfKYrNVvDEaewJAg9BFpfA_4_23"/>
      <w:bookmarkStart w:id="975" w:name="Tc_YtOVSahcaEOOk0nkGsbKMQ_4_20"/>
      <w:bookmarkStart w:id="976" w:name="Tc_LF2SWyKhgE2027EQuo1O1g_4_17"/>
      <w:bookmarkStart w:id="977" w:name="Tc_nCfZEmxBA0amSZCGnGyVyg_4_14"/>
      <w:bookmarkStart w:id="978" w:name="Tc_E6y6LEVuRU2yQnv9nJZa7Q_4_12"/>
      <w:bookmarkStart w:id="979" w:name="Tc_JP9mZPb_YEebUvtNlU-svg_4_9"/>
      <w:bookmarkStart w:id="980" w:name="Tc_KEu2knR_bEisCTR6usP3rg_4_7"/>
      <w:bookmarkStart w:id="981" w:name="Tc_raeKcs7jwU-Kfz8DjBxgDg_4_4"/>
      <w:bookmarkStart w:id="982" w:name="Tc_saD8_xrm70-oryr3z-sUyg_4_2"/>
      <w:bookmarkStart w:id="983" w:name="Tc_bwKKJN1WaU2sf_CBDNBcnA_3_23"/>
      <w:bookmarkStart w:id="984" w:name="Tc_vmx9_72c2UmmgauzBq_OCw_3_20"/>
      <w:bookmarkStart w:id="985" w:name="Tc_e1sEJe76u0ihKx1ne-bTFA_3_17"/>
      <w:bookmarkStart w:id="986" w:name="Tc_6nnj6cdGPU2TnJihqf9kpQ_3_12"/>
      <w:bookmarkStart w:id="987" w:name="Tc_qLu-zek1IkWz_Rs_f37mgw_3_7"/>
      <w:bookmarkStart w:id="988" w:name="Tc_FircIzEjuECwtljCGRRwTA_3_2"/>
      <w:bookmarkStart w:id="989" w:name="Tc_Put67MGISkaX78RHNa0H1Q_2_23"/>
      <w:bookmarkStart w:id="990" w:name="Tc_1gu4fgUjREm3ZPcY3S7IwA_2_17"/>
      <w:bookmarkStart w:id="991" w:name="_b4e5c29c_2210_40db_b68c_73babc310935"/>
      <w:bookmarkStart w:id="992" w:name="_fd656215_aad4_44da_a730_e6e6194c8e0d"/>
      <w:bookmarkStart w:id="993" w:name="_f9851689_9e0b_43e9_bed8_bd2790b253dd"/>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tbl>
      <w:tblPr>
        <w:tblW w:w="10205" w:type="dxa"/>
        <w:jc w:val="left"/>
        <w:tblInd w:w="0" w:type="dxa"/>
        <w:tblLayout w:type="fixed"/>
        <w:tblCellMar>
          <w:top w:w="0" w:type="dxa"/>
          <w:left w:w="0" w:type="dxa"/>
          <w:bottom w:w="0" w:type="dxa"/>
          <w:right w:w="0" w:type="dxa"/>
        </w:tblCellMar>
      </w:tblPr>
      <w:tblGrid>
        <w:gridCol w:w="2147"/>
        <w:gridCol w:w="226"/>
        <w:gridCol w:w="476"/>
        <w:gridCol w:w="231"/>
        <w:gridCol w:w="175"/>
        <w:gridCol w:w="366"/>
        <w:gridCol w:w="226"/>
        <w:gridCol w:w="476"/>
        <w:gridCol w:w="231"/>
        <w:gridCol w:w="175"/>
        <w:gridCol w:w="366"/>
        <w:gridCol w:w="226"/>
        <w:gridCol w:w="476"/>
        <w:gridCol w:w="231"/>
        <w:gridCol w:w="175"/>
        <w:gridCol w:w="366"/>
        <w:gridCol w:w="226"/>
        <w:gridCol w:w="166"/>
        <w:gridCol w:w="496"/>
        <w:gridCol w:w="226"/>
        <w:gridCol w:w="166"/>
        <w:gridCol w:w="507"/>
        <w:gridCol w:w="226"/>
        <w:gridCol w:w="166"/>
        <w:gridCol w:w="507"/>
        <w:gridCol w:w="226"/>
        <w:gridCol w:w="166"/>
        <w:gridCol w:w="558"/>
      </w:tblGrid>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center"/>
              <w:rPr/>
            </w:pPr>
            <w:r>
              <w:rPr/>
              <w:t>​</w:t>
            </w:r>
          </w:p>
        </w:tc>
        <w:tc>
          <w:tcPr>
            <w:tcW w:w="50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226" w:type="dxa"/>
            <w:tcBorders/>
            <w:vAlign w:val="center"/>
          </w:tcPr>
          <w:p>
            <w:pPr>
              <w:pStyle w:val="TableContents"/>
              <w:bidi w:val="0"/>
              <w:spacing w:before="0" w:after="0"/>
              <w:ind w:left="0" w:right="0" w:hanging="0"/>
              <w:jc w:val="both"/>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 xml:space="preserve">Earnings </w:t>
            </w:r>
          </w:p>
        </w:tc>
        <w:tc>
          <w:tcPr>
            <w:tcW w:w="226" w:type="dxa"/>
            <w:tcBorders/>
            <w:vAlign w:val="center"/>
          </w:tcPr>
          <w:p>
            <w:pPr>
              <w:pStyle w:val="TableContents"/>
              <w:bidi w:val="0"/>
              <w:spacing w:before="0" w:after="0"/>
              <w:ind w:left="0" w:right="0" w:hanging="0"/>
              <w:jc w:val="both"/>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26" w:type="dxa"/>
            <w:tcBorders/>
            <w:vAlign w:val="center"/>
          </w:tcPr>
          <w:p>
            <w:pPr>
              <w:pStyle w:val="TableContents"/>
              <w:bidi w:val="0"/>
              <w:spacing w:before="0" w:after="0"/>
              <w:ind w:left="0" w:right="0" w:hanging="0"/>
              <w:jc w:val="both"/>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January 1, 2025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62,502</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193,692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132,241</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158,387</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484,949</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4,438</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2,832</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7,270</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109</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(447)</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(41)</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(871)</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w:t>
            </w:r>
          </w:p>
        </w:tc>
      </w:tr>
      <w:tr>
        <w:trPr/>
        <w:tc>
          <w:tcPr>
            <w:tcW w:w="2147"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(1)</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(7,821)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(7,821)</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loss</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(12,280)</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(12,402)</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(24,682)</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62,570</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626</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197,730</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112,140</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148,311</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458,811</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5,158</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3,286</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8,444</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98</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(304)</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(304)</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(64)</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(64)</w:t>
            </w:r>
          </w:p>
        </w:tc>
      </w:tr>
      <w:tr>
        <w:trPr/>
        <w:tc>
          <w:tcPr>
            <w:tcW w:w="2147"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(1)</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(7,831)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(7,831)</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2,573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(2,573)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income</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30,216</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27,307</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57,523</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June 30, 2025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62,649</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626</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205,383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134,525</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176,041</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516,579</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4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Company declared dividends per share of Class A common stock of $0.125</w:t>
            </w:r>
            <w:r>
              <w:rPr>
                <w:caps w:val="false"/>
                <w:smallCaps w:val="false"/>
              </w:rPr>
              <w:t xml:space="preserve"> </w:t>
            </w:r>
            <w:r>
              <w:rPr>
                <w:rFonts w:ascii="Arial;Helvetica;sans-serif" w:hAnsi="Arial;Helvetica;sans-serif"/>
                <w:b w:val="false"/>
                <w:i w:val="false"/>
                <w:caps w:val="false"/>
                <w:smallCaps w:val="false"/>
                <w:sz w:val="16"/>
              </w:rPr>
              <w:t>for each of the three months ended March 31, 2025 and June 30, 2025.</w:t>
            </w:r>
          </w:p>
        </w:tc>
      </w:tr>
    </w:tbl>
    <w:p>
      <w:pPr>
        <w:pStyle w:val="TextBody"/>
        <w:bidi w:val="0"/>
        <w:spacing w:before="0" w:after="0"/>
        <w:ind w:left="0" w:right="0" w:hanging="360"/>
        <w:jc w:val="left"/>
        <w:rPr/>
      </w:pPr>
      <w:r>
        <w:rPr/>
        <w:t>​</w:t>
      </w:r>
    </w:p>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i/>
          <w:sz w:val="20"/>
        </w:rPr>
        <w:t>See accompanying Notes to Unaudited Condensed Consolidated Financial Statements</w:t>
      </w:r>
      <w:r>
        <w:rPr>
          <w:rFonts w:ascii="Arial;Helvetica;sans-serif" w:hAnsi="Arial;Helvetica;sans-serif"/>
          <w:sz w:val="16"/>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994" w:name="_d817c40d_abf4_4876_8ee8_e43b3bb3ee22"/>
      <w:bookmarkEnd w:id="994"/>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995" w:name="CashFlows_119686"/>
      <w:bookmarkEnd w:id="995"/>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96" w:name="Tc_rOllV-Pe00Kdkdr9HML3UQ_35_5"/>
      <w:bookmarkStart w:id="997" w:name="Tc_NSmRlM53h0iEAz8LhUJXJQ_35_2"/>
      <w:bookmarkStart w:id="998" w:name="Tc_RuEmMZ7lzUO9Afp0DV_xKA_35_0"/>
      <w:bookmarkStart w:id="999" w:name="Tc_zHP1Q0Z4hkmCmE9cviATqg_34_0"/>
      <w:bookmarkStart w:id="1000" w:name="Tc_ko9ay4Fn6EGjuhE6yOrFMg_33_0"/>
      <w:bookmarkStart w:id="1001" w:name="Tc_W4cPzsOnMkm5y9GYEOcRKw_32_0"/>
      <w:bookmarkStart w:id="1002" w:name="Tc_4lVwib_0nky9-upCGecZpA_31_0"/>
      <w:bookmarkStart w:id="1003" w:name="Tc_vZ4uNgWYVUK9nz1lBPNvMw_30_0"/>
      <w:bookmarkStart w:id="1004" w:name="Tc_p1w2dTqafkG-Z5N27noELA_29_0"/>
      <w:bookmarkStart w:id="1005" w:name="Tc_F51tm6Jc1USDb4x2tlfWhg_28_0"/>
      <w:bookmarkStart w:id="1006" w:name="Tc_EUqJqqXSI0SCADLrtIOVZA_26_0"/>
      <w:bookmarkStart w:id="1007" w:name="Tc_CmpAgaQsM0qENa-6on8uOA_25_0"/>
      <w:bookmarkStart w:id="1008" w:name="Tc_rE6gtjfmvk2bD5tzMkYnWw_24_0"/>
      <w:bookmarkStart w:id="1009" w:name="Tc_zzQllSolxkCFvxF_kYEHZQ_23_0"/>
      <w:bookmarkStart w:id="1010" w:name="Tc_w2GUhE5J9kOo-1vYFneVgA_22_0"/>
      <w:bookmarkStart w:id="1011" w:name="Tc_qUTx8EUC5EORJkI1vlhkSQ_21_0"/>
      <w:bookmarkStart w:id="1012" w:name="Tc_PWSBcqGSNUyb3p82qvl6cQ_20_0"/>
      <w:bookmarkStart w:id="1013" w:name="Tc__xckVwH6KUWsjZSY0pOaaw_19_0"/>
      <w:bookmarkStart w:id="1014" w:name="Tc_HOsELcY-skyg4Y9vUC3VwA_18_0"/>
      <w:bookmarkStart w:id="1015" w:name="Tc_1NZigUf2UkGml_PtrlcMqw_17_0"/>
      <w:bookmarkStart w:id="1016" w:name="Tc_TBnCBmIUbUqNiFR3nXaKJA_16_0"/>
      <w:bookmarkStart w:id="1017" w:name="Tc_UBPKPpD9oEuDe0WiBBb4Kw_15_0"/>
      <w:bookmarkStart w:id="1018" w:name="Tc_55FGfAILjUabQPLevkmf6Q_14_0"/>
      <w:bookmarkStart w:id="1019" w:name="Tc_Ipw3MtVMg0a6YP505F2G4Q_13_0"/>
      <w:bookmarkStart w:id="1020" w:name="Tc_LXXbmhIeoUSdzkqC3XmM4A_12_0"/>
      <w:bookmarkStart w:id="1021" w:name="Tc_wP2DDXB3dE62qubshLx6tg_11_0"/>
      <w:bookmarkStart w:id="1022" w:name="Tc_fNmZFdyVdEe0Mt6ZqwGuqQ_10_0"/>
      <w:bookmarkStart w:id="1023" w:name="Tc_bwdtwpPyTkKjAMNkQaaI4g_9_0"/>
      <w:bookmarkStart w:id="1024" w:name="Tc_RyHKjD54lki88yPhcy2GGg_8_0"/>
      <w:bookmarkStart w:id="1025" w:name="Tc_HNSyIop-2026FU_1rKTwiQ_7_0"/>
      <w:bookmarkStart w:id="1026" w:name="Tc_ijAjBE6N2Eq75sVzbq-LUw_6_0"/>
      <w:bookmarkStart w:id="1027" w:name="Tc_R8aG5gcvAEmm2-R_U_6iDg_4_5"/>
      <w:bookmarkStart w:id="1028" w:name="Tc_dNQiIm4VckeSpQ9RC2pVJg_4_2"/>
      <w:bookmarkStart w:id="1029" w:name="Tc_MPC8MN7qJ0CtT6rlLzRUvQ_4_0"/>
      <w:bookmarkStart w:id="1030" w:name="Tc_ypA2DGFC70e7sUv9PQPwdQ_3_0"/>
      <w:bookmarkStart w:id="1031" w:name="Tc_TNRpSzdMEECI6fABmV-BVQ_2_5"/>
      <w:bookmarkStart w:id="1032" w:name="Tc_271W6M3x90WzqP0WIHxmNg_2_2"/>
      <w:bookmarkStart w:id="1033" w:name="Tc_UON7ApqVJk-G-y-8I86_cw_1_2"/>
      <w:bookmarkStart w:id="1034" w:name="_3588b18e_db06_4308_bd88_2fd4e1023bd3"/>
      <w:bookmarkStart w:id="1035" w:name="Tc_rOllV-Pe00Kdkdr9HML3UQ_35_5"/>
      <w:bookmarkStart w:id="1036" w:name="Tc_NSmRlM53h0iEAz8LhUJXJQ_35_2"/>
      <w:bookmarkStart w:id="1037" w:name="Tc_RuEmMZ7lzUO9Afp0DV_xKA_35_0"/>
      <w:bookmarkStart w:id="1038" w:name="Tc_zHP1Q0Z4hkmCmE9cviATqg_34_0"/>
      <w:bookmarkStart w:id="1039" w:name="Tc_ko9ay4Fn6EGjuhE6yOrFMg_33_0"/>
      <w:bookmarkStart w:id="1040" w:name="Tc_W4cPzsOnMkm5y9GYEOcRKw_32_0"/>
      <w:bookmarkStart w:id="1041" w:name="Tc_4lVwib_0nky9-upCGecZpA_31_0"/>
      <w:bookmarkStart w:id="1042" w:name="Tc_vZ4uNgWYVUK9nz1lBPNvMw_30_0"/>
      <w:bookmarkStart w:id="1043" w:name="Tc_p1w2dTqafkG-Z5N27noELA_29_0"/>
      <w:bookmarkStart w:id="1044" w:name="Tc_F51tm6Jc1USDb4x2tlfWhg_28_0"/>
      <w:bookmarkStart w:id="1045" w:name="Tc_EUqJqqXSI0SCADLrtIOVZA_26_0"/>
      <w:bookmarkStart w:id="1046" w:name="Tc_CmpAgaQsM0qENa-6on8uOA_25_0"/>
      <w:bookmarkStart w:id="1047" w:name="Tc_rE6gtjfmvk2bD5tzMkYnWw_24_0"/>
      <w:bookmarkStart w:id="1048" w:name="Tc_zzQllSolxkCFvxF_kYEHZQ_23_0"/>
      <w:bookmarkStart w:id="1049" w:name="Tc_w2GUhE5J9kOo-1vYFneVgA_22_0"/>
      <w:bookmarkStart w:id="1050" w:name="Tc_qUTx8EUC5EORJkI1vlhkSQ_21_0"/>
      <w:bookmarkStart w:id="1051" w:name="Tc_PWSBcqGSNUyb3p82qvl6cQ_20_0"/>
      <w:bookmarkStart w:id="1052" w:name="Tc__xckVwH6KUWsjZSY0pOaaw_19_0"/>
      <w:bookmarkStart w:id="1053" w:name="Tc_HOsELcY-skyg4Y9vUC3VwA_18_0"/>
      <w:bookmarkStart w:id="1054" w:name="Tc_1NZigUf2UkGml_PtrlcMqw_17_0"/>
      <w:bookmarkStart w:id="1055" w:name="Tc_TBnCBmIUbUqNiFR3nXaKJA_16_0"/>
      <w:bookmarkStart w:id="1056" w:name="Tc_UBPKPpD9oEuDe0WiBBb4Kw_15_0"/>
      <w:bookmarkStart w:id="1057" w:name="Tc_55FGfAILjUabQPLevkmf6Q_14_0"/>
      <w:bookmarkStart w:id="1058" w:name="Tc_Ipw3MtVMg0a6YP505F2G4Q_13_0"/>
      <w:bookmarkStart w:id="1059" w:name="Tc_LXXbmhIeoUSdzkqC3XmM4A_12_0"/>
      <w:bookmarkStart w:id="1060" w:name="Tc_wP2DDXB3dE62qubshLx6tg_11_0"/>
      <w:bookmarkStart w:id="1061" w:name="Tc_fNmZFdyVdEe0Mt6ZqwGuqQ_10_0"/>
      <w:bookmarkStart w:id="1062" w:name="Tc_bwdtwpPyTkKjAMNkQaaI4g_9_0"/>
      <w:bookmarkStart w:id="1063" w:name="Tc_RyHKjD54lki88yPhcy2GGg_8_0"/>
      <w:bookmarkStart w:id="1064" w:name="Tc_HNSyIop-2026FU_1rKTwiQ_7_0"/>
      <w:bookmarkStart w:id="1065" w:name="Tc_ijAjBE6N2Eq75sVzbq-LUw_6_0"/>
      <w:bookmarkStart w:id="1066" w:name="Tc_R8aG5gcvAEmm2-R_U_6iDg_4_5"/>
      <w:bookmarkStart w:id="1067" w:name="Tc_dNQiIm4VckeSpQ9RC2pVJg_4_2"/>
      <w:bookmarkStart w:id="1068" w:name="Tc_MPC8MN7qJ0CtT6rlLzRUvQ_4_0"/>
      <w:bookmarkStart w:id="1069" w:name="Tc_ypA2DGFC70e7sUv9PQPwdQ_3_0"/>
      <w:bookmarkStart w:id="1070" w:name="Tc_TNRpSzdMEECI6fABmV-BVQ_2_5"/>
      <w:bookmarkStart w:id="1071" w:name="Tc_271W6M3x90WzqP0WIHxmNg_2_2"/>
      <w:bookmarkStart w:id="1072" w:name="Tc_UON7ApqVJk-G-y-8I86_cw_1_2"/>
      <w:bookmarkStart w:id="1073" w:name="_3588b18e_db06_4308_bd88_2fd4e1023bd3"/>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tbl>
      <w:tblPr>
        <w:tblW w:w="10205" w:type="dxa"/>
        <w:jc w:val="left"/>
        <w:tblInd w:w="0" w:type="dxa"/>
        <w:tblLayout w:type="fixed"/>
        <w:tblCellMar>
          <w:top w:w="0" w:type="dxa"/>
          <w:left w:w="0" w:type="dxa"/>
          <w:bottom w:w="0" w:type="dxa"/>
          <w:right w:w="0" w:type="dxa"/>
        </w:tblCellMar>
      </w:tblPr>
      <w:tblGrid>
        <w:gridCol w:w="7227"/>
        <w:gridCol w:w="346"/>
        <w:gridCol w:w="211"/>
        <w:gridCol w:w="909"/>
        <w:gridCol w:w="346"/>
        <w:gridCol w:w="211"/>
        <w:gridCol w:w="955"/>
      </w:tblGrid>
      <w:tr>
        <w:trPr/>
        <w:tc>
          <w:tcPr>
            <w:tcW w:w="72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77215" cy="175260"/>
                      <wp:effectExtent l="0" t="0" r="0" b="0"/>
                      <wp:wrapNone/>
                      <wp:docPr id="41" name="Frame41"/>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06425" cy="175260"/>
                      <wp:effectExtent l="0" t="0" r="0" b="0"/>
                      <wp:wrapNone/>
                      <wp:docPr id="44" name="Frame4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72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72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both"/>
              <w:rPr/>
            </w:pPr>
            <w:r>
              <w:rPr/>
              <w:t>​</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income</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17,052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32,841</w:t>
            </w:r>
          </w:p>
        </w:tc>
      </w:tr>
      <w:tr>
        <w:trPr/>
        <w:tc>
          <w:tcPr>
            <w:tcW w:w="7227"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Adjustments to reconcile net income to net cash provided by (used in) operating activities: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47,352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45,963</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Stock-based compensation</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15,714</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 (gain) on lease termination and/or remeasurement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Long-lived asset impairment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13,099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Gain on sale or disposal of 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(638)</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Provision for credit losses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1,117</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lease expense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30,634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29,661</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Accretion of original debt issuance discount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interest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income taxes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3,705</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Change in assets and liabilities, net of acquisitions: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Receivables and contracts in transit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(123,445)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(124,242)</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255,602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(171,390)</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(827)</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Accounts payable and other accrued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118,438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156,840</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 pursuant to Tax Receivable Agreement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revenues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(8,188)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1,612</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(32,224)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(31,437)</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net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6,435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(7,404)</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(used in) operating activities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333,185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(44,595)</w:t>
            </w:r>
          </w:p>
        </w:tc>
      </w:tr>
      <w:tr>
        <w:trPr/>
        <w:tc>
          <w:tcPr>
            <w:tcW w:w="7227"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Investing activities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property and equipment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(64,211)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(49,696)</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sale or disposal of property and equipment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2,966</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real property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(72,386)</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the sale or disposal of real property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67,565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9,843</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businesses, net of cash acquired</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(81,154)</w:t>
            </w:r>
          </w:p>
        </w:tc>
      </w:tr>
      <w:tr>
        <w:trPr/>
        <w:tc>
          <w:tcPr>
            <w:tcW w:w="7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divestiture of business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10,349</w:t>
            </w:r>
          </w:p>
        </w:tc>
      </w:tr>
      <w:tr>
        <w:trPr/>
        <w:tc>
          <w:tcPr>
            <w:tcW w:w="7227"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investing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(4,831)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(180,078)</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74" w:name="Tc_GN-welQsUk-heQlpf65Rxg_18_5"/>
      <w:bookmarkStart w:id="1075" w:name="Tc_0jl_3G7pKECOyFl-sbSZ5w_18_2"/>
      <w:bookmarkStart w:id="1076" w:name="Tc_wlM2cI_3kEG-tt1Ug9ibmg_18_0"/>
      <w:bookmarkStart w:id="1077" w:name="Tc_fiLpd2l5TUmyMOo-ApMl9w_17_0"/>
      <w:bookmarkStart w:id="1078" w:name="Tc_d1r7YZ6eE0S8-KZlwCp96Q_16_0"/>
      <w:bookmarkStart w:id="1079" w:name="Tc_T15SnKBFWUq4dOMsIwDxVQ_14_0"/>
      <w:bookmarkStart w:id="1080" w:name="Tc_sMo5baZwhUWveCRNsra1zw_13_0"/>
      <w:bookmarkStart w:id="1081" w:name="Tc_jKONUGmG-UmvgJ-m-PZNPw_12_0"/>
      <w:bookmarkStart w:id="1082" w:name="Tc_MgFRrNi16km7YpDVmcTPRw_11_0"/>
      <w:bookmarkStart w:id="1083" w:name="Tc_WWaxrfZqUk2zyroZH8mi-Q_10_0"/>
      <w:bookmarkStart w:id="1084" w:name="Tc_Z_p8ECbd2keU4LRQ5Qy0cQ_9_0"/>
      <w:bookmarkStart w:id="1085" w:name="Tc_hkZhr0lwO0i9NlV9Uc_inw_8_0"/>
      <w:bookmarkStart w:id="1086" w:name="Tc_ADu1kGiT602qU1iDNkHNww_7_0"/>
      <w:bookmarkStart w:id="1087" w:name="Tc_oC0rBj9nOEelNwpOac3Anw_6_0"/>
      <w:bookmarkStart w:id="1088" w:name="Tc_t3B2wZTpOEOW98ebInrSyA_5_5"/>
      <w:bookmarkStart w:id="1089" w:name="Tc_6rYeZ8rrok-HBDfjH0aLlg_5_2"/>
      <w:bookmarkStart w:id="1090" w:name="Tc_bRagAXRb4EqqwGBGoLJ4tQ_5_0"/>
      <w:bookmarkStart w:id="1091" w:name="Tc_Qpj5IFF-zkGQvx3axwRjvA_4_0"/>
      <w:bookmarkStart w:id="1092" w:name="Tc_idT6VBE6KUGt2xB21yL4uA_2_5"/>
      <w:bookmarkStart w:id="1093" w:name="Tc_QMubLHDer0yrsA3AlC3M3Q_2_2"/>
      <w:bookmarkStart w:id="1094" w:name="Tc_rgleE0nqD0ujEZtlZMs-0Q_1_2"/>
      <w:bookmarkStart w:id="1095" w:name="_4ed00871_cc5e_4acf_b630_b6685f0ea11d"/>
      <w:bookmarkStart w:id="1096" w:name="Tc_GN-welQsUk-heQlpf65Rxg_18_5"/>
      <w:bookmarkStart w:id="1097" w:name="Tc_0jl_3G7pKECOyFl-sbSZ5w_18_2"/>
      <w:bookmarkStart w:id="1098" w:name="Tc_wlM2cI_3kEG-tt1Ug9ibmg_18_0"/>
      <w:bookmarkStart w:id="1099" w:name="Tc_fiLpd2l5TUmyMOo-ApMl9w_17_0"/>
      <w:bookmarkStart w:id="1100" w:name="Tc_d1r7YZ6eE0S8-KZlwCp96Q_16_0"/>
      <w:bookmarkStart w:id="1101" w:name="Tc_T15SnKBFWUq4dOMsIwDxVQ_14_0"/>
      <w:bookmarkStart w:id="1102" w:name="Tc_sMo5baZwhUWveCRNsra1zw_13_0"/>
      <w:bookmarkStart w:id="1103" w:name="Tc_jKONUGmG-UmvgJ-m-PZNPw_12_0"/>
      <w:bookmarkStart w:id="1104" w:name="Tc_MgFRrNi16km7YpDVmcTPRw_11_0"/>
      <w:bookmarkStart w:id="1105" w:name="Tc_WWaxrfZqUk2zyroZH8mi-Q_10_0"/>
      <w:bookmarkStart w:id="1106" w:name="Tc_Z_p8ECbd2keU4LRQ5Qy0cQ_9_0"/>
      <w:bookmarkStart w:id="1107" w:name="Tc_hkZhr0lwO0i9NlV9Uc_inw_8_0"/>
      <w:bookmarkStart w:id="1108" w:name="Tc_ADu1kGiT602qU1iDNkHNww_7_0"/>
      <w:bookmarkStart w:id="1109" w:name="Tc_oC0rBj9nOEelNwpOac3Anw_6_0"/>
      <w:bookmarkStart w:id="1110" w:name="Tc_t3B2wZTpOEOW98ebInrSyA_5_5"/>
      <w:bookmarkStart w:id="1111" w:name="Tc_6rYeZ8rrok-HBDfjH0aLlg_5_2"/>
      <w:bookmarkStart w:id="1112" w:name="Tc_bRagAXRb4EqqwGBGoLJ4tQ_5_0"/>
      <w:bookmarkStart w:id="1113" w:name="Tc_Qpj5IFF-zkGQvx3axwRjvA_4_0"/>
      <w:bookmarkStart w:id="1114" w:name="Tc_idT6VBE6KUGt2xB21yL4uA_2_5"/>
      <w:bookmarkStart w:id="1115" w:name="Tc_QMubLHDer0yrsA3AlC3M3Q_2_2"/>
      <w:bookmarkStart w:id="1116" w:name="Tc_rgleE0nqD0ujEZtlZMs-0Q_1_2"/>
      <w:bookmarkStart w:id="1117" w:name="_4ed00871_cc5e_4acf_b630_b6685f0ea11d"/>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tbl>
      <w:tblPr>
        <w:tblW w:w="8707" w:type="dxa"/>
        <w:jc w:val="left"/>
        <w:tblInd w:w="0" w:type="dxa"/>
        <w:tblLayout w:type="fixed"/>
        <w:tblCellMar>
          <w:top w:w="0" w:type="dxa"/>
          <w:left w:w="0" w:type="dxa"/>
          <w:bottom w:w="0" w:type="dxa"/>
          <w:right w:w="0" w:type="dxa"/>
        </w:tblCellMar>
      </w:tblPr>
      <w:tblGrid>
        <w:gridCol w:w="5776"/>
        <w:gridCol w:w="346"/>
        <w:gridCol w:w="211"/>
        <w:gridCol w:w="916"/>
        <w:gridCol w:w="346"/>
        <w:gridCol w:w="211"/>
        <w:gridCol w:w="901"/>
      </w:tblGrid>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81660" cy="175260"/>
                      <wp:effectExtent l="0" t="0" r="0" b="0"/>
                      <wp:wrapNone/>
                      <wp:docPr id="47" name="Frame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72135" cy="175260"/>
                      <wp:effectExtent l="0" t="0" r="0" b="0"/>
                      <wp:wrapNone/>
                      <wp:docPr id="50" name="Frame5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87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2374" w:type="dxa"/>
            <w:gridSpan w:val="4"/>
            <w:tcBorders/>
            <w:vAlign w:val="center"/>
          </w:tcPr>
          <w:p>
            <w:pPr>
              <w:pStyle w:val="TableContents"/>
              <w:bidi w:val="0"/>
              <w:spacing w:before="0" w:after="0"/>
              <w:ind w:left="0" w:right="0" w:hanging="0"/>
              <w:jc w:val="center"/>
              <w:rPr/>
            </w:pPr>
            <w:r>
              <w:rPr/>
              <w:t>​</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Financing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long-term debt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(68,799)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(12,537)</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(payments) proceeds on notes payable – floor plan, net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(245,225)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168,108</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finance leases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(3,637)</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sale-leaseback arrangement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of stock offering costs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Dividends on Class A common stock</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(15,652)</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RSU shares withheld for tax</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(1,175)</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Stock award shares withheld for tax</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Contributions from (distributions to) holders of LLC common units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provided by financing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(319,328)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134,335</w:t>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Increase (decrease) in cash and cash equivalents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9,026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(90,338)</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beginning of the period</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215,043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208,422</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end of the period</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224,069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118,084</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118" w:name="_5ac9fa83_db0d_407c_a582_9dc87509683d"/>
      <w:bookmarkEnd w:id="1118"/>
      <w:r>
        <w:rPr>
          <w:rFonts w:ascii="Arial;Helvetica;sans-serif" w:hAnsi="Arial;Helvetica;sans-serif"/>
          <w:b/>
          <w:sz w:val="20"/>
        </w:rPr>
        <w:t>Camping World Holdings, Inc. and Subsidiaries</w:t>
      </w:r>
    </w:p>
    <w:p>
      <w:pPr>
        <w:pStyle w:val="TextBody"/>
        <w:bidi w:val="0"/>
        <w:spacing w:before="0" w:after="0"/>
        <w:ind w:left="0" w:right="0" w:hanging="0"/>
        <w:jc w:val="center"/>
        <w:rPr>
          <w:rFonts w:ascii="Arial;Helvetica;sans-serif" w:hAnsi="Arial;Helvetica;sans-serif"/>
          <w:b/>
          <w:sz w:val="20"/>
        </w:rPr>
      </w:pPr>
      <w:bookmarkStart w:id="1119" w:name="NotestoUnauditedCondensedConsolidatedFin"/>
      <w:bookmarkEnd w:id="1119"/>
      <w:r>
        <w:rPr>
          <w:rFonts w:ascii="Arial;Helvetica;sans-serif" w:hAnsi="Arial;Helvetica;san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2026</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 Summary of Significant Accounting Policies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Principles of Consolidation and Basis of Presentation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as of and for the three and six months ended June 30, 2026 and 2025 are unaudited. The condensed consolidated balance sheet as of December 31, 2025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2025 filed with the SEC on February 27, 2026 (“Annual Report”). Operating results for interim periods are not necessarily indicative of the results that may be expected for the full year.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has sole voting power in and control of the management of CWGS, LLC. As of June 30, 2026, December 31, 2025, and June 30, 2025, CWH owned 61.5%, 61.4%, and 61.1%, respectively, of CWGS, LLC. Accordingly, the Company consolidates the financial results of CWGS, LLC and reports a non-controlling interest in its condensed consolidated financial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does not have any material components of other comprehensive income recorded within its condensed consolidated financial statements, and, therefore, does not separately present a statement of comprehensive income in its condensed consolidated financial statements.</w:t>
      </w:r>
    </w:p>
    <w:p>
      <w:pPr>
        <w:pStyle w:val="TextBody"/>
        <w:pBdr/>
        <w:bidi w:val="0"/>
        <w:spacing w:before="0" w:after="0"/>
        <w:ind w:left="0" w:right="0" w:hanging="36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Seasonality</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Additionally, selling, general, and administrative (“SG&amp;A”) expenses as a percentage of gross profit tend to be higher in the first and fourth quarters due to the seasonality of the Company’s business.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Current Expected Credit Losses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allowance for credit losses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As of January 1, 2026, the Company elected the practical expedient to assume that conditions as of the balance sheet date will remain unchanged for an asset’s remaining life when estimating credit losses on current accounts receivable and current contract assets arising from transactions under Accounting Standards Codification (“ASC”) 606.</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Adopted Accounting Pronouncements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July 2025, the Financial Accounting Standards Board (“FASB”) issued Accounting Standards Update (“ASU”) 2025-05, Financial Instruments―Credit Losses (Topic 326): Measurement of Credit Losses for Accounts Receivable and Contract Assets. This ASU provides a practical expedient for all entities and a related accounting policy election for entities other than public business entities for the calculation of current expected credit losses on current accounts receivable and current contract assets. The practical expedient allows all entities to assume that conditions as of the balance sheet date will remain unchanged for an asset’s remaining life when estimating credit losses on current accounts receivable and current contract assets arising from transactions under ASC 606. The standard is effective for fiscal years beginning after December 15, 2025 and interim periods within those annual reporting periods, with early adoption permitted. The adoption of this ASU on January 1, 2026 resulted in the disclosure of the election of the practical expedient and did not otherwise have a material impact on the Company’s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Issued Accounting Pronouncements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September 2025, the FASB issued ASU 2025-06, Intangibles―Goodwill and Other―Internal-Use Software (Subtopic 350-40): Targeted Improvements to the Accounting for Internal-Use Software. This ASU removes all references to software development stages throughout Subtopic 350-40. Instead,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threshold, an entity is required to consider whether there is significant uncertainty associated with the development activities of the software, as described by the standard. This ASU specifies that the disclosures in Subtopic 360-10, Property, Plant, and Equipment—Overall, are required for all capitalized internal-use software costs, regardless of how those costs are presented in the financial statements. The standard is effective for fiscal years beginning after December 15, 2027 and interim periods within those annual reporting periods, with early adoption permitted. The Company is currently evaluating the impact that the adoption of the provisions of the ASU will have on its condensed consolidated financial statements.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December 2025, the FASB issued ASU 2025-11, Interim Reporting (Topic 270): Narrow-Scope Improvements. The amendments in this ASU clarify interim disclosure requirements and the applicability of Topic 270. The objective of the update is to provide clarity about current interim requirements and also includes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disclosure principle that requires entities to disclose events since the end of the last annual reporting period that have a material impact on the entity. The standard is effective for interim periods with the annual reporting period beginning after December 15, 2027, with early adoption permitted. The Company is currently evaluating the impact that the adoption of the provisions of the ASU will have on its condensed consolidated financial statements.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December 2025, the FASB issued ASU 2025-12, Codification Improvements. This ASU represents changes to the ASC that (1) clarify, (2) correct errors, or (3) make minor improvements. The ASU is intended to make the ASC easier to understand and apply. The standard is effective for fiscal years beginning after December 15, 2026 and interim periods within those annual reporting periods, with early adoption permitted. The Company is currently evaluating the impact that the adoption of the provisions of the ASU will have on its condensed consolidated financial statements.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May 2026, the FASB issued ASU 2026-02, Environmental Credits and Environmental Credit Obligations (Topic 818). This ASU introduces a comprehensive model that establishes recognition, measurement, presentation, and disclosure requirements for (1) environmental credits and, when applicable, (2) compliance obligations that may be settled by using environmental credits. The standard is effective for fiscal years beginning after December 15, 2027 and interim periods within those annual reporting periods, with early adoption permitted. The Company does not expect the impact of the adoption of the provisions of the ASU will be material to its condensed consolidated financial statements.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1120" w:name="Tc_tY3zxBa6NE2lhLzDlBmzCw_9_2"/>
      <w:bookmarkStart w:id="1121" w:name="Tc_bxLcIXvj5UKmODtFaK1WWA_8_0"/>
      <w:bookmarkStart w:id="1122" w:name="Tc_WJ0AKlRAEE6ApXvBfiW1dw_3_2"/>
      <w:bookmarkStart w:id="1123" w:name="Tc_RGYghJI0V0WG29kCXL4b8Q_2_2"/>
      <w:bookmarkStart w:id="1124" w:name="Tc_cV82JOsoPUOQwHhO3XDAbQ_2_0"/>
      <w:bookmarkStart w:id="1125" w:name="Tc_URg5kBwarEeu3_hbUrI4CA_1_2"/>
      <w:bookmarkEnd w:id="1120"/>
      <w:bookmarkEnd w:id="1121"/>
      <w:bookmarkEnd w:id="1122"/>
      <w:bookmarkEnd w:id="1123"/>
      <w:bookmarkEnd w:id="1124"/>
      <w:bookmarkEnd w:id="1125"/>
      <w:r>
        <w:rPr>
          <w:rFonts w:ascii="Arial;Helvetica;sans-serif" w:hAnsi="Arial;Helvetica;sans-serif"/>
          <w:b/>
          <w:sz w:val="20"/>
        </w:rPr>
        <w:t>2. Revenue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Contract Assets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2026, December 31, 2025, and June 30, 2025, contract assets of $9.3 million, $10.7 million and $9.9 million, respectively, relating to RV service revenues, were included in accounts receivable in the accompanying condensed consolidated balance sheets.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Deferred Revenues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records deferred revenues when cash payments are received or due in advance of the Company’s performance, net of estimated refunds that are presented separately as a component of accrued liabilities. For the six months ended June 30, 2026, the Company estimates approximately $56.3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June 30, 2026,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as of June 30, 2026 and the periods during which the Company expects to recognize the amounts as revenue are presented as follows: </w:t>
      </w:r>
    </w:p>
    <w:p>
      <w:pPr>
        <w:pStyle w:val="TextBody"/>
        <w:bidi w:val="0"/>
        <w:spacing w:before="0" w:after="0"/>
        <w:ind w:left="0" w:right="0" w:hanging="0"/>
        <w:jc w:val="both"/>
        <w:rPr/>
      </w:pPr>
      <w:r>
        <w:rPr/>
        <w:t>​</w:t>
      </w:r>
    </w:p>
    <w:tbl>
      <w:tblPr>
        <w:tblW w:w="2868" w:type="dxa"/>
        <w:jc w:val="left"/>
        <w:tblInd w:w="0" w:type="dxa"/>
        <w:tblLayout w:type="fixed"/>
        <w:tblCellMar>
          <w:top w:w="0" w:type="dxa"/>
          <w:left w:w="0" w:type="dxa"/>
          <w:bottom w:w="0" w:type="dxa"/>
          <w:right w:w="0" w:type="dxa"/>
        </w:tblCellMar>
      </w:tblPr>
      <w:tblGrid>
        <w:gridCol w:w="1306"/>
        <w:gridCol w:w="346"/>
        <w:gridCol w:w="243"/>
        <w:gridCol w:w="973"/>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29310" cy="175260"/>
                      <wp:effectExtent l="0" t="0" r="0" b="0"/>
                      <wp:wrapNone/>
                      <wp:docPr id="51" name="Frame5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4305" cy="175260"/>
                      <wp:effectExtent l="0" t="0" r="0" b="0"/>
                      <wp:wrapNone/>
                      <wp:docPr id="53" name="Frame5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17855" cy="175260"/>
                      <wp:effectExtent l="0" t="0" r="0" b="0"/>
                      <wp:wrapNone/>
                      <wp:docPr id="54" name="Frame54"/>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21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As of </w: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2026</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46" w:type="dxa"/>
            <w:tcBorders/>
            <w:shd w:fill="CCEEFF" w:val="clear"/>
            <w:vAlign w:val="center"/>
          </w:tcPr>
          <w:p>
            <w:pPr>
              <w:pStyle w:val="TableContents"/>
              <w:bidi w:val="0"/>
              <w:spacing w:before="0" w:after="0"/>
              <w:ind w:left="0" w:right="0" w:hanging="0"/>
              <w:jc w:val="both"/>
              <w:rPr/>
            </w:pPr>
            <w:r>
              <w:rPr/>
              <w:t>  ​ ​ ​</w:t>
            </w:r>
          </w:p>
        </w:tc>
        <w:tc>
          <w:tcPr>
            <w:tcW w:w="24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56,558</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2027</w:t>
            </w:r>
          </w:p>
        </w:tc>
        <w:tc>
          <w:tcPr>
            <w:tcW w:w="34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46,521</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2028</w:t>
            </w:r>
          </w:p>
        </w:tc>
        <w:tc>
          <w:tcPr>
            <w:tcW w:w="346"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both"/>
              <w:rPr/>
            </w:pPr>
            <w:r>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17,752</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2029</w:t>
            </w:r>
          </w:p>
        </w:tc>
        <w:tc>
          <w:tcPr>
            <w:tcW w:w="34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9,894</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2030</w:t>
            </w:r>
          </w:p>
        </w:tc>
        <w:tc>
          <w:tcPr>
            <w:tcW w:w="346"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both"/>
              <w:rPr/>
            </w:pPr>
            <w:r>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5,294</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0"/>
              <w:ind w:left="0" w:right="0" w:hanging="0"/>
              <w:jc w:val="both"/>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3,022</w:t>
            </w:r>
          </w:p>
        </w:tc>
      </w:tr>
      <w:tr>
        <w:trPr/>
        <w:tc>
          <w:tcPr>
            <w:tcW w:w="130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139,041</w:t>
            </w:r>
          </w:p>
        </w:tc>
      </w:tr>
      <w:tr>
        <w:trPr/>
        <w:tc>
          <w:tcPr>
            <w:tcW w:w="13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both"/>
              <w:rPr/>
            </w:pPr>
            <w:r>
              <w:rPr/>
              <w:t>​</w:t>
            </w:r>
          </w:p>
        </w:tc>
        <w:tc>
          <w:tcPr>
            <w:tcW w:w="973"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126" w:name="Tc_3We0iVx_JUacd7QT4QfTJg_13_8"/>
      <w:bookmarkStart w:id="1127" w:name="Tc_9WE43PRdjU2epF3isglO_w_13_5"/>
      <w:bookmarkStart w:id="1128" w:name="Tc_go12T_UaSUu6pdzI6B0u_A_13_2"/>
      <w:bookmarkStart w:id="1129" w:name="Tc_vl5dGzOMr0qsRLaIPviq2Q_12_0"/>
      <w:bookmarkStart w:id="1130" w:name="Tc_pL0wUZnpw0moPpSQ78kdUQ_10_0"/>
      <w:bookmarkStart w:id="1131" w:name="Tc_KNd1Xz3mlkqXEqFX_1B3jw_9_9"/>
      <w:bookmarkStart w:id="1132" w:name="Tc_cJDsl_eG_kSzdmFnFzFAvQ_9_3"/>
      <w:bookmarkStart w:id="1133" w:name="Tc_ZHPlYa-Uv0-3VOFgllsXRg_9_0"/>
      <w:bookmarkStart w:id="1134" w:name="Tc_-wOrcmYX1UCMCWpnRKjlmg_8_0"/>
      <w:bookmarkStart w:id="1135" w:name="Tc_Tt3yg-g2PEagk-x7KJx-9w_7_0"/>
      <w:bookmarkStart w:id="1136" w:name="Tc_6YaQHxbhNUujK7YNZL7fxg_6_0"/>
      <w:bookmarkStart w:id="1137" w:name="Tc_iSbE18UuN0CLQVFiiA_42w_5_0"/>
      <w:bookmarkStart w:id="1138" w:name="Tc_LU3vakeuAEuY9oLjMt79vw_4_0"/>
      <w:bookmarkStart w:id="1139" w:name="Tc_3wxAdTmpxEqEKg3ziRdx8w_3_8"/>
      <w:bookmarkStart w:id="1140" w:name="Tc_MQLucBNmO0WrSUr_22MHkQ_3_5"/>
      <w:bookmarkStart w:id="1141" w:name="Tc_yzqbbC5QeE6L_VgtjAiVMA_3_2"/>
      <w:bookmarkStart w:id="1142" w:name="Tc_UlB8njO4yk2rpMd0qaXIJw_3_0"/>
      <w:bookmarkStart w:id="1143" w:name="Tc_H8thNVjVSUWKfoUfse56cQ_2_8"/>
      <w:bookmarkStart w:id="1144" w:name="Tc_WF5eW9N5E0yUblZ1z1JeQg_2_5"/>
      <w:bookmarkStart w:id="1145" w:name="Tc_kCnTAfogt0642L9rcU83EQ_2_2"/>
      <w:bookmarkStart w:id="1146" w:name="Tc_rR5TmvSgsEmyByyt3cqnag_2_0"/>
      <w:bookmarkStart w:id="1147" w:name="Tc_7sa0Egha10qocJbIs1w4Vg_1_8"/>
      <w:bookmarkStart w:id="1148" w:name="Tc_Ox_zDDJsXEO9bExB87fDlQ_1_5"/>
      <w:bookmarkStart w:id="1149" w:name="Tc_cshhlx7kDEa1FJB7cvHGmg_1_2"/>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Arial;Helvetica;sans-serif" w:hAnsi="Arial;Helvetica;sans-serif"/>
          <w:b/>
          <w:sz w:val="20"/>
        </w:rPr>
        <w:t>3. Accounts Receivable</w:t>
      </w:r>
    </w:p>
    <w:p>
      <w:pPr>
        <w:pStyle w:val="TextBody"/>
        <w:bidi w:val="0"/>
        <w:spacing w:before="0" w:after="0"/>
        <w:ind w:left="0" w:right="0" w:hanging="0"/>
        <w:jc w:val="both"/>
        <w:rPr/>
      </w:pPr>
      <w:r>
        <w:rPr/>
        <w:t>​</w:t>
      </w:r>
    </w:p>
    <w:tbl>
      <w:tblPr>
        <w:tblW w:w="8213" w:type="dxa"/>
        <w:jc w:val="left"/>
        <w:tblInd w:w="0" w:type="dxa"/>
        <w:tblLayout w:type="fixed"/>
        <w:tblCellMar>
          <w:top w:w="0" w:type="dxa"/>
          <w:left w:w="0" w:type="dxa"/>
          <w:bottom w:w="0" w:type="dxa"/>
          <w:right w:w="0" w:type="dxa"/>
        </w:tblCellMar>
      </w:tblPr>
      <w:tblGrid>
        <w:gridCol w:w="3946"/>
        <w:gridCol w:w="346"/>
        <w:gridCol w:w="211"/>
        <w:gridCol w:w="796"/>
        <w:gridCol w:w="346"/>
        <w:gridCol w:w="245"/>
        <w:gridCol w:w="925"/>
        <w:gridCol w:w="346"/>
        <w:gridCol w:w="211"/>
        <w:gridCol w:w="84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05710" cy="175260"/>
                      <wp:effectExtent l="0" t="0" r="0" b="0"/>
                      <wp:wrapNone/>
                      <wp:docPr id="55" name="Frame55"/>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5575" cy="175260"/>
                      <wp:effectExtent l="0" t="0" r="0" b="0"/>
                      <wp:wrapNone/>
                      <wp:docPr id="60" name="Frame6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7375" cy="175260"/>
                      <wp:effectExtent l="0" t="0" r="0" b="0"/>
                      <wp:wrapNone/>
                      <wp:docPr id="61" name="Frame61"/>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035" cy="175260"/>
                      <wp:effectExtent l="0" t="0" r="0" b="0"/>
                      <wp:wrapNone/>
                      <wp:docPr id="64" name="Frame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w:t>
            </w:r>
          </w:p>
        </w:tc>
        <w:tc>
          <w:tcPr>
            <w:tcW w:w="346" w:type="dxa"/>
            <w:tcBorders/>
            <w:vAlign w:val="center"/>
          </w:tcPr>
          <w:p>
            <w:pPr>
              <w:pStyle w:val="TableContents"/>
              <w:bidi w:val="0"/>
              <w:spacing w:before="0" w:after="0"/>
              <w:ind w:left="0" w:right="0" w:hanging="0"/>
              <w:jc w:val="both"/>
              <w:rPr/>
            </w:pPr>
            <w:r>
              <w:rPr/>
              <w:t>  ​ ​ ​</w:t>
            </w:r>
          </w:p>
        </w:tc>
        <w:tc>
          <w:tcPr>
            <w:tcW w:w="11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w:t>
            </w:r>
          </w:p>
        </w:tc>
        <w:tc>
          <w:tcPr>
            <w:tcW w:w="346" w:type="dxa"/>
            <w:tcBorders/>
            <w:vAlign w:val="center"/>
          </w:tcPr>
          <w:p>
            <w:pPr>
              <w:pStyle w:val="TableContents"/>
              <w:bidi w:val="0"/>
              <w:spacing w:before="0" w:after="0"/>
              <w:ind w:left="0" w:right="0" w:hanging="0"/>
              <w:jc w:val="both"/>
              <w:rPr/>
            </w:pPr>
            <w:r>
              <w:rPr/>
              <w:t>  ​ ​ ​</w:t>
            </w:r>
          </w:p>
        </w:tc>
        <w:tc>
          <w:tcPr>
            <w:tcW w:w="105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12,788</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15,313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16,847</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and 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5,225</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5,046</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Parts, service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28,741</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30,750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27,650</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 accounts receivable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41,958</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40,906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32,543</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Due from manufacturers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47,734</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25,209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31,574</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Escrow receivable from sale of real property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45,249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33,005</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13,625</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27,771</w:t>
            </w:r>
          </w:p>
        </w:tc>
      </w:tr>
      <w:tr>
        <w:trPr/>
        <w:tc>
          <w:tcPr>
            <w:tcW w:w="394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169,451</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92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173,920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141,431</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Allowance for credit losses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(7,472)</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(3,609)</w:t>
            </w:r>
          </w:p>
        </w:tc>
      </w:tr>
      <w:tr>
        <w:trPr/>
        <w:tc>
          <w:tcPr>
            <w:tcW w:w="394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161,979</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170,498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137,822</w:t>
            </w:r>
          </w:p>
        </w:tc>
      </w:tr>
      <w:tr>
        <w:trPr/>
        <w:tc>
          <w:tcPr>
            <w:tcW w:w="39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On December 31, 2025, the Company closed on the $45.2 million sale of real property; however, net proceeds of $15.1 million and the principal payments of $30.1 million on the related Real Estate Facilities (see Note 8 — Long-Term Debt) were not distributed through escrow until January 2, 2026.</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Arial;Helvetica;sans-serif" w:hAnsi="Arial;Helvetica;sans-serif"/>
          <w:sz w:val="20"/>
        </w:rPr>
      </w:pPr>
      <w:bookmarkStart w:id="1150" w:name="Tc_UJEvaXqB8EWyDLaYgVNjbQ_7_8"/>
      <w:bookmarkStart w:id="1151" w:name="Tc_sICI-kmZc0OBg-RAUzJfXw_7_5"/>
      <w:bookmarkStart w:id="1152" w:name="Tc_QHDNh6nLS0K33L3rS6xBKA_7_2"/>
      <w:bookmarkStart w:id="1153" w:name="Tc_aLsc_yiHX0aabTaJyxVwMw_6_0"/>
      <w:bookmarkStart w:id="1154" w:name="Tc_n2jEvL0PyE-fhPed4Mcmrg_5_0"/>
      <w:bookmarkStart w:id="1155" w:name="Tc_fNHAR1vRrkiz8rypwBp5Ng_4_0"/>
      <w:bookmarkStart w:id="1156" w:name="Tc_wgBb07qxEUa7m3gqJ_tonw_3_8"/>
      <w:bookmarkStart w:id="1157" w:name="Tc_k4SIpMHb1UuddC4GN_Y95A_3_5"/>
      <w:bookmarkStart w:id="1158" w:name="Tc_TfoZ1OdHC0S_Qz2-gD4x3w_3_2"/>
      <w:bookmarkStart w:id="1159" w:name="Tc_O4xeAJTUC0iHjmZgkAv7iw_3_0"/>
      <w:bookmarkStart w:id="1160" w:name="Tc_VuPCStyawku2hVvEkMml9A_2_8"/>
      <w:bookmarkStart w:id="1161" w:name="Tc_hYScvSibQky9wJwSR0rLLA_2_5"/>
      <w:bookmarkStart w:id="1162" w:name="Tc_u9noAmN1a0OvYUcPbFkOLw_2_2"/>
      <w:bookmarkStart w:id="1163" w:name="Tc_ExJelVilxUOYG_5WYdJnQg_2_0"/>
      <w:bookmarkStart w:id="1164" w:name="Tc_vK5iAjVNh0u0dGryaixfYw_1_8"/>
      <w:bookmarkStart w:id="1165" w:name="Tc_PxlkVXB8a0-s-L8CERzuIQ_1_5"/>
      <w:bookmarkStart w:id="1166" w:name="Tc_lB57XlKlnE29OiPi-hTD8w_1_2"/>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rFonts w:ascii="Times New Roman;Times;serif" w:hAnsi="Times New Roman;Times;serif"/>
          <w:b/>
          <w:spacing w:val="-3"/>
          <w:sz w:val="20"/>
        </w:rPr>
        <w:t>4</w:t>
      </w:r>
      <w:r>
        <w:rPr>
          <w:rFonts w:ascii="Arial;Helvetica;sans-serif" w:hAnsi="Arial;Helvetica;sans-serif"/>
          <w:b/>
          <w:sz w:val="20"/>
        </w:rPr>
        <w:t>. Inventories and Floor Plan Payables</w:t>
      </w:r>
    </w:p>
    <w:p>
      <w:pPr>
        <w:pStyle w:val="TextBody"/>
        <w:bidi w:val="0"/>
        <w:spacing w:before="0" w:after="120"/>
        <w:ind w:left="0" w:right="0" w:firstLine="720"/>
        <w:jc w:val="left"/>
        <w:rPr>
          <w:rFonts w:ascii="Arial;Helvetica;sans-serif" w:hAnsi="Arial;Helvetica;sans-serif"/>
          <w:sz w:val="20"/>
        </w:rPr>
      </w:pPr>
      <w:r>
        <w:rPr>
          <w:rFonts w:ascii="Arial;Helvetica;sans-serif" w:hAnsi="Arial;Helvetica;sans-serif"/>
          <w:sz w:val="20"/>
        </w:rPr>
        <w:t xml:space="preserve">Inventories consisted of the following: </w:t>
      </w:r>
    </w:p>
    <w:p>
      <w:pPr>
        <w:pStyle w:val="TextBody"/>
        <w:bidi w:val="0"/>
        <w:spacing w:before="0" w:after="0"/>
        <w:ind w:left="0" w:right="0" w:hanging="0"/>
        <w:jc w:val="both"/>
        <w:rPr/>
      </w:pPr>
      <w:r>
        <w:rPr/>
        <w:t>​</w:t>
      </w:r>
    </w:p>
    <w:tbl>
      <w:tblPr>
        <w:tblW w:w="8153" w:type="dxa"/>
        <w:jc w:val="left"/>
        <w:tblInd w:w="0" w:type="dxa"/>
        <w:tblLayout w:type="fixed"/>
        <w:tblCellMar>
          <w:top w:w="0" w:type="dxa"/>
          <w:left w:w="0" w:type="dxa"/>
          <w:bottom w:w="0" w:type="dxa"/>
          <w:right w:w="0" w:type="dxa"/>
        </w:tblCellMar>
      </w:tblPr>
      <w:tblGrid>
        <w:gridCol w:w="3496"/>
        <w:gridCol w:w="346"/>
        <w:gridCol w:w="226"/>
        <w:gridCol w:w="961"/>
        <w:gridCol w:w="346"/>
        <w:gridCol w:w="231"/>
        <w:gridCol w:w="984"/>
        <w:gridCol w:w="346"/>
        <w:gridCol w:w="211"/>
        <w:gridCol w:w="100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19960" cy="175260"/>
                      <wp:effectExtent l="0" t="0" r="0" b="0"/>
                      <wp:wrapNone/>
                      <wp:docPr id="65" name="Frame65"/>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0235" cy="175260"/>
                      <wp:effectExtent l="0" t="0" r="0" b="0"/>
                      <wp:wrapNone/>
                      <wp:docPr id="68" name="Frame6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685" cy="175260"/>
                      <wp:effectExtent l="0" t="0" r="0" b="0"/>
                      <wp:wrapNone/>
                      <wp:docPr id="70" name="Frame7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24840" cy="175260"/>
                      <wp:effectExtent l="0" t="0" r="0" b="0"/>
                      <wp:wrapNone/>
                      <wp:docPr id="71" name="Frame7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38810" cy="175260"/>
                      <wp:effectExtent l="0" t="0" r="0" b="0"/>
                      <wp:wrapNone/>
                      <wp:docPr id="74" name="Frame7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1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both"/>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1"/>
              <w:ind w:left="0" w:right="0" w:hanging="0"/>
              <w:jc w:val="both"/>
              <w:rPr/>
            </w:pPr>
            <w:r>
              <w:rPr/>
              <w:t>​</w:t>
            </w:r>
          </w:p>
        </w:tc>
        <w:tc>
          <w:tcPr>
            <w:tcW w:w="12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1"/>
              <w:ind w:left="0" w:right="0" w:hanging="0"/>
              <w:jc w:val="both"/>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both"/>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49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r>
      <w:tr>
        <w:trPr/>
        <w:tc>
          <w:tcPr>
            <w:tcW w:w="349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New RVs</w:t>
            </w:r>
          </w:p>
        </w:tc>
        <w:tc>
          <w:tcPr>
            <w:tcW w:w="34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1,264,258</w:t>
            </w:r>
          </w:p>
        </w:tc>
        <w:tc>
          <w:tcPr>
            <w:tcW w:w="346" w:type="dxa"/>
            <w:tcBorders/>
            <w:vAlign w:val="center"/>
          </w:tcPr>
          <w:p>
            <w:pPr>
              <w:pStyle w:val="TableContents"/>
              <w:bidi w:val="0"/>
              <w:spacing w:before="0" w:after="1"/>
              <w:ind w:left="0" w:right="0" w:hanging="0"/>
              <w:jc w:val="both"/>
              <w:rPr/>
            </w:pPr>
            <w:r>
              <w:rPr/>
              <w:t>​</w:t>
            </w:r>
          </w:p>
        </w:tc>
        <w:tc>
          <w:tcPr>
            <w:tcW w:w="231" w:type="dxa"/>
            <w:tcBorders/>
            <w:vAlign w:val="center"/>
          </w:tcPr>
          <w:p>
            <w:pPr>
              <w:pStyle w:val="TableContents"/>
              <w:bidi w:val="0"/>
              <w:spacing w:before="0" w:after="1"/>
              <w:ind w:left="0" w:right="0" w:hanging="0"/>
              <w:jc w:val="both"/>
              <w:rPr/>
            </w:pPr>
            <w:r>
              <w:rPr/>
              <w:t>​</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1,421,435</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1,330,965</w:t>
            </w:r>
          </w:p>
        </w:tc>
      </w:tr>
      <w:tr>
        <w:trPr/>
        <w:tc>
          <w:tcPr>
            <w:tcW w:w="349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Used RVs</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429,417</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shd w:fill="CCEEFF" w:val="clear"/>
            <w:vAlign w:val="center"/>
          </w:tcPr>
          <w:p>
            <w:pPr>
              <w:pStyle w:val="TableContents"/>
              <w:bidi w:val="0"/>
              <w:spacing w:before="0" w:after="1"/>
              <w:ind w:left="0" w:right="0" w:hanging="0"/>
              <w:jc w:val="both"/>
              <w:rPr/>
            </w:pPr>
            <w:r>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530,861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536,665</w:t>
            </w:r>
          </w:p>
        </w:tc>
      </w:tr>
      <w:tr>
        <w:trPr/>
        <w:tc>
          <w:tcPr>
            <w:tcW w:w="349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Products, parts, accessories and other</w:t>
            </w:r>
          </w:p>
        </w:tc>
        <w:tc>
          <w:tcPr>
            <w:tcW w:w="346" w:type="dxa"/>
            <w:tcBorders/>
            <w:vAlign w:val="center"/>
          </w:tcPr>
          <w:p>
            <w:pPr>
              <w:pStyle w:val="TableContents"/>
              <w:bidi w:val="0"/>
              <w:spacing w:before="0" w:after="1"/>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166,351</w:t>
            </w:r>
          </w:p>
        </w:tc>
        <w:tc>
          <w:tcPr>
            <w:tcW w:w="346" w:type="dxa"/>
            <w:tcBorders/>
            <w:vAlign w:val="center"/>
          </w:tcPr>
          <w:p>
            <w:pPr>
              <w:pStyle w:val="TableContents"/>
              <w:bidi w:val="0"/>
              <w:spacing w:before="0" w:after="1"/>
              <w:ind w:left="0" w:right="0" w:hanging="0"/>
              <w:jc w:val="both"/>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159,255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193,232</w:t>
            </w:r>
          </w:p>
        </w:tc>
      </w:tr>
      <w:tr>
        <w:trPr/>
        <w:tc>
          <w:tcPr>
            <w:tcW w:w="349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1,860,298</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2,111,900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2,061,160</w:t>
            </w:r>
          </w:p>
        </w:tc>
      </w:tr>
      <w:tr>
        <w:trPr/>
        <w:tc>
          <w:tcPr>
            <w:tcW w:w="349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31" w:type="dxa"/>
            <w:tcBorders/>
            <w:vAlign w:val="center"/>
          </w:tcPr>
          <w:p>
            <w:pPr>
              <w:pStyle w:val="TableContents"/>
              <w:bidi w:val="0"/>
              <w:spacing w:before="0" w:after="1"/>
              <w:ind w:left="0" w:right="0" w:hanging="0"/>
              <w:jc w:val="both"/>
              <w:rPr/>
            </w:pPr>
            <w:r>
              <w:rPr/>
              <w:t>​</w:t>
            </w:r>
          </w:p>
        </w:tc>
        <w:tc>
          <w:tcPr>
            <w:tcW w:w="984"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06" w:type="dxa"/>
            <w:tcBorders/>
            <w:vAlign w:val="center"/>
          </w:tcPr>
          <w:p>
            <w:pPr>
              <w:pStyle w:val="TableContents"/>
              <w:bidi w:val="0"/>
              <w:spacing w:before="0" w:after="1"/>
              <w:ind w:left="0" w:right="0" w:hanging="0"/>
              <w:jc w:val="both"/>
              <w:rPr/>
            </w:pPr>
            <w:r>
              <w:rPr/>
              <w:t>​</w:t>
            </w:r>
          </w:p>
        </w:tc>
      </w:tr>
    </w:tbl>
    <w:p>
      <w:pPr>
        <w:pStyle w:val="TextBody"/>
        <w:bidi w:val="0"/>
        <w:spacing w:before="0" w:after="28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Substantially all of the Company’s new RV inventory and certain of its used RV inventory, included in the RV and Outdoor Retail segment, is financed by a floor plan credit agreement (“Floor Plan Facility”) with a syndication of banks (“Floor Plan Lenders”).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8 — Long-Term Debt) has not been repaid, refinanced, or defeased and the maturity has not been extended by at least 180 days after February 18, 2030.</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2026, December 31, 2025, and June 30, 2025, the applicable interest rate for the floor plan notes payable under the Floor Plan Facility was 5.89%, 5.89%, and 6.49%, respectively.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was no balance outstanding for the revolving line of credit under the Floor Plan Facility as of June 30, 2026, December 31, 2025 and June 30, 2025. Additionally, under the Floor Plan Facility, the revolving line of credit borrowings are subject to a borrowing base calculation, which did not limit the borrowing capacity as of June 30, 2026, December 31, 2025, and June 30, 2025.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credit agreement governing the Floor Plan Facility includes subjective acceleration clauses, which could impact debt classification. Management believes that no events have occurred as of June 30, 2026 that would trigger a subjective acceleration clause. Additionally, the credit agreement governing the Floor Plan Facility contains certain financial covenants. FreedomRoads, LLC was in compliance with all financial debt covenants as of June 30, 2026, December 31, 2025, and June 30, 2025.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1167" w:name="Tc_cImBgcshKEyBM_5KBGYFLg_20_8"/>
      <w:bookmarkStart w:id="1168" w:name="Tc_dc6To8YhCUquzh8CuUWZwA_20_5"/>
      <w:bookmarkStart w:id="1169" w:name="Tc_zVE-f8376k2y3gN-W8ViTA_20_2"/>
      <w:bookmarkStart w:id="1170" w:name="Tc_SG4GkkPFj066QJ7_IgamDQ_20_0"/>
      <w:bookmarkStart w:id="1171" w:name="Tc_7etPK6vRTEu-p5vXuV_WOQ_19_0"/>
      <w:bookmarkStart w:id="1172" w:name="Tc_Wcb23obLpEiJ5GYeMZNi-w_18_8"/>
      <w:bookmarkStart w:id="1173" w:name="Tc_nI4ZqBC6kUeIg8k5_3W76w_18_5"/>
      <w:bookmarkStart w:id="1174" w:name="Tc_ifCIjwRv20CKZkzJC_ri_w_18_2"/>
      <w:bookmarkStart w:id="1175" w:name="Tc_4sHZ0p5HEkSluqdQIzELQg_18_0"/>
      <w:bookmarkStart w:id="1176" w:name="Tc_BJPhUhv_VUmX-0K0BRe71Q_17_0"/>
      <w:bookmarkStart w:id="1177" w:name="Tc_NoASYI4d70qaeMsv-8aCww_15_8"/>
      <w:bookmarkStart w:id="1178" w:name="Tc_KdWtCCM59EWByAGDLJI1Ow_15_5"/>
      <w:bookmarkStart w:id="1179" w:name="Tc_YEAG73CTF0qlUHTWhCc3RA_15_2"/>
      <w:bookmarkStart w:id="1180" w:name="Tc_nWPJfxDEhU-DqDEEWIh-3g_15_0"/>
      <w:bookmarkStart w:id="1181" w:name="Tc_lAE6_nZJWEmmkURhN5Xotg_14_9"/>
      <w:bookmarkStart w:id="1182" w:name="Tc_mKgNl7rQyEWs0uoMlnwjmg_14_6"/>
      <w:bookmarkStart w:id="1183" w:name="Tc_Ff-nYlfMnUCtaFOvPHbMrQ_14_3"/>
      <w:bookmarkStart w:id="1184" w:name="Tc_a6O3vqHsL0KcDzUoq96EcQ_14_0"/>
      <w:bookmarkStart w:id="1185" w:name="Tc_mk1xEE6FsU2X1bh6MgrvBw_13_8"/>
      <w:bookmarkStart w:id="1186" w:name="Tc_qSgN3sXGq0eFT_YjmdfCmw_13_5"/>
      <w:bookmarkStart w:id="1187" w:name="Tc_8DGd570Xl0CW1Xsr_JEtYA_13_2"/>
      <w:bookmarkStart w:id="1188" w:name="Tc_fnVUXrDAXUSFiWnUYaSqsg_13_0"/>
      <w:bookmarkStart w:id="1189" w:name="Tc_ThWf9KEWe0WAWl6UdZV_EQ_11_8"/>
      <w:bookmarkStart w:id="1190" w:name="Tc_futJzYmXa022BfBG389apw_11_5"/>
      <w:bookmarkStart w:id="1191" w:name="Tc_kAOQzywVkk-C9XcN5RjVUw_11_2"/>
      <w:bookmarkStart w:id="1192" w:name="Tc_4qozkuRAak6gmXyzJCHT1A_11_0"/>
      <w:bookmarkStart w:id="1193" w:name="Tc_wD49t-BJuEObJHs0iQvZ-Q_10_0"/>
      <w:bookmarkStart w:id="1194" w:name="Tc_44seo-9T1kmTNA6de18cbQ_9_0"/>
      <w:bookmarkStart w:id="1195" w:name="Tc_Ysbk3KbBWUaCfsQPdh2WMg_8_0"/>
      <w:bookmarkStart w:id="1196" w:name="Tc_kGeE8txRQ0SNFLZ5kRsUBA_7_0"/>
      <w:bookmarkStart w:id="1197" w:name="Tc_1pTOU8y5y0ikSCkOo1Dl9w_6_0"/>
      <w:bookmarkStart w:id="1198" w:name="Tc_tvgwQmdmzkKN7r3tvNMlEQ_5_8"/>
      <w:bookmarkStart w:id="1199" w:name="Tc_8VKOnZTFvkup_bN69c-J4Q_5_5"/>
      <w:bookmarkStart w:id="1200" w:name="Tc_uQS7PSDDQ0mcfVG6Y1orBQ_5_2"/>
      <w:bookmarkStart w:id="1201" w:name="Tc_5xAUSmvKOkCwb1Q5GfbmfQ_5_0"/>
      <w:bookmarkStart w:id="1202" w:name="Tc_Hfw7_U7Wv0-3YoXOHW-2JA_4_0"/>
      <w:bookmarkStart w:id="1203" w:name="Tc_6eUXQPvMQkey2oIPB1z80A_3_0"/>
      <w:bookmarkStart w:id="1204" w:name="Tc__e-GMPlVHEelnc2Lx_oYUw_2_8"/>
      <w:bookmarkStart w:id="1205" w:name="Tc_KdKva11FWEy1G5dhTgHnjg_2_5"/>
      <w:bookmarkStart w:id="1206" w:name="Tc_Gom9ComDekiQ59xtXPWuEw_2_2"/>
      <w:bookmarkStart w:id="1207" w:name="Tc_M_EFvkOw1UKfImtndbXxQg_2_0"/>
      <w:bookmarkStart w:id="1208" w:name="Tc_laeVDzAbtkWDhKeoJC9bUg_1_8"/>
      <w:bookmarkStart w:id="1209" w:name="Tc_D6_ANygLgk6GmWeClOQERg_1_5"/>
      <w:bookmarkStart w:id="1210" w:name="Tc_X18aF1uw_EGmi2pXg4hq2g_1_2"/>
      <w:bookmarkStart w:id="1211" w:name="_83fea943_2d76_4672_9725_f6e83f33f4c0"/>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Fonts w:ascii="Arial;Helvetica;sans-serif" w:hAnsi="Arial;Helvetica;sans-serif"/>
          <w:sz w:val="20"/>
        </w:rPr>
        <w:t>The following table details the outstanding amounts and available borrowings under the Floor Plan Facility:</w:t>
      </w:r>
    </w:p>
    <w:p>
      <w:pPr>
        <w:pStyle w:val="TextBody"/>
        <w:bidi w:val="0"/>
        <w:spacing w:before="0" w:after="0"/>
        <w:ind w:left="0" w:right="0" w:hanging="0"/>
        <w:jc w:val="both"/>
        <w:rPr/>
      </w:pPr>
      <w:r>
        <w:rPr/>
        <w:t>​</w:t>
      </w:r>
    </w:p>
    <w:tbl>
      <w:tblPr>
        <w:tblW w:w="9085" w:type="dxa"/>
        <w:jc w:val="left"/>
        <w:tblInd w:w="0" w:type="dxa"/>
        <w:tblLayout w:type="fixed"/>
        <w:tblCellMar>
          <w:top w:w="0" w:type="dxa"/>
          <w:left w:w="0" w:type="dxa"/>
          <w:bottom w:w="0" w:type="dxa"/>
          <w:right w:w="0" w:type="dxa"/>
        </w:tblCellMar>
      </w:tblPr>
      <w:tblGrid>
        <w:gridCol w:w="4126"/>
        <w:gridCol w:w="346"/>
        <w:gridCol w:w="211"/>
        <w:gridCol w:w="1081"/>
        <w:gridCol w:w="346"/>
        <w:gridCol w:w="211"/>
        <w:gridCol w:w="1081"/>
        <w:gridCol w:w="346"/>
        <w:gridCol w:w="211"/>
        <w:gridCol w:w="1126"/>
      </w:tblGrid>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86435" cy="175260"/>
                      <wp:effectExtent l="0" t="0" r="0" b="0"/>
                      <wp:wrapNone/>
                      <wp:docPr id="76" name="Frame7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86435" cy="175260"/>
                      <wp:effectExtent l="0" t="0" r="0" b="0"/>
                      <wp:wrapNone/>
                      <wp:docPr id="78" name="Frame7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5010" cy="175260"/>
                      <wp:effectExtent l="0" t="0" r="0" b="0"/>
                      <wp:wrapNone/>
                      <wp:docPr id="80" name="Frame8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both"/>
              <w:rPr/>
            </w:pPr>
            <w:r>
              <w:rPr/>
              <w:t>​</w:t>
            </w:r>
          </w:p>
        </w:tc>
        <w:tc>
          <w:tcPr>
            <w:tcW w:w="133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12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Floor Plan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Notes payable - floor plan:</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 net of FLAIR offset account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(1,324,184)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(1,603,645)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(1,280,102)</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FLAIR offset account</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(22,231)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(25,117)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803,585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521,238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869,859</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short-term payable for sold inventory</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(70,217)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(35,981)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(82,871)</w:t>
            </w:r>
          </w:p>
        </w:tc>
      </w:tr>
      <w:tr>
        <w:trPr/>
        <w:tc>
          <w:tcPr>
            <w:tcW w:w="412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purchase commitments</w:t>
            </w:r>
            <w:r>
              <w:rPr>
                <w:rFonts w:ascii="Arial;Helvetica;sans-serif" w:hAnsi="Arial;Helvetica;sans-serif"/>
                <w:sz w:val="15"/>
              </w:rPr>
              <w:t>(3)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(18,152)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(26,841)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(26,884)</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Unencumbered borrowing capacity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715,216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458,416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760,104</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line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Letters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letters of credit capacity</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29,586</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29,586</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30,700</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(2)</w:t>
            </w:r>
          </w:p>
        </w:tc>
        <w:tc>
          <w:tcPr>
            <w:tcW w:w="993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short-term payable represents the amount due for sold inventory. A payment for any floor plan units sold is due within three</w:t>
            </w:r>
            <w:r>
              <w:rPr>
                <w:caps w:val="false"/>
                <w:smallCaps w:val="false"/>
              </w:rPr>
              <w:t xml:space="preserve"> </w:t>
            </w:r>
            <w:r>
              <w:rPr>
                <w:rFonts w:ascii="Arial;Helvetica;sans-serif" w:hAnsi="Arial;Helvetica;sans-serif"/>
                <w:b w:val="false"/>
                <w:i w:val="false"/>
                <w:caps w:val="false"/>
                <w:smallCaps w:val="false"/>
                <w:sz w:val="16"/>
              </w:rPr>
              <w:t>to ten</w:t>
            </w:r>
            <w:r>
              <w:rPr>
                <w:caps w:val="false"/>
                <w:smallCaps w:val="false"/>
              </w:rPr>
              <w:t xml:space="preserve"> </w:t>
            </w:r>
            <w:r>
              <w:rPr>
                <w:rFonts w:ascii="Arial;Helvetica;sans-serif" w:hAnsi="Arial;Helvetica;sans-serif"/>
                <w:b w:val="false"/>
                <w:i w:val="false"/>
                <w:caps w:val="false"/>
                <w:smallCaps w:val="false"/>
                <w:sz w:val="16"/>
              </w:rPr>
              <w:t>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(3)</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Purchase commitments represent vehicles approved for floor plan financing where the inventory has not yet been received by the Company from the supplier and no floor plan borrowing is outstanding.</w:t>
            </w:r>
          </w:p>
        </w:tc>
      </w:tr>
    </w:tbl>
    <w:p>
      <w:pPr>
        <w:pStyle w:val="TextBody"/>
        <w:bidi w:val="0"/>
        <w:spacing w:before="0" w:after="12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5. Long-Lived Asset Impairment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During the three and six months ended June 30, 2026 and the six months ended June 30, 2025,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was below their carrying value and were impaired.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bookmarkStart w:id="1212" w:name="Tc_dhrV186Dd0S3F7HXZYFRBw_7_11"/>
      <w:bookmarkStart w:id="1213" w:name="Tc_sMoZx5IOjkCGEkGvq8EQeg_7_8"/>
      <w:bookmarkStart w:id="1214" w:name="Tc_iP3rlhYDnk2NRu7mCqrsrw_7_5"/>
      <w:bookmarkStart w:id="1215" w:name="Tc_gxvGiaCWIkWAq0EaG_RM4g_7_2"/>
      <w:bookmarkStart w:id="1216" w:name="Tc_ntbjwkOSdkyx96JJjQI5bg_7_0"/>
      <w:bookmarkStart w:id="1217" w:name="Tc_EjezX0gAgEqQe_FfaH7onw_6_0"/>
      <w:bookmarkStart w:id="1218" w:name="Tc_qIeVrInRNUq-vtBYbc9uRg_5_12"/>
      <w:bookmarkStart w:id="1219" w:name="Tc_9Nf8Z44G9k2fPmajWGIwgg_5_6"/>
      <w:bookmarkStart w:id="1220" w:name="Tc_OLEXyBkYDE2Uwcm65iVX5g_5_0"/>
      <w:bookmarkStart w:id="1221" w:name="Tc_N6V6IsD5TU2AOpifyeG1Iw_4_11"/>
      <w:bookmarkStart w:id="1222" w:name="Tc_VYecgaJb5kiOYggTQmnCiQ_4_8"/>
      <w:bookmarkStart w:id="1223" w:name="Tc_2Pg56KjfSEum2JLBwlnsPw_4_5"/>
      <w:bookmarkStart w:id="1224" w:name="Tc_WA4RESX9-0-3XYAMeqbJDA_4_2"/>
      <w:bookmarkStart w:id="1225" w:name="Tc_RNXGV1p7sk2IDGempJtCrw_4_0"/>
      <w:bookmarkStart w:id="1226" w:name="Tc_VKOhvi4J1km16o_etudXYg_3_0"/>
      <w:bookmarkStart w:id="1227" w:name="Tc_TXj8huJBv0qW6-eDu21OAQ_2_11"/>
      <w:bookmarkStart w:id="1228" w:name="Tc_pfU72yKdUEK9BW6pene8xw_2_8"/>
      <w:bookmarkStart w:id="1229" w:name="Tc_8KPN693UF0yOxiUcnsQ_yQ_2_5"/>
      <w:bookmarkStart w:id="1230" w:name="Tc_tm-81BrOXEexj79BdaQNTA_2_2"/>
      <w:bookmarkStart w:id="1231" w:name="Tc_wWcAYPjVB0G8sGoCK54tZQ_2_0"/>
      <w:bookmarkStart w:id="1232" w:name="Tc_cCJD2EgP9U-D7RrBd_ycdw_1_8"/>
      <w:bookmarkStart w:id="1233" w:name="Tc_UMikKqgFREayS2GtUBeF5g_1_2"/>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ascii="Arial;Helvetica;sans-serif" w:hAnsi="Arial;Helvetica;sans-serif"/>
          <w:sz w:val="20"/>
        </w:rPr>
        <w:t>The following table details long-lived asset impairment charges by type of long-lived asset, all of which relate to the RV and Outdoor Retail segment:</w:t>
      </w:r>
    </w:p>
    <w:p>
      <w:pPr>
        <w:pStyle w:val="TextBody"/>
        <w:bidi w:val="0"/>
        <w:spacing w:before="0" w:after="0"/>
        <w:ind w:left="0" w:right="0" w:hanging="0"/>
        <w:jc w:val="both"/>
        <w:rPr/>
      </w:pPr>
      <w:r>
        <w:rPr/>
        <w:t>​</w:t>
      </w:r>
    </w:p>
    <w:tbl>
      <w:tblPr>
        <w:tblW w:w="9699" w:type="dxa"/>
        <w:jc w:val="left"/>
        <w:tblInd w:w="0" w:type="dxa"/>
        <w:tblLayout w:type="fixed"/>
        <w:tblCellMar>
          <w:top w:w="0" w:type="dxa"/>
          <w:left w:w="0" w:type="dxa"/>
          <w:bottom w:w="0" w:type="dxa"/>
          <w:right w:w="0" w:type="dxa"/>
        </w:tblCellMar>
      </w:tblPr>
      <w:tblGrid>
        <w:gridCol w:w="5341"/>
        <w:gridCol w:w="109"/>
        <w:gridCol w:w="231"/>
        <w:gridCol w:w="758"/>
        <w:gridCol w:w="379"/>
        <w:gridCol w:w="231"/>
        <w:gridCol w:w="379"/>
        <w:gridCol w:w="346"/>
        <w:gridCol w:w="211"/>
        <w:gridCol w:w="691"/>
        <w:gridCol w:w="346"/>
        <w:gridCol w:w="211"/>
        <w:gridCol w:w="466"/>
      </w:tblGrid>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6685" cy="175260"/>
                      <wp:effectExtent l="0" t="0" r="0" b="0"/>
                      <wp:wrapNone/>
                      <wp:docPr id="82" name="Frame8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81330" cy="175260"/>
                      <wp:effectExtent l="0" t="0" r="0" b="0"/>
                      <wp:wrapNone/>
                      <wp:docPr id="83" name="Frame83"/>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0665" cy="175260"/>
                      <wp:effectExtent l="0" t="0" r="0" b="0"/>
                      <wp:wrapNone/>
                      <wp:docPr id="84" name="Frame8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6685" cy="175260"/>
                      <wp:effectExtent l="0" t="0" r="0" b="0"/>
                      <wp:wrapNone/>
                      <wp:docPr id="85" name="Frame8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0665" cy="175260"/>
                      <wp:effectExtent l="0" t="0" r="0" b="0"/>
                      <wp:wrapNone/>
                      <wp:docPr id="86" name="Frame8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38785" cy="175260"/>
                      <wp:effectExtent l="0" t="0" r="0" b="0"/>
                      <wp:wrapNone/>
                      <wp:docPr id="89" name="Frame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95910" cy="175260"/>
                      <wp:effectExtent l="0" t="0" r="0" b="0"/>
                      <wp:wrapNone/>
                      <wp:docPr id="92" name="Frame9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Six Months Ended June 30,</w:t>
            </w:r>
          </w:p>
        </w:tc>
      </w:tr>
      <w:tr>
        <w:trPr/>
        <w:tc>
          <w:tcPr>
            <w:tcW w:w="534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 w:type="dxa"/>
            <w:tcBorders/>
            <w:vAlign w:val="center"/>
          </w:tcPr>
          <w:p>
            <w:pPr>
              <w:pStyle w:val="TableContents"/>
              <w:bidi w:val="0"/>
              <w:spacing w:before="0" w:after="0"/>
              <w:ind w:left="0" w:right="0" w:hanging="0"/>
              <w:jc w:val="both"/>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379" w:type="dxa"/>
            <w:tcBorders/>
            <w:vAlign w:val="center"/>
          </w:tcPr>
          <w:p>
            <w:pPr>
              <w:pStyle w:val="TableContents"/>
              <w:bidi w:val="0"/>
              <w:spacing w:before="0" w:after="0"/>
              <w:ind w:left="0" w:right="0" w:hanging="0"/>
              <w:jc w:val="center"/>
              <w:rPr/>
            </w:pPr>
            <w:r>
              <w:rPr/>
              <w:t>  ​ ​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Long-lived asset impairment charges by type of long-lived asset:</w:t>
            </w:r>
          </w:p>
        </w:tc>
        <w:tc>
          <w:tcPr>
            <w:tcW w:w="109"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758" w:type="dxa"/>
            <w:tcBorders/>
            <w:shd w:fill="CCEEFF" w:val="clear"/>
            <w:vAlign w:val="center"/>
          </w:tcPr>
          <w:p>
            <w:pPr>
              <w:pStyle w:val="TableContents"/>
              <w:bidi w:val="0"/>
              <w:spacing w:before="0" w:after="0"/>
              <w:ind w:left="0" w:right="0" w:hanging="0"/>
              <w:jc w:val="center"/>
              <w:rPr/>
            </w:pPr>
            <w:r>
              <w:rPr/>
              <w:t>​</w:t>
            </w:r>
          </w:p>
        </w:tc>
        <w:tc>
          <w:tcPr>
            <w:tcW w:w="379"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3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center"/>
              <w:rPr/>
            </w:pPr>
            <w:r>
              <w:rPr/>
              <w:t>​</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Leasehold improvements</w:t>
            </w:r>
          </w:p>
        </w:tc>
        <w:tc>
          <w:tcPr>
            <w:tcW w:w="109"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w:t>
            </w:r>
          </w:p>
        </w:tc>
        <w:tc>
          <w:tcPr>
            <w:tcW w:w="379"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3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Operating lease right of use assets</w:t>
            </w:r>
          </w:p>
        </w:tc>
        <w:tc>
          <w:tcPr>
            <w:tcW w:w="109"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6,392</w:t>
            </w:r>
          </w:p>
        </w:tc>
        <w:tc>
          <w:tcPr>
            <w:tcW w:w="379"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3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Building and improvements</w:t>
            </w:r>
          </w:p>
        </w:tc>
        <w:tc>
          <w:tcPr>
            <w:tcW w:w="109" w:type="dxa"/>
            <w:tcBorders/>
            <w:vAlign w:val="center"/>
          </w:tcPr>
          <w:p>
            <w:pPr>
              <w:pStyle w:val="TableContents"/>
              <w:bidi w:val="0"/>
              <w:spacing w:before="0" w:after="0"/>
              <w:ind w:left="0" w:right="0" w:hanging="0"/>
              <w:jc w:val="both"/>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6,272</w:t>
            </w:r>
          </w:p>
        </w:tc>
        <w:tc>
          <w:tcPr>
            <w:tcW w:w="379" w:type="dxa"/>
            <w:tcBorders/>
            <w:vAlign w:val="center"/>
          </w:tcPr>
          <w:p>
            <w:pPr>
              <w:pStyle w:val="TableContents"/>
              <w:bidi w:val="0"/>
              <w:spacing w:before="0" w:after="0"/>
              <w:ind w:left="0" w:right="0" w:hanging="0"/>
              <w:jc w:val="both"/>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6,272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long-lived asset impairment charges</w:t>
            </w:r>
          </w:p>
        </w:tc>
        <w:tc>
          <w:tcPr>
            <w:tcW w:w="109" w:type="dxa"/>
            <w:tcBorders/>
            <w:shd w:fill="CCEEFF" w:val="clear"/>
            <w:vAlign w:val="center"/>
          </w:tcPr>
          <w:p>
            <w:pPr>
              <w:pStyle w:val="TableContents"/>
              <w:bidi w:val="0"/>
              <w:spacing w:before="0" w:after="0"/>
              <w:ind w:left="0" w:right="0" w:hanging="0"/>
              <w:jc w:val="both"/>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13,099</w:t>
            </w:r>
          </w:p>
        </w:tc>
        <w:tc>
          <w:tcPr>
            <w:tcW w:w="379" w:type="dxa"/>
            <w:tcBorders/>
            <w:shd w:fill="CCEEFF" w:val="clear"/>
            <w:vAlign w:val="center"/>
          </w:tcPr>
          <w:p>
            <w:pPr>
              <w:pStyle w:val="TableContents"/>
              <w:bidi w:val="0"/>
              <w:spacing w:before="0" w:after="0"/>
              <w:ind w:left="0" w:right="0" w:hanging="0"/>
              <w:jc w:val="both"/>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13,099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w: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758"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3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234" w:name="Tc_UH8ziYykPkW1sSa6Nu-JRg_5_8"/>
      <w:bookmarkStart w:id="1235" w:name="Tc_2tZ4O8QzmUWGFhSxIHEdZA_5_5"/>
      <w:bookmarkStart w:id="1236" w:name="Tc_Zj1dETEgAUuNcqIyuJKYvA_5_2"/>
      <w:bookmarkStart w:id="1237" w:name="Tc_mYhWMbrYqU64sGc5RCTO0A_4_8"/>
      <w:bookmarkStart w:id="1238" w:name="Tc_IMjXNynl_k2rCf4KpdI6ig_4_5"/>
      <w:bookmarkStart w:id="1239" w:name="Tc_xorj57O1fEKqIQWKlTp5bQ_4_2"/>
      <w:bookmarkStart w:id="1240" w:name="Tc_kk2MDQpJT0q_sJhsE4IlPA_4_0"/>
      <w:bookmarkStart w:id="1241" w:name="Tc_-wzb3MNz1EOReJ97AxETFA_3_0"/>
      <w:bookmarkStart w:id="1242" w:name="Tc_2udRgvFmt0i63xw67BHadA_2_8"/>
      <w:bookmarkStart w:id="1243" w:name="Tc_2_fWHMBYcUOa1v8GKbj1IQ_2_5"/>
      <w:bookmarkStart w:id="1244" w:name="Tc_UC5GVaIZyke0XIRBz35PCA_2_2"/>
      <w:bookmarkStart w:id="1245" w:name="Tc_WjjISzn3y0usEjAtCDACgQ_2_0"/>
      <w:bookmarkStart w:id="1246" w:name="Tc_h_TaEIcQDUCHvtRj0fJlzQ_1_8"/>
      <w:bookmarkStart w:id="1247" w:name="Tc_A_QsdSttl06nGZzpQdAwxQ_1_5"/>
      <w:bookmarkStart w:id="1248" w:name="Tc_ZSzf2sX9HUaAxxZH6GONFw_1_2"/>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Pr>
          <w:rFonts w:ascii="Arial;Helvetica;sans-serif" w:hAnsi="Arial;Helvetica;sans-serif"/>
          <w:b/>
          <w:sz w:val="20"/>
        </w:rPr>
        <w:t>6. Assets Held for Sale and Business Divestitures</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As of June 30, 2026, December 31, 2025, and June 30, 2025, one, one, and five RV and Outdoor Retail segment properties, respectively, met the criteria to be classified as held for sale.</w:t>
      </w:r>
    </w:p>
    <w:p>
      <w:pPr>
        <w:pStyle w:val="TextBody"/>
        <w:bidi w:val="0"/>
        <w:spacing w:before="0" w:after="12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The following table presents the components of assets held for sale:</w:t>
      </w:r>
    </w:p>
    <w:p>
      <w:pPr>
        <w:pStyle w:val="TextBody"/>
        <w:bidi w:val="0"/>
        <w:spacing w:before="0" w:after="0"/>
        <w:ind w:left="0" w:right="0" w:hanging="0"/>
        <w:jc w:val="both"/>
        <w:rPr/>
      </w:pPr>
      <w:r>
        <w:rPr/>
        <w:t>​</w:t>
      </w:r>
    </w:p>
    <w:tbl>
      <w:tblPr>
        <w:tblW w:w="6312" w:type="dxa"/>
        <w:jc w:val="left"/>
        <w:tblInd w:w="0" w:type="dxa"/>
        <w:tblLayout w:type="fixed"/>
        <w:tblCellMar>
          <w:top w:w="0" w:type="dxa"/>
          <w:left w:w="0" w:type="dxa"/>
          <w:bottom w:w="0" w:type="dxa"/>
          <w:right w:w="0" w:type="dxa"/>
        </w:tblCellMar>
      </w:tblPr>
      <w:tblGrid>
        <w:gridCol w:w="2581"/>
        <w:gridCol w:w="109"/>
        <w:gridCol w:w="289"/>
        <w:gridCol w:w="581"/>
        <w:gridCol w:w="346"/>
        <w:gridCol w:w="449"/>
        <w:gridCol w:w="901"/>
        <w:gridCol w:w="109"/>
        <w:gridCol w:w="211"/>
        <w:gridCol w:w="7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38935" cy="175260"/>
                      <wp:effectExtent l="0" t="0" r="0" b="0"/>
                      <wp:wrapNone/>
                      <wp:docPr id="93" name="Frame93"/>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3515" cy="175260"/>
                      <wp:effectExtent l="0" t="0" r="0" b="0"/>
                      <wp:wrapNone/>
                      <wp:docPr id="95" name="Frame9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8935" cy="175260"/>
                      <wp:effectExtent l="0" t="0" r="0" b="0"/>
                      <wp:wrapNone/>
                      <wp:docPr id="96" name="Frame9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5115" cy="175260"/>
                      <wp:effectExtent l="0" t="0" r="0" b="0"/>
                      <wp:wrapNone/>
                      <wp:docPr id="98" name="Frame98"/>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2135" cy="175260"/>
                      <wp:effectExtent l="0" t="0" r="0" b="0"/>
                      <wp:wrapNone/>
                      <wp:docPr id="99" name="Frame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67360" cy="175260"/>
                      <wp:effectExtent l="0" t="0" r="0" b="0"/>
                      <wp:wrapNone/>
                      <wp:docPr id="102" name="Frame1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7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 </w:t>
            </w:r>
          </w:p>
        </w:tc>
        <w:tc>
          <w:tcPr>
            <w:tcW w:w="346" w:type="dxa"/>
            <w:tcBorders/>
            <w:vAlign w:val="center"/>
          </w:tcPr>
          <w:p>
            <w:pPr>
              <w:pStyle w:val="TableContents"/>
              <w:bidi w:val="0"/>
              <w:spacing w:before="0" w:after="0"/>
              <w:ind w:left="0" w:right="0" w:hanging="0"/>
              <w:jc w:val="both"/>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31, </w:t>
            </w:r>
          </w:p>
        </w:tc>
        <w:tc>
          <w:tcPr>
            <w:tcW w:w="109" w:type="dxa"/>
            <w:tcBorders/>
            <w:vAlign w:val="center"/>
          </w:tcPr>
          <w:p>
            <w:pPr>
              <w:pStyle w:val="TableContents"/>
              <w:bidi w:val="0"/>
              <w:spacing w:before="0" w:after="0"/>
              <w:ind w:left="0" w:right="0" w:hanging="0"/>
              <w:jc w:val="both"/>
              <w:rPr/>
            </w:pPr>
            <w:r>
              <w:rPr/>
              <w:t>​</w:t>
            </w:r>
          </w:p>
        </w:tc>
        <w:tc>
          <w:tcPr>
            <w:tcW w:w="94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 </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in thousands)</w:t>
            </w:r>
          </w:p>
        </w:tc>
        <w:tc>
          <w:tcPr>
            <w:tcW w:w="109" w:type="dxa"/>
            <w:tcBorders/>
            <w:vAlign w:val="center"/>
          </w:tcPr>
          <w:p>
            <w:pPr>
              <w:pStyle w:val="TableContents"/>
              <w:bidi w:val="0"/>
              <w:spacing w:before="0" w:after="0"/>
              <w:ind w:left="0" w:right="0" w:hanging="0"/>
              <w:jc w:val="both"/>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both"/>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both"/>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258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Assets held for sale:</w:t>
            </w:r>
          </w:p>
        </w:tc>
        <w:tc>
          <w:tcPr>
            <w:tcW w:w="109" w:type="dxa"/>
            <w:tcBorders/>
            <w:shd w:fill="CCEEFF" w:val="clear"/>
            <w:vAlign w:val="center"/>
          </w:tcPr>
          <w:p>
            <w:pPr>
              <w:pStyle w:val="TableContents"/>
              <w:bidi w:val="0"/>
              <w:spacing w:before="0" w:after="0"/>
              <w:ind w:left="0" w:right="0" w:hanging="0"/>
              <w:jc w:val="both"/>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5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449"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109" w:type="dxa"/>
            <w:tcBorders/>
            <w:vAlign w:val="center"/>
          </w:tcPr>
          <w:p>
            <w:pPr>
              <w:pStyle w:val="TableContents"/>
              <w:bidi w:val="0"/>
              <w:spacing w:before="0" w:after="0"/>
              <w:ind w:left="0" w:right="0" w:hanging="0"/>
              <w:jc w:val="both"/>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346" w:type="dxa"/>
            <w:tcBorders/>
            <w:vAlign w:val="center"/>
          </w:tcPr>
          <w:p>
            <w:pPr>
              <w:pStyle w:val="TableContents"/>
              <w:bidi w:val="0"/>
              <w:spacing w:before="0" w:after="0"/>
              <w:ind w:left="0" w:right="0" w:hanging="0"/>
              <w:jc w:val="both"/>
              <w:rPr/>
            </w:pPr>
            <w:r>
              <w:rPr/>
              <w:t>​</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15,202</w:t>
            </w:r>
          </w:p>
        </w:tc>
      </w:tr>
      <w:tr>
        <w:trPr/>
        <w:tc>
          <w:tcPr>
            <w:tcW w:w="258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346" w:type="dxa"/>
            <w:tcBorders/>
            <w:shd w:fill="CCEEFF" w:val="clear"/>
            <w:vAlign w:val="center"/>
          </w:tcPr>
          <w:p>
            <w:pPr>
              <w:pStyle w:val="TableContents"/>
              <w:bidi w:val="0"/>
              <w:spacing w:before="0" w:after="0"/>
              <w:ind w:left="0" w:right="0" w:hanging="0"/>
              <w:jc w:val="both"/>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15,202</w:t>
            </w:r>
          </w:p>
        </w:tc>
      </w:tr>
      <w:tr>
        <w:trPr/>
        <w:tc>
          <w:tcPr>
            <w:tcW w:w="25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9" w:type="dxa"/>
            <w:tcBorders/>
            <w:vAlign w:val="center"/>
          </w:tcPr>
          <w:p>
            <w:pPr>
              <w:pStyle w:val="TableContents"/>
              <w:bidi w:val="0"/>
              <w:spacing w:before="0" w:after="0"/>
              <w:ind w:left="0" w:right="0" w:hanging="0"/>
              <w:jc w:val="both"/>
              <w:rPr/>
            </w:pPr>
            <w:r>
              <w:rPr/>
              <w:t>​</w:t>
            </w:r>
          </w:p>
        </w:tc>
        <w:tc>
          <w:tcPr>
            <w:tcW w:w="5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449" w:type="dxa"/>
            <w:tcBorders/>
            <w:vAlign w:val="center"/>
          </w:tcPr>
          <w:p>
            <w:pPr>
              <w:pStyle w:val="TableContents"/>
              <w:bidi w:val="0"/>
              <w:spacing w:before="0" w:after="0"/>
              <w:ind w:left="0" w:right="0" w:hanging="0"/>
              <w:jc w:val="both"/>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shd w:fill="FFFFFF" w:val="clear"/>
        </w:rPr>
        <w:t>O</w:t>
      </w:r>
      <w:r>
        <w:rPr>
          <w:rFonts w:ascii="Arial;Helvetica;sans-serif" w:hAnsi="Arial;Helvetica;sans-serif"/>
          <w:sz w:val="20"/>
        </w:rPr>
        <w:t>n June 30, 2025, the Company closed on the sale of certain assets of one RV dealership. The approximately $10.3 million fair value of consideration received from the divestiture was comprised of $4.4 million of cash consideration and $5.9 million paid directly to the Floor Plan Lenders for new vehicles included in the Company’s floor plan. Included in the $4.4 million of cash consideration was $1.0 million for a deposit related to a future purchase of real estate. The divested net assets were comprised primarily of approximately $6.1 million of inventories, net; $0.1 million of property and equipment, net; and $3.4 million of goodwill allocated from the RV and Outdoor Retail segment based on the relative fair value of the dealership. This divestiture transaction resulted in a loss of $0.3 million and was included in loss (gain) on sale or disposal of assets in the condensed consolidated statements of operations for the three and six months ended June 30, 2025. In addition to receiving a return for the assets, the sale allowed the Company to avoid significant brand-specific capital improvements which would have been required to support the dealership on an on-going basis.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
        </w:rPr>
      </w:pPr>
      <w:r>
        <w:rPr>
          <w:rFonts w:ascii="Arial;Helvetica;sans-serif" w:hAnsi="Arial;Helvetica;sans-serif"/>
          <w:sz w:val="2"/>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1249" w:name="Tc_wcZSDxRLH0mIrB72tWETeg_13_8"/>
      <w:bookmarkStart w:id="1250" w:name="Tc_LTf_dxJw0UW8PIQrrr30qg_13_5"/>
      <w:bookmarkStart w:id="1251" w:name="Tc_nPDmOqHjkkiInXc3V-9E1w_13_2"/>
      <w:bookmarkStart w:id="1252" w:name="Tc_qpr64VSKn0yTruSpszA9jA_13_0"/>
      <w:bookmarkStart w:id="1253" w:name="Tc_wjc448CKuU-_qKZ3HQIN0Q_12_3"/>
      <w:bookmarkStart w:id="1254" w:name="Tc_5l5JWkGF1EqINpZYXSU-Aw_12_0"/>
      <w:bookmarkStart w:id="1255" w:name="Tc_AxD7ILzfGUaO6v7TU1Th_Q_11_0"/>
      <w:bookmarkStart w:id="1256" w:name="Tc_kAMFrNZ8vEGARmPL0_pcAw_10_3"/>
      <w:bookmarkStart w:id="1257" w:name="Tc_XpAtda6eH0yibsi1IA7qAw_10_0"/>
      <w:bookmarkStart w:id="1258" w:name="Tc_5zRfWKMqL0mhfDlovtyoNQ_9_0"/>
      <w:bookmarkStart w:id="1259" w:name="Tc_Gl9AN08oYEywgXuU_3OVGQ_8_3"/>
      <w:bookmarkStart w:id="1260" w:name="Tc_vepL59TZzUiG5URyJ5PVqg_8_0"/>
      <w:bookmarkStart w:id="1261" w:name="Tc_Fdcao9W6D0GFjGdmnNXVLA_7_3"/>
      <w:bookmarkStart w:id="1262" w:name="Tc_hBudnc7isU--YjZxMOQiCA_7_0"/>
      <w:bookmarkStart w:id="1263" w:name="Tc_W6RLCPw3skiy9c3cNuSHJQ_6_0"/>
      <w:bookmarkStart w:id="1264" w:name="Tc_7F62jUhio02jPHvWlr5EpQ_5_0"/>
      <w:bookmarkStart w:id="1265" w:name="Tc_vqC7ks-ApkyfWVzOZoz0wA_4_8"/>
      <w:bookmarkStart w:id="1266" w:name="Tc_h_YbrrjVpkGV9Z5onTApKw_4_5"/>
      <w:bookmarkStart w:id="1267" w:name="Tc_KCdGunfFokiCGFTUA9vA9Q_4_2"/>
      <w:bookmarkStart w:id="1268" w:name="Tc_98xhwPdiCk-g67OdDVFhIA_4_0"/>
      <w:bookmarkStart w:id="1269" w:name="Tc_MIGBUVpuz0-ssbSwK5H5Cw_3_8"/>
      <w:bookmarkStart w:id="1270" w:name="Tc_lfWYKD9pzEeAxzj5bZm8Ww_3_5"/>
      <w:bookmarkStart w:id="1271" w:name="Tc_r5KXfYogLU-PoETLxOsoDQ_3_2"/>
      <w:bookmarkStart w:id="1272" w:name="Tc_2Ld_dp8J7UKHwL8wzg6ptw_3_0"/>
      <w:bookmarkStart w:id="1273" w:name="Tc_O4rhS8hCIUunAi_dr3fdMQ_2_5"/>
      <w:bookmarkStart w:id="1274" w:name="Tc_HV_F7UTMTUWSZ7CkGo86qg_2_2"/>
      <w:bookmarkStart w:id="1275" w:name="Tc_qS7lpaOvsUasZH7AzQD-nw_1_2"/>
      <w:bookmarkStart w:id="1276" w:name="_247e64f3_700f_4707_97f8_f10487055633"/>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Arial;Helvetica;sans-serif" w:hAnsi="Arial;Helvetica;sans-serif"/>
          <w:b/>
          <w:sz w:val="20"/>
        </w:rPr>
        <w:t>7. Goodwill and Intangible Assets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Goodwill</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a summary of changes in the Company’s goodwill by segment for the six months ended June 30, 2026 and 2025 and the year ended December 31, 2025:</w:t>
      </w:r>
    </w:p>
    <w:p>
      <w:pPr>
        <w:pStyle w:val="TextBody"/>
        <w:bidi w:val="0"/>
        <w:spacing w:before="0" w:after="0"/>
        <w:ind w:left="0" w:right="0" w:hanging="0"/>
        <w:jc w:val="both"/>
        <w:rPr/>
      </w:pPr>
      <w:r>
        <w:rPr/>
        <w:t>​</w:t>
      </w:r>
    </w:p>
    <w:tbl>
      <w:tblPr>
        <w:tblW w:w="9920" w:type="dxa"/>
        <w:jc w:val="left"/>
        <w:tblInd w:w="0" w:type="dxa"/>
        <w:tblLayout w:type="fixed"/>
        <w:tblCellMar>
          <w:top w:w="0" w:type="dxa"/>
          <w:left w:w="0" w:type="dxa"/>
          <w:bottom w:w="0" w:type="dxa"/>
          <w:right w:w="0" w:type="dxa"/>
        </w:tblCellMar>
      </w:tblPr>
      <w:tblGrid>
        <w:gridCol w:w="5281"/>
        <w:gridCol w:w="346"/>
        <w:gridCol w:w="232"/>
        <w:gridCol w:w="878"/>
        <w:gridCol w:w="346"/>
        <w:gridCol w:w="242"/>
        <w:gridCol w:w="1033"/>
        <w:gridCol w:w="346"/>
        <w:gridCol w:w="233"/>
        <w:gridCol w:w="983"/>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353435" cy="175260"/>
                      <wp:effectExtent l="0" t="0" r="0" b="0"/>
                      <wp:wrapNone/>
                      <wp:docPr id="103" name="Frame103"/>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7320" cy="175260"/>
                      <wp:effectExtent l="0" t="0" r="0" b="0"/>
                      <wp:wrapNone/>
                      <wp:docPr id="105" name="Frame10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57530" cy="175260"/>
                      <wp:effectExtent l="0" t="0" r="0" b="0"/>
                      <wp:wrapNone/>
                      <wp:docPr id="106" name="Frame10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3670" cy="175260"/>
                      <wp:effectExtent l="0" t="0" r="0" b="0"/>
                      <wp:wrapNone/>
                      <wp:docPr id="108" name="Frame10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5955" cy="175260"/>
                      <wp:effectExtent l="0" t="0" r="0" b="0"/>
                      <wp:wrapNone/>
                      <wp:docPr id="109" name="Frame109"/>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7955" cy="175260"/>
                      <wp:effectExtent l="0" t="0" r="0" b="0"/>
                      <wp:wrapNone/>
                      <wp:docPr id="111" name="Frame11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24205" cy="175260"/>
                      <wp:effectExtent l="0" t="0" r="0" b="0"/>
                      <wp:wrapNone/>
                      <wp:docPr id="112" name="Frame112"/>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Sam</w:t>
            </w:r>
          </w:p>
        </w:tc>
        <w:tc>
          <w:tcPr>
            <w:tcW w:w="346" w:type="dxa"/>
            <w:tcBorders/>
            <w:vAlign w:val="center"/>
          </w:tcPr>
          <w:p>
            <w:pPr>
              <w:pStyle w:val="TableContents"/>
              <w:bidi w:val="0"/>
              <w:spacing w:before="0" w:after="0"/>
              <w:ind w:left="0" w:right="0" w:hanging="0"/>
              <w:jc w:val="both"/>
              <w:rPr/>
            </w:pPr>
            <w:r>
              <w:rPr/>
              <w:t>​</w:t>
            </w:r>
          </w:p>
        </w:tc>
        <w:tc>
          <w:tcPr>
            <w:tcW w:w="127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216" w:type="dxa"/>
            <w:gridSpan w:val="2"/>
            <w:tcBorders/>
            <w:vAlign w:val="center"/>
          </w:tcPr>
          <w:p>
            <w:pPr>
              <w:pStyle w:val="TableContents"/>
              <w:bidi w:val="0"/>
              <w:spacing w:before="0" w:after="0"/>
              <w:ind w:left="0" w:right="0" w:hanging="0"/>
              <w:jc w:val="center"/>
              <w:rPr/>
            </w:pPr>
            <w:r>
              <w:rPr/>
              <w:t>​</w:t>
            </w:r>
          </w:p>
        </w:tc>
      </w:tr>
      <w:tr>
        <w:trPr/>
        <w:tc>
          <w:tcPr>
            <w:tcW w:w="528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Services and</w:t>
            </w:r>
          </w:p>
        </w:tc>
        <w:tc>
          <w:tcPr>
            <w:tcW w:w="346" w:type="dxa"/>
            <w:tcBorders/>
            <w:vAlign w:val="center"/>
          </w:tcPr>
          <w:p>
            <w:pPr>
              <w:pStyle w:val="TableContents"/>
              <w:bidi w:val="0"/>
              <w:spacing w:before="0" w:after="0"/>
              <w:ind w:left="0" w:right="0" w:hanging="0"/>
              <w:jc w:val="both"/>
              <w:rPr/>
            </w:pPr>
            <w:r>
              <w:rPr/>
              <w:t>​</w:t>
            </w:r>
          </w:p>
        </w:tc>
        <w:tc>
          <w:tcPr>
            <w:tcW w:w="12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RV and</w:t>
            </w:r>
          </w:p>
        </w:tc>
        <w:tc>
          <w:tcPr>
            <w:tcW w:w="346" w:type="dxa"/>
            <w:tcBorders/>
            <w:vAlign w:val="center"/>
          </w:tcPr>
          <w:p>
            <w:pPr>
              <w:pStyle w:val="TableContents"/>
              <w:bidi w:val="0"/>
              <w:spacing w:before="0" w:after="0"/>
              <w:ind w:left="0" w:right="0" w:hanging="0"/>
              <w:jc w:val="both"/>
              <w:rPr/>
            </w:pPr>
            <w:r>
              <w:rPr/>
              <w:t>​</w:t>
            </w:r>
          </w:p>
        </w:tc>
        <w:tc>
          <w:tcPr>
            <w:tcW w:w="1216" w:type="dxa"/>
            <w:gridSpan w:val="2"/>
            <w:tcBorders/>
            <w:vAlign w:val="center"/>
          </w:tcPr>
          <w:p>
            <w:pPr>
              <w:pStyle w:val="TableContents"/>
              <w:bidi w:val="0"/>
              <w:spacing w:before="0" w:after="0"/>
              <w:ind w:left="0" w:right="0" w:hanging="0"/>
              <w:jc w:val="center"/>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Plans</w:t>
            </w:r>
          </w:p>
        </w:tc>
        <w:tc>
          <w:tcPr>
            <w:tcW w:w="346" w:type="dxa"/>
            <w:tcBorders/>
            <w:vAlign w:val="center"/>
          </w:tcPr>
          <w:p>
            <w:pPr>
              <w:pStyle w:val="TableContents"/>
              <w:bidi w:val="0"/>
              <w:spacing w:before="0" w:after="0"/>
              <w:ind w:left="0" w:right="0" w:hanging="0"/>
              <w:jc w:val="both"/>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Outdoor Retail</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Consolidated</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December 31, 2024 (excluding impairment charges)</w:t>
            </w:r>
          </w:p>
        </w:tc>
        <w:tc>
          <w:tcPr>
            <w:tcW w:w="34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72,679</w:t>
            </w:r>
          </w:p>
        </w:tc>
        <w:tc>
          <w:tcPr>
            <w:tcW w:w="34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903,182</w:t>
            </w:r>
          </w:p>
        </w:tc>
        <w:tc>
          <w:tcPr>
            <w:tcW w:w="34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975,861</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Accumulated impairment charges</w:t>
            </w:r>
          </w:p>
        </w:tc>
        <w:tc>
          <w:tcPr>
            <w:tcW w:w="346" w:type="dxa"/>
            <w:tcBorders/>
            <w:vAlign w:val="center"/>
          </w:tcPr>
          <w:p>
            <w:pPr>
              <w:pStyle w:val="TableContents"/>
              <w:bidi w:val="0"/>
              <w:spacing w:before="0" w:after="0"/>
              <w:ind w:left="0" w:right="0" w:hanging="0"/>
              <w:jc w:val="both"/>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(46,884)</w:t>
            </w:r>
          </w:p>
        </w:tc>
        <w:tc>
          <w:tcPr>
            <w:tcW w:w="346" w:type="dxa"/>
            <w:tcBorders/>
            <w:vAlign w:val="center"/>
          </w:tcPr>
          <w:p>
            <w:pPr>
              <w:pStyle w:val="TableContents"/>
              <w:bidi w:val="0"/>
              <w:spacing w:before="0" w:after="0"/>
              <w:ind w:left="0" w:right="0" w:hanging="0"/>
              <w:jc w:val="both"/>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(194,953)</w:t>
            </w:r>
          </w:p>
        </w:tc>
        <w:tc>
          <w:tcPr>
            <w:tcW w:w="346" w:type="dxa"/>
            <w:tcBorders/>
            <w:vAlign w:val="center"/>
          </w:tcPr>
          <w:p>
            <w:pPr>
              <w:pStyle w:val="TableContents"/>
              <w:bidi w:val="0"/>
              <w:spacing w:before="0" w:after="0"/>
              <w:ind w:left="0" w:right="0" w:hanging="0"/>
              <w:jc w:val="both"/>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(241,837)</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December 31, 2024</w:t>
            </w:r>
          </w:p>
        </w:tc>
        <w:tc>
          <w:tcPr>
            <w:tcW w:w="346" w:type="dxa"/>
            <w:tcBorders/>
            <w:shd w:fill="CCEEFF" w:val="clear"/>
            <w:vAlign w:val="center"/>
          </w:tcPr>
          <w:p>
            <w:pPr>
              <w:pStyle w:val="TableContents"/>
              <w:bidi w:val="0"/>
              <w:spacing w:before="0" w:after="0"/>
              <w:ind w:left="0" w:right="0" w:hanging="0"/>
              <w:jc w:val="both"/>
              <w:rPr/>
            </w:pPr>
            <w:r>
              <w:rPr/>
              <w:t>​</w:t>
            </w:r>
          </w:p>
        </w:tc>
        <w:tc>
          <w:tcPr>
            <w:tcW w:w="232" w:type="dxa"/>
            <w:tcBorders/>
            <w:shd w:fill="CCEEFF" w:val="clear"/>
            <w:vAlign w:val="center"/>
          </w:tcPr>
          <w:p>
            <w:pPr>
              <w:pStyle w:val="TableContents"/>
              <w:bidi w:val="0"/>
              <w:spacing w:before="0" w:after="0"/>
              <w:ind w:left="0" w:right="0" w:hanging="0"/>
              <w:jc w:val="both"/>
              <w:rPr/>
            </w:pPr>
            <w:r>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25,795</w:t>
            </w:r>
          </w:p>
        </w:tc>
        <w:tc>
          <w:tcPr>
            <w:tcW w:w="346"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708,229</w:t>
            </w:r>
          </w:p>
        </w:tc>
        <w:tc>
          <w:tcPr>
            <w:tcW w:w="346" w:type="dxa"/>
            <w:tcBorders/>
            <w:shd w:fill="CCEEFF" w:val="clear"/>
            <w:vAlign w:val="center"/>
          </w:tcPr>
          <w:p>
            <w:pPr>
              <w:pStyle w:val="TableContents"/>
              <w:bidi w:val="0"/>
              <w:spacing w:before="0" w:after="0"/>
              <w:ind w:left="0" w:right="0" w:hanging="0"/>
              <w:jc w:val="both"/>
              <w:rPr/>
            </w:pPr>
            <w:r>
              <w:rPr/>
              <w:t>​</w:t>
            </w:r>
          </w:p>
        </w:tc>
        <w:tc>
          <w:tcPr>
            <w:tcW w:w="233" w:type="dxa"/>
            <w:tcBorders/>
            <w:shd w:fill="CCEEFF" w:val="clear"/>
            <w:vAlign w:val="center"/>
          </w:tcPr>
          <w:p>
            <w:pPr>
              <w:pStyle w:val="TableContents"/>
              <w:bidi w:val="0"/>
              <w:spacing w:before="0" w:after="0"/>
              <w:ind w:left="0" w:right="0" w:hanging="0"/>
              <w:jc w:val="both"/>
              <w:rPr/>
            </w:pPr>
            <w:r>
              <w:rPr/>
              <w:t>​</w:t>
            </w:r>
          </w:p>
        </w:tc>
        <w:tc>
          <w:tcPr>
            <w:tcW w:w="9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734,024</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4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17,951</w:t>
            </w:r>
          </w:p>
        </w:tc>
        <w:tc>
          <w:tcPr>
            <w:tcW w:w="346" w:type="dxa"/>
            <w:tcBorders/>
            <w:vAlign w:val="center"/>
          </w:tcPr>
          <w:p>
            <w:pPr>
              <w:pStyle w:val="TableContents"/>
              <w:bidi w:val="0"/>
              <w:spacing w:before="0" w:after="0"/>
              <w:ind w:left="0" w:right="0" w:hanging="0"/>
              <w:jc w:val="both"/>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17,951</w:t>
            </w:r>
          </w:p>
        </w:tc>
      </w:tr>
      <w:tr>
        <w:trPr/>
        <w:tc>
          <w:tcPr>
            <w:tcW w:w="528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8"/>
              </w:rPr>
              <w:t>Divestiture</w:t>
            </w:r>
            <w:r>
              <w:rPr>
                <w:rFonts w:ascii="Arial;Helvetica;sans-serif" w:hAnsi="Arial;Helvetica;sans-serif"/>
                <w:sz w:val="14"/>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(3,414)</w:t>
            </w:r>
          </w:p>
        </w:tc>
        <w:tc>
          <w:tcPr>
            <w:tcW w:w="346" w:type="dxa"/>
            <w:tcBorders/>
            <w:shd w:fill="CCEEFF" w:val="clear"/>
            <w:vAlign w:val="center"/>
          </w:tcPr>
          <w:p>
            <w:pPr>
              <w:pStyle w:val="TableContents"/>
              <w:bidi w:val="0"/>
              <w:spacing w:before="0" w:after="0"/>
              <w:ind w:left="0" w:right="0" w:hanging="0"/>
              <w:jc w:val="both"/>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(3,414)</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June 30, 2025</w:t>
            </w:r>
          </w:p>
        </w:tc>
        <w:tc>
          <w:tcPr>
            <w:tcW w:w="34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25,795</w:t>
            </w:r>
          </w:p>
        </w:tc>
        <w:tc>
          <w:tcPr>
            <w:tcW w:w="34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722,766</w:t>
            </w:r>
          </w:p>
        </w:tc>
        <w:tc>
          <w:tcPr>
            <w:tcW w:w="346" w:type="dxa"/>
            <w:tcBorders/>
            <w:vAlign w:val="center"/>
          </w:tcPr>
          <w:p>
            <w:pPr>
              <w:pStyle w:val="TableContents"/>
              <w:bidi w:val="0"/>
              <w:spacing w:before="0" w:after="0"/>
              <w:ind w:left="0" w:right="0" w:hanging="0"/>
              <w:jc w:val="both"/>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748,561</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46" w:type="dxa"/>
            <w:tcBorders/>
            <w:shd w:fill="CCEEFF" w:val="clear"/>
            <w:vAlign w:val="center"/>
          </w:tcPr>
          <w:p>
            <w:pPr>
              <w:pStyle w:val="TableContents"/>
              <w:bidi w:val="0"/>
              <w:spacing w:before="0" w:after="0"/>
              <w:ind w:left="0" w:right="0" w:hanging="0"/>
              <w:jc w:val="both"/>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w:t>
            </w:r>
          </w:p>
        </w:tc>
        <w:tc>
          <w:tcPr>
            <w:tcW w:w="346" w:type="dxa"/>
            <w:tcBorders/>
            <w:shd w:fill="CCEEFF" w:val="clear"/>
            <w:vAlign w:val="center"/>
          </w:tcPr>
          <w:p>
            <w:pPr>
              <w:pStyle w:val="TableContents"/>
              <w:bidi w:val="0"/>
              <w:spacing w:before="0" w:after="0"/>
              <w:ind w:left="0" w:right="0" w:hanging="0"/>
              <w:jc w:val="both"/>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December 31, 2025</w:t>
            </w:r>
          </w:p>
        </w:tc>
        <w:tc>
          <w:tcPr>
            <w:tcW w:w="34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25,795</w:t>
            </w:r>
          </w:p>
        </w:tc>
        <w:tc>
          <w:tcPr>
            <w:tcW w:w="34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723,526</w:t>
            </w:r>
          </w:p>
        </w:tc>
        <w:tc>
          <w:tcPr>
            <w:tcW w:w="346" w:type="dxa"/>
            <w:tcBorders/>
            <w:vAlign w:val="center"/>
          </w:tcPr>
          <w:p>
            <w:pPr>
              <w:pStyle w:val="TableContents"/>
              <w:bidi w:val="0"/>
              <w:spacing w:before="0" w:after="0"/>
              <w:ind w:left="0" w:right="0" w:hanging="0"/>
              <w:jc w:val="both"/>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749,321</w:t>
            </w:r>
          </w:p>
        </w:tc>
      </w:tr>
      <w:tr>
        <w:trPr/>
        <w:tc>
          <w:tcPr>
            <w:tcW w:w="528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Acquisitions</w:t>
            </w:r>
          </w:p>
        </w:tc>
        <w:tc>
          <w:tcPr>
            <w:tcW w:w="346" w:type="dxa"/>
            <w:tcBorders/>
            <w:shd w:fill="CCEEFF" w:val="clear"/>
            <w:vAlign w:val="center"/>
          </w:tcPr>
          <w:p>
            <w:pPr>
              <w:pStyle w:val="TableContents"/>
              <w:bidi w:val="0"/>
              <w:spacing w:before="0" w:after="0"/>
              <w:ind w:left="0" w:right="0" w:hanging="0"/>
              <w:jc w:val="both"/>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2,340</w:t>
            </w:r>
          </w:p>
        </w:tc>
        <w:tc>
          <w:tcPr>
            <w:tcW w:w="346" w:type="dxa"/>
            <w:tcBorders/>
            <w:shd w:fill="CCEEFF" w:val="clear"/>
            <w:vAlign w:val="center"/>
          </w:tcPr>
          <w:p>
            <w:pPr>
              <w:pStyle w:val="TableContents"/>
              <w:bidi w:val="0"/>
              <w:spacing w:before="0" w:after="0"/>
              <w:ind w:left="0" w:right="0" w:hanging="0"/>
              <w:jc w:val="both"/>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2,340</w:t>
            </w:r>
          </w:p>
        </w:tc>
      </w:tr>
      <w:tr>
        <w:trPr/>
        <w:tc>
          <w:tcPr>
            <w:tcW w:w="528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Balance at June 30, 2026</w:t>
            </w:r>
          </w:p>
        </w:tc>
        <w:tc>
          <w:tcPr>
            <w:tcW w:w="346" w:type="dxa"/>
            <w:tcBorders/>
            <w:vAlign w:val="center"/>
          </w:tcPr>
          <w:p>
            <w:pPr>
              <w:pStyle w:val="TableContents"/>
              <w:bidi w:val="0"/>
              <w:spacing w:before="0" w:after="0"/>
              <w:ind w:left="0" w:right="0" w:hanging="0"/>
              <w:jc w:val="both"/>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25,795</w:t>
            </w:r>
          </w:p>
        </w:tc>
        <w:tc>
          <w:tcPr>
            <w:tcW w:w="346" w:type="dxa"/>
            <w:tcBorders/>
            <w:vAlign w:val="center"/>
          </w:tcPr>
          <w:p>
            <w:pPr>
              <w:pStyle w:val="TableContents"/>
              <w:bidi w:val="0"/>
              <w:spacing w:before="0" w:after="0"/>
              <w:ind w:left="0" w:right="0" w:hanging="0"/>
              <w:jc w:val="both"/>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725,866</w:t>
            </w:r>
          </w:p>
        </w:tc>
        <w:tc>
          <w:tcPr>
            <w:tcW w:w="346" w:type="dxa"/>
            <w:tcBorders/>
            <w:vAlign w:val="center"/>
          </w:tcPr>
          <w:p>
            <w:pPr>
              <w:pStyle w:val="TableContents"/>
              <w:bidi w:val="0"/>
              <w:spacing w:before="0" w:after="0"/>
              <w:ind w:left="0" w:right="0" w:hanging="0"/>
              <w:jc w:val="both"/>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751,661</w:t>
            </w:r>
          </w:p>
        </w:tc>
      </w:tr>
      <w:tr>
        <w:trPr/>
        <w:tc>
          <w:tcPr>
            <w:tcW w:w="528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2" w:type="dxa"/>
            <w:tcBorders/>
            <w:vAlign w:val="center"/>
          </w:tcPr>
          <w:p>
            <w:pPr>
              <w:pStyle w:val="TableContents"/>
              <w:bidi w:val="0"/>
              <w:spacing w:before="0" w:after="0"/>
              <w:ind w:left="0" w:right="0" w:hanging="0"/>
              <w:jc w:val="both"/>
              <w:rPr/>
            </w:pPr>
            <w:r>
              <w:rPr/>
              <w:t>​</w:t>
            </w:r>
          </w:p>
        </w:tc>
        <w:tc>
          <w:tcPr>
            <w:tcW w:w="87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both"/>
              <w:rPr/>
            </w:pPr>
            <w:r>
              <w:rPr/>
              <w:t>​</w:t>
            </w:r>
          </w:p>
        </w:tc>
        <w:tc>
          <w:tcPr>
            <w:tcW w:w="103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both"/>
              <w:rPr/>
            </w:pPr>
            <w:r>
              <w:rPr/>
              <w:t>​</w:t>
            </w:r>
          </w:p>
        </w:tc>
        <w:tc>
          <w:tcPr>
            <w:tcW w:w="983" w:type="dxa"/>
            <w:tcBorders/>
            <w:vAlign w:val="center"/>
          </w:tcPr>
          <w:p>
            <w:pPr>
              <w:pStyle w:val="TableContents"/>
              <w:bidi w:val="0"/>
              <w:spacing w:before="0" w:after="0"/>
              <w:ind w:left="0" w:right="0" w:hanging="0"/>
              <w:jc w:val="both"/>
              <w:rPr/>
            </w:pPr>
            <w:r>
              <w:rPr/>
              <w:t>​</w:t>
            </w:r>
          </w:p>
        </w:tc>
      </w:tr>
    </w:tbl>
    <w:tbl>
      <w:tblPr>
        <w:tblW w:w="9632" w:type="dxa"/>
        <w:jc w:val="left"/>
        <w:tblInd w:w="0" w:type="dxa"/>
        <w:tblLayout w:type="fixed"/>
        <w:tblCellMar>
          <w:top w:w="0" w:type="dxa"/>
          <w:left w:w="0" w:type="dxa"/>
          <w:bottom w:w="0" w:type="dxa"/>
          <w:right w:w="0" w:type="dxa"/>
        </w:tblCellMar>
      </w:tblPr>
      <w:tblGrid>
        <w:gridCol w:w="301"/>
        <w:gridCol w:w="9331"/>
      </w:tblGrid>
      <w:tr>
        <w:trPr/>
        <w:tc>
          <w:tcPr>
            <w:tcW w:w="301"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3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 June 2025, the Company closed on the sale of a dealership (see Note 6 — Assets Held for Sale and Business Divestitures).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pPr>
      <w:bookmarkStart w:id="1277" w:name="Tc_RaM0SdHjDUSXNC9i_za4Vw_27_8"/>
      <w:bookmarkStart w:id="1278" w:name="Tc_Jrb21copM0emx0_6t06g8w_27_5"/>
      <w:bookmarkStart w:id="1279" w:name="Tc_p01slxFRhki-xk06i3Pw4w_27_2"/>
      <w:bookmarkStart w:id="1280" w:name="Tc_4Kv4K9c4oU-Xr_ksDWQuOw_26_0"/>
      <w:bookmarkStart w:id="1281" w:name="Tc_-w2Vbm0mi0iXK-DkpCdBcQ_25_0"/>
      <w:bookmarkStart w:id="1282" w:name="Tc_OYsTFP_FKUui3s3FGPCS0A_24_0"/>
      <w:bookmarkStart w:id="1283" w:name="Tc_9FohRLEp9k2j7AkS2wvP5g_23_0"/>
      <w:bookmarkStart w:id="1284" w:name="Tc_R5K_kyBDXkKro-7OpO6odA_22_0"/>
      <w:bookmarkStart w:id="1285" w:name="Tc_MVXe6_7doEim7zgXSiGVmA_21_0"/>
      <w:bookmarkStart w:id="1286" w:name="Tc_YNyZtL-JOkuDzaRDr2D-DQ_20_0"/>
      <w:bookmarkStart w:id="1287" w:name="Tc_WXdk94FbXEC40Cxr9mcKPw_19_8"/>
      <w:bookmarkStart w:id="1288" w:name="Tc_K6I89Otdj0mHSVTUvoQm4Q_19_5"/>
      <w:bookmarkStart w:id="1289" w:name="Tc_DPZyQJ2gqU-QorK89qSNHw_19_2"/>
      <w:bookmarkStart w:id="1290" w:name="Tc_048sW1-oMkqCE90jIgUSNw_19_0"/>
      <w:bookmarkStart w:id="1291" w:name="Tc_KxUn6KD9hEefCX2OckZ_RA_18_0"/>
      <w:bookmarkStart w:id="1292" w:name="Tc_qf0AUjNTWUiozDLzdq84_Q_17_8"/>
      <w:bookmarkStart w:id="1293" w:name="Tc_akRSHUasf0GGXSl2D5X-kQ_17_5"/>
      <w:bookmarkStart w:id="1294" w:name="Tc_S-RlNwD_jEictFfaTUI0eQ_17_2"/>
      <w:bookmarkStart w:id="1295" w:name="Tc_NlzSG-z92kyMdSwLBt8qzg_17_0"/>
      <w:bookmarkStart w:id="1296" w:name="Tc_9UrG-GLb4EeEeEOg21fPsQ_16_5"/>
      <w:bookmarkStart w:id="1297" w:name="Tc_oqY0nlfuH0OLYfd28D_OzQ_16_2"/>
      <w:bookmarkStart w:id="1298" w:name="Tc_r4TzWhGVNEWfbfK6vf4_tg_15_2"/>
      <w:bookmarkStart w:id="1299" w:name="Tc_XtEqGX2foUaLU58SUQdPnQ_13_8"/>
      <w:bookmarkStart w:id="1300" w:name="Tc_5xSZkrSplESqiE9kKcDKdw_13_5"/>
      <w:bookmarkStart w:id="1301" w:name="Tc_H4AfbrIIJkiNe7xdqjxDqA_13_2"/>
      <w:bookmarkStart w:id="1302" w:name="Tc_92EOJLxMOkO8kCdFJXQjnA_12_0"/>
      <w:bookmarkStart w:id="1303" w:name="Tc_4q2Hu9AWDECkW8Hehg87wQ_11_0"/>
      <w:bookmarkStart w:id="1304" w:name="Tc_b7UR0CchQ0yfo-D7V6I_dg_10_0"/>
      <w:bookmarkStart w:id="1305" w:name="Tc_dCMGfYDCNEapZXgNxHavlg_9_0"/>
      <w:bookmarkStart w:id="1306" w:name="Tc_UH0dGyFCYEyA2vkh7Z9O2g_8_0"/>
      <w:bookmarkStart w:id="1307" w:name="Tc_wiAWGWSKJ0yKXYeifaoZ0Q_7_0"/>
      <w:bookmarkStart w:id="1308" w:name="Tc_eotJvTWTlkGO_xrr2RMN0A_6_0"/>
      <w:bookmarkStart w:id="1309" w:name="Tc_gmf-2zOFzUS3AbeY9gTprw_5_8"/>
      <w:bookmarkStart w:id="1310" w:name="Tc_clSqW6nlv0qqSUaEwDbHUA_5_5"/>
      <w:bookmarkStart w:id="1311" w:name="Tc_Sl_adc1ZIU28xRg7o7xv0Q_5_2"/>
      <w:bookmarkStart w:id="1312" w:name="Tc_oi5uCVtnzUGAgAzPJAzKXg_5_0"/>
      <w:bookmarkStart w:id="1313" w:name="Tc_8Pi1L8eklUCITJ4RyPQJqw_4_0"/>
      <w:bookmarkStart w:id="1314" w:name="Tc_xq25LHAvakyGr5YIVY480A_3_8"/>
      <w:bookmarkStart w:id="1315" w:name="Tc_Tl632O7o3E-0i5V_npXtFQ_3_5"/>
      <w:bookmarkStart w:id="1316" w:name="Tc_Wbl98j2QGEmjMihRKIgHmg_3_2"/>
      <w:bookmarkStart w:id="1317" w:name="Tc_ho3Qt1i84USYCzx_n8SMUw_3_0"/>
      <w:bookmarkStart w:id="1318" w:name="Tc_W8HYvnPFI0KMNSRakVZy2g_2_5"/>
      <w:bookmarkStart w:id="1319" w:name="Tc_hXUJquyGmUawGmQNyFrN7A_2_2"/>
      <w:bookmarkStart w:id="1320" w:name="Tc_3Xs1YHT5mEetQyXOv_lK_w_1_2"/>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At June 30, 2026, the Company performed a qualitative impairment assessment to determine if it was more likely than not that the fair value of the RV and Outdoor Retail reporting unit was less than its carrying value by evaluating relevant events and circumstances. After considering recent performance comparable to forecasts utilized in the most recent interim goodwill impairment test as of March 31, 2026 (“Q1 26 Interim Goodwill Test”), among other factors, the Company concluded that it was more likely than not that the fair value of the RV and Outdoor Retail reporting unit was less than its carrying value as of June 30, 2026. As a result, the Company performed a quantitative goodwill impairment test as of June 30, 2026 (“Q2 26 Interim Goodwill Test”).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Q1 26 Interim Goodwill Test and Q2 26 Interim Goodwill Test concluded that the RV and Outdoor Retail reporting unit’s fair value exceeded its carrying value by 10% and 7%, respectively; therefore, no impairment of goodwill was recorded during the three months and six months ended June 30, 2026. The Company estimated the fair value of this reporting unit using a combination of the guideline public company method under the market approach and the discounted cash flow analysis method under the income approach. Of the key assumptions to the determination of fair value for the RV and Outdoor Retail reporting unit, (i) revenue and EBITDA projections, (ii) discount rate, and (iii) market multiples of comparable public companies are subject to the most uncertainty and it is reasonably possible that changes in the estimates underlying those, or other, assumptions could negatively impact the fair value of the RV and Outdoor Retail reporting unit and result in an impairment of goodwill in the near term.</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Intangible Assets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Finite-lived intangible assets and related accumulated amortization consisted of the following: </w:t>
      </w:r>
    </w:p>
    <w:p>
      <w:pPr>
        <w:pStyle w:val="TextBody"/>
        <w:bidi w:val="0"/>
        <w:spacing w:before="0" w:after="0"/>
        <w:ind w:left="0" w:right="0" w:hanging="0"/>
        <w:jc w:val="both"/>
        <w:rPr/>
      </w:pPr>
      <w:r>
        <w:rPr/>
        <w:t>​</w:t>
      </w:r>
    </w:p>
    <w:tbl>
      <w:tblPr>
        <w:tblW w:w="7689" w:type="dxa"/>
        <w:jc w:val="left"/>
        <w:tblInd w:w="0" w:type="dxa"/>
        <w:tblLayout w:type="fixed"/>
        <w:tblCellMar>
          <w:top w:w="0" w:type="dxa"/>
          <w:left w:w="0" w:type="dxa"/>
          <w:bottom w:w="0" w:type="dxa"/>
          <w:right w:w="0" w:type="dxa"/>
        </w:tblCellMar>
      </w:tblPr>
      <w:tblGrid>
        <w:gridCol w:w="3646"/>
        <w:gridCol w:w="346"/>
        <w:gridCol w:w="211"/>
        <w:gridCol w:w="691"/>
        <w:gridCol w:w="346"/>
        <w:gridCol w:w="253"/>
        <w:gridCol w:w="903"/>
        <w:gridCol w:w="346"/>
        <w:gridCol w:w="211"/>
        <w:gridCol w:w="73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315210" cy="175260"/>
                      <wp:effectExtent l="0" t="0" r="0" b="0"/>
                      <wp:wrapNone/>
                      <wp:docPr id="113" name="Frame11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6"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0655" cy="175260"/>
                      <wp:effectExtent l="0" t="0" r="0" b="0"/>
                      <wp:wrapNone/>
                      <wp:docPr id="118" name="Frame11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3405" cy="175260"/>
                      <wp:effectExtent l="0" t="0" r="0" b="0"/>
                      <wp:wrapNone/>
                      <wp:docPr id="119" name="Frame11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67360" cy="175260"/>
                      <wp:effectExtent l="0" t="0" r="0" b="0"/>
                      <wp:wrapNone/>
                      <wp:docPr id="122" name="Frame12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2026</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9,194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1,540</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1,203</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domain names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801</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7,570</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(24,015)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2,511</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6,151</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61,307</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(47,242)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14,065</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9,194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(9,140)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1,611</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1,481</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and domain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8,016</w:t>
            </w:r>
          </w:p>
        </w:tc>
      </w:tr>
      <w:tr>
        <w:trPr/>
        <w:tc>
          <w:tcPr>
            <w:tcW w:w="36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3,181</w:t>
            </w:r>
          </w:p>
        </w:tc>
      </w:tr>
      <w:tr>
        <w:trPr/>
        <w:tc>
          <w:tcPr>
            <w:tcW w:w="36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6,151</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(5,672)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479</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61,307</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(45,483)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15,824</w:t>
            </w:r>
          </w:p>
        </w:tc>
      </w:tr>
      <w:tr>
        <w:trPr/>
        <w:tc>
          <w:tcPr>
            <w:tcW w:w="36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21" w:name="Tc_YkJLJUs9v0ekj_ft90-zvw_41_8"/>
      <w:bookmarkStart w:id="1322" w:name="Tc_-btrz7JZ_UCeQteEvroxHA_41_5"/>
      <w:bookmarkStart w:id="1323" w:name="Tc_RJdaOwm7QkWasaGQyOk1og_41_2"/>
      <w:bookmarkStart w:id="1324" w:name="Tc_Ui9LSXIoXUmFz7b9G6HqGw_40_0"/>
      <w:bookmarkStart w:id="1325" w:name="Tc_nqnaSKRivkSShSr0QXc7Uw_39_0"/>
      <w:bookmarkStart w:id="1326" w:name="Tc_7a9xS3vbW0awlzwwQDNQIg_38_0"/>
      <w:bookmarkStart w:id="1327" w:name="Tc_jyi248i7ZUOareXV1Pz8Xg_37_0"/>
      <w:bookmarkStart w:id="1328" w:name="Tc_L8u1dmEOYkOo74YUFEucHA_36_0"/>
      <w:bookmarkStart w:id="1329" w:name="Tc_DKjjyOEtfUKVeM19hl8Z5g_35_0"/>
      <w:bookmarkStart w:id="1330" w:name="Tc_Vm-vcLDwzEmMIALSpUulmA_34_0"/>
      <w:bookmarkStart w:id="1331" w:name="Tc_UNA5CI5D9ku-sApEGd5WlA_33_8"/>
      <w:bookmarkStart w:id="1332" w:name="Tc_wEJA0jMjVkCIQU5IOdPkuw_33_5"/>
      <w:bookmarkStart w:id="1333" w:name="Tc_SRjuZgXWqkWd0ziGm4FS3A_33_2"/>
      <w:bookmarkStart w:id="1334" w:name="Tc_LchM5YTls0CmQwhUAeoBOw_33_0"/>
      <w:bookmarkStart w:id="1335" w:name="Tc_DhHkplv_sE227GdX5U_A8A_32_0"/>
      <w:bookmarkStart w:id="1336" w:name="Tc_dG9K1HLajU-ypeJFMu25Fw_31_8"/>
      <w:bookmarkStart w:id="1337" w:name="Tc_z50ta2Xoy0iPc5ijx6F6Mg_31_5"/>
      <w:bookmarkStart w:id="1338" w:name="Tc_7cSE4em-s0qmG-4qTxGfcw_31_2"/>
      <w:bookmarkStart w:id="1339" w:name="Tc_8Ol8X6F2vkaj4LqHSHx-7g_31_0"/>
      <w:bookmarkStart w:id="1340" w:name="Tc_1bbty1hLCUGXvY5HnmB5KA_30_5"/>
      <w:bookmarkStart w:id="1341" w:name="Tc_zv5-w_2Eb0Sw_UbfnUSY_Q_30_2"/>
      <w:bookmarkStart w:id="1342" w:name="Tc_xCJa9xQi2UuuC8Cj5js-GQ_29_2"/>
      <w:bookmarkStart w:id="1343" w:name="Tc_YkJLJUs9v0ekj_ft90-zvw_41_8"/>
      <w:bookmarkStart w:id="1344" w:name="Tc_-btrz7JZ_UCeQteEvroxHA_41_5"/>
      <w:bookmarkStart w:id="1345" w:name="Tc_RJdaOwm7QkWasaGQyOk1og_41_2"/>
      <w:bookmarkStart w:id="1346" w:name="Tc_Ui9LSXIoXUmFz7b9G6HqGw_40_0"/>
      <w:bookmarkStart w:id="1347" w:name="Tc_nqnaSKRivkSShSr0QXc7Uw_39_0"/>
      <w:bookmarkStart w:id="1348" w:name="Tc_7a9xS3vbW0awlzwwQDNQIg_38_0"/>
      <w:bookmarkStart w:id="1349" w:name="Tc_jyi248i7ZUOareXV1Pz8Xg_37_0"/>
      <w:bookmarkStart w:id="1350" w:name="Tc_L8u1dmEOYkOo74YUFEucHA_36_0"/>
      <w:bookmarkStart w:id="1351" w:name="Tc_DKjjyOEtfUKVeM19hl8Z5g_35_0"/>
      <w:bookmarkStart w:id="1352" w:name="Tc_Vm-vcLDwzEmMIALSpUulmA_34_0"/>
      <w:bookmarkStart w:id="1353" w:name="Tc_UNA5CI5D9ku-sApEGd5WlA_33_8"/>
      <w:bookmarkStart w:id="1354" w:name="Tc_wEJA0jMjVkCIQU5IOdPkuw_33_5"/>
      <w:bookmarkStart w:id="1355" w:name="Tc_SRjuZgXWqkWd0ziGm4FS3A_33_2"/>
      <w:bookmarkStart w:id="1356" w:name="Tc_LchM5YTls0CmQwhUAeoBOw_33_0"/>
      <w:bookmarkStart w:id="1357" w:name="Tc_DhHkplv_sE227GdX5U_A8A_32_0"/>
      <w:bookmarkStart w:id="1358" w:name="Tc_dG9K1HLajU-ypeJFMu25Fw_31_8"/>
      <w:bookmarkStart w:id="1359" w:name="Tc_z50ta2Xoy0iPc5ijx6F6Mg_31_5"/>
      <w:bookmarkStart w:id="1360" w:name="Tc_7cSE4em-s0qmG-4qTxGfcw_31_2"/>
      <w:bookmarkStart w:id="1361" w:name="Tc_8Ol8X6F2vkaj4LqHSHx-7g_31_0"/>
      <w:bookmarkStart w:id="1362" w:name="Tc_1bbty1hLCUGXvY5HnmB5KA_30_5"/>
      <w:bookmarkStart w:id="1363" w:name="Tc_zv5-w_2Eb0Sw_UbfnUSY_Q_30_2"/>
      <w:bookmarkStart w:id="1364" w:name="Tc_xCJa9xQi2UuuC8Cj5js-GQ_29_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tbl>
      <w:tblPr>
        <w:tblW w:w="8004" w:type="dxa"/>
        <w:jc w:val="left"/>
        <w:tblInd w:w="0" w:type="dxa"/>
        <w:tblLayout w:type="fixed"/>
        <w:tblCellMar>
          <w:top w:w="0" w:type="dxa"/>
          <w:left w:w="0" w:type="dxa"/>
          <w:bottom w:w="0" w:type="dxa"/>
          <w:right w:w="0" w:type="dxa"/>
        </w:tblCellMar>
      </w:tblPr>
      <w:tblGrid>
        <w:gridCol w:w="3961"/>
        <w:gridCol w:w="346"/>
        <w:gridCol w:w="211"/>
        <w:gridCol w:w="691"/>
        <w:gridCol w:w="346"/>
        <w:gridCol w:w="253"/>
        <w:gridCol w:w="903"/>
        <w:gridCol w:w="346"/>
        <w:gridCol w:w="211"/>
        <w:gridCol w:w="736"/>
      </w:tblGrid>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2025</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 or</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9,740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1,682</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1,759</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Customer lists and domain names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8,461</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(22,675)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6,151</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(5,588)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61,853</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(44,251)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17,602</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p>
      <w:pPr>
        <w:pStyle w:val="TextBody"/>
        <w:bidi w:val="0"/>
        <w:spacing w:before="0" w:after="280"/>
        <w:ind w:left="0" w:right="0" w:firstLine="475"/>
        <w:jc w:val="both"/>
        <w:rPr/>
      </w:pPr>
      <w:r>
        <w:rPr/>
        <w:t>​</w:t>
      </w:r>
    </w:p>
    <w:p>
      <w:pPr>
        <w:pStyle w:val="TextBody"/>
        <w:bidi w:val="0"/>
        <w:spacing w:before="0" w:after="240"/>
        <w:ind w:left="0" w:right="0" w:hanging="0"/>
        <w:jc w:val="left"/>
        <w:rPr>
          <w:rFonts w:ascii="Arial;Helvetica;sans-serif" w:hAnsi="Arial;Helvetica;sans-serif"/>
          <w:b/>
          <w:sz w:val="20"/>
        </w:rPr>
      </w:pPr>
      <w:bookmarkStart w:id="1365" w:name="Tc__DwaIAIyAkuEHUcfbSoj3g_8_8"/>
      <w:bookmarkStart w:id="1366" w:name="Tc_HZEW-MGlvEm2lre0JKCUkg_8_5"/>
      <w:bookmarkStart w:id="1367" w:name="Tc_Xytf_Dw0wEqmVtMfLNnxLA_8_2"/>
      <w:bookmarkStart w:id="1368" w:name="Tc_vxSboEENA0WE9yEKkA-HXA_8_0"/>
      <w:bookmarkStart w:id="1369" w:name="Tc_lB2DQ6VOzU-FSGwTL5Ay9w_7_0"/>
      <w:bookmarkStart w:id="1370" w:name="Tc_VQfBdVGdZ0KYe5VEuW-l0w_6_0"/>
      <w:bookmarkStart w:id="1371" w:name="Tc_LlX7aGFjJ02MuZSAhwiypQ_5_0"/>
      <w:bookmarkStart w:id="1372" w:name="Tc_W_asyLDVX0mrIcyc3zCL6w_4_0"/>
      <w:bookmarkStart w:id="1373" w:name="Tc_iJBq3Dy1LEm4w4dDZdlRnQ_3_8"/>
      <w:bookmarkStart w:id="1374" w:name="Tc_EMQzpGxmh06qfWdvDso65g_3_5"/>
      <w:bookmarkStart w:id="1375" w:name="Tc_PFIq-6Jc702spUFgZghdGw_3_2"/>
      <w:bookmarkStart w:id="1376" w:name="Tc_5SdvoCErCkqanKMQ3_HPcQ_3_0"/>
      <w:bookmarkStart w:id="1377" w:name="Tc_aPoY2aFP_EmId72KQAmNpQ_2_8"/>
      <w:bookmarkStart w:id="1378" w:name="Tc_uSv24j3m90eVB05tgj_jrA_2_5"/>
      <w:bookmarkStart w:id="1379" w:name="Tc_GVKn1ls6HkaD9OZdyWD2xA_2_2"/>
      <w:bookmarkStart w:id="1380" w:name="Tc_3v_QiVj3XUWZEMuTh7LrBg_2_0"/>
      <w:bookmarkStart w:id="1381" w:name="Tc_G80rKG7tVUeMkgNsnQrJGg_1_8"/>
      <w:bookmarkStart w:id="1382" w:name="Tc_BAlDgSNIEkqV9EU1VPVfGw_1_5"/>
      <w:bookmarkStart w:id="1383" w:name="Tc_qaSt7FAD10iIMUaXxcyETw_1_2"/>
      <w:bookmarkStart w:id="1384" w:name="_30e24ed5_2555_410c_b27d_c6ae5da16ded"/>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Arial;Helvetica;sans-serif" w:hAnsi="Arial;Helvetica;sans-serif"/>
          <w:b/>
          <w:sz w:val="20"/>
        </w:rPr>
        <w:t>8.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Outstanding long-term debt consisted of the following:</w:t>
      </w:r>
    </w:p>
    <w:p>
      <w:pPr>
        <w:pStyle w:val="TextBody"/>
        <w:bidi w:val="0"/>
        <w:spacing w:before="0" w:after="0"/>
        <w:ind w:left="0" w:right="0" w:hanging="0"/>
        <w:jc w:val="both"/>
        <w:rPr/>
      </w:pPr>
      <w:r>
        <w:rPr/>
        <w:t>​</w:t>
      </w:r>
    </w:p>
    <w:tbl>
      <w:tblPr>
        <w:tblW w:w="6863" w:type="dxa"/>
        <w:jc w:val="left"/>
        <w:tblInd w:w="0" w:type="dxa"/>
        <w:tblLayout w:type="fixed"/>
        <w:tblCellMar>
          <w:top w:w="0" w:type="dxa"/>
          <w:left w:w="0" w:type="dxa"/>
          <w:bottom w:w="0" w:type="dxa"/>
          <w:right w:w="0" w:type="dxa"/>
        </w:tblCellMar>
      </w:tblPr>
      <w:tblGrid>
        <w:gridCol w:w="2221"/>
        <w:gridCol w:w="346"/>
        <w:gridCol w:w="211"/>
        <w:gridCol w:w="961"/>
        <w:gridCol w:w="346"/>
        <w:gridCol w:w="218"/>
        <w:gridCol w:w="997"/>
        <w:gridCol w:w="346"/>
        <w:gridCol w:w="211"/>
        <w:gridCol w:w="1006"/>
      </w:tblGrid>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0235" cy="175260"/>
                      <wp:effectExtent l="0" t="0" r="0" b="0"/>
                      <wp:wrapNone/>
                      <wp:docPr id="125" name="Frame12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8430" cy="175260"/>
                      <wp:effectExtent l="0" t="0" r="0" b="0"/>
                      <wp:wrapNone/>
                      <wp:docPr id="127" name="Frame12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3095" cy="175260"/>
                      <wp:effectExtent l="0" t="0" r="0" b="0"/>
                      <wp:wrapNone/>
                      <wp:docPr id="128" name="Frame128"/>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38810" cy="175260"/>
                      <wp:effectExtent l="0" t="0" r="0" b="0"/>
                      <wp:wrapNone/>
                      <wp:docPr id="131" name="Frame13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22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Term Loan Facility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1,286,597</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1,330,401</w:t>
            </w:r>
          </w:p>
        </w:tc>
      </w:tr>
      <w:tr>
        <w:trPr/>
        <w:tc>
          <w:tcPr>
            <w:tcW w:w="222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Real Estate Facilities </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111,281</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155,137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168,332</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Long-Term Debt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7,417</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7,760</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1,405,295</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1,471,557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1,506,493</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(27,792)</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(57,939)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(23,023)</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1,377,503</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1,413,618</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1,483,470</w:t>
            </w:r>
          </w:p>
        </w:tc>
      </w:tr>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$5.6</w:t>
            </w:r>
            <w:r>
              <w:rPr>
                <w:caps w:val="false"/>
                <w:smallCaps w:val="false"/>
              </w:rPr>
              <w:t xml:space="preserve"> </w:t>
            </w:r>
            <w:r>
              <w:rPr>
                <w:rFonts w:ascii="Arial;Helvetica;sans-serif" w:hAnsi="Arial;Helvetica;sans-serif"/>
                <w:b w:val="false"/>
                <w:i w:val="false"/>
                <w:caps w:val="false"/>
                <w:smallCaps w:val="false"/>
                <w:sz w:val="16"/>
              </w:rPr>
              <w:t>million, $7.0</w:t>
            </w:r>
            <w:r>
              <w:rPr>
                <w:caps w:val="false"/>
                <w:smallCaps w:val="false"/>
              </w:rPr>
              <w:t xml:space="preserve"> </w:t>
            </w:r>
            <w:r>
              <w:rPr>
                <w:rFonts w:ascii="Arial;Helvetica;sans-serif" w:hAnsi="Arial;Helvetica;sans-serif"/>
                <w:b w:val="false"/>
                <w:i w:val="false"/>
                <w:caps w:val="false"/>
                <w:smallCaps w:val="false"/>
                <w:sz w:val="16"/>
              </w:rPr>
              <w:t>million, and $8.3</w:t>
            </w:r>
            <w:r>
              <w:rPr>
                <w:caps w:val="false"/>
                <w:smallCaps w:val="false"/>
              </w:rPr>
              <w:t xml:space="preserve"> </w:t>
            </w:r>
            <w:r>
              <w:rPr>
                <w:rFonts w:ascii="Arial;Helvetica;sans-serif" w:hAnsi="Arial;Helvetica;sans-serif"/>
                <w:b w:val="false"/>
                <w:i w:val="false"/>
                <w:caps w:val="false"/>
                <w:smallCaps w:val="false"/>
                <w:sz w:val="16"/>
              </w:rPr>
              <w:t>million of original issue discount as of June 30, 2026, December 31, 2025, and June 30, 2025, respectively, and $2.0</w:t>
            </w:r>
            <w:r>
              <w:rPr>
                <w:caps w:val="false"/>
                <w:smallCaps w:val="false"/>
              </w:rPr>
              <w:t xml:space="preserve"> </w:t>
            </w:r>
            <w:r>
              <w:rPr>
                <w:rFonts w:ascii="Arial;Helvetica;sans-serif" w:hAnsi="Arial;Helvetica;sans-serif"/>
                <w:b w:val="false"/>
                <w:i w:val="false"/>
                <w:caps w:val="false"/>
                <w:smallCaps w:val="false"/>
                <w:sz w:val="16"/>
              </w:rPr>
              <w:t>million, $2.6</w:t>
            </w:r>
            <w:r>
              <w:rPr>
                <w:caps w:val="false"/>
                <w:smallCaps w:val="false"/>
              </w:rPr>
              <w:t xml:space="preserve"> </w:t>
            </w:r>
            <w:r>
              <w:rPr>
                <w:rFonts w:ascii="Arial;Helvetica;sans-serif" w:hAnsi="Arial;Helvetica;sans-serif"/>
                <w:b w:val="false"/>
                <w:i w:val="false"/>
                <w:caps w:val="false"/>
                <w:smallCaps w:val="false"/>
                <w:sz w:val="16"/>
              </w:rPr>
              <w:t>million, and $3.2</w:t>
            </w:r>
            <w:r>
              <w:rPr>
                <w:caps w:val="false"/>
                <w:smallCaps w:val="false"/>
              </w:rPr>
              <w:t xml:space="preserve"> </w:t>
            </w:r>
            <w:r>
              <w:rPr>
                <w:rFonts w:ascii="Arial;Helvetica;sans-serif" w:hAnsi="Arial;Helvetica;sans-serif"/>
                <w:b w:val="false"/>
                <w:i w:val="false"/>
                <w:caps w:val="false"/>
                <w:smallCaps w:val="false"/>
                <w:sz w:val="16"/>
              </w:rPr>
              <w:t>million of finance costs as of June 30, 2026, December 31, 2025, and June 30, 2025, respectively.</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3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$1.5</w:t>
            </w:r>
            <w:r>
              <w:rPr>
                <w:caps w:val="false"/>
                <w:smallCaps w:val="false"/>
              </w:rPr>
              <w:t xml:space="preserve"> </w:t>
            </w:r>
            <w:r>
              <w:rPr>
                <w:rFonts w:ascii="Arial;Helvetica;sans-serif" w:hAnsi="Arial;Helvetica;sans-serif"/>
                <w:b w:val="false"/>
                <w:i w:val="false"/>
                <w:caps w:val="false"/>
                <w:smallCaps w:val="false"/>
                <w:sz w:val="16"/>
              </w:rPr>
              <w:t>million, $2.0</w:t>
            </w:r>
            <w:r>
              <w:rPr>
                <w:caps w:val="false"/>
                <w:smallCaps w:val="false"/>
              </w:rPr>
              <w:t xml:space="preserve"> </w:t>
            </w:r>
            <w:r>
              <w:rPr>
                <w:rFonts w:ascii="Arial;Helvetica;sans-serif" w:hAnsi="Arial;Helvetica;sans-serif"/>
                <w:b w:val="false"/>
                <w:i w:val="false"/>
                <w:caps w:val="false"/>
                <w:smallCaps w:val="false"/>
                <w:sz w:val="16"/>
              </w:rPr>
              <w:t>million, and $2.5</w:t>
            </w:r>
            <w:r>
              <w:rPr>
                <w:caps w:val="false"/>
                <w:smallCaps w:val="false"/>
              </w:rPr>
              <w:t xml:space="preserve"> </w:t>
            </w:r>
            <w:r>
              <w:rPr>
                <w:rFonts w:ascii="Arial;Helvetica;sans-serif" w:hAnsi="Arial;Helvetica;sans-serif"/>
                <w:b w:val="false"/>
                <w:i w:val="false"/>
                <w:caps w:val="false"/>
                <w:smallCaps w:val="false"/>
                <w:sz w:val="16"/>
              </w:rPr>
              <w:t>million of finance costs as of June 30, 2026, December 31, 2025, and June 30, 2025, respectively.</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Senior Secured Credit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2026, December 31, 2025, and June 30, 2025,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bookmarkStart w:id="1385" w:name="Tc_6mXXWY2p80Sibw63bLpZjA_16_8"/>
      <w:bookmarkStart w:id="1386" w:name="Tc_PPYn7sJH702uByyP1bB01A_16_5"/>
      <w:bookmarkStart w:id="1387" w:name="Tc_LUXtyTziy0yd1-6caGn8cw_16_2"/>
      <w:bookmarkStart w:id="1388" w:name="Tc_qc9ox_wESUGNrk6N2gWT2w_16_0"/>
      <w:bookmarkStart w:id="1389" w:name="Tc_wWmD8QIQN0CdY2hRmqZ3wg_15_0"/>
      <w:bookmarkStart w:id="1390" w:name="Tc_9tFW9APM70K_VZmEQ8HnVw_14_0"/>
      <w:bookmarkStart w:id="1391" w:name="Tc_KNeDojyps0WtPkZda9pL7g_13_8"/>
      <w:bookmarkStart w:id="1392" w:name="Tc_nm4-a7fDsEWoTZU2Pu_vWw_13_5"/>
      <w:bookmarkStart w:id="1393" w:name="Tc_zbbOcHWVfUqPNP9ZsaIFYA_13_2"/>
      <w:bookmarkStart w:id="1394" w:name="Tc_U9LoR0C5p06-gs45qKWFsw_13_0"/>
      <w:bookmarkStart w:id="1395" w:name="Tc_EeBNHq9880K3QysUn_gLBQ_12_0"/>
      <w:bookmarkStart w:id="1396" w:name="Tc_DjwOB-sjbUGMaIfVusygwA_11_8"/>
      <w:bookmarkStart w:id="1397" w:name="Tc_S-GW-_J5KEuDGNzLHb8e5w_11_5"/>
      <w:bookmarkStart w:id="1398" w:name="Tc_a4cuRtDhM0yozN5T-n9Ctg_11_2"/>
      <w:bookmarkStart w:id="1399" w:name="Tc_j5N7J4AQdkOulunLP8t46Q_11_0"/>
      <w:bookmarkStart w:id="1400" w:name="Tc_qSTKm2RXUEaueUkE1D4k9w_10_0"/>
      <w:bookmarkStart w:id="1401" w:name="Tc_lUyPuvRnTUCHR-MYf6xJYg_8_0"/>
      <w:bookmarkStart w:id="1402" w:name="Tc_JzJCuDiSME6gY7IqKyn0fQ_7_0"/>
      <w:bookmarkStart w:id="1403" w:name="Tc_95YtRsI_kkitqXINBw6Jcw_6_0"/>
      <w:bookmarkStart w:id="1404" w:name="Tc_4esV0KTNh0eXEWeuEzGlqg_5_8"/>
      <w:bookmarkStart w:id="1405" w:name="Tc_dcuYQqoxmU2fIfUo6IRNIA_5_5"/>
      <w:bookmarkStart w:id="1406" w:name="Tc_upGhUaerKkeCrJzSqJiwYQ_5_2"/>
      <w:bookmarkStart w:id="1407" w:name="Tc_siBZioQFXkuNG-ZPJx2H5A_5_0"/>
      <w:bookmarkStart w:id="1408" w:name="Tc_-DUmf6_wxESPjlFkwgw5Zg_4_0"/>
      <w:bookmarkStart w:id="1409" w:name="Tc_xridpmikXEOEfpQo6EqsRQ_3_0"/>
      <w:bookmarkStart w:id="1410" w:name="Tc_7NtA2pvD1UO_xPH20-CpPg_2_8"/>
      <w:bookmarkStart w:id="1411" w:name="Tc_brZh4jJpTEOgRlWX_qyTqg_2_5"/>
      <w:bookmarkStart w:id="1412" w:name="Tc_J1HY988ESUiZkqHOHaRGRg_2_2"/>
      <w:bookmarkStart w:id="1413" w:name="Tc_oJGeRTO8sU2JjVcYmbaMzw_2_0"/>
      <w:bookmarkStart w:id="1414" w:name="Tc_e5crL-KovUqB69w4ZZNXwQ_1_8"/>
      <w:bookmarkStart w:id="1415" w:name="Tc_-ko2DFnjyUij9oYEw3Hmmg_1_5"/>
      <w:bookmarkStart w:id="1416" w:name="Tc__AbXjSH4LkWDQEfongc-MQ_1_2"/>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Arial;Helvetica;sans-serif" w:hAnsi="Arial;Helvetica;sans-serif"/>
          <w:sz w:val="20"/>
        </w:rPr>
        <w:t>The following table details the outstanding amounts and available borrowings under the Senior Secured Credit Facilities:</w:t>
      </w:r>
    </w:p>
    <w:p>
      <w:pPr>
        <w:pStyle w:val="TextBody"/>
        <w:bidi w:val="0"/>
        <w:spacing w:before="0" w:after="120"/>
        <w:ind w:left="0" w:right="0" w:firstLine="720"/>
        <w:jc w:val="both"/>
        <w:rPr/>
      </w:pPr>
      <w:r>
        <w:rPr/>
        <w:t>​</w:t>
      </w:r>
    </w:p>
    <w:tbl>
      <w:tblPr>
        <w:tblW w:w="8963" w:type="dxa"/>
        <w:jc w:val="left"/>
        <w:tblInd w:w="0" w:type="dxa"/>
        <w:tblLayout w:type="fixed"/>
        <w:tblCellMar>
          <w:top w:w="0" w:type="dxa"/>
          <w:left w:w="0" w:type="dxa"/>
          <w:bottom w:w="0" w:type="dxa"/>
          <w:right w:w="0" w:type="dxa"/>
        </w:tblCellMar>
      </w:tblPr>
      <w:tblGrid>
        <w:gridCol w:w="4321"/>
        <w:gridCol w:w="346"/>
        <w:gridCol w:w="211"/>
        <w:gridCol w:w="961"/>
        <w:gridCol w:w="346"/>
        <w:gridCol w:w="218"/>
        <w:gridCol w:w="997"/>
        <w:gridCol w:w="346"/>
        <w:gridCol w:w="211"/>
        <w:gridCol w:w="10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43835" cy="175260"/>
                      <wp:effectExtent l="0" t="0" r="0" b="0"/>
                      <wp:wrapNone/>
                      <wp:docPr id="132" name="Frame13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10235" cy="175260"/>
                      <wp:effectExtent l="0" t="0" r="0" b="0"/>
                      <wp:wrapNone/>
                      <wp:docPr id="135" name="Frame1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8430" cy="175260"/>
                      <wp:effectExtent l="0" t="0" r="0" b="0"/>
                      <wp:wrapNone/>
                      <wp:docPr id="137" name="Frame13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33095" cy="175260"/>
                      <wp:effectExtent l="0" t="0" r="0" b="0"/>
                      <wp:wrapNone/>
                      <wp:docPr id="138" name="Frame138"/>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8810" cy="175260"/>
                      <wp:effectExtent l="0" t="0" r="0" b="0"/>
                      <wp:wrapNone/>
                      <wp:docPr id="141" name="Frame1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both"/>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Senior Secured Credit Facilities: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Term Loan Facility: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Principal amount of borrowings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cumulative principal payments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(105,772)</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(81,564)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(58,057)</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original issue discount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(5,623)</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(6,993)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(8,329)</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finance costs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(2,008)</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(3,213)</w:t>
            </w:r>
          </w:p>
        </w:tc>
      </w:tr>
      <w:tr>
        <w:trPr/>
        <w:tc>
          <w:tcPr>
            <w:tcW w:w="432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1,286,597</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1,330,401</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Long-term debt, net of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1,272,582</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1,294,817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1,316,386</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Credit Facility: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total net leverage ratio borrowing limitation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r>
      <w:tr>
        <w:trPr/>
        <w:tc>
          <w:tcPr>
            <w:tcW w:w="43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December 31, 2025, and June 30, 2025, the average interest rate on the Term Loan Facility was 6.26%, 6.33%, and 6.94%, respectively, and the effective interest rates were 6.48%, 6.77%, and 7.18%, respectively. In addition to the regularly scheduled quarterly principal payments, the Company made a voluntary principal payment on the Term Loan Facility of $17.2 million in February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Senior Secured Credit Facilities include subjective acceleration clauses, which could impact debt classification. Management believes that no events have occurred as of June 30, 2026 that would trigger a subjective acceleration clause.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June 30, 2026,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as of June 30, 2026, December 31, 2025, and June 30, 2025.</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Real Estate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December 31, 2025 and June 30, 2025,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with an option that allows FRHP to request an additional $100.0 million of principal capacity. During the six months ended June 30, 2026, FRHP had no additional borrowings under the M&amp;T Real Estate facility. During the year ended December 31, 2025 and the six months ended June 30, 2026, FRHP made payments on the M&amp;T Real Estate Facility of $8.3 million and $44.3 million, respectively, to pay off the remaining principal balances related to certain properties. Of the $44.3 million paid during the six months ended June 30, 2026, $30.1 million related to the principal repayment on the December 31, 2025 sale of real property, where the net proceeds of $15.1 million and principal repayment were not distributed through escrow until January 2, 2026.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1417" w:name="Tc_A9h_vSktvEKKPyiRncHH_A_7_5"/>
      <w:bookmarkStart w:id="1418" w:name="Tc_MkNNHGWwokuLdff7G_zqsA_7_2"/>
      <w:bookmarkStart w:id="1419" w:name="Tc_XrY_cSE81Eat8jLlPEAYCg_6_6"/>
      <w:bookmarkStart w:id="1420" w:name="Tc_aMlkING470KOmlv7bB9RnA_6_0"/>
      <w:bookmarkStart w:id="1421" w:name="Tc_t3dckcmIBkCsFyDtVDAp2Q_5_7"/>
      <w:bookmarkStart w:id="1422" w:name="Tc_CLBk9LWZXEmgeZRW7As9FQ_5_5"/>
      <w:bookmarkStart w:id="1423" w:name="Tc_MFAcQ6iTOkWVgI-dxKz3WQ_5_2"/>
      <w:bookmarkStart w:id="1424" w:name="Tc_q_bzrjVGTkSqFBtbuBWAqw_5_0"/>
      <w:bookmarkStart w:id="1425" w:name="Tc_d3f2mEbSAkyS_87N5DvYpw_4_0"/>
      <w:bookmarkStart w:id="1426" w:name="Tc_jcV4Q2OloEORTZH3n3XpOQ_3_8"/>
      <w:bookmarkStart w:id="1427" w:name="Tc_C6yeYjZTMkiYttoF4rYr3A_3_5"/>
      <w:bookmarkStart w:id="1428" w:name="Tc_9eyzoFcch0WNJTq4I8b7lQ_3_2"/>
      <w:bookmarkStart w:id="1429" w:name="Tc_o_ToGlWbdkuz7iDZ1Z23Fw_3_0"/>
      <w:bookmarkStart w:id="1430" w:name="Tc_WLThouI2FkqWysIKqcne4A_2_8"/>
      <w:bookmarkStart w:id="1431" w:name="Tc_Sp2wQ3LhbECGiyD9JlV3bA_2_5"/>
      <w:bookmarkStart w:id="1432" w:name="Tc_Tlg6pja9xEy6tDQqto8NKw_1_2"/>
      <w:bookmarkStart w:id="1433" w:name="_00561462_a268_4e57_a63d_c97ab0dad871"/>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r>
        <w:rPr>
          <w:rFonts w:ascii="Arial;Helvetica;sans-serif" w:hAnsi="Arial;Helvetica;sans-serif"/>
          <w:sz w:val="20"/>
        </w:rPr>
        <w:t>As of June 30, 2026, December 31, 2025, and June 30, 2025, Camping World Property, LLC, successor by conversion to Camping World Property, Inc. (the ‘‘Real Estate Borrower’’), an indirect wholly-owned subsidiary of CWGS, LLC, and CIBC Bank USA, were parties to a loan and security agreement for a real estate credit facility (as amended from time to time, the “First CIBC Real Estate Facility” and together with the M&amp;T Real Estate Facility, the “Real Estate Facilities”). The First CIBC Real Estate Facility matures in October 2028.</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remaining available borrowings, and weighted average interest rate under the Real Estate Facilities:</w:t>
      </w:r>
    </w:p>
    <w:p>
      <w:pPr>
        <w:pStyle w:val="TextBody"/>
        <w:bidi w:val="0"/>
        <w:spacing w:before="0" w:after="0"/>
        <w:ind w:left="0" w:right="0" w:hanging="0"/>
        <w:jc w:val="both"/>
        <w:rPr/>
      </w:pPr>
      <w:r>
        <w:rPr/>
        <w:t>​</w:t>
      </w:r>
    </w:p>
    <w:tbl>
      <w:tblPr>
        <w:tblW w:w="7024" w:type="dxa"/>
        <w:jc w:val="left"/>
        <w:tblInd w:w="0" w:type="dxa"/>
        <w:tblLayout w:type="fixed"/>
        <w:tblCellMar>
          <w:top w:w="0" w:type="dxa"/>
          <w:left w:w="0" w:type="dxa"/>
          <w:bottom w:w="0" w:type="dxa"/>
          <w:right w:w="0" w:type="dxa"/>
        </w:tblCellMar>
      </w:tblPr>
      <w:tblGrid>
        <w:gridCol w:w="2551"/>
        <w:gridCol w:w="346"/>
        <w:gridCol w:w="267"/>
        <w:gridCol w:w="993"/>
        <w:gridCol w:w="346"/>
        <w:gridCol w:w="231"/>
        <w:gridCol w:w="744"/>
        <w:gridCol w:w="346"/>
        <w:gridCol w:w="204"/>
        <w:gridCol w:w="99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19885" cy="175260"/>
                      <wp:effectExtent l="0" t="0" r="0" b="0"/>
                      <wp:wrapNone/>
                      <wp:docPr id="142" name="Frame142"/>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9545" cy="175260"/>
                      <wp:effectExtent l="0" t="0" r="0" b="0"/>
                      <wp:wrapNone/>
                      <wp:docPr id="144" name="Frame14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0555" cy="175260"/>
                      <wp:effectExtent l="0" t="0" r="0" b="0"/>
                      <wp:wrapNone/>
                      <wp:docPr id="145" name="Frame14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6685" cy="175260"/>
                      <wp:effectExtent l="0" t="0" r="0" b="0"/>
                      <wp:wrapNone/>
                      <wp:docPr id="147" name="Frame14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72440" cy="175260"/>
                      <wp:effectExtent l="0" t="0" r="0" b="0"/>
                      <wp:wrapNone/>
                      <wp:docPr id="148" name="Frame148"/>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9540" cy="175260"/>
                      <wp:effectExtent l="0" t="0" r="0" b="0"/>
                      <wp:wrapNone/>
                      <wp:docPr id="150" name="Frame150"/>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32460" cy="175260"/>
                      <wp:effectExtent l="0" t="0" r="0" b="0"/>
                      <wp:wrapNone/>
                      <wp:docPr id="151" name="Frame15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June 30, 2026</w: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6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9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46" w:type="dxa"/>
            <w:tcBorders/>
            <w:vAlign w:val="center"/>
          </w:tcPr>
          <w:p>
            <w:pPr>
              <w:pStyle w:val="TableContents"/>
              <w:bidi w:val="0"/>
              <w:spacing w:before="0" w:after="0"/>
              <w:ind w:left="0" w:right="0" w:hanging="0"/>
              <w:jc w:val="both"/>
              <w:rPr/>
            </w:pPr>
            <w:r>
              <w:rPr/>
              <w:t>​</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Wtd. Average</w:t>
            </w:r>
          </w:p>
        </w:tc>
      </w:tr>
      <w:tr>
        <w:trPr/>
        <w:tc>
          <w:tcPr>
            <w:tcW w:w="255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6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Outstanding</w:t>
            </w:r>
            <w:r>
              <w:rPr>
                <w:rFonts w:ascii="Arial;Helvetica;sans-serif" w:hAnsi="Arial;Helvetica;sans-serif"/>
                <w:b/>
                <w:sz w:val="12"/>
              </w:rPr>
              <w:t>(1)</w:t>
            </w:r>
          </w:p>
        </w:tc>
        <w:tc>
          <w:tcPr>
            <w:tcW w:w="346" w:type="dxa"/>
            <w:tcBorders/>
            <w:vAlign w:val="center"/>
          </w:tcPr>
          <w:p>
            <w:pPr>
              <w:pStyle w:val="TableContents"/>
              <w:bidi w:val="0"/>
              <w:spacing w:before="0" w:after="0"/>
              <w:ind w:left="0" w:right="0" w:hanging="0"/>
              <w:jc w:val="both"/>
              <w:rPr/>
            </w:pPr>
            <w:r>
              <w:rPr/>
              <w:t>  ​ ​ ​</w:t>
            </w:r>
          </w:p>
        </w:tc>
        <w:tc>
          <w:tcPr>
            <w:tcW w:w="97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Available</w:t>
            </w:r>
            <w:r>
              <w:rPr>
                <w:rFonts w:ascii="Arial;Helvetica;sans-serif" w:hAnsi="Arial;Helvetica;sans-serif"/>
                <w:b/>
                <w:sz w:val="12"/>
              </w:rPr>
              <w:t>(2)</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Interest Rate</w:t>
            </w:r>
          </w:p>
        </w:tc>
      </w:tr>
      <w:tr>
        <w:trPr/>
        <w:tc>
          <w:tcPr>
            <w:tcW w:w="255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Real Estate Facilities</w:t>
            </w:r>
          </w:p>
        </w:tc>
        <w:tc>
          <w:tcPr>
            <w:tcW w:w="346" w:type="dxa"/>
            <w:tcBorders/>
            <w:shd w:fill="CCEEFF" w:val="clear"/>
            <w:vAlign w:val="center"/>
          </w:tcPr>
          <w:p>
            <w:pPr>
              <w:pStyle w:val="TableContents"/>
              <w:bidi w:val="0"/>
              <w:spacing w:before="0" w:after="0"/>
              <w:ind w:left="0" w:right="0" w:hanging="0"/>
              <w:jc w:val="both"/>
              <w:rPr/>
            </w:pPr>
            <w:r>
              <w:rPr/>
              <w:t>​</w:t>
            </w:r>
          </w:p>
        </w:tc>
        <w:tc>
          <w:tcPr>
            <w:tcW w:w="267" w:type="dxa"/>
            <w:tcBorders/>
            <w:shd w:fill="CCEEFF" w:val="clear"/>
            <w:vAlign w:val="center"/>
          </w:tcPr>
          <w:p>
            <w:pPr>
              <w:pStyle w:val="TableContents"/>
              <w:bidi w:val="0"/>
              <w:spacing w:before="0" w:after="0"/>
              <w:ind w:left="0" w:right="0" w:hanging="0"/>
              <w:jc w:val="both"/>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996" w:type="dxa"/>
            <w:tcBorders/>
            <w:shd w:fill="CCEEFF" w:val="cle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M&amp;T Real Estate Facility</w:t>
            </w:r>
          </w:p>
        </w:tc>
        <w:tc>
          <w:tcPr>
            <w:tcW w:w="346" w:type="dxa"/>
            <w:tcBorders/>
            <w:vAlign w:val="center"/>
          </w:tcPr>
          <w:p>
            <w:pPr>
              <w:pStyle w:val="TableContents"/>
              <w:bidi w:val="0"/>
              <w:spacing w:before="0" w:after="0"/>
              <w:ind w:left="0" w:right="0" w:hanging="0"/>
              <w:jc w:val="both"/>
              <w:rPr/>
            </w:pPr>
            <w:r>
              <w:rPr/>
              <w:t>​</w:t>
            </w:r>
          </w:p>
        </w:tc>
        <w:tc>
          <w:tcPr>
            <w:tcW w:w="26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108,322</w:t>
            </w:r>
          </w:p>
        </w:tc>
        <w:tc>
          <w:tcPr>
            <w:tcW w:w="34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57,390</w:t>
            </w:r>
          </w:p>
        </w:tc>
        <w:tc>
          <w:tcPr>
            <w:tcW w:w="346" w:type="dxa"/>
            <w:tcBorders/>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sz w:val="14"/>
              </w:rPr>
              <w:t>(3)</w:t>
            </w:r>
          </w:p>
        </w:tc>
        <w:tc>
          <w:tcPr>
            <w:tcW w:w="204" w:type="dxa"/>
            <w:tcBorders/>
            <w:vAlign w:val="center"/>
          </w:tcPr>
          <w:p>
            <w:pPr>
              <w:pStyle w:val="TableContents"/>
              <w:bidi w:val="0"/>
              <w:spacing w:before="0" w:after="0"/>
              <w:ind w:left="0" w:right="0" w:hanging="0"/>
              <w:jc w:val="both"/>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6.04%</w:t>
            </w:r>
          </w:p>
        </w:tc>
      </w:tr>
      <w:tr>
        <w:trPr/>
        <w:tc>
          <w:tcPr>
            <w:tcW w:w="255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First CIBC Real Estate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2,959</w:t>
            </w:r>
          </w:p>
        </w:tc>
        <w:tc>
          <w:tcPr>
            <w:tcW w:w="346" w:type="dxa"/>
            <w:tcBorders/>
            <w:shd w:fill="CCEEFF" w:val="clear"/>
            <w:vAlign w:val="center"/>
          </w:tcPr>
          <w:p>
            <w:pPr>
              <w:pStyle w:val="TableContents"/>
              <w:bidi w:val="0"/>
              <w:spacing w:before="0" w:after="0"/>
              <w:ind w:left="0" w:right="0" w:hanging="0"/>
              <w:jc w:val="both"/>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w: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111,281</w:t>
            </w:r>
          </w:p>
        </w:tc>
        <w:tc>
          <w:tcPr>
            <w:tcW w:w="346" w:type="dxa"/>
            <w:tcBorders/>
            <w:vAlign w:val="center"/>
          </w:tcPr>
          <w:p>
            <w:pPr>
              <w:pStyle w:val="TableContents"/>
              <w:bidi w:val="0"/>
              <w:spacing w:before="0" w:after="0"/>
              <w:ind w:left="0" w:right="0" w:hanging="0"/>
              <w:jc w:val="both"/>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57,390</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both"/>
              <w:rPr/>
            </w:pPr>
            <w:r>
              <w:rPr/>
              <w:t>​</w: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7" w:type="dxa"/>
            <w:tcBorders/>
            <w:vAlign w:val="center"/>
          </w:tcPr>
          <w:p>
            <w:pPr>
              <w:pStyle w:val="TableContents"/>
              <w:bidi w:val="0"/>
              <w:spacing w:before="0" w:after="0"/>
              <w:ind w:left="0" w:right="0" w:hanging="0"/>
              <w:jc w:val="both"/>
              <w:rPr/>
            </w:pPr>
            <w:r>
              <w:rPr/>
              <w:t>​</w:t>
            </w:r>
          </w:p>
        </w:tc>
        <w:tc>
          <w:tcPr>
            <w:tcW w:w="99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74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both"/>
              <w:rPr/>
            </w:pPr>
            <w:r>
              <w:rPr/>
              <w:t>​</w:t>
            </w:r>
          </w:p>
        </w:tc>
        <w:tc>
          <w:tcPr>
            <w:tcW w:w="996" w:type="dxa"/>
            <w:tcBorders/>
            <w:vAlign w:val="center"/>
          </w:tcPr>
          <w:p>
            <w:pPr>
              <w:pStyle w:val="TableContents"/>
              <w:bidi w:val="0"/>
              <w:spacing w:before="0" w:after="0"/>
              <w:ind w:left="0" w:right="0" w:hanging="0"/>
              <w:jc w:val="right"/>
              <w:rPr/>
            </w:pPr>
            <w:r>
              <w:rPr/>
              <w:t>​</w:t>
            </w:r>
          </w:p>
        </w:tc>
      </w:tr>
    </w:tbl>
    <w:tbl>
      <w:tblPr>
        <w:tblW w:w="5372" w:type="dxa"/>
        <w:jc w:val="left"/>
        <w:tblInd w:w="0" w:type="dxa"/>
        <w:tblLayout w:type="fixed"/>
        <w:tblCellMar>
          <w:top w:w="0" w:type="dxa"/>
          <w:left w:w="0" w:type="dxa"/>
          <w:bottom w:w="0" w:type="dxa"/>
          <w:right w:w="0" w:type="dxa"/>
        </w:tblCellMar>
      </w:tblPr>
      <w:tblGrid>
        <w:gridCol w:w="271"/>
        <w:gridCol w:w="510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5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Outstanding principal amounts are net of unamortized finance costs.</w:t>
            </w:r>
          </w:p>
        </w:tc>
      </w:tr>
    </w:tbl>
    <w:tbl>
      <w:tblPr>
        <w:tblW w:w="2762" w:type="dxa"/>
        <w:jc w:val="left"/>
        <w:tblInd w:w="0" w:type="dxa"/>
        <w:tblLayout w:type="fixed"/>
        <w:tblCellMar>
          <w:top w:w="0" w:type="dxa"/>
          <w:left w:w="0" w:type="dxa"/>
          <w:bottom w:w="0" w:type="dxa"/>
          <w:right w:w="0" w:type="dxa"/>
        </w:tblCellMar>
      </w:tblPr>
      <w:tblGrid>
        <w:gridCol w:w="271"/>
        <w:gridCol w:w="249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24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cannot be reborrowed.</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M&amp;T Real Estate Facility are subject to a debt service coverage ratio covenant and to the property collateral requirements under the M&amp;T Real Estate Facility.</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Management has determined that the credit agreements governing the Real Estate Facilities include subjective acceleration clauses, which could impact debt classification. Management believes that no events have occurred as of June 30, 2026 that would trigger a subjective acceleration clause. Additionally, the Real Estate Facilities are subject to certain cross default provisions, a debt service coverage ratio, and other customary covenants. The Company was in compliance with all financial debt covenants as of June 30, 2026, December 31, 2025, and June 30, 2025.</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the outstanding principal balance of other long-term debt was $7.4 million with a weighted average interest rate of 4.27%.</w:t>
      </w:r>
    </w:p>
    <w:p>
      <w:pPr>
        <w:pStyle w:val="TextBody"/>
        <w:bidi w:val="0"/>
        <w:spacing w:before="0" w:after="240"/>
        <w:ind w:left="0" w:right="0" w:hanging="0"/>
        <w:jc w:val="left"/>
        <w:rPr>
          <w:rFonts w:ascii="Arial;Helvetica;sans-serif" w:hAnsi="Arial;Helvetica;sans-serif"/>
          <w:b/>
          <w:sz w:val="20"/>
        </w:rPr>
      </w:pPr>
      <w:bookmarkStart w:id="1434" w:name="Tc_m3wdo76ClECM40nwHqcjTg_10_10"/>
      <w:bookmarkStart w:id="1435" w:name="Tc_JLqREu_hh0e7VJONJ1KRZA_10_7"/>
      <w:bookmarkStart w:id="1436" w:name="Tc_7dB3kZeFbkGejP7kySojfA_10_4"/>
      <w:bookmarkStart w:id="1437" w:name="Tc_45DvBuWXWE2nEihvTOMtig_10_1"/>
      <w:bookmarkStart w:id="1438" w:name="Tc_oakpc5kjfU-ZJn0L70b0qw_10_0"/>
      <w:bookmarkStart w:id="1439" w:name="Tc_wn27efyvmUe15ZHS2pSfFQ_9_0"/>
      <w:bookmarkStart w:id="1440" w:name="Tc_-jog4XA5U0yCsSIDr8802g_8_0"/>
      <w:bookmarkStart w:id="1441" w:name="Tc_iox_LAnJJk2m1RYH_Y-O2A_7_0"/>
      <w:bookmarkStart w:id="1442" w:name="Tc_y2OhfMhzUEu1MwVyTEQIrg_6_0"/>
      <w:bookmarkStart w:id="1443" w:name="Tc_wwAGZJ1rIEeqT4IeIGDU7g_5_0"/>
      <w:bookmarkStart w:id="1444" w:name="Tc_NDPIWg-0OUCj6IIJ19y9vg_4_0"/>
      <w:bookmarkStart w:id="1445" w:name="Tc_jgQf5gymwkKfPuWg_uak7Q_3_10"/>
      <w:bookmarkStart w:id="1446" w:name="Tc_jinmHCGPAUKfQpfImEJQcQ_3_7"/>
      <w:bookmarkStart w:id="1447" w:name="Tc_ZyLrS6FfmkC7NAKKvrtFIw_3_4"/>
      <w:bookmarkStart w:id="1448" w:name="Tc_nR2W0qY7-E6BFkHurJOmOA_3_1"/>
      <w:bookmarkStart w:id="1449" w:name="Tc_yulOUd3960GCgv03EBN9xw_3_0"/>
      <w:bookmarkStart w:id="1450" w:name="Tc_P9EtlYHwpkSXAnoMQmEtUg_2_10"/>
      <w:bookmarkStart w:id="1451" w:name="Tc_LwVPbHoWUkC2PHCpa-V-8Q_2_7"/>
      <w:bookmarkStart w:id="1452" w:name="Tc_R6xIJ0nwgUS4WU65iRCG-Q_2_4"/>
      <w:bookmarkStart w:id="1453" w:name="Tc_nYzNd1IdyUC_9t-CsJCeIw_2_1"/>
      <w:bookmarkStart w:id="1454" w:name="Tc_Fx3W7CObykuCZFaUirlhFw_2_0"/>
      <w:bookmarkStart w:id="1455" w:name="Tc_DmJer6a1e0qc8i8jXEl35Q_1_7"/>
      <w:bookmarkStart w:id="1456" w:name="Tc_GUhbSGsNMUWGx_TC19XPpA_1_1"/>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r>
        <w:rPr>
          <w:rFonts w:ascii="Arial;Helvetica;sans-serif" w:hAnsi="Arial;Helvetica;sans-serif"/>
          <w:b/>
          <w:sz w:val="20"/>
        </w:rPr>
        <w:t>9. Lease Obligations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certain information related to the costs for leases where the Company is the lessee:</w:t>
      </w:r>
    </w:p>
    <w:p>
      <w:pPr>
        <w:pStyle w:val="TextBody"/>
        <w:bidi w:val="0"/>
        <w:spacing w:before="0" w:after="0"/>
        <w:ind w:left="0" w:right="0" w:hanging="0"/>
        <w:jc w:val="both"/>
        <w:rPr/>
      </w:pPr>
      <w:r>
        <w:rPr/>
        <w:t>​</w:t>
      </w:r>
    </w:p>
    <w:tbl>
      <w:tblPr>
        <w:tblW w:w="8491" w:type="dxa"/>
        <w:jc w:val="left"/>
        <w:tblInd w:w="0" w:type="dxa"/>
        <w:tblLayout w:type="fixed"/>
        <w:tblCellMar>
          <w:top w:w="0" w:type="dxa"/>
          <w:left w:w="0" w:type="dxa"/>
          <w:bottom w:w="0" w:type="dxa"/>
          <w:right w:w="0" w:type="dxa"/>
        </w:tblCellMar>
      </w:tblPr>
      <w:tblGrid>
        <w:gridCol w:w="3301"/>
        <w:gridCol w:w="244"/>
        <w:gridCol w:w="817"/>
        <w:gridCol w:w="400"/>
        <w:gridCol w:w="244"/>
        <w:gridCol w:w="799"/>
        <w:gridCol w:w="346"/>
        <w:gridCol w:w="222"/>
        <w:gridCol w:w="742"/>
        <w:gridCol w:w="364"/>
        <w:gridCol w:w="222"/>
        <w:gridCol w:w="790"/>
      </w:tblGrid>
      <w:tr>
        <w:trPr/>
        <w:tc>
          <w:tcPr>
            <w:tcW w:w="3301"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both"/>
              <w:rPr/>
            </w:pPr>
            <w:r>
              <w:rPr/>
              <w:t>​</w:t>
            </w:r>
          </w:p>
        </w:tc>
        <w:tc>
          <w:tcPr>
            <w:tcW w:w="364"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both"/>
              <w:rPr/>
            </w:pPr>
            <w:r>
              <w:rPr/>
              <w:t>​</w:t>
            </w:r>
          </w:p>
        </w:tc>
      </w:tr>
      <w:tr>
        <w:trPr/>
        <w:tc>
          <w:tcPr>
            <w:tcW w:w="3301" w:type="dxa"/>
            <w:tcBorders/>
            <w:vAlign w:val="center"/>
          </w:tcPr>
          <w:p>
            <w:pPr>
              <w:pStyle w:val="TableContents"/>
              <w:bidi w:val="0"/>
              <w:spacing w:before="0" w:after="0"/>
              <w:ind w:left="0" w:right="0" w:hanging="0"/>
              <w:jc w:val="both"/>
              <w:rPr/>
            </w:pPr>
            <w:r>
              <w:rPr/>
              <w:t>​</w:t>
            </w:r>
          </w:p>
        </w:tc>
        <w:tc>
          <w:tcPr>
            <w:tcW w:w="25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both"/>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00" w:type="dxa"/>
            <w:tcBorders/>
            <w:vAlign w:val="center"/>
          </w:tcPr>
          <w:p>
            <w:pPr>
              <w:pStyle w:val="TableContents"/>
              <w:bidi w:val="0"/>
              <w:spacing w:before="0" w:after="0"/>
              <w:ind w:left="0" w:right="0" w:hanging="0"/>
              <w:jc w:val="both"/>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64" w:type="dxa"/>
            <w:tcBorders/>
            <w:vAlign w:val="center"/>
          </w:tcPr>
          <w:p>
            <w:pPr>
              <w:pStyle w:val="TableContents"/>
              <w:bidi w:val="0"/>
              <w:spacing w:before="0" w:after="0"/>
              <w:ind w:left="0" w:right="0" w:hanging="0"/>
              <w:jc w:val="both"/>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cost</w:t>
            </w:r>
          </w:p>
        </w:tc>
        <w:tc>
          <w:tcPr>
            <w:tcW w:w="24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31,091</w:t>
            </w:r>
          </w:p>
        </w:tc>
        <w:tc>
          <w:tcPr>
            <w:tcW w:w="400" w:type="dxa"/>
            <w:tcBorders/>
            <w:shd w:fill="CCEEFF" w:val="clear"/>
            <w:vAlign w:val="center"/>
          </w:tcPr>
          <w:p>
            <w:pPr>
              <w:pStyle w:val="TableContents"/>
              <w:bidi w:val="0"/>
              <w:spacing w:before="0" w:after="0"/>
              <w:ind w:left="0" w:right="0" w:hanging="0"/>
              <w:jc w:val="both"/>
              <w:rPr/>
            </w:pPr>
            <w:r>
              <w:rPr/>
              <w:t>​</w:t>
            </w:r>
          </w:p>
        </w:tc>
        <w:tc>
          <w:tcPr>
            <w:tcW w:w="244"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29,423</w:t>
            </w:r>
          </w:p>
        </w:tc>
        <w:tc>
          <w:tcPr>
            <w:tcW w:w="346"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62,114</w:t>
            </w:r>
          </w:p>
        </w:tc>
        <w:tc>
          <w:tcPr>
            <w:tcW w:w="364"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58,776</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lease cost:</w:t>
            </w:r>
          </w:p>
        </w:tc>
        <w:tc>
          <w:tcPr>
            <w:tcW w:w="244"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Amortization of finance lease assets</w:t>
            </w:r>
          </w:p>
        </w:tc>
        <w:tc>
          <w:tcPr>
            <w:tcW w:w="244" w:type="dxa"/>
            <w:tcBorders/>
            <w:shd w:fill="CCEEFF" w:val="clear"/>
            <w:vAlign w:val="center"/>
          </w:tcPr>
          <w:p>
            <w:pPr>
              <w:pStyle w:val="TableContents"/>
              <w:bidi w:val="0"/>
              <w:spacing w:before="0" w:after="0"/>
              <w:ind w:left="0" w:right="0" w:hanging="0"/>
              <w:jc w:val="both"/>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2,740</w:t>
            </w:r>
          </w:p>
        </w:tc>
        <w:tc>
          <w:tcPr>
            <w:tcW w:w="400" w:type="dxa"/>
            <w:tcBorders/>
            <w:shd w:fill="CCEEFF" w:val="clear"/>
            <w:vAlign w:val="center"/>
          </w:tcPr>
          <w:p>
            <w:pPr>
              <w:pStyle w:val="TableContents"/>
              <w:bidi w:val="0"/>
              <w:spacing w:before="0" w:after="0"/>
              <w:ind w:left="0" w:right="0" w:hanging="0"/>
              <w:jc w:val="both"/>
              <w:rPr/>
            </w:pPr>
            <w:r>
              <w:rPr/>
              <w:t>​</w:t>
            </w:r>
          </w:p>
        </w:tc>
        <w:tc>
          <w:tcPr>
            <w:tcW w:w="244"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2,717</w:t>
            </w:r>
          </w:p>
        </w:tc>
        <w:tc>
          <w:tcPr>
            <w:tcW w:w="346"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pPr>
            <w:r>
              <w:rPr/>
              <w:t>​</w:t>
            </w:r>
          </w:p>
        </w:tc>
        <w:tc>
          <w:tcPr>
            <w:tcW w:w="7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5,458</w:t>
            </w:r>
          </w:p>
        </w:tc>
        <w:tc>
          <w:tcPr>
            <w:tcW w:w="364"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5,308</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Interest on finance lease liabilities</w:t>
            </w:r>
          </w:p>
        </w:tc>
        <w:tc>
          <w:tcPr>
            <w:tcW w:w="244"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2,058</w:t>
            </w:r>
          </w:p>
        </w:tc>
        <w:tc>
          <w:tcPr>
            <w:tcW w:w="400"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2,240</w:t>
            </w:r>
          </w:p>
        </w:tc>
        <w:tc>
          <w:tcPr>
            <w:tcW w:w="346"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4,104</w:t>
            </w:r>
          </w:p>
        </w:tc>
        <w:tc>
          <w:tcPr>
            <w:tcW w:w="364"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4,422</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Short-term lease cost</w:t>
            </w:r>
          </w:p>
        </w:tc>
        <w:tc>
          <w:tcPr>
            <w:tcW w:w="244" w:type="dxa"/>
            <w:tcBorders/>
            <w:shd w:fill="CCEEFF" w:val="clear"/>
            <w:vAlign w:val="center"/>
          </w:tcPr>
          <w:p>
            <w:pPr>
              <w:pStyle w:val="TableContents"/>
              <w:bidi w:val="0"/>
              <w:spacing w:before="0" w:after="0"/>
              <w:ind w:left="0" w:right="0" w:hanging="0"/>
              <w:jc w:val="both"/>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400" w:type="dxa"/>
            <w:tcBorders/>
            <w:shd w:fill="CCEEFF" w:val="clear"/>
            <w:vAlign w:val="center"/>
          </w:tcPr>
          <w:p>
            <w:pPr>
              <w:pStyle w:val="TableContents"/>
              <w:bidi w:val="0"/>
              <w:spacing w:before="0" w:after="0"/>
              <w:ind w:left="0" w:right="0" w:hanging="0"/>
              <w:jc w:val="both"/>
              <w:rPr/>
            </w:pPr>
            <w:r>
              <w:rPr/>
              <w:t>​</w:t>
            </w:r>
          </w:p>
        </w:tc>
        <w:tc>
          <w:tcPr>
            <w:tcW w:w="244"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346"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pPr>
            <w:r>
              <w:rPr/>
              <w:t>​</w:t>
            </w:r>
          </w:p>
        </w:tc>
        <w:tc>
          <w:tcPr>
            <w:tcW w:w="7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535</w:t>
            </w:r>
          </w:p>
        </w:tc>
        <w:tc>
          <w:tcPr>
            <w:tcW w:w="364" w:type="dxa"/>
            <w:tcBorders/>
            <w:shd w:fill="CCEEFF" w:val="clear"/>
            <w:vAlign w:val="center"/>
          </w:tcPr>
          <w:p>
            <w:pPr>
              <w:pStyle w:val="TableContents"/>
              <w:bidi w:val="0"/>
              <w:spacing w:before="0" w:after="0"/>
              <w:ind w:left="0" w:right="0" w:hanging="0"/>
              <w:jc w:val="both"/>
              <w:rPr/>
            </w:pPr>
            <w:r>
              <w:rPr/>
              <w:t>​</w:t>
            </w:r>
          </w:p>
        </w:tc>
        <w:tc>
          <w:tcPr>
            <w:tcW w:w="222"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Variable lease cost</w:t>
            </w:r>
          </w:p>
        </w:tc>
        <w:tc>
          <w:tcPr>
            <w:tcW w:w="244"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6,643</w:t>
            </w:r>
          </w:p>
        </w:tc>
        <w:tc>
          <w:tcPr>
            <w:tcW w:w="400"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5,155</w:t>
            </w:r>
          </w:p>
        </w:tc>
        <w:tc>
          <w:tcPr>
            <w:tcW w:w="346"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12,763</w:t>
            </w:r>
          </w:p>
        </w:tc>
        <w:tc>
          <w:tcPr>
            <w:tcW w:w="364"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11,859</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Sublease income</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w:t>
            </w:r>
          </w:p>
        </w:tc>
        <w:tc>
          <w:tcPr>
            <w:tcW w:w="400" w:type="dxa"/>
            <w:tcBorders/>
            <w:shd w:fill="CCEEFF" w:val="clear"/>
            <w:vAlign w:val="center"/>
          </w:tcPr>
          <w:p>
            <w:pPr>
              <w:pStyle w:val="TableContents"/>
              <w:bidi w:val="0"/>
              <w:spacing w:before="0" w:after="0"/>
              <w:ind w:left="0" w:right="0" w:hanging="0"/>
              <w:jc w:val="both"/>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w:t>
            </w:r>
          </w:p>
        </w:tc>
        <w:tc>
          <w:tcPr>
            <w:tcW w:w="346" w:type="dxa"/>
            <w:tcBorders/>
            <w:shd w:fill="CCEEFF" w:val="clear"/>
            <w:vAlign w:val="center"/>
          </w:tcPr>
          <w:p>
            <w:pPr>
              <w:pStyle w:val="TableContents"/>
              <w:bidi w:val="0"/>
              <w:spacing w:before="0" w:after="0"/>
              <w:ind w:left="0" w:right="0" w:hanging="0"/>
              <w:jc w:val="both"/>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(2,192)</w:t>
            </w:r>
          </w:p>
        </w:tc>
        <w:tc>
          <w:tcPr>
            <w:tcW w:w="364" w:type="dxa"/>
            <w:tcBorders/>
            <w:shd w:fill="CCEEFF" w:val="clear"/>
            <w:vAlign w:val="center"/>
          </w:tcPr>
          <w:p>
            <w:pPr>
              <w:pStyle w:val="TableContents"/>
              <w:bidi w:val="0"/>
              <w:spacing w:before="0" w:after="0"/>
              <w:ind w:left="0" w:right="0" w:hanging="0"/>
              <w:jc w:val="both"/>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lease costs</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41,723</w:t>
            </w:r>
          </w:p>
        </w:tc>
        <w:tc>
          <w:tcPr>
            <w:tcW w:w="400" w:type="dxa"/>
            <w:tcBorders/>
            <w:vAlign w:val="center"/>
          </w:tcPr>
          <w:p>
            <w:pPr>
              <w:pStyle w:val="TableContents"/>
              <w:bidi w:val="0"/>
              <w:spacing w:before="0" w:after="0"/>
              <w:ind w:left="0" w:right="0" w:hanging="0"/>
              <w:jc w:val="both"/>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38,928</w:t>
            </w:r>
          </w:p>
        </w:tc>
        <w:tc>
          <w:tcPr>
            <w:tcW w:w="346" w:type="dxa"/>
            <w:tcBorders/>
            <w:vAlign w:val="center"/>
          </w:tcPr>
          <w:p>
            <w:pPr>
              <w:pStyle w:val="TableContents"/>
              <w:bidi w:val="0"/>
              <w:spacing w:before="0" w:after="0"/>
              <w:ind w:left="0" w:right="0" w:hanging="0"/>
              <w:jc w:val="both"/>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82,782</w:t>
            </w:r>
          </w:p>
        </w:tc>
        <w:tc>
          <w:tcPr>
            <w:tcW w:w="364" w:type="dxa"/>
            <w:tcBorders/>
            <w:vAlign w:val="center"/>
          </w:tcPr>
          <w:p>
            <w:pPr>
              <w:pStyle w:val="TableContents"/>
              <w:bidi w:val="0"/>
              <w:spacing w:before="0" w:after="0"/>
              <w:ind w:left="0" w:right="0" w:hanging="0"/>
              <w:jc w:val="both"/>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79,220</w:t>
            </w:r>
          </w:p>
        </w:tc>
      </w:tr>
      <w:tr>
        <w:trPr/>
        <w:tc>
          <w:tcPr>
            <w:tcW w:w="3301"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both"/>
              <w:rPr/>
            </w:pPr>
            <w:r>
              <w:rPr/>
              <w:t>​</w:t>
            </w:r>
          </w:p>
        </w:tc>
        <w:tc>
          <w:tcPr>
            <w:tcW w:w="244"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42"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both"/>
              <w:rPr/>
            </w:pPr>
            <w:r>
              <w:rPr/>
              <w:t>​</w:t>
            </w:r>
          </w:p>
        </w:tc>
        <w:tc>
          <w:tcPr>
            <w:tcW w:w="222"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June 30, 2026, December 31, 2025, and June 30, 2025, finance lease assets of $112.3 million, $113.7 million, and $127.5 million, respectively, were included in property and equipment, net in the accompanying condensed consolidated balance sheets.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bookmarkStart w:id="1457" w:name="Tc_n-yAIjHK3kO9GrYbfb84rQ_9_0"/>
      <w:bookmarkStart w:id="1458" w:name="Tc_oZUkSn1xREq82s85zHMyQQ_8_0"/>
      <w:bookmarkStart w:id="1459" w:name="Tc_VssQSaTpgk6xsv5NmoO8dw_7_0"/>
      <w:bookmarkStart w:id="1460" w:name="Tc_BBVPZxn0tEOtgBfMY898dA_6_0"/>
      <w:bookmarkStart w:id="1461" w:name="Tc_og60qyOl20-iTL3gQ6yWtw_5_0"/>
      <w:bookmarkStart w:id="1462" w:name="Tc_vBlbPkm6-kKyivSKEvP96Q_4_4"/>
      <w:bookmarkStart w:id="1463" w:name="Tc_mqtxi8QPrEaaISHYEZegZw_4_1"/>
      <w:bookmarkStart w:id="1464" w:name="Tc_Kb4uXUENzECZQ5ic29LmqA_4_0"/>
      <w:bookmarkStart w:id="1465" w:name="Tc_P113lkVEKk2xLWecO72dZg_3_0"/>
      <w:bookmarkStart w:id="1466" w:name="Tc_BxfhqdIF6UqAtwjGyfihCA_2_4"/>
      <w:bookmarkStart w:id="1467" w:name="Tc_EIrLGvwX70SNS7mTlvpCFA_2_1"/>
      <w:bookmarkStart w:id="1468" w:name="Tc_exi-s6o9RUiQAbJntZb-qw_2_0"/>
      <w:bookmarkStart w:id="1469" w:name="Tc_qJZGuoD75ECE42Z2PAV2dg_1_1"/>
      <w:bookmarkEnd w:id="1457"/>
      <w:bookmarkEnd w:id="1458"/>
      <w:bookmarkEnd w:id="1459"/>
      <w:bookmarkEnd w:id="1460"/>
      <w:bookmarkEnd w:id="1461"/>
      <w:bookmarkEnd w:id="1462"/>
      <w:bookmarkEnd w:id="1463"/>
      <w:bookmarkEnd w:id="1464"/>
      <w:bookmarkEnd w:id="1465"/>
      <w:bookmarkEnd w:id="1466"/>
      <w:bookmarkEnd w:id="1467"/>
      <w:bookmarkEnd w:id="1468"/>
      <w:bookmarkEnd w:id="1469"/>
      <w:r>
        <w:rPr>
          <w:rFonts w:ascii="Arial;Helvetica;sans-serif" w:hAnsi="Arial;Helvetica;sans-serif"/>
          <w:sz w:val="20"/>
        </w:rPr>
        <w:t>The following table presents supplemental cash flow information related to leases:</w:t>
      </w:r>
    </w:p>
    <w:p>
      <w:pPr>
        <w:pStyle w:val="TextBody"/>
        <w:bidi w:val="0"/>
        <w:spacing w:before="0" w:after="0"/>
        <w:ind w:left="0" w:right="0" w:hanging="0"/>
        <w:jc w:val="both"/>
        <w:rPr/>
      </w:pPr>
      <w:r>
        <w:rPr/>
        <w:t>​</w:t>
      </w:r>
    </w:p>
    <w:tbl>
      <w:tblPr>
        <w:tblW w:w="8611" w:type="dxa"/>
        <w:jc w:val="left"/>
        <w:tblInd w:w="0" w:type="dxa"/>
        <w:tblLayout w:type="fixed"/>
        <w:tblCellMar>
          <w:top w:w="0" w:type="dxa"/>
          <w:left w:w="0" w:type="dxa"/>
          <w:bottom w:w="0" w:type="dxa"/>
          <w:right w:w="0" w:type="dxa"/>
        </w:tblCellMar>
      </w:tblPr>
      <w:tblGrid>
        <w:gridCol w:w="6271"/>
        <w:gridCol w:w="219"/>
        <w:gridCol w:w="717"/>
        <w:gridCol w:w="359"/>
        <w:gridCol w:w="219"/>
        <w:gridCol w:w="826"/>
      </w:tblGrid>
      <w:tr>
        <w:trPr/>
        <w:tc>
          <w:tcPr>
            <w:tcW w:w="6271"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717" w:type="dxa"/>
            <w:tcBorders/>
            <w:vAlign w:val="center"/>
          </w:tcPr>
          <w:p>
            <w:pPr>
              <w:pStyle w:val="TableContents"/>
              <w:bidi w:val="0"/>
              <w:spacing w:before="0" w:after="0"/>
              <w:ind w:left="0" w:right="0" w:hanging="0"/>
              <w:jc w:val="both"/>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r>
      <w:tr>
        <w:trPr/>
        <w:tc>
          <w:tcPr>
            <w:tcW w:w="6271" w:type="dxa"/>
            <w:tcBorders/>
            <w:vAlign w:val="center"/>
          </w:tcPr>
          <w:p>
            <w:pPr>
              <w:pStyle w:val="TableContents"/>
              <w:bidi w:val="0"/>
              <w:spacing w:before="0" w:after="0"/>
              <w:ind w:left="0" w:right="0" w:hanging="0"/>
              <w:jc w:val="both"/>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62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59" w:type="dxa"/>
            <w:tcBorders/>
            <w:vAlign w:val="center"/>
          </w:tcPr>
          <w:p>
            <w:pPr>
              <w:pStyle w:val="TableContents"/>
              <w:bidi w:val="0"/>
              <w:spacing w:before="0" w:after="0"/>
              <w:ind w:left="0" w:right="0" w:hanging="0"/>
              <w:jc w:val="both"/>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219" w:type="dxa"/>
            <w:tcBorders/>
            <w:shd w:fill="CCEEFF" w:val="clear"/>
            <w:vAlign w:val="center"/>
          </w:tcPr>
          <w:p>
            <w:pPr>
              <w:pStyle w:val="TableContents"/>
              <w:bidi w:val="0"/>
              <w:spacing w:before="0" w:after="0"/>
              <w:ind w:left="0" w:right="0" w:hanging="0"/>
              <w:jc w:val="both"/>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operating leases</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63,704</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40,833</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finance leases</w:t>
            </w:r>
          </w:p>
        </w:tc>
        <w:tc>
          <w:tcPr>
            <w:tcW w:w="219" w:type="dxa"/>
            <w:tcBorders/>
            <w:shd w:fill="CCEEFF" w:val="clear"/>
            <w:vAlign w:val="center"/>
          </w:tcPr>
          <w:p>
            <w:pPr>
              <w:pStyle w:val="TableContents"/>
              <w:bidi w:val="0"/>
              <w:spacing w:before="0" w:after="0"/>
              <w:ind w:left="0" w:right="0" w:hanging="0"/>
              <w:jc w:val="both"/>
              <w:rPr/>
            </w:pPr>
            <w:r>
              <w:rPr/>
              <w:t>​</w:t>
            </w:r>
          </w:p>
        </w:tc>
        <w:tc>
          <w:tcPr>
            <w:tcW w:w="71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4,104</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4,422</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Financing cash flows for finance leases</w:t>
            </w:r>
          </w:p>
        </w:tc>
        <w:tc>
          <w:tcPr>
            <w:tcW w:w="219" w:type="dxa"/>
            <w:tcBorders/>
            <w:vAlign w:val="center"/>
          </w:tcPr>
          <w:p>
            <w:pPr>
              <w:pStyle w:val="TableContents"/>
              <w:bidi w:val="0"/>
              <w:spacing w:before="0" w:after="0"/>
              <w:ind w:left="0" w:right="0" w:hanging="0"/>
              <w:jc w:val="both"/>
              <w:rPr/>
            </w:pPr>
            <w:r>
              <w:rPr/>
              <w:t>​</w:t>
            </w:r>
          </w:p>
        </w:tc>
        <w:tc>
          <w:tcPr>
            <w:tcW w:w="7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3,745</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3,637</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Lease assets obtained in exchange for lease liabilities:</w:t>
            </w:r>
          </w:p>
        </w:tc>
        <w:tc>
          <w:tcPr>
            <w:tcW w:w="219" w:type="dxa"/>
            <w:tcBorders/>
            <w:shd w:fill="CCEEFF" w:val="clear"/>
            <w:vAlign w:val="center"/>
          </w:tcPr>
          <w:p>
            <w:pPr>
              <w:pStyle w:val="TableContents"/>
              <w:bidi w:val="0"/>
              <w:spacing w:before="0" w:after="0"/>
              <w:ind w:left="0" w:right="0" w:hanging="0"/>
              <w:jc w:val="both"/>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operating leases</w:t>
            </w:r>
          </w:p>
        </w:tc>
        <w:tc>
          <w:tcPr>
            <w:tcW w:w="219" w:type="dxa"/>
            <w:tcBorders/>
            <w:vAlign w:val="center"/>
          </w:tcPr>
          <w:p>
            <w:pPr>
              <w:pStyle w:val="TableContents"/>
              <w:bidi w:val="0"/>
              <w:spacing w:before="0" w:after="0"/>
              <w:ind w:left="0" w:right="0" w:hanging="0"/>
              <w:jc w:val="both"/>
              <w:rPr/>
            </w:pPr>
            <w:r>
              <w:rPr/>
              <w:t>​</w:t>
            </w:r>
          </w:p>
        </w:tc>
        <w:tc>
          <w:tcPr>
            <w:tcW w:w="7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32,151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6,329</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finance leases</w:t>
            </w:r>
          </w:p>
        </w:tc>
        <w:tc>
          <w:tcPr>
            <w:tcW w:w="219" w:type="dxa"/>
            <w:tcBorders/>
            <w:shd w:fill="CCEEFF" w:val="clear"/>
            <w:vAlign w:val="center"/>
          </w:tcPr>
          <w:p>
            <w:pPr>
              <w:pStyle w:val="TableContents"/>
              <w:bidi w:val="0"/>
              <w:spacing w:before="0" w:after="0"/>
              <w:ind w:left="0" w:right="0" w:hanging="0"/>
              <w:jc w:val="both"/>
              <w:rPr/>
            </w:pPr>
            <w:r>
              <w:rPr/>
              <w:t>​</w:t>
            </w:r>
          </w:p>
        </w:tc>
        <w:tc>
          <w:tcPr>
            <w:tcW w:w="71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4,011</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12,768</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and 2025, the Company entered into sale-leaseback transactions for three and one properties, respectively, associated with store locations in the RV and Outdoor Retail segment, and received consideration of $11.0 million and $3.5 million of cash, respectively. The Company recorded a loss of $0.6 million for the six months ended June 30, 2026 that was included in loss (gain) on sale or disposal of assets in the condensed consolidated statements of operations. No gain or loss was recorded for the six months ended June 30, 2025. In 2026, the Company entered into a 19-year lease agreement as the lessee with the buyer for two of the properties, and a 12.5-year lease agreement as the lessee with the buyer for one of the properties. In 2025, the Company entered into a 19-year lease agreement as the lessee with the buyer of the property.</w:t>
      </w:r>
    </w:p>
    <w:p>
      <w:pPr>
        <w:pStyle w:val="TextBody"/>
        <w:bidi w:val="0"/>
        <w:spacing w:before="0" w:after="240"/>
        <w:ind w:left="0" w:right="0" w:hanging="0"/>
        <w:jc w:val="left"/>
        <w:rPr>
          <w:rFonts w:ascii="Arial;Helvetica;sans-serif" w:hAnsi="Arial;Helvetica;sans-serif"/>
          <w:b/>
          <w:sz w:val="20"/>
        </w:rPr>
      </w:pPr>
      <w:bookmarkStart w:id="1470" w:name="Tc_x9Co6i6pdUa2-BaPAyE3bQ_6_0"/>
      <w:bookmarkStart w:id="1471" w:name="Tc_W1ejkRna1kSz1L0Ud6QywA_5_0"/>
      <w:bookmarkStart w:id="1472" w:name="Tc_dsujax52p0qoxLRiWMir3g_4_17"/>
      <w:bookmarkStart w:id="1473" w:name="Tc_Fp1ntbwY8UautEQYxWRFmA_4_14"/>
      <w:bookmarkStart w:id="1474" w:name="Tc_pAzQ9EWr7US9wTucSLv3gQ_4_11"/>
      <w:bookmarkStart w:id="1475" w:name="Tc_-AQl-LaUZEuJI-Wbd6QlZQ_4_8"/>
      <w:bookmarkStart w:id="1476" w:name="Tc_5wJp-ZHl1kWn4uimp88k6A_4_5"/>
      <w:bookmarkStart w:id="1477" w:name="Tc_Aifj08PdoUiVkeIOO9MHEA_4_2"/>
      <w:bookmarkStart w:id="1478" w:name="Tc_JJbA5FRKjEuywxxpGq2w0w_4_0"/>
      <w:bookmarkStart w:id="1479" w:name="Tc_Fig42OTaAUGVmI_RhZETxA_3_0"/>
      <w:bookmarkStart w:id="1480" w:name="Tc_fnwZjWgzmk2S49aj24GVbg_2_17"/>
      <w:bookmarkStart w:id="1481" w:name="Tc_tL5WktD2IUaK64fVE0ut-Q_2_14"/>
      <w:bookmarkStart w:id="1482" w:name="Tc__ulWiaUXWUWAk4b2EYM2eg_2_11"/>
      <w:bookmarkStart w:id="1483" w:name="Tc_rCMmB1yqq0OmxvZTr2mQKg_2_8"/>
      <w:bookmarkStart w:id="1484" w:name="Tc_oEKWLxbA8EOHbnNTUSEzXA_2_5"/>
      <w:bookmarkStart w:id="1485" w:name="Tc_L2AhDNEZnkWGefLouuWTOA_2_2"/>
      <w:bookmarkStart w:id="1486" w:name="Tc_kNhacaM2PkilXNeaYBtYOw_2_0"/>
      <w:bookmarkStart w:id="1487" w:name="Tc_2-j1sXriREStpbHfAOlHEQ_1_14"/>
      <w:bookmarkStart w:id="1488" w:name="Tc_v6y6ZuwXT0mGxjk2O5Gt6A_1_8"/>
      <w:bookmarkStart w:id="1489" w:name="Tc_40Hve0dOGkiI71R-9ycnhA_1_2"/>
      <w:bookmarkStart w:id="1490" w:name="_e465cd66_65ba_45bd_8de2_67c12d94b60c"/>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r>
        <w:rPr>
          <w:rFonts w:ascii="Arial;Helvetica;sans-serif" w:hAnsi="Arial;Helvetica;sans-serif"/>
          <w:b/>
          <w:sz w:val="20"/>
        </w:rPr>
        <w:t>10. Fair Value Measurements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Recurring Fair Value Measurements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values and the fair values by level of the Company’s assets and liabilities measured at fair value on a recurring basis: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417"/>
        <w:gridCol w:w="346"/>
        <w:gridCol w:w="349"/>
        <w:gridCol w:w="912"/>
        <w:gridCol w:w="346"/>
        <w:gridCol w:w="196"/>
        <w:gridCol w:w="511"/>
        <w:gridCol w:w="346"/>
        <w:gridCol w:w="349"/>
        <w:gridCol w:w="912"/>
        <w:gridCol w:w="346"/>
        <w:gridCol w:w="196"/>
        <w:gridCol w:w="511"/>
        <w:gridCol w:w="109"/>
        <w:gridCol w:w="349"/>
        <w:gridCol w:w="912"/>
        <w:gridCol w:w="346"/>
        <w:gridCol w:w="196"/>
        <w:gridCol w:w="556"/>
      </w:tblGrid>
      <w:tr>
        <w:trPr/>
        <w:tc>
          <w:tcPr>
            <w:tcW w:w="241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1615" cy="175260"/>
                      <wp:effectExtent l="0" t="0" r="0" b="0"/>
                      <wp:wrapNone/>
                      <wp:docPr id="153" name="Frame15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9120" cy="175260"/>
                      <wp:effectExtent l="0" t="0" r="0" b="0"/>
                      <wp:wrapNone/>
                      <wp:docPr id="154" name="Frame15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4485" cy="175260"/>
                      <wp:effectExtent l="0" t="0" r="0" b="0"/>
                      <wp:wrapNone/>
                      <wp:docPr id="157" name="Frame1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1615" cy="175260"/>
                      <wp:effectExtent l="0" t="0" r="0" b="0"/>
                      <wp:wrapNone/>
                      <wp:docPr id="159" name="Frame15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79120" cy="175260"/>
                      <wp:effectExtent l="0" t="0" r="0" b="0"/>
                      <wp:wrapNone/>
                      <wp:docPr id="160" name="Frame160"/>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4460" cy="175260"/>
                      <wp:effectExtent l="0" t="0" r="0" b="0"/>
                      <wp:wrapNone/>
                      <wp:docPr id="162"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24485" cy="175260"/>
                      <wp:effectExtent l="0" t="0" r="0" b="0"/>
                      <wp:wrapNone/>
                      <wp:docPr id="163" name="Frame16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1615" cy="175260"/>
                      <wp:effectExtent l="0" t="0" r="0" b="0"/>
                      <wp:wrapNone/>
                      <wp:docPr id="165" name="Frame16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79120" cy="175260"/>
                      <wp:effectExtent l="0" t="0" r="0" b="0"/>
                      <wp:wrapNone/>
                      <wp:docPr id="166" name="Frame16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8" name="Frame1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53060" cy="175260"/>
                      <wp:effectExtent l="0" t="0" r="0" b="0"/>
                      <wp:wrapNone/>
                      <wp:docPr id="169" name="Frame16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41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3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23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2025</w:t>
            </w:r>
          </w:p>
        </w:tc>
        <w:tc>
          <w:tcPr>
            <w:tcW w:w="109" w:type="dxa"/>
            <w:tcBorders/>
            <w:vAlign w:val="center"/>
          </w:tcPr>
          <w:p>
            <w:pPr>
              <w:pStyle w:val="TableContents"/>
              <w:bidi w:val="0"/>
              <w:spacing w:before="0" w:after="0"/>
              <w:ind w:left="0" w:right="0" w:hanging="0"/>
              <w:jc w:val="center"/>
              <w:rPr/>
            </w:pPr>
            <w:r>
              <w:rPr/>
              <w:t>​</w:t>
            </w:r>
          </w:p>
        </w:tc>
        <w:tc>
          <w:tcPr>
            <w:tcW w:w="2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2025</w:t>
            </w:r>
          </w:p>
        </w:tc>
      </w:tr>
      <w:tr>
        <w:trPr/>
        <w:tc>
          <w:tcPr>
            <w:tcW w:w="2417"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 Value</w:t>
            </w:r>
          </w:p>
        </w:tc>
        <w:tc>
          <w:tcPr>
            <w:tcW w:w="346" w:type="dxa"/>
            <w:tcBorders/>
            <w:vAlign w:val="center"/>
          </w:tcPr>
          <w:p>
            <w:pPr>
              <w:pStyle w:val="TableContents"/>
              <w:bidi w:val="0"/>
              <w:spacing w:before="0" w:after="0"/>
              <w:ind w:left="0" w:right="0" w:hanging="0"/>
              <w:jc w:val="both"/>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46" w:type="dxa"/>
            <w:tcBorders/>
            <w:vAlign w:val="center"/>
          </w:tcPr>
          <w:p>
            <w:pPr>
              <w:pStyle w:val="TableContents"/>
              <w:bidi w:val="0"/>
              <w:spacing w:before="0" w:after="0"/>
              <w:ind w:left="0" w:right="0" w:hanging="0"/>
              <w:jc w:val="both"/>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 Value</w:t>
            </w:r>
          </w:p>
        </w:tc>
        <w:tc>
          <w:tcPr>
            <w:tcW w:w="346" w:type="dxa"/>
            <w:tcBorders/>
            <w:vAlign w:val="center"/>
          </w:tcPr>
          <w:p>
            <w:pPr>
              <w:pStyle w:val="TableContents"/>
              <w:bidi w:val="0"/>
              <w:spacing w:before="0" w:after="0"/>
              <w:ind w:left="0" w:right="0" w:hanging="0"/>
              <w:jc w:val="both"/>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109" w:type="dxa"/>
            <w:tcBorders/>
            <w:vAlign w:val="center"/>
          </w:tcPr>
          <w:p>
            <w:pPr>
              <w:pStyle w:val="TableContents"/>
              <w:bidi w:val="0"/>
              <w:spacing w:before="0" w:after="0"/>
              <w:ind w:left="0" w:right="0" w:hanging="0"/>
              <w:jc w:val="righ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 Value</w:t>
            </w:r>
          </w:p>
        </w:tc>
        <w:tc>
          <w:tcPr>
            <w:tcW w:w="346" w:type="dxa"/>
            <w:tcBorders/>
            <w:vAlign w:val="center"/>
          </w:tcPr>
          <w:p>
            <w:pPr>
              <w:pStyle w:val="TableContents"/>
              <w:bidi w:val="0"/>
              <w:spacing w:before="0" w:after="0"/>
              <w:ind w:left="0" w:right="0" w:hanging="0"/>
              <w:jc w:val="both"/>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241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349" w:type="dxa"/>
            <w:tcBorders/>
            <w:shd w:fill="CCEEFF" w:val="clear"/>
            <w:vAlign w:val="center"/>
          </w:tcPr>
          <w:p>
            <w:pPr>
              <w:pStyle w:val="TableContents"/>
              <w:bidi w:val="0"/>
              <w:spacing w:before="0" w:after="0"/>
              <w:ind w:left="0" w:right="0" w:hanging="0"/>
              <w:jc w:val="center"/>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349"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56" w:type="dxa"/>
            <w:tcBorders/>
            <w:shd w:fill="CCEEFF" w:val="clear"/>
            <w:vAlign w:val="center"/>
          </w:tcPr>
          <w:p>
            <w:pPr>
              <w:pStyle w:val="TableContents"/>
              <w:bidi w:val="0"/>
              <w:spacing w:before="0" w:after="0"/>
              <w:ind w:left="0" w:right="0" w:hanging="0"/>
              <w:jc w:val="right"/>
              <w:rPr/>
            </w:pPr>
            <w:r>
              <w:rPr/>
              <w:t>​</w:t>
            </w:r>
          </w:p>
        </w:tc>
      </w:tr>
      <w:tr>
        <w:trPr/>
        <w:tc>
          <w:tcPr>
            <w:tcW w:w="241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Derived participation investment </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3,302</w:t>
            </w:r>
          </w:p>
        </w:tc>
        <w:tc>
          <w:tcPr>
            <w:tcW w:w="346" w:type="dxa"/>
            <w:tcBorders/>
            <w:vAlign w:val="center"/>
          </w:tcPr>
          <w:p>
            <w:pPr>
              <w:pStyle w:val="TableContents"/>
              <w:bidi w:val="0"/>
              <w:spacing w:before="0" w:after="0"/>
              <w:ind w:left="0" w:right="0" w:hanging="0"/>
              <w:jc w:val="both"/>
              <w:rPr/>
            </w:pPr>
            <w:r>
              <w:rPr/>
              <w:t>​</w:t>
            </w:r>
          </w:p>
        </w:tc>
        <w:tc>
          <w:tcPr>
            <w:tcW w:w="3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3,321</w:t>
            </w:r>
          </w:p>
        </w:tc>
        <w:tc>
          <w:tcPr>
            <w:tcW w:w="109"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6,001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6,001</w:t>
            </w:r>
          </w:p>
        </w:tc>
      </w:tr>
      <w:tr>
        <w:trPr/>
        <w:tc>
          <w:tcPr>
            <w:tcW w:w="241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349"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349"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49"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56" w:type="dxa"/>
            <w:tcBorders/>
            <w:shd w:fill="CCEEFF" w:val="clear"/>
            <w:vAlign w:val="center"/>
          </w:tcPr>
          <w:p>
            <w:pPr>
              <w:pStyle w:val="TableContents"/>
              <w:bidi w:val="0"/>
              <w:spacing w:before="0" w:after="0"/>
              <w:ind w:left="0" w:right="0" w:hanging="0"/>
              <w:jc w:val="both"/>
              <w:rPr/>
            </w:pPr>
            <w:r>
              <w:rPr/>
              <w:t>​</w:t>
            </w:r>
          </w:p>
        </w:tc>
      </w:tr>
      <w:tr>
        <w:trPr/>
        <w:tc>
          <w:tcPr>
            <w:tcW w:w="241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Acquisition-related contingent consideration </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349"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349"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349"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368</w:t>
            </w:r>
          </w:p>
        </w:tc>
      </w:tr>
    </w:tbl>
    <w:tbl>
      <w:tblPr>
        <w:tblW w:w="8087" w:type="dxa"/>
        <w:jc w:val="left"/>
        <w:tblInd w:w="0" w:type="dxa"/>
        <w:tblLayout w:type="fixed"/>
        <w:tblCellMar>
          <w:top w:w="0" w:type="dxa"/>
          <w:left w:w="0" w:type="dxa"/>
          <w:bottom w:w="0" w:type="dxa"/>
          <w:right w:w="0" w:type="dxa"/>
        </w:tblCellMar>
      </w:tblPr>
      <w:tblGrid>
        <w:gridCol w:w="241"/>
        <w:gridCol w:w="7846"/>
      </w:tblGrid>
      <w:tr>
        <w:trPr/>
        <w:tc>
          <w:tcPr>
            <w:tcW w:w="241" w:type="dxa"/>
            <w:tcBorders/>
            <w:vAlign w:val="center"/>
          </w:tcPr>
          <w:p>
            <w:pPr>
              <w:pStyle w:val="TableContents"/>
              <w:bidi w:val="0"/>
              <w:spacing w:before="0" w:after="283"/>
              <w:jc w:val="left"/>
              <w:rPr>
                <w:rFonts w:ascii="Arial;Helvetica;sans-serif" w:hAnsi="Arial;Helvetica;sans-serif"/>
                <w:sz w:val="11"/>
              </w:rPr>
            </w:pPr>
            <w:r>
              <w:rPr>
                <w:rFonts w:ascii="Arial;Helvetica;sans-serif" w:hAnsi="Arial;Helvetica;sans-serif"/>
                <w:sz w:val="11"/>
              </w:rPr>
              <w:t>(1)</w:t>
            </w:r>
          </w:p>
        </w:tc>
        <w:tc>
          <w:tcPr>
            <w:tcW w:w="7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Derived participation investment was included in other assets in the accompanying condensed consolidated balance sheets.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Arial;Helvetica;sans-serif" w:hAnsi="Arial;Helvetica;sans-serif"/>
                <w:sz w:val="11"/>
              </w:rPr>
            </w:pPr>
            <w:r>
              <w:rPr>
                <w:rFonts w:ascii="Arial;Helvetica;sans-serif" w:hAnsi="Arial;Helvetica;sans-serif"/>
                <w:sz w:val="11"/>
              </w:rPr>
              <w:t>(2)</w:t>
            </w:r>
          </w:p>
        </w:tc>
        <w:tc>
          <w:tcPr>
            <w:tcW w:w="996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June 30, 2025, the $0.4</w:t>
            </w:r>
            <w:r>
              <w:rPr>
                <w:caps w:val="false"/>
                <w:smallCaps w:val="false"/>
              </w:rPr>
              <w:t xml:space="preserve"> </w:t>
            </w:r>
            <w:r>
              <w:rPr>
                <w:rFonts w:ascii="Arial;Helvetica;sans-serif" w:hAnsi="Arial;Helvetica;sans-serif"/>
                <w:b w:val="false"/>
                <w:i w:val="false"/>
                <w:caps w:val="false"/>
                <w:smallCaps w:val="false"/>
                <w:sz w:val="14"/>
              </w:rPr>
              <w:t>million of acquisition-related contingent consideration was included in accrued liabilities in the accompanying condensed consolidated balance sheets.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360"/>
        <w:jc w:val="both"/>
        <w:rPr>
          <w:rFonts w:ascii="Arial;Helvetica;sans-serif" w:hAnsi="Arial;Helvetica;sans-serif"/>
          <w:sz w:val="20"/>
        </w:rPr>
      </w:pPr>
      <w:bookmarkStart w:id="1491" w:name="Tc_y8-X9_0n20aKAkOVo_07QA_13_6"/>
      <w:bookmarkStart w:id="1492" w:name="Tc_USXIogHccU2hFtQ8_DVThA_13_5"/>
      <w:bookmarkStart w:id="1493" w:name="Tc_mvk60vcYg02gMbUiR3b2Mw_13_2"/>
      <w:bookmarkStart w:id="1494" w:name="Tc_KvHzuUngZUmwr0UNY9-ZpA_13_0"/>
      <w:bookmarkStart w:id="1495" w:name="Tc_Q4ndKw1-v0C3S74LS_Hwrw_12_6"/>
      <w:bookmarkStart w:id="1496" w:name="Tc_zJMofdKQHE6YdhQmLmBpXg_12_0"/>
      <w:bookmarkStart w:id="1497" w:name="Tc_2mrsT0fmbEu2BFK1BZZ16Q_11_6"/>
      <w:bookmarkStart w:id="1498" w:name="Tc_v7d5VmCgVkiOjmet91IXMA_11_0"/>
      <w:bookmarkStart w:id="1499" w:name="Tc_C0Rbc2rFRkScAoCpBZaHhQ_9_6"/>
      <w:bookmarkStart w:id="1500" w:name="Tc_XOq6MFP9D0CSVPb2I8wWRg_9_0"/>
      <w:bookmarkStart w:id="1501" w:name="Tc_0l3VAda-yUSSrFoEkIU5Fg_8_0"/>
      <w:bookmarkStart w:id="1502" w:name="Tc_gmeY5HtP0UK9EBNFB2oEzA_7_6"/>
      <w:bookmarkStart w:id="1503" w:name="Tc_cElE-P9PLEu_KEwaOcy_rA_7_0"/>
      <w:bookmarkStart w:id="1504" w:name="Tc_sOErUd9S7Ey-BIqmuw9Vvw_6_0"/>
      <w:bookmarkStart w:id="1505" w:name="Tc_dWg8mXLrzEKOWpFb-cTSxw_5_6"/>
      <w:bookmarkStart w:id="1506" w:name="Tc_aus_yF4Pfk6-eplqV2JCCg_4_6"/>
      <w:bookmarkStart w:id="1507" w:name="Tc_7-AIpqUys0KRg7QQHaKfZg_4_0"/>
      <w:bookmarkStart w:id="1508" w:name="Tc_-jcP4I2cNU-b-EsmvDyW_w_3_6"/>
      <w:bookmarkStart w:id="1509" w:name="Tc_5wOqUPr52ECNmUdi7mv5WQ_3_0"/>
      <w:bookmarkStart w:id="1510" w:name="Tc_e5HE-G8Hq0inXhJTSo6F2Q_2_5"/>
      <w:bookmarkStart w:id="1511" w:name="Tc_WreDyr4YdkuMQ4tOmFAHGw_2_2"/>
      <w:bookmarkStart w:id="1512" w:name="Tc_PGM6te6vSU2Dw5qD2W_56g_2_0"/>
      <w:bookmarkStart w:id="1513" w:name="Tc_HZhWu9XcG0OjLu9ueoqCgA_1_5"/>
      <w:bookmarkStart w:id="1514" w:name="Tc__S0enYFHrUakJsuDvQ7u-w_1_2"/>
      <w:bookmarkStart w:id="1515" w:name="Tc_FMYPOZTXsUuKwQuHfmZTQQ_1_0"/>
      <w:bookmarkStart w:id="1516" w:name="_c61f7658_4471_4874_851b_b47b2400e4d8"/>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Arial;Helvetica;sans-serif" w:hAnsi="Arial;Helvetica;sans-serif"/>
          <w:sz w:val="20"/>
        </w:rPr>
        <w:t>The following table presents fair value measurements using significant unobservable inputs (Level 3):</w:t>
      </w:r>
    </w:p>
    <w:tbl>
      <w:tblPr>
        <w:tblW w:w="10205" w:type="dxa"/>
        <w:jc w:val="left"/>
        <w:tblInd w:w="0" w:type="dxa"/>
        <w:tblLayout w:type="fixed"/>
        <w:tblCellMar>
          <w:top w:w="0" w:type="dxa"/>
          <w:left w:w="0" w:type="dxa"/>
          <w:bottom w:w="0" w:type="dxa"/>
          <w:right w:w="0" w:type="dxa"/>
        </w:tblCellMar>
      </w:tblPr>
      <w:tblGrid>
        <w:gridCol w:w="3413"/>
        <w:gridCol w:w="346"/>
        <w:gridCol w:w="615"/>
        <w:gridCol w:w="1888"/>
        <w:gridCol w:w="346"/>
        <w:gridCol w:w="1029"/>
        <w:gridCol w:w="2568"/>
      </w:tblGrid>
      <w:tr>
        <w:trPr/>
        <w:tc>
          <w:tcPr>
            <w:tcW w:w="3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67255" cy="175260"/>
                      <wp:effectExtent l="0" t="0" r="0" b="0"/>
                      <wp:wrapNone/>
                      <wp:docPr id="170" name="Frame170"/>
                      <a:graphic xmlns:a="http://schemas.openxmlformats.org/drawingml/2006/main">
                        <a:graphicData uri="http://schemas.microsoft.com/office/word/2010/wordprocessingShape">
                          <wps:wsp>
                            <wps:cNvSpPr txBox="1"/>
                            <wps:spPr>
                              <a:xfrm>
                                <a:off x="0" y="0"/>
                                <a:ext cx="21672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90525" cy="175260"/>
                      <wp:effectExtent l="0" t="0" r="0" b="0"/>
                      <wp:wrapNone/>
                      <wp:docPr id="172" name="Frame17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98880" cy="175260"/>
                      <wp:effectExtent l="0" t="0" r="0" b="0"/>
                      <wp:wrapNone/>
                      <wp:docPr id="173" name="Frame173"/>
                      <a:graphic xmlns:a="http://schemas.openxmlformats.org/drawingml/2006/main">
                        <a:graphicData uri="http://schemas.microsoft.com/office/word/2010/wordprocessingShape">
                          <wps:wsp>
                            <wps:cNvSpPr txBox="1"/>
                            <wps:spPr>
                              <a:xfrm>
                                <a:off x="0" y="0"/>
                                <a:ext cx="1198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53415" cy="175260"/>
                      <wp:effectExtent l="0" t="0" r="0" b="0"/>
                      <wp:wrapNone/>
                      <wp:docPr id="175" name="Frame175"/>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30680" cy="175260"/>
                      <wp:effectExtent l="0" t="0" r="0" b="0"/>
                      <wp:wrapNone/>
                      <wp:docPr id="176" name="Frame176"/>
                      <a:graphic xmlns:a="http://schemas.openxmlformats.org/drawingml/2006/main">
                        <a:graphicData uri="http://schemas.microsoft.com/office/word/2010/wordprocessingShape">
                          <wps:wsp>
                            <wps:cNvSpPr txBox="1"/>
                            <wps:spPr>
                              <a:xfrm>
                                <a:off x="0" y="0"/>
                                <a:ext cx="16306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413"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center"/>
              <w:rPr/>
            </w:pPr>
            <w:r>
              <w:rPr/>
              <w:t>  ​ ​ ​</w:t>
            </w:r>
          </w:p>
        </w:tc>
        <w:tc>
          <w:tcPr>
            <w:tcW w:w="2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Derived Participation Investment</w:t>
            </w:r>
          </w:p>
        </w:tc>
        <w:tc>
          <w:tcPr>
            <w:tcW w:w="346" w:type="dxa"/>
            <w:tcBorders/>
            <w:vAlign w:val="center"/>
          </w:tcPr>
          <w:p>
            <w:pPr>
              <w:pStyle w:val="TableContents"/>
              <w:bidi w:val="0"/>
              <w:spacing w:before="0" w:after="0"/>
              <w:ind w:left="0" w:right="0" w:hanging="0"/>
              <w:jc w:val="both"/>
              <w:rPr/>
            </w:pPr>
            <w:r>
              <w:rPr/>
              <w:t>  ​ ​ ​</w:t>
            </w:r>
          </w:p>
        </w:tc>
        <w:tc>
          <w:tcPr>
            <w:tcW w:w="3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Acquisition-Related Contingent Consideration</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Beginning balance as of January 1, 2025</w:t>
            </w:r>
          </w:p>
        </w:tc>
        <w:tc>
          <w:tcPr>
            <w:tcW w:w="346" w:type="dxa"/>
            <w:tcBorders/>
            <w:shd w:fill="CCEEFF" w:val="clear"/>
            <w:vAlign w:val="center"/>
          </w:tcPr>
          <w:p>
            <w:pPr>
              <w:pStyle w:val="TableContents"/>
              <w:bidi w:val="0"/>
              <w:spacing w:before="0" w:after="0"/>
              <w:ind w:left="0" w:right="0" w:hanging="0"/>
              <w:jc w:val="center"/>
              <w:rPr/>
            </w:pPr>
            <w:r>
              <w:rPr/>
              <w:t>​</w:t>
            </w:r>
          </w:p>
        </w:tc>
        <w:tc>
          <w:tcPr>
            <w:tcW w:w="615"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5,992</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Settlements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pPr>
            <w:r>
              <w:rPr/>
              <w:t>—</w:t>
            </w:r>
          </w:p>
        </w:tc>
      </w:tr>
      <w:tr>
        <w:trPr/>
        <w:tc>
          <w:tcPr>
            <w:tcW w:w="3413"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Gains included in earnings</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both"/>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w:t>
            </w:r>
          </w:p>
        </w:tc>
        <w:tc>
          <w:tcPr>
            <w:tcW w:w="346" w:type="dxa"/>
            <w:tcBorders/>
            <w:vAlign w:val="center"/>
          </w:tcPr>
          <w:p>
            <w:pPr>
              <w:pStyle w:val="TableContents"/>
              <w:bidi w:val="0"/>
              <w:spacing w:before="0" w:after="0"/>
              <w:ind w:left="0" w:right="0" w:hanging="0"/>
              <w:jc w:val="both"/>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June 30, 2025</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6,001</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3,475</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Settlements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413"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In transit exchanges for new securities</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(5,708)</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Gains included in earnings</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December 31, 2025</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3,321</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Losses included in earnings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June 30, 2026</w:t>
            </w:r>
          </w:p>
        </w:tc>
        <w:tc>
          <w:tcPr>
            <w:tcW w:w="346" w:type="dxa"/>
            <w:tcBorders/>
            <w:vAlign w:val="center"/>
          </w:tcPr>
          <w:p>
            <w:pPr>
              <w:pStyle w:val="TableContents"/>
              <w:bidi w:val="0"/>
              <w:spacing w:before="0" w:after="0"/>
              <w:ind w:left="0" w:right="0" w:hanging="0"/>
              <w:jc w:val="both"/>
              <w:rPr/>
            </w:pPr>
            <w:r>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88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3,302</w:t>
            </w:r>
          </w:p>
        </w:tc>
        <w:tc>
          <w:tcPr>
            <w:tcW w:w="346" w:type="dxa"/>
            <w:tcBorders/>
            <w:vAlign w:val="center"/>
          </w:tcPr>
          <w:p>
            <w:pPr>
              <w:pStyle w:val="TableContents"/>
              <w:bidi w:val="0"/>
              <w:spacing w:before="0" w:after="0"/>
              <w:ind w:left="0" w:right="0" w:hanging="0"/>
              <w:jc w:val="both"/>
              <w:rPr/>
            </w:pPr>
            <w:r>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2568"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Gains related to the derived participation investment represent an increase in the asset. Gains related to the acquisition-related contingent consideration represent a decrease in the liability.</w:t>
            </w:r>
          </w:p>
        </w:tc>
      </w:tr>
    </w:tbl>
    <w:tbl>
      <w:tblPr>
        <w:tblW w:w="5192" w:type="dxa"/>
        <w:jc w:val="left"/>
        <w:tblInd w:w="0" w:type="dxa"/>
        <w:tblLayout w:type="fixed"/>
        <w:tblCellMar>
          <w:top w:w="0" w:type="dxa"/>
          <w:left w:w="0" w:type="dxa"/>
          <w:bottom w:w="0" w:type="dxa"/>
          <w:right w:w="0" w:type="dxa"/>
        </w:tblCellMar>
      </w:tblPr>
      <w:tblGrid>
        <w:gridCol w:w="271"/>
        <w:gridCol w:w="492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492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Securitization proceeds held by issuer to be exchanged for new investment.</w:t>
            </w:r>
            <w:r>
              <w:rPr>
                <w:caps w:val="false"/>
                <w:smallCaps w:val="false"/>
              </w:rPr>
              <w:t xml:space="preserve"> </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Derived Participation Investment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six months ended June 30, 2026.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July 2026, the $5.7 million amount listed above as “In transit exchanges for new securities” was reinvested along with an additional $2.0 million in the residual interest of a previously securitized Derived Participation Investment.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Additionally, as of June 30, 2026 and December 31, 2025, the Company held a $7.5 million investment in a preferred interest of this consumer financing partner, which operates a captive-as-a-service business specializing in financing for RVs and powersports. Since this investment did not have a readily determinable fair value, it was recorded at its cost less impairments, if any.</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Contingent Consideration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was categorized as a Level 3 measurement and there was no significant change in unrealized gains or losses during the six months ended June 30, 2025. Based on milestones reached, the first milestone payment was determined to be $0.1 million and was paid in October 2025. The milestones relating to the second milestone payment could not be reached and did not result in any further milestone payments.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bookmarkStart w:id="1517" w:name="Tc_5FUBHuiXZEGwl24Zm3iR0Q_5_2"/>
      <w:bookmarkStart w:id="1518" w:name="Tc_4KbrkLkY4UCenYfte-VT7A_5_0"/>
      <w:bookmarkStart w:id="1519" w:name="Tc_jM5LeHvmfUyqr6LDCdYcFQ_4_2"/>
      <w:bookmarkStart w:id="1520" w:name="Tc_al-eMd7TiUGHAXgjv4x0Gw_4_0"/>
      <w:bookmarkStart w:id="1521" w:name="Tc_diU4HLXmTUa4YV356NUzUQ_3_19"/>
      <w:bookmarkStart w:id="1522" w:name="Tc_7ONMZv7BvEaKwbJBMel_OA_3_16"/>
      <w:bookmarkStart w:id="1523" w:name="Tc_aN9t1HrJukmq-xXE8FsO0w_3_13"/>
      <w:bookmarkStart w:id="1524" w:name="Tc_Fg1XSG3LTki-NKcBKza6Rg_3_10"/>
      <w:bookmarkStart w:id="1525" w:name="Tc_0t52GSVdtEG1nGQEhbeCmA_3_7"/>
      <w:bookmarkStart w:id="1526" w:name="Tc_VtoMaHXJ206OHc68LJeqZQ_3_4"/>
      <w:bookmarkStart w:id="1527" w:name="Tc_BeY6NDnlRE2_0EmjmQhsTg_3_2"/>
      <w:bookmarkStart w:id="1528" w:name="Tc_G7fOC21jEkK3eoEbBQTGfA_3_0"/>
      <w:bookmarkStart w:id="1529" w:name="Tc_dyWAaPlY2U-UQTgSSvNO_w_2_19"/>
      <w:bookmarkStart w:id="1530" w:name="Tc_Owt67UImSUOYhaGdjQFilA_2_16"/>
      <w:bookmarkStart w:id="1531" w:name="Tc_WiYyyYODKkqD-2RZRLqdQw_2_13"/>
      <w:bookmarkStart w:id="1532" w:name="Tc_ryg3bY_z40aKPNfSmX_GFw_2_10"/>
      <w:bookmarkStart w:id="1533" w:name="Tc_1AiR9USZek6xsDbzI5ws2g_2_7"/>
      <w:bookmarkStart w:id="1534" w:name="Tc_E5nAS7l0TEmr69U3BdT21g_2_4"/>
      <w:bookmarkStart w:id="1535" w:name="Tc_bJxdjyFcp0CIBRMcnOyy-g_2_2"/>
      <w:bookmarkStart w:id="1536" w:name="Tc_V5QiIiG3fkSh9g0RAhu7Mw_2_0"/>
      <w:bookmarkStart w:id="1537" w:name="Tc_7z_A-cA7_0mcgQHqom8UXQ_1_16"/>
      <w:bookmarkStart w:id="1538" w:name="Tc_xGt2AZGheUaD_BW54tGMTQ_1_10"/>
      <w:bookmarkStart w:id="1539" w:name="Tc_AoyVpJsrZ0CyzmRkUiujUw_1_4"/>
      <w:bookmarkStart w:id="1540" w:name="Tc_XYbSGpm8MUyBrnfwVrxRgg_1_2"/>
      <w:bookmarkStart w:id="1541" w:name="_a07a35b7_10fa_447a_af9f_e513c097e30a_3"/>
      <w:bookmarkStart w:id="1542" w:name="_a07a35b7_10fa_447a_af9f_e513c097e30a_2"/>
      <w:bookmarkStart w:id="1543" w:name="_a07a35b7_10fa_447a_af9f_e513c097e30a"/>
      <w:bookmarkStart w:id="1544" w:name="_937186dc_9733_49a8_add2_2bcbf33a9d83_3"/>
      <w:bookmarkStart w:id="1545" w:name="_937186dc_9733_49a8_add2_2bcbf33a9d83_2"/>
      <w:bookmarkStart w:id="1546" w:name="_937186dc_9733_49a8_add2_2bcbf33a9d83"/>
      <w:bookmarkStart w:id="1547" w:name="_f388b4e0_11f9_4f9c_b0fe_4ee182f654c9_3"/>
      <w:bookmarkStart w:id="1548" w:name="_f388b4e0_11f9_4f9c_b0fe_4ee182f654c9_2"/>
      <w:bookmarkStart w:id="1549" w:name="_f388b4e0_11f9_4f9c_b0fe_4ee182f654c9"/>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Pr>
          <w:rFonts w:ascii="Arial;Helvetica;sans-serif" w:hAnsi="Arial;Helvetica;sans-serif"/>
          <w:i/>
          <w:sz w:val="20"/>
        </w:rPr>
        <w:t xml:space="preserve">Other Fair Value Disclosures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transfers of assets or liabilities between the fair value measurement levels and there were no material re-measurements to fair value during 2026 and 2025 of assets and liabilities that are not measured at fair value on a recurring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the Real Estate Facilities and the Other Long-Term Debt are estimated by discounting the future contractual cash flows at the current market interest rate that is available based on similar financial instruments.</w:t>
      </w:r>
    </w:p>
    <w:p>
      <w:pPr>
        <w:pStyle w:val="TextBody"/>
        <w:bidi w:val="0"/>
        <w:spacing w:before="0" w:after="0"/>
        <w:ind w:left="0" w:right="0" w:hanging="0"/>
        <w:jc w:val="both"/>
        <w:rPr/>
      </w:pPr>
      <w:r>
        <w:rPr/>
        <w:t>​</w:t>
      </w:r>
    </w:p>
    <w:tbl>
      <w:tblPr>
        <w:tblW w:w="9909" w:type="dxa"/>
        <w:jc w:val="left"/>
        <w:tblInd w:w="0" w:type="dxa"/>
        <w:tblLayout w:type="fixed"/>
        <w:tblCellMar>
          <w:top w:w="0" w:type="dxa"/>
          <w:left w:w="0" w:type="dxa"/>
          <w:bottom w:w="0" w:type="dxa"/>
          <w:right w:w="0" w:type="dxa"/>
        </w:tblCellMar>
      </w:tblPr>
      <w:tblGrid>
        <w:gridCol w:w="1486"/>
        <w:gridCol w:w="346"/>
        <w:gridCol w:w="781"/>
        <w:gridCol w:w="346"/>
        <w:gridCol w:w="181"/>
        <w:gridCol w:w="721"/>
        <w:gridCol w:w="346"/>
        <w:gridCol w:w="181"/>
        <w:gridCol w:w="721"/>
        <w:gridCol w:w="346"/>
        <w:gridCol w:w="181"/>
        <w:gridCol w:w="721"/>
        <w:gridCol w:w="346"/>
        <w:gridCol w:w="181"/>
        <w:gridCol w:w="721"/>
        <w:gridCol w:w="109"/>
        <w:gridCol w:w="181"/>
        <w:gridCol w:w="721"/>
        <w:gridCol w:w="346"/>
        <w:gridCol w:w="181"/>
        <w:gridCol w:w="76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43610" cy="175260"/>
                      <wp:effectExtent l="0" t="0" r="0" b="0"/>
                      <wp:wrapNone/>
                      <wp:docPr id="177" name="Frame17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4935" cy="175260"/>
                      <wp:effectExtent l="0" t="0" r="0" b="0"/>
                      <wp:wrapNone/>
                      <wp:docPr id="181"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7835" cy="175260"/>
                      <wp:effectExtent l="0" t="0" r="0" b="0"/>
                      <wp:wrapNone/>
                      <wp:docPr id="182" name="Frame1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4935" cy="175260"/>
                      <wp:effectExtent l="0" t="0" r="0" b="0"/>
                      <wp:wrapNone/>
                      <wp:docPr id="184" name="Frame1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7835" cy="175260"/>
                      <wp:effectExtent l="0" t="0" r="0" b="0"/>
                      <wp:wrapNone/>
                      <wp:docPr id="185" name="Frame18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4935" cy="175260"/>
                      <wp:effectExtent l="0" t="0" r="0" b="0"/>
                      <wp:wrapNone/>
                      <wp:docPr id="187"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57835" cy="175260"/>
                      <wp:effectExtent l="0" t="0" r="0" b="0"/>
                      <wp:wrapNone/>
                      <wp:docPr id="188" name="Frame18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4935" cy="175260"/>
                      <wp:effectExtent l="0" t="0" r="0" b="0"/>
                      <wp:wrapNone/>
                      <wp:docPr id="190" name="Frame1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57835" cy="175260"/>
                      <wp:effectExtent l="0" t="0" r="0" b="0"/>
                      <wp:wrapNone/>
                      <wp:docPr id="191" name="Frame1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4935" cy="175260"/>
                      <wp:effectExtent l="0" t="0" r="0" b="0"/>
                      <wp:wrapNone/>
                      <wp:docPr id="193" name="Frame1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57835" cy="175260"/>
                      <wp:effectExtent l="0" t="0" r="0" b="0"/>
                      <wp:wrapNone/>
                      <wp:docPr id="194" name="Frame1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4935" cy="175260"/>
                      <wp:effectExtent l="0" t="0" r="0" b="0"/>
                      <wp:wrapNone/>
                      <wp:docPr id="196"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86410" cy="175260"/>
                      <wp:effectExtent l="0" t="0" r="0" b="0"/>
                      <wp:wrapNone/>
                      <wp:docPr id="197" name="Frame19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June 30, 2026</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December 31, 2025</w:t>
            </w:r>
          </w:p>
        </w:tc>
        <w:tc>
          <w:tcPr>
            <w:tcW w:w="109" w:type="dxa"/>
            <w:tcBorders/>
            <w:vAlign w:val="center"/>
          </w:tcPr>
          <w:p>
            <w:pPr>
              <w:pStyle w:val="TableContents"/>
              <w:bidi w:val="0"/>
              <w:spacing w:before="0" w:after="0"/>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June 30, 2025</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46" w:type="dxa"/>
            <w:tcBorders/>
            <w:vAlign w:val="center"/>
          </w:tcPr>
          <w:p>
            <w:pPr>
              <w:pStyle w:val="TableContents"/>
              <w:bidi w:val="0"/>
              <w:spacing w:before="0" w:after="0"/>
              <w:ind w:left="0" w:right="0" w:hanging="0"/>
              <w:jc w:val="both"/>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Measurement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r>
      <w:tr>
        <w:trPr/>
        <w:tc>
          <w:tcPr>
            <w:tcW w:w="148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Term Loan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Level 2</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1,286,597</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1,232,752</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1,285,475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1,330,401</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1,311,749</w:t>
            </w:r>
          </w:p>
        </w:tc>
      </w:tr>
      <w:tr>
        <w:trPr/>
        <w:tc>
          <w:tcPr>
            <w:tcW w:w="1486"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Real Estate Facilities</w:t>
            </w:r>
          </w:p>
        </w:tc>
        <w:tc>
          <w:tcPr>
            <w:tcW w:w="34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Level 2</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111,281</w:t>
            </w:r>
          </w:p>
        </w:tc>
        <w:tc>
          <w:tcPr>
            <w:tcW w:w="34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112,544</w:t>
            </w:r>
          </w:p>
        </w:tc>
        <w:tc>
          <w:tcPr>
            <w:tcW w:w="34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155,137</w:t>
            </w:r>
          </w:p>
        </w:tc>
        <w:tc>
          <w:tcPr>
            <w:tcW w:w="34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158,203</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168,332</w:t>
            </w:r>
          </w:p>
        </w:tc>
        <w:tc>
          <w:tcPr>
            <w:tcW w:w="34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173,163</w:t>
            </w:r>
          </w:p>
        </w:tc>
      </w:tr>
      <w:tr>
        <w:trPr/>
        <w:tc>
          <w:tcPr>
            <w:tcW w:w="1486"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Other Long-Term Debt</w:t>
            </w:r>
          </w:p>
        </w:tc>
        <w:tc>
          <w:tcPr>
            <w:tcW w:w="34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Level 2</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7,417</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6,444</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7,588</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6,622</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7,760</w:t>
            </w:r>
          </w:p>
        </w:tc>
        <w:tc>
          <w:tcPr>
            <w:tcW w:w="346"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6,589</w:t>
            </w:r>
          </w:p>
        </w:tc>
      </w:tr>
    </w:tbl>
    <w:p>
      <w:pPr>
        <w:pStyle w:val="TextBody"/>
        <w:bidi w:val="0"/>
        <w:spacing w:before="0" w:after="0"/>
        <w:ind w:left="0" w:right="0" w:firstLine="720"/>
        <w:jc w:val="both"/>
        <w:rPr/>
      </w:pPr>
      <w:r>
        <w:rPr/>
        <w:t>​</w:t>
      </w:r>
    </w:p>
    <w:p>
      <w:pPr>
        <w:pStyle w:val="TextBody"/>
        <w:bidi w:val="0"/>
        <w:spacing w:lineRule="auto" w:line="304" w:before="0" w:after="0"/>
        <w:ind w:left="360" w:right="0" w:hanging="0"/>
        <w:jc w:val="both"/>
        <w:rPr>
          <w:spacing w:val="-3"/>
        </w:rPr>
      </w:pPr>
      <w:r>
        <w:rPr>
          <w:spacing w:val="-3"/>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11. Commitments and Contingencies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Litigation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Siverd Complaint and Shareholder Derivative Litigation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March 10, 2026, a purported stockholder of the Company filed a putative class action lawsuit captioned </w:t>
      </w:r>
      <w:r>
        <w:rPr>
          <w:rFonts w:ascii="Arial;Helvetica;sans-serif" w:hAnsi="Arial;Helvetica;sans-serif"/>
          <w:i/>
          <w:sz w:val="20"/>
        </w:rPr>
        <w:t>Siverd v. Camping World Holdings, Inc., et al.</w:t>
      </w:r>
      <w:r>
        <w:rPr>
          <w:rFonts w:ascii="Arial;Helvetica;sans-serif" w:hAnsi="Arial;Helvetica;sans-serif"/>
          <w:sz w:val="20"/>
        </w:rPr>
        <w:t>, in the United States District Court for the Northern District of Illinois against Camping World Holdings, Inc. and certain current and former officers (“Individual Defendants” and together, “Defendants”). On May 21, 2026, the court appointed a lead plaintiff, and on July 24, 2026, the lead plaintiff filed an amended complaint. The amended complaint alleges that Defendants violated Section 11 of the Securities Act of 1933 (the “’33 Act”) and Section 10(b) and Rule 10b-5 of the Securities Exchange Act of 1934, as amended (the “’34 Act”), by making materially false or misleading statements related to the Company’s business, operations, and prospects. The lawsuit also alleges Individual Defendants violated Section 15 of the ’33 Act and Section 20(a) of the ’34 Act by allegedly acting as controlling persons of the Company in connection with the alleged materially false or misleading statements. The lead plaintiff seeks to represent a putative class of investors who purchased or acquired the Company’s stock between October 29, 2024 and February 24, 2026 and a sub-class of investors who purchased or acquired the Company’s stock pursuant or traceable to the registration statement and prospectus issued in connection with the Company’s October 31, 2024 secondary public offering, and seeks compensatory damages, attorneys’ fees and costs, and other relief as the court may deem just and proper. The case is in its early stages. Defendants’ responses to the amended complaint are due on September 24, 2026.</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May 19 and 20, 2026, the Company was named as the nominal defendant in derivative lawsuits captioned </w:t>
      </w:r>
      <w:r>
        <w:rPr>
          <w:rFonts w:ascii="Arial;Helvetica;sans-serif" w:hAnsi="Arial;Helvetica;sans-serif"/>
          <w:i/>
          <w:sz w:val="20"/>
        </w:rPr>
        <w:t>Schulz v. Lemonis, et al., Amaral v. Lemonis, et al., and Kogut v. Lemonis, et al.</w:t>
      </w:r>
      <w:r>
        <w:rPr>
          <w:rFonts w:ascii="Arial;Helvetica;sans-serif" w:hAnsi="Arial;Helvetica;sans-serif"/>
          <w:sz w:val="20"/>
        </w:rPr>
        <w:t xml:space="preserve">, each filed in the United States District Court for the Northern District of Illinois (the “Shareholder Derivative Litigation”) and premised on similar facts as alleged in the </w:t>
      </w:r>
      <w:r>
        <w:rPr>
          <w:rFonts w:ascii="Arial;Helvetica;sans-serif" w:hAnsi="Arial;Helvetica;sans-serif"/>
          <w:i/>
          <w:sz w:val="20"/>
        </w:rPr>
        <w:t>Siverd</w:t>
      </w:r>
      <w:r>
        <w:rPr>
          <w:rFonts w:ascii="Arial;Helvetica;sans-serif" w:hAnsi="Arial;Helvetica;sans-serif"/>
          <w:sz w:val="20"/>
        </w:rPr>
        <w:t xml:space="preserve"> complaint. The Shareholder Derivative Litigation names certain current and former directors and officers as defendants and asserts claims for breach of fiduciary duty, violations of federal securities laws, unjust enrichment, waste of corporate assets, and other causes of action. The Shareholder Derivative Litigation alleges that for the period from at least as early as April 2025 through at least February 24, 2026 (and, in one case, through the present), the Company’s officers and directors made and/or caused the Company to make materially false or misleading statements related to the Company’s business, operations, and prospects, and failed to adequately oversee the Company’s operations. The Shareholder Derivative Litigation seeks recovery on behalf of the Company for its alleged losses, including costs of defending the </w:t>
      </w:r>
      <w:r>
        <w:rPr>
          <w:rFonts w:ascii="Arial;Helvetica;sans-serif" w:hAnsi="Arial;Helvetica;sans-serif"/>
          <w:i/>
          <w:sz w:val="20"/>
        </w:rPr>
        <w:t>Siverd</w:t>
      </w:r>
      <w:r>
        <w:rPr>
          <w:rFonts w:ascii="Arial;Helvetica;sans-serif" w:hAnsi="Arial;Helvetica;sans-serif"/>
          <w:sz w:val="20"/>
        </w:rPr>
        <w:t xml:space="preserve"> securities litigation, reputational harm, and other damages. On June 30, 2026,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court consolidated the cases (captioned </w:t>
      </w:r>
      <w:r>
        <w:rPr>
          <w:rFonts w:ascii="Arial;Helvetica;sans-serif" w:hAnsi="Arial;Helvetica;sans-serif"/>
          <w:i/>
          <w:sz w:val="20"/>
        </w:rPr>
        <w:t>In Re Camping World Holdings, Inc. Shareholder Derivative Litigation</w:t>
      </w:r>
      <w:r>
        <w:rPr>
          <w:rFonts w:ascii="Arial;Helvetica;sans-serif" w:hAnsi="Arial;Helvetica;sans-serif"/>
          <w:sz w:val="20"/>
        </w:rPr>
        <w:t>) and appointed co-lead counsel. The case is in its early stages.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intends to vigorously defend these actions and any potential liability that may arise from the alleged claims is not currently probable or reasonably estimable. This litigation could result in financial judgments or the payment of settlement amounts and disputes with insurance carriers concerning coverage.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Weissmann Complaint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June 22, 2021, FreedomRoads Holding Company, LLC (“FR Holdco”), an indirect wholly-owned subsidiary of CWGS, LLC, filed a one-count complaint captioned </w:t>
      </w:r>
      <w:r>
        <w:rPr>
          <w:rFonts w:ascii="Arial;Helvetica;sans-serif" w:hAnsi="Arial;Helvetica;sans-serif"/>
          <w:i/>
          <w:sz w:val="20"/>
        </w:rPr>
        <w:t xml:space="preserve">FreedomRoads Holding Company, LLC v. Steve Weissmann </w:t>
      </w:r>
      <w:r>
        <w:rPr>
          <w:rFonts w:ascii="Arial;Helvetica;sans-serif" w:hAnsi="Arial;Helvetica;sans-serif"/>
          <w:sz w:val="20"/>
        </w:rPr>
        <w:t>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(“CNBC”),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 (vii) 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the Superior Court for the State of California, County of Los Angeles granted the Petition to Confirm Arbitration Award and denied the Petition to Vacate Arbitration Award, concluding the litigation.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On July 21, 2026, the Court of Appeal issued a tentative ruling in favor of FR Holdco, CW, Marcus Lemonis NBC Universal, and Machete. On July 29, 2026, oral arguments were presented. There can be no assurances that we will be able to collect amounts owed pursuant to the Arbitration Award.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Tumbleweed Complaint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the Superior Court for the State of California, County of Los Angeles granted the Petition to Confirm Arbitration Award and denied the Petition to Vacate Arbitration Award, concluding the litigation.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On July 21, 2026, the Court of Appeal issued a tentative ruling in favor of FR Holdco, CW, Marcus Lemonis NBC Universal, and Machete. On July 29, 2026, oral arguments were presented. There can be no assurances that we will be able to collect amounts owed pursuant to the Arbitration Award.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From time to time, the Company is involved in litigation arising in the normal course of business operations including, but not limited to, labor (including federal and state minimum wage and overtime requirements), advertising, real estate, promotions, quality of services, intellectual property, tax, import and export, anti-corruption, anti-competition, environmental, health and safety matters.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Employment Agreements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has employment agreements with certain officers. The agreements include, among other things, an annual bonus based on certain performance-based criteria and certain severance benefits in the event of a qualifying termination.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Marcus A. Lemonis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Marcus A. Lemonis, our former Chief Executive Officer, Chairman of the Board and member of the Board, is employed with the Company in the non-executive role of Co-Founder and Special Advisor through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December 31, 2026 under the second amended and restated employment agreement with Mr. Lemonis (the “Lemonis Second Employment Agreement”), which the Board approved on December 2, 2025. Pursuant to the Lemonis Second Employment Agreement, Mr. Lemonis’ 2026 compensation included a $1.5 million annual salary (“2026 Salary”), a $2.3 million bonus (“2026 Bonus”) and an additional $3.8 million lump-sum payment (the “Lump-Sum Payment”), originally payable at the end of the term of the Lemonis Second Employment Agreement in December 2026 (collectively, the “Lemonis 2026 Compensation”). Each of the 2026 Bonus and Lump-Sum Payment could be settled in cash or shares of Class A common stock based on the closing stock price on the settlement date. The Company deemed the 2026 service conditions relating to the Lemonis Second Employment Agreement to be nonsubstantive for accounting purposes, so the aggregate $7.5 million of the Lemonis 2026 Compensation was accrued as of December 31, 2025. On May 18, 2026, the Lemonis Second Employment Agreement was amended to settle i) the 2026 Bonus with the issuance of 319,602 shares of Class A common stock, less 125,763 shares withheld to cover Mr. Lemonis’ associated tax withholding obligations, and ii) the Lump-Sum Payment in cash, which were both paid in May 2026. See Note 17 — Stock-Based Compensation Plans for details on Mr. Lemonis’ stock-based compensation, including liability-classified share-based awards.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Thomas E. Kirn and Lindsey J. Christen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April 7, 2026, the Compensation Committee (the “Compensation Committee”) of the Board approved a second amended and restated employment agreement with Thomas E. Kirn, the Company’s Chief Financial Officer (the “Kirn Employment Agreement”) and a second amended and restated employment agreement with Lindsey J. Christen, the Company’s Chief Administrative and Legal Officer (the “Christen Employment Agreement”), which superseded and replaced their prior employment agreements effective as of January 1, 2026. Under the Kirn Employment Agreement and Christen Employment Agreement the term will end on March 31, 2029 and December 31, 2028, respectively, the annual base salary was increased to $650,000 and $700,000, respectively, the executive is eligible for an annual target incentive </w:t>
      </w:r>
      <w:r>
        <w:rPr>
          <w:rFonts w:ascii="Arial;Helvetica;sans-serif" w:hAnsi="Arial;Helvetica;sans-serif"/>
          <w:b w:val="false"/>
          <w:i w:val="false"/>
          <w:caps w:val="false"/>
          <w:smallCaps w:val="false"/>
          <w:sz w:val="20"/>
        </w:rPr>
        <w:t>bonus</w:t>
      </w:r>
      <w:r>
        <w:rPr>
          <w:rFonts w:ascii="Arial;Helvetica;sans-serif" w:hAnsi="Arial;Helvetica;sans-serif"/>
          <w:sz w:val="20"/>
        </w:rPr>
        <w:t xml:space="preserve"> of 100% of their base salary, and the executive is eligible for annual grants of PSUs with a target payout of 40,000 and 50,000 PSUs, respectively, that will vest based on annual performance goals.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Financial Assurances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June 30, 2026, December 31, 2025, and June 30, 2025, outstanding standby letters of credit issued through our Floor Plan Facility were $15.4 million, $15.4 million, and $14.3 million, respectively (see Note 4 — Inventories and Floor Plan Payables). The outstanding standby letters of credit issued through the Senior Secured Credit Facilities as of June 30, 2026, December 31, 2025, and June 30, 2025 were $4.9 million (see Note 8 — Long-Term Debt). As of June 30, 2026, December 31, 2025, and June 30, 2025, outstanding surety bonds were $23.6 million, $25.0 million, and $26.1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pStyle w:val="TextBody"/>
        <w:bidi w:val="0"/>
        <w:spacing w:before="0" w:after="240"/>
        <w:ind w:left="0" w:right="0" w:firstLine="720"/>
        <w:jc w:val="both"/>
        <w:rPr>
          <w:color w:val="231F20"/>
        </w:rPr>
      </w:pPr>
      <w:r>
        <w:rPr>
          <w:color w:val="231F20"/>
        </w:rPr>
        <w:t>​</w:t>
      </w:r>
    </w:p>
    <w:p>
      <w:pPr>
        <w:pStyle w:val="TextBody"/>
        <w:bidi w:val="0"/>
        <w:spacing w:before="0" w:after="240"/>
        <w:ind w:left="0" w:right="0" w:hanging="0"/>
        <w:jc w:val="left"/>
        <w:rPr>
          <w:rFonts w:ascii="Arial;Helvetica;sans-serif" w:hAnsi="Arial;Helvetica;sans-serif"/>
          <w:b/>
          <w:sz w:val="20"/>
        </w:rPr>
      </w:pPr>
      <w:bookmarkStart w:id="1550" w:name="Tc_X0Oh0Jz5p0exMazHAYGd2w_9_3"/>
      <w:bookmarkStart w:id="1551" w:name="Tc_qN8PmQjBmU-l8HOZFYzSUQ_9_0"/>
      <w:bookmarkStart w:id="1552" w:name="Tc_zyGASYBIIUabfzQE90x_Jw_8_0"/>
      <w:bookmarkStart w:id="1553" w:name="Tc_olkBh8IodEC6tbwXLD4vvw_7_0"/>
      <w:bookmarkStart w:id="1554" w:name="Tc_Q_djromczEyaSkk1MRsd7A_6_0"/>
      <w:bookmarkStart w:id="1555" w:name="Tc_KamOXqojTUew1U__jVNdDA_5_0"/>
      <w:bookmarkStart w:id="1556" w:name="Tc_lVGHANuWfEC6SotNkmMgqg_4_5"/>
      <w:bookmarkStart w:id="1557" w:name="Tc_JykZvWgqMkCZ6EnB_X6q9A_4_2"/>
      <w:bookmarkStart w:id="1558" w:name="Tc_f7B3t5UA-0GBZfL5WwkfOQ_4_0"/>
      <w:bookmarkStart w:id="1559" w:name="Tc_PYzniCa7GEutOh8cMaWA0Q_3_0"/>
      <w:bookmarkStart w:id="1560" w:name="Tc_zALEfqJLukWELUpeyglCZw_2_5"/>
      <w:bookmarkStart w:id="1561" w:name="Tc_E8U2SeWSIECymJddzxL2oA_2_2"/>
      <w:bookmarkStart w:id="1562" w:name="Tc_MSPbdJ95ZEqkcnWLJtAkqA_2_0"/>
      <w:bookmarkStart w:id="1563" w:name="Tc_KTlq9nAJoUeowzUqk7Clcw_1_2"/>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r>
        <w:rPr>
          <w:rFonts w:ascii="Arial;Helvetica;sans-serif" w:hAnsi="Arial;Helvetica;sans-serif"/>
          <w:b/>
          <w:sz w:val="20"/>
        </w:rPr>
        <w:t xml:space="preserve">12. Statement of Cash Flows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Supplemental disclosures of cash flow information for the following periods were as follows:</w:t>
      </w:r>
    </w:p>
    <w:p>
      <w:pPr>
        <w:pStyle w:val="TextBody"/>
        <w:bidi w:val="0"/>
        <w:spacing w:before="0" w:after="0"/>
        <w:ind w:left="0" w:right="0" w:firstLine="720"/>
        <w:jc w:val="both"/>
        <w:rPr/>
      </w:pPr>
      <w:r>
        <w:rPr/>
        <w:t>​</w:t>
      </w:r>
    </w:p>
    <w:tbl>
      <w:tblPr>
        <w:tblW w:w="8806" w:type="dxa"/>
        <w:jc w:val="left"/>
        <w:tblInd w:w="0" w:type="dxa"/>
        <w:tblLayout w:type="fixed"/>
        <w:tblCellMar>
          <w:top w:w="0" w:type="dxa"/>
          <w:left w:w="0" w:type="dxa"/>
          <w:bottom w:w="0" w:type="dxa"/>
          <w:right w:w="0" w:type="dxa"/>
        </w:tblCellMar>
      </w:tblPr>
      <w:tblGrid>
        <w:gridCol w:w="6181"/>
        <w:gridCol w:w="286"/>
        <w:gridCol w:w="231"/>
        <w:gridCol w:w="708"/>
        <w:gridCol w:w="337"/>
        <w:gridCol w:w="231"/>
        <w:gridCol w:w="832"/>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24935" cy="175260"/>
                      <wp:effectExtent l="0" t="0" r="0" b="0"/>
                      <wp:wrapNone/>
                      <wp:docPr id="198" name="Frame198"/>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81610" cy="175260"/>
                      <wp:effectExtent l="0" t="0" r="0" b="0"/>
                      <wp:wrapNone/>
                      <wp:docPr id="199" name="Frame1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6685" cy="175260"/>
                      <wp:effectExtent l="0" t="0" r="0" b="0"/>
                      <wp:wrapNone/>
                      <wp:docPr id="200" name="Frame20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49580" cy="175260"/>
                      <wp:effectExtent l="0" t="0" r="0" b="0"/>
                      <wp:wrapNone/>
                      <wp:docPr id="201" name="Frame201"/>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3995" cy="175260"/>
                      <wp:effectExtent l="0" t="0" r="0" b="0"/>
                      <wp:wrapNone/>
                      <wp:docPr id="202" name="Frame20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6685" cy="175260"/>
                      <wp:effectExtent l="0" t="0" r="0" b="0"/>
                      <wp:wrapNone/>
                      <wp:docPr id="203" name="Frame20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28320" cy="175260"/>
                      <wp:effectExtent l="0" t="0" r="0" b="0"/>
                      <wp:wrapNone/>
                      <wp:docPr id="204" name="Frame204"/>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23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61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286" w:type="dxa"/>
            <w:tcBorders/>
            <w:vAlign w:val="center"/>
          </w:tcPr>
          <w:p>
            <w:pPr>
              <w:pStyle w:val="TableContents"/>
              <w:bidi w:val="0"/>
              <w:spacing w:before="0" w:after="0"/>
              <w:ind w:left="0" w:right="0" w:hanging="0"/>
              <w:jc w:val="both"/>
              <w:rPr/>
            </w:pPr>
            <w:r>
              <w:rPr/>
              <w:t>  ​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37" w:type="dxa"/>
            <w:tcBorders/>
            <w:vAlign w:val="center"/>
          </w:tcPr>
          <w:p>
            <w:pPr>
              <w:pStyle w:val="TableContents"/>
              <w:bidi w:val="0"/>
              <w:spacing w:before="0" w:after="0"/>
              <w:ind w:left="0" w:right="0" w:hanging="0"/>
              <w:jc w:val="both"/>
              <w:rPr/>
            </w:pPr>
            <w:r>
              <w:rPr/>
              <w:t>  ​ ​</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Cash paid during the period for:</w:t>
            </w:r>
          </w:p>
        </w:tc>
        <w:tc>
          <w:tcPr>
            <w:tcW w:w="28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both"/>
              <w:rPr/>
            </w:pPr>
            <w:r>
              <w:rPr/>
              <w:t>​</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Interest</w:t>
            </w:r>
          </w:p>
        </w:tc>
        <w:tc>
          <w:tcPr>
            <w:tcW w:w="28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93,915</w:t>
            </w:r>
          </w:p>
        </w:tc>
        <w:tc>
          <w:tcPr>
            <w:tcW w:w="337"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97,848</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taxes</w:t>
            </w:r>
          </w:p>
        </w:tc>
        <w:tc>
          <w:tcPr>
            <w:tcW w:w="28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0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1,880</w:t>
            </w:r>
          </w:p>
        </w:tc>
        <w:tc>
          <w:tcPr>
            <w:tcW w:w="337"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501</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Noncash investing and financing activities:</w:t>
            </w:r>
          </w:p>
        </w:tc>
        <w:tc>
          <w:tcPr>
            <w:tcW w:w="28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708"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Leasehold improvements paid by lessor</w:t>
            </w:r>
          </w:p>
        </w:tc>
        <w:tc>
          <w:tcPr>
            <w:tcW w:w="28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0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w:t>
            </w:r>
          </w:p>
        </w:tc>
        <w:tc>
          <w:tcPr>
            <w:tcW w:w="337"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380</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Capital expenditures in accounts payable and accrued liabilities</w:t>
            </w:r>
          </w:p>
        </w:tc>
        <w:tc>
          <w:tcPr>
            <w:tcW w:w="28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70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6,958</w:t>
            </w:r>
          </w:p>
        </w:tc>
        <w:tc>
          <w:tcPr>
            <w:tcW w:w="337"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12,012</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Prior period deposit applied to portion of purchase price of RV dealership acquisition</w:t>
            </w:r>
          </w:p>
        </w:tc>
        <w:tc>
          <w:tcPr>
            <w:tcW w:w="28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11,000</w:t>
            </w:r>
          </w:p>
        </w:tc>
      </w:tr>
    </w:tbl>
    <w:p>
      <w:pPr>
        <w:pStyle w:val="TextBody"/>
        <w:bidi w:val="0"/>
        <w:spacing w:before="0" w:after="0"/>
        <w:ind w:left="0" w:right="0" w:firstLine="720"/>
        <w:jc w:val="both"/>
        <w:rPr/>
      </w:pPr>
      <w:r>
        <w:rPr/>
        <w:t>​</w:t>
      </w:r>
    </w:p>
    <w:p>
      <w:pPr>
        <w:pStyle w:val="TextBody"/>
        <w:bidi w:val="0"/>
        <w:spacing w:before="0" w:after="120"/>
        <w:ind w:left="0" w:right="0" w:firstLine="720"/>
        <w:jc w:val="left"/>
        <w:rPr>
          <w:color w:val="231F20"/>
        </w:rPr>
      </w:pPr>
      <w:r>
        <w:rPr>
          <w:color w:val="231F20"/>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564" w:name="Tc_7mmvOpekiEWAI2jUygWn1Q_18_5"/>
      <w:bookmarkStart w:id="1565" w:name="Tc_tJDsiN91NkeGrOTXSDWQzw_18_2"/>
      <w:bookmarkStart w:id="1566" w:name="Tc_8LpF00ijMEi07ypxDCi87g_18_0"/>
      <w:bookmarkStart w:id="1567" w:name="Tc_DzkWfYPfNU-lD21cAGvN7A_17_0"/>
      <w:bookmarkStart w:id="1568" w:name="Tc_7CPTP58w-Em4pv51hxwHLQ_16_0"/>
      <w:bookmarkStart w:id="1569" w:name="Tc_sbg_JP7LyEmbuppHeR3nkg_15_0"/>
      <w:bookmarkStart w:id="1570" w:name="Tc_3UDG0w64ekKfD0o6daTshQ_14_0"/>
      <w:bookmarkStart w:id="1571" w:name="Tc_q0eoYR7WREGA9wGH2c6yBA_13_0"/>
      <w:bookmarkStart w:id="1572" w:name="Tc_DrgaLWJkeU25k44Bfgufgg_12_0"/>
      <w:bookmarkStart w:id="1573" w:name="Tc_3J6jGLpd9kuyfu52tgxMGw_11_0"/>
      <w:bookmarkStart w:id="1574" w:name="Tc_zlCfqN-RG06h4FfU9N64FA_10_0"/>
      <w:bookmarkStart w:id="1575" w:name="Tc_MYp6iFYXbEGSvyh8RTI-jg_9_0"/>
      <w:bookmarkStart w:id="1576" w:name="Tc_tlqfDTEKMUi5seq6isjXWA_8_0"/>
      <w:bookmarkStart w:id="1577" w:name="Tc_pqHbKoSUQUewiETgXkO8KQ_7_0"/>
      <w:bookmarkStart w:id="1578" w:name="Tc_L_ek8DZ9vU2p_nVHzL5Hjw_6_0"/>
      <w:bookmarkStart w:id="1579" w:name="Tc_b2UMEL3sUEe-JpUkeOY8pQ_5_0"/>
      <w:bookmarkStart w:id="1580" w:name="Tc_igNnKJM6GkGSuKQAQbZu3Q_4_0"/>
      <w:bookmarkStart w:id="1581" w:name="Tc_XcnfXNq_C0SULxDpjbH0qQ_3_0"/>
      <w:bookmarkStart w:id="1582" w:name="Tc_LRgGGUwbI0KrNmqF7AuuIQ_2_5"/>
      <w:bookmarkStart w:id="1583" w:name="Tc_tErJU58H6U6_jTiaA3YGig_2_2"/>
      <w:bookmarkStart w:id="1584" w:name="Tc_BMbK_QwFRkCOsIM0_dpICQ_2_0"/>
      <w:bookmarkStart w:id="1585" w:name="Tc_lTQprZr1Ak6IRUakdD71OQ_1_2"/>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ascii="Arial;Helvetica;sans-serif" w:hAnsi="Arial;Helvetica;sans-serif"/>
          <w:b/>
          <w:sz w:val="20"/>
        </w:rPr>
        <w:t>13. Acquisitions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2026 and 2025,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2026, the RV and Outdoor Retail segment acquired the assets of one RV dealership location for a purchase price of approximately $7.1 million. Separate from this acquisition, during the six months ended June 30, 2026, the Company purchased real property for an aggregate purchase price of $1.4 million.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2025, the RV and Outdoor Retail segment acquired the assets of various RV dealerships comprised of eight locations for an aggregate purchase price of approximately $92.2 million. As a component of the aggregate purchase price to acquire certain of these locations,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Additionally, a $1.0 million deposit was made in December 2024 for non-Lazydays RV dealership acquisitions that were completed during the six months ended June 30, 2025. Separate from these acquisitions, during the six months ended June 30, 2025, the Company purchased real property for an aggregate purchase price of $72.4 million.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estimated fair values of the assets acquired and liabilities assumed for the acquisitions discussed above consist of the following, net of insignificant measurement period adjustments relating to acquisitions from the respective previous year:</w:t>
      </w:r>
    </w:p>
    <w:p>
      <w:pPr>
        <w:pStyle w:val="TextBody"/>
        <w:bidi w:val="0"/>
        <w:spacing w:before="0" w:after="0"/>
        <w:ind w:left="0" w:right="0" w:hanging="0"/>
        <w:jc w:val="both"/>
        <w:rPr/>
      </w:pPr>
      <w:r>
        <w:rPr/>
        <w:t>​</w:t>
      </w:r>
    </w:p>
    <w:tbl>
      <w:tblPr>
        <w:tblW w:w="6945" w:type="dxa"/>
        <w:jc w:val="left"/>
        <w:tblInd w:w="0" w:type="dxa"/>
        <w:tblLayout w:type="fixed"/>
        <w:tblCellMar>
          <w:top w:w="0" w:type="dxa"/>
          <w:left w:w="0" w:type="dxa"/>
          <w:bottom w:w="0" w:type="dxa"/>
          <w:right w:w="0" w:type="dxa"/>
        </w:tblCellMar>
      </w:tblPr>
      <w:tblGrid>
        <w:gridCol w:w="4261"/>
        <w:gridCol w:w="346"/>
        <w:gridCol w:w="211"/>
        <w:gridCol w:w="709"/>
        <w:gridCol w:w="347"/>
        <w:gridCol w:w="211"/>
        <w:gridCol w:w="860"/>
      </w:tblGrid>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50215" cy="175260"/>
                      <wp:effectExtent l="0" t="0" r="0" b="0"/>
                      <wp:wrapNone/>
                      <wp:docPr id="207" name="Frame20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0345" cy="175260"/>
                      <wp:effectExtent l="0" t="0" r="0" b="0"/>
                      <wp:wrapNone/>
                      <wp:docPr id="208" name="Frame20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46100" cy="175260"/>
                      <wp:effectExtent l="0" t="0" r="0" b="0"/>
                      <wp:wrapNone/>
                      <wp:docPr id="210" name="Frame210"/>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7" w:type="dxa"/>
            <w:tcBorders/>
            <w:vAlign w:val="center"/>
          </w:tcPr>
          <w:p>
            <w:pPr>
              <w:pStyle w:val="TableContents"/>
              <w:bidi w:val="0"/>
              <w:spacing w:before="0" w:after="0"/>
              <w:ind w:left="0" w:right="0" w:hanging="0"/>
              <w:jc w:val="both"/>
              <w:rPr/>
            </w:pPr>
            <w:r>
              <w:rPr/>
              <w:t>  ​ ​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Tangible assets (liabilities) acquired (assumed):</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 net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4,670</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73,343</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1,415</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9,367</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Accrued liabilities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(1,055)</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current liabilities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 net of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(8,312)</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tangible net assets acquired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4,714</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74,203</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Goodwill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2,340</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17,951</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 price of acquisitions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7,054</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92,154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Application of deposit paid in prior period</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(11,000)</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acquisitions, net of cash acquired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7,054</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81,154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Inventory purchases financed via floor plan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(3,627)</w:t>
            </w:r>
          </w:p>
        </w:tc>
        <w:tc>
          <w:tcPr>
            <w:tcW w:w="347"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(71,181)</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payment net of floor plan financing</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3,427</w:t>
            </w:r>
          </w:p>
        </w:tc>
        <w:tc>
          <w:tcPr>
            <w:tcW w:w="347"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9,973</w:t>
            </w:r>
          </w:p>
        </w:tc>
      </w:tr>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both"/>
              <w:rPr/>
            </w:pPr>
            <w:r>
              <w:rPr/>
              <w:t>​</w:t>
            </w:r>
          </w:p>
        </w:tc>
        <w:tc>
          <w:tcPr>
            <w:tcW w:w="347"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60"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The fair values above for the six months ended June 30, 2026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primary items that generated the goodwill are the value of the expected synergies between the acquired businesses and the Company and the acquired assembled workforce, neither of which qualify for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recognition as a separately identified intangible asset. For the six months ended June 30, 2026 and 2025, acquired goodwill of $2.3 million and $18.0 million, respectively, was expected to be deductible for tax purposes.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Included in the condensed consolidated financial statements for the six months ended June 30, 2026 were revenues of $3.4 million and pre-tax income of $0.3 million from the acquired dealership from the applicable acquisition date. Included in the condensed consolidated financial statements for the six months ended June 30, 2025 were revenue of $76.5 million and pre-tax income of $2.3 million from the acquired dealerships from the applicable acquisition dates. Pro forma information on these acquisitions has not been included, because the Company has deemed them to not be individually or cumulatively material.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14. Income Taxes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is organized as a Subchapter C corporation and, as of June 30, 2026, was a 61.5%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Americas Road and Travel Club, Inc.; and FreedomRoads RV, Inc. and their wholly-owned subsidiaries, are subject to entity-level taxes as they are, or subject to income taxes as, Subchapter C corporations (“C-Corp”).</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Effective Income Tax Rate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the six months ended June 30, 2026 and 2025, the Company's effective income tax rate was 7.0% and 31.1%, respectively. The decrease in the tax rate for the six months ended June 30, 2026, reflects the computation of the provision for income taxes based on a projected annual effective tax rate while excluding loss jurisdictions, which cannot be benefitted.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evaluates its deferred tax assets on a quarterly basis to determine if they can be realized and establishes valuation allowances when it is not more likely than not that all or a portion of the deferred tax assets can be realized. During the year ended December 31, 2025, management evaluated both positive and negative evidence and concluded that a full valuation allowance was necessary to be recorded against CWH net deferred tax assets due to its actual cumulative historical operating results for income tax purposes over the past several years in each of the tax jurisdictions where it operates.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the Company considers the amount calculated related to the remaining Tax Receivable Agreement Liability not probable.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determines its quarterly income tax provision using an estimated annual effective tax rate excluding loss jurisdictions, which cannot be benefited, that considers expected annual income, statutory tax rates, and available tax planning opportunities across the jurisdictions where it operates. Current income taxes are recorded based on statutory obligations for the current period for certain C-Corp taxable entities within the Company. Accordingly, income tax provisions for these jurisdictions were recorded for the three and six months ended June 30, 2026.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Tax Receivable Agreement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CWH is party to a tax receivable agreement (the “Tax Receivable Agreement”) that provides for the payment by CWH to the Continuing Equity Owners and Crestview Partners II GP, L.P. of 85% of the amount of tax benefits, if any, CWH actually realizes, or in some circumstances is deemed to realize, as a result of (i) increases in the tax basis from the purchase of common units from Crestview Partners II GP, L.P. in exchange for Class A common stock in connection with the consummation of the IPO and the related transactions and any future redemptions that are funded by CWH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Crestview Partners II GP, L.P. maintaining a continued ownership interest in CWGS, LLC. In general, the Continuing Equity Owners’ and Crestview Partners II GP, L.P.’s rights under the Tax Receivable Agreement are assignable, including to transferees of its common units in CWGS, LLC (other than CWH as transferee pursuant to a redemption of common units in CWGS, LLC). CWH has determined it is more likely than not it will not benefit from the entirety of the remaining 15% of the tax benefits, and has remeasured the liability under the Tax Receivable Agreement. During the six months ended June 30, 2026, CWH paid $1.4 million under the Tax Receivable Agreement liability.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If utilization of the deferred tax assets subject to the Tax Receivable Agreement becomes more likely than not in the future, CWH expects to record additional liability related to the Tax Receivable Agreement which will be recognized as an expense and recorded to Tax Receivable Agreement liability adjustment in the condensed consolidated statements of operations.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the Company filed an entity classification election for CWFR Capital, LLC, which was treated as a liquidation event. As a result, the Company recognized a net income tax benefit of $0.6 million related to this entity classification election.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and 2025, there were no redemptions of common units by Continuing Equity Owners.</w:t>
      </w:r>
    </w:p>
    <w:p>
      <w:pPr>
        <w:pStyle w:val="TextBody"/>
        <w:bidi w:val="0"/>
        <w:spacing w:before="0" w:after="240"/>
        <w:ind w:left="39" w:right="0" w:hanging="0"/>
        <w:jc w:val="left"/>
        <w:rPr>
          <w:rFonts w:ascii="Arial;Helvetica;sans-serif" w:hAnsi="Arial;Helvetica;sans-serif"/>
          <w:b/>
          <w:sz w:val="20"/>
        </w:rPr>
      </w:pPr>
      <w:r>
        <w:rPr>
          <w:rFonts w:ascii="Arial;Helvetica;sans-serif" w:hAnsi="Arial;Helvetica;sans-serif"/>
          <w:b/>
          <w:sz w:val="20"/>
        </w:rPr>
        <w:t>15. Related Party Transactions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Transactions with Directors, Equity Holders and Executive Officers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Mr. Lemonis, in his non-executive role of Co-Founder and Special Advisor under the Lemonis Second Employment Agreement, as amended, received i) base salary of $0.8 million in cash, ii) the 2026 Bonus settled with the issuance of 319,602 shares of Class A common stock, less 125,763 shares withheld to cover Mr. Lemonis’ associated tax withholding obligations, and iii) the Lump-Sum Payment of $3.8 million in cash. See Note 11 – Commitments and Contingencies for further details on the Lemonis Second Employment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b/>
          <w:sz w:val="20"/>
        </w:rPr>
      </w:pPr>
      <w:bookmarkStart w:id="1586" w:name="Tc_PmqbDWT0IEK9jD33IBaStg_5_0"/>
      <w:bookmarkStart w:id="1587" w:name="Tc_PwtW2PLibUS2K8LOZUp0ZQ_4_0"/>
      <w:bookmarkStart w:id="1588" w:name="Tc_kdPqQwmlHUe5yu6sz-Tyhg_3_0"/>
      <w:bookmarkStart w:id="1589" w:name="Tc_2muKuTk2rUyy5iT4PZZwmw_2_17"/>
      <w:bookmarkStart w:id="1590" w:name="Tc_lq1agLGcpUapUdRM9WyDiw_2_14"/>
      <w:bookmarkStart w:id="1591" w:name="Tc_MCm8P5XSP0Sr4u5Nw-n5rw_2_11"/>
      <w:bookmarkStart w:id="1592" w:name="Tc_G3XKUL0JEk6REgGNU1O94g_2_8"/>
      <w:bookmarkStart w:id="1593" w:name="Tc_AokKA6WbfUWR-_4janH8VQ_2_5"/>
      <w:bookmarkStart w:id="1594" w:name="Tc_icYlA-pHqEKD6CuSXQW9-Q_2_2"/>
      <w:bookmarkStart w:id="1595" w:name="Tc_VjjhphGPNUC7nGcntX5-Qg_1_14"/>
      <w:bookmarkStart w:id="1596" w:name="Tc_cTS_sot8uECL5GZQXpnJng_1_8"/>
      <w:bookmarkStart w:id="1597" w:name="Tc_OTXC7uhCNU63_OFlC3hN4g_1_2"/>
      <w:bookmarkEnd w:id="1586"/>
      <w:bookmarkEnd w:id="1587"/>
      <w:bookmarkEnd w:id="1588"/>
      <w:bookmarkEnd w:id="1589"/>
      <w:bookmarkEnd w:id="1590"/>
      <w:bookmarkEnd w:id="1591"/>
      <w:bookmarkEnd w:id="1592"/>
      <w:bookmarkEnd w:id="1593"/>
      <w:bookmarkEnd w:id="1594"/>
      <w:bookmarkEnd w:id="1595"/>
      <w:bookmarkEnd w:id="1596"/>
      <w:bookmarkEnd w:id="1597"/>
      <w:r>
        <w:rPr>
          <w:rFonts w:ascii="Arial;Helvetica;sans-serif" w:hAnsi="Arial;Helvetica;sans-serif"/>
          <w:b/>
          <w:sz w:val="20"/>
        </w:rPr>
        <w:t>16. Non-Controlling Interests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CWGS, LLC common unit ownership by CWH and the Continuing Equity Owners:</w:t>
      </w:r>
    </w:p>
    <w:p>
      <w:pPr>
        <w:pStyle w:val="TextBody"/>
        <w:bidi w:val="0"/>
        <w:spacing w:before="0" w:after="0"/>
        <w:ind w:left="0" w:right="0" w:hanging="0"/>
        <w:jc w:val="both"/>
        <w:rPr/>
      </w:pPr>
      <w:r>
        <w:rPr/>
        <w:t>​</w:t>
      </w:r>
    </w:p>
    <w:tbl>
      <w:tblPr>
        <w:tblW w:w="10120" w:type="dxa"/>
        <w:jc w:val="left"/>
        <w:tblInd w:w="0" w:type="dxa"/>
        <w:tblLayout w:type="fixed"/>
        <w:tblCellMar>
          <w:top w:w="0" w:type="dxa"/>
          <w:left w:w="0" w:type="dxa"/>
          <w:bottom w:w="0" w:type="dxa"/>
          <w:right w:w="0" w:type="dxa"/>
        </w:tblCellMar>
      </w:tblPr>
      <w:tblGrid>
        <w:gridCol w:w="2011"/>
        <w:gridCol w:w="109"/>
        <w:gridCol w:w="109"/>
        <w:gridCol w:w="1006"/>
        <w:gridCol w:w="346"/>
        <w:gridCol w:w="128"/>
        <w:gridCol w:w="832"/>
        <w:gridCol w:w="346"/>
        <w:gridCol w:w="109"/>
        <w:gridCol w:w="1006"/>
        <w:gridCol w:w="346"/>
        <w:gridCol w:w="128"/>
        <w:gridCol w:w="832"/>
        <w:gridCol w:w="346"/>
        <w:gridCol w:w="109"/>
        <w:gridCol w:w="1006"/>
        <w:gridCol w:w="346"/>
        <w:gridCol w:w="119"/>
        <w:gridCol w:w="886"/>
      </w:tblGrid>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38810" cy="175260"/>
                      <wp:effectExtent l="0" t="0" r="0" b="0"/>
                      <wp:wrapNone/>
                      <wp:docPr id="213" name="Frame2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1280" cy="175260"/>
                      <wp:effectExtent l="0" t="0" r="0" b="0"/>
                      <wp:wrapNone/>
                      <wp:docPr id="215" name="Frame215"/>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28320" cy="175260"/>
                      <wp:effectExtent l="0" t="0" r="0" b="0"/>
                      <wp:wrapNone/>
                      <wp:docPr id="216" name="Frame21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38810" cy="175260"/>
                      <wp:effectExtent l="0" t="0" r="0" b="0"/>
                      <wp:wrapNone/>
                      <wp:docPr id="219" name="Frame2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1280" cy="175260"/>
                      <wp:effectExtent l="0" t="0" r="0" b="0"/>
                      <wp:wrapNone/>
                      <wp:docPr id="221" name="Frame221"/>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28320" cy="175260"/>
                      <wp:effectExtent l="0" t="0" r="0" b="0"/>
                      <wp:wrapNone/>
                      <wp:docPr id="222" name="Frame222"/>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38810" cy="175260"/>
                      <wp:effectExtent l="0" t="0" r="0" b="0"/>
                      <wp:wrapNone/>
                      <wp:docPr id="225" name="Frame2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5565" cy="175260"/>
                      <wp:effectExtent l="0" t="0" r="0" b="0"/>
                      <wp:wrapNone/>
                      <wp:docPr id="227" name="Frame227"/>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62610" cy="175260"/>
                      <wp:effectExtent l="0" t="0" r="0" b="0"/>
                      <wp:wrapNone/>
                      <wp:docPr id="228" name="Frame2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June 30, 2026</w:t>
            </w:r>
          </w:p>
        </w:tc>
        <w:tc>
          <w:tcPr>
            <w:tcW w:w="346" w:type="dxa"/>
            <w:tcBorders/>
            <w:vAlign w:val="center"/>
          </w:tcPr>
          <w:p>
            <w:pPr>
              <w:pStyle w:val="TableContents"/>
              <w:bidi w:val="0"/>
              <w:spacing w:before="0" w:after="0"/>
              <w:ind w:left="0" w:right="0" w:hanging="0"/>
              <w:jc w:val="both"/>
              <w:rPr/>
            </w:pPr>
            <w:r>
              <w:rPr/>
              <w:t>​</w:t>
            </w:r>
          </w:p>
        </w:tc>
        <w:tc>
          <w:tcPr>
            <w:tcW w:w="24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December 31, 2025</w:t>
            </w:r>
          </w:p>
        </w:tc>
        <w:tc>
          <w:tcPr>
            <w:tcW w:w="346" w:type="dxa"/>
            <w:tcBorders/>
            <w:vAlign w:val="center"/>
          </w:tcPr>
          <w:p>
            <w:pPr>
              <w:pStyle w:val="TableContents"/>
              <w:bidi w:val="0"/>
              <w:spacing w:before="0" w:after="0"/>
              <w:ind w:left="0" w:right="0" w:hanging="0"/>
              <w:jc w:val="both"/>
              <w:rPr/>
            </w:pPr>
            <w:r>
              <w:rPr/>
              <w:t>​</w:t>
            </w:r>
          </w:p>
        </w:tc>
        <w:tc>
          <w:tcPr>
            <w:tcW w:w="24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June 30, 2025</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46" w:type="dxa"/>
            <w:tcBorders/>
            <w:vAlign w:val="center"/>
          </w:tcPr>
          <w:p>
            <w:pPr>
              <w:pStyle w:val="TableContents"/>
              <w:bidi w:val="0"/>
              <w:spacing w:before="0" w:after="0"/>
              <w:ind w:left="0" w:right="0" w:hanging="0"/>
              <w:jc w:val="both"/>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46" w:type="dxa"/>
            <w:tcBorders/>
            <w:vAlign w:val="center"/>
          </w:tcPr>
          <w:p>
            <w:pPr>
              <w:pStyle w:val="TableContents"/>
              <w:bidi w:val="0"/>
              <w:spacing w:before="0" w:after="0"/>
              <w:ind w:left="0" w:right="0" w:hanging="0"/>
              <w:jc w:val="both"/>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CWH</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63,827,952</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61.5%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63,436,696</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61.4%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62,648,648</w:t>
            </w:r>
          </w:p>
        </w:tc>
        <w:tc>
          <w:tcPr>
            <w:tcW w:w="346" w:type="dxa"/>
            <w:tcBorders/>
            <w:shd w:fill="CCEEFF" w:val="clear"/>
            <w:vAlign w:val="center"/>
          </w:tcPr>
          <w:p>
            <w:pPr>
              <w:pStyle w:val="TableContents"/>
              <w:bidi w:val="0"/>
              <w:spacing w:before="0" w:after="0"/>
              <w:ind w:left="0" w:right="0" w:hanging="0"/>
              <w:jc w:val="both"/>
              <w:rPr/>
            </w:pPr>
            <w:r>
              <w:rPr/>
              <w:t>​</w:t>
            </w:r>
          </w:p>
        </w:tc>
        <w:tc>
          <w:tcPr>
            <w:tcW w:w="119" w:type="dxa"/>
            <w:tcBorders/>
            <w:shd w:fill="CCEEFF" w:val="clear"/>
            <w:vAlign w:val="center"/>
          </w:tcPr>
          <w:p>
            <w:pPr>
              <w:pStyle w:val="TableContents"/>
              <w:bidi w:val="0"/>
              <w:spacing w:before="0" w:after="0"/>
              <w:ind w:left="0" w:right="0" w:hanging="0"/>
              <w:jc w:val="both"/>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61.1% </w:t>
            </w:r>
          </w:p>
        </w:tc>
      </w:tr>
      <w:tr>
        <w:trPr/>
        <w:tc>
          <w:tcPr>
            <w:tcW w:w="20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Continuing Equity Owners</w:t>
            </w:r>
          </w:p>
        </w:tc>
        <w:tc>
          <w:tcPr>
            <w:tcW w:w="109"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38.5% </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38.6% </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38.9%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103,723,345</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103,332,089</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102,544,041</w:t>
            </w:r>
          </w:p>
        </w:tc>
        <w:tc>
          <w:tcPr>
            <w:tcW w:w="346" w:type="dxa"/>
            <w:tcBorders/>
            <w:shd w:fill="CCEEFF" w:val="clear"/>
            <w:vAlign w:val="center"/>
          </w:tcPr>
          <w:p>
            <w:pPr>
              <w:pStyle w:val="TableContents"/>
              <w:bidi w:val="0"/>
              <w:spacing w:before="0" w:after="0"/>
              <w:ind w:left="0" w:right="0" w:hanging="0"/>
              <w:jc w:val="both"/>
              <w:rPr/>
            </w:pPr>
            <w:r>
              <w:rPr/>
              <w:t>​</w:t>
            </w:r>
          </w:p>
        </w:tc>
        <w:tc>
          <w:tcPr>
            <w:tcW w:w="11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 xml:space="preserve">100.0% </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For the six months ended June 30, 2026 and 2025, contributions from and distributions to holders of LLC common units represented tax refunds and tax payments, respectively, made on behalf of the Continuing Equity Owners.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bookmarkStart w:id="1598" w:name="Tc_i-TTYkCB_0u0LoIvF3MBAg_9_11"/>
      <w:bookmarkStart w:id="1599" w:name="Tc_v5dZl2FhyU-cEtGFD-Usfg_9_8"/>
      <w:bookmarkStart w:id="1600" w:name="Tc_eiJt_JSsTU2ps6r32QU_2Q_9_5"/>
      <w:bookmarkStart w:id="1601" w:name="Tc_y5IH0cbLXUG6N6d-UXpx0w_9_2"/>
      <w:bookmarkStart w:id="1602" w:name="Tc_Fy-UwURTBUuF4g1ExB4gnA_9_0"/>
      <w:bookmarkStart w:id="1603" w:name="Tc_Ie8PcOU1WUq-8kNNAJvTSA_8_12"/>
      <w:bookmarkStart w:id="1604" w:name="Tc_Ka_k7zw1ckOcDVv-LmgjHw_8_6"/>
      <w:bookmarkStart w:id="1605" w:name="Tc_WVanTXBSS0ukNVd-WDE2MQ_8_0"/>
      <w:bookmarkStart w:id="1606" w:name="Tc_llSacyJx1k-A0oywpMjHCg_7_12"/>
      <w:bookmarkStart w:id="1607" w:name="Tc_dbygEeN1VkuKMMtJPz20Ow_7_6"/>
      <w:bookmarkStart w:id="1608" w:name="Tc_5jjQAwKFDEKvrK0TdnRLjA_7_0"/>
      <w:bookmarkStart w:id="1609" w:name="Tc_v5wm73LlsU2ft99DHmKHvA_6_0"/>
      <w:bookmarkStart w:id="1610" w:name="Tc_sTqsbSj_mkOSsvwx-d9Qvw_5_0"/>
      <w:bookmarkStart w:id="1611" w:name="Tc_MsaCoXAIb0iDo8zlrlMmww_4_0"/>
      <w:bookmarkStart w:id="1612" w:name="Tc_9dpdcXprD0WmH5RS5goSng_3_11"/>
      <w:bookmarkStart w:id="1613" w:name="Tc_mZWTVAIhd0e54drkO8zBww_3_8"/>
      <w:bookmarkStart w:id="1614" w:name="Tc_rZ0HMPIPGEarIyRDSbxsag_3_5"/>
      <w:bookmarkStart w:id="1615" w:name="Tc_fxOkVBFCPkCapWut4kNCsA_3_2"/>
      <w:bookmarkStart w:id="1616" w:name="Tc_wTzsAMHQzUatCZo6lULYDw_3_0"/>
      <w:bookmarkStart w:id="1617" w:name="Tc_IpLX3tbSf0-zo8TY1ub2vQ_2_11"/>
      <w:bookmarkStart w:id="1618" w:name="Tc_gMh01L1DMke8C7bFPA3ijQ_2_8"/>
      <w:bookmarkStart w:id="1619" w:name="Tc_F8HKOfjmF0C3ltCPfW-YwQ_2_5"/>
      <w:bookmarkStart w:id="1620" w:name="Tc_g04A20HVOUmQb4r7EYFMHw_2_2"/>
      <w:bookmarkStart w:id="1621" w:name="Tc_yC5eqrRM60-zOhtCEWikwQ_2_0"/>
      <w:bookmarkStart w:id="1622" w:name="Tc_uajU-HHqYUWHv4oHDY3xpA_1_8"/>
      <w:bookmarkStart w:id="1623" w:name="Tc_EuIBi2UqekC8etqGzGEL5w_1_2"/>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r>
        <w:rPr>
          <w:rFonts w:ascii="Arial;Helvetica;sans-serif" w:hAnsi="Arial;Helvetica;sans-serif"/>
          <w:sz w:val="20"/>
        </w:rPr>
        <w:t>The following table summarizes the effects of changes in ownership in CWGS, LLC on the Company’s equity: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763"/>
        <w:gridCol w:w="286"/>
        <w:gridCol w:w="201"/>
        <w:gridCol w:w="617"/>
        <w:gridCol w:w="293"/>
        <w:gridCol w:w="201"/>
        <w:gridCol w:w="617"/>
        <w:gridCol w:w="286"/>
        <w:gridCol w:w="196"/>
        <w:gridCol w:w="601"/>
        <w:gridCol w:w="286"/>
        <w:gridCol w:w="196"/>
        <w:gridCol w:w="662"/>
      </w:tblGrid>
      <w:tr>
        <w:trPr/>
        <w:tc>
          <w:tcPr>
            <w:tcW w:w="5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59505" cy="175260"/>
                      <wp:effectExtent l="0" t="0" r="0" b="0"/>
                      <wp:wrapNone/>
                      <wp:docPr id="229" name="Frame229"/>
                      <a:graphic xmlns:a="http://schemas.openxmlformats.org/drawingml/2006/main">
                        <a:graphicData uri="http://schemas.microsoft.com/office/word/2010/wordprocessingShape">
                          <wps:wsp>
                            <wps:cNvSpPr txBox="1"/>
                            <wps:spPr>
                              <a:xfrm>
                                <a:off x="0" y="0"/>
                                <a:ext cx="36595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81610" cy="175260"/>
                      <wp:effectExtent l="0" t="0" r="0" b="0"/>
                      <wp:wrapNone/>
                      <wp:docPr id="230" name="Frame2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7635" cy="175260"/>
                      <wp:effectExtent l="0" t="0" r="0" b="0"/>
                      <wp:wrapNone/>
                      <wp:docPr id="231" name="Frame23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91795" cy="175260"/>
                      <wp:effectExtent l="0" t="0" r="0" b="0"/>
                      <wp:wrapNone/>
                      <wp:docPr id="232" name="Frame232"/>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6055" cy="175260"/>
                      <wp:effectExtent l="0" t="0" r="0" b="0"/>
                      <wp:wrapNone/>
                      <wp:docPr id="233" name="Frame23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7635" cy="175260"/>
                      <wp:effectExtent l="0" t="0" r="0" b="0"/>
                      <wp:wrapNone/>
                      <wp:docPr id="234" name="Frame23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91795" cy="175260"/>
                      <wp:effectExtent l="0" t="0" r="0" b="0"/>
                      <wp:wrapNone/>
                      <wp:docPr id="235" name="Frame235"/>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1610" cy="175260"/>
                      <wp:effectExtent l="0" t="0" r="0" b="0"/>
                      <wp:wrapNone/>
                      <wp:docPr id="236" name="Frame2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7"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81635" cy="175260"/>
                      <wp:effectExtent l="0" t="0" r="0" b="0"/>
                      <wp:wrapNone/>
                      <wp:docPr id="238" name="Frame2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1610" cy="175260"/>
                      <wp:effectExtent l="0" t="0" r="0" b="0"/>
                      <wp:wrapNone/>
                      <wp:docPr id="239" name="Frame2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40"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20370" cy="175260"/>
                      <wp:effectExtent l="0" t="0" r="0" b="0"/>
                      <wp:wrapNone/>
                      <wp:docPr id="241" name="Frame241"/>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763"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286" w:type="dxa"/>
            <w:tcBorders/>
            <w:vAlign w:val="center"/>
          </w:tcPr>
          <w:p>
            <w:pPr>
              <w:pStyle w:val="TableContents"/>
              <w:bidi w:val="0"/>
              <w:spacing w:before="0" w:after="0"/>
              <w:ind w:left="0" w:right="0" w:hanging="0"/>
              <w:jc w:val="both"/>
              <w:rPr/>
            </w:pPr>
            <w:r>
              <w:rPr/>
              <w:t>​</w:t>
            </w:r>
          </w:p>
        </w:tc>
        <w:tc>
          <w:tcPr>
            <w:tcW w:w="19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763"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286" w:type="dxa"/>
            <w:tcBorders/>
            <w:vAlign w:val="center"/>
          </w:tcPr>
          <w:p>
            <w:pPr>
              <w:pStyle w:val="TableContents"/>
              <w:bidi w:val="0"/>
              <w:spacing w:before="0" w:after="0"/>
              <w:ind w:left="0" w:right="0" w:hanging="0"/>
              <w:jc w:val="both"/>
              <w:rPr/>
            </w:pPr>
            <w:r>
              <w:rPr/>
              <w:t>  ​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93" w:type="dxa"/>
            <w:tcBorders/>
            <w:vAlign w:val="center"/>
          </w:tcPr>
          <w:p>
            <w:pPr>
              <w:pStyle w:val="TableContents"/>
              <w:bidi w:val="0"/>
              <w:spacing w:before="0" w:after="0"/>
              <w:ind w:left="0" w:right="0" w:hanging="0"/>
              <w:jc w:val="both"/>
              <w:rPr/>
            </w:pPr>
            <w:r>
              <w:rPr/>
              <w:t>  ​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286" w:type="dxa"/>
            <w:tcBorders/>
            <w:vAlign w:val="center"/>
          </w:tcPr>
          <w:p>
            <w:pPr>
              <w:pStyle w:val="TableContents"/>
              <w:bidi w:val="0"/>
              <w:spacing w:before="0" w:after="0"/>
              <w:ind w:left="0" w:right="0" w:hanging="0"/>
              <w:jc w:val="both"/>
              <w:rPr/>
            </w:pPr>
            <w:r>
              <w:rPr/>
              <w:t>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86" w:type="dxa"/>
            <w:tcBorders/>
            <w:vAlign w:val="center"/>
          </w:tcPr>
          <w:p>
            <w:pPr>
              <w:pStyle w:val="TableContents"/>
              <w:bidi w:val="0"/>
              <w:spacing w:before="0" w:after="0"/>
              <w:ind w:left="0" w:right="0" w:hanging="0"/>
              <w:jc w:val="both"/>
              <w:rPr/>
            </w:pPr>
            <w:r>
              <w:rPr/>
              <w:t>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576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286"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26,860</w:t>
            </w:r>
          </w:p>
        </w:tc>
        <w:tc>
          <w:tcPr>
            <w:tcW w:w="293"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30,216</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10,458</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17,936</w:t>
            </w:r>
          </w:p>
        </w:tc>
      </w:tr>
      <w:tr>
        <w:trPr/>
        <w:tc>
          <w:tcPr>
            <w:tcW w:w="576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Transfers to non-controlling interests:</w:t>
            </w:r>
          </w:p>
        </w:tc>
        <w:tc>
          <w:tcPr>
            <w:tcW w:w="286"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2" w:type="dxa"/>
            <w:tcBorders/>
            <w:vAlign w:val="center"/>
          </w:tcPr>
          <w:p>
            <w:pPr>
              <w:pStyle w:val="TableContents"/>
              <w:bidi w:val="0"/>
              <w:spacing w:before="0" w:after="0"/>
              <w:ind w:left="0" w:right="0" w:hanging="0"/>
              <w:jc w:val="right"/>
              <w:rPr/>
            </w:pPr>
            <w:r>
              <w:rPr/>
              <w:t>​</w:t>
            </w:r>
          </w:p>
        </w:tc>
      </w:tr>
      <w:tr>
        <w:trPr/>
        <w:tc>
          <w:tcPr>
            <w:tcW w:w="576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Increase in additional paid-in capital as a result of the vesting of restricted stock units</w:t>
            </w:r>
          </w:p>
        </w:tc>
        <w:tc>
          <w:tcPr>
            <w:tcW w:w="286"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pPr>
            <w:r>
              <w:rPr/>
              <w:t>​</w:t>
            </w:r>
          </w:p>
        </w:tc>
        <w:tc>
          <w:tcPr>
            <w:tcW w:w="61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w:t>
            </w:r>
          </w:p>
        </w:tc>
        <w:tc>
          <w:tcPr>
            <w:tcW w:w="293"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pPr>
            <w:r>
              <w:rPr/>
              <w:t>​</w:t>
            </w:r>
          </w:p>
        </w:tc>
        <w:tc>
          <w:tcPr>
            <w:tcW w:w="61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672</w:t>
            </w:r>
          </w:p>
        </w:tc>
      </w:tr>
      <w:tr>
        <w:trPr/>
        <w:tc>
          <w:tcPr>
            <w:tcW w:w="576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Decrease in additional paid-in capital as a result of repurchases of Class A common stock for withholding taxes on vested RSUs</w:t>
            </w:r>
          </w:p>
        </w:tc>
        <w:tc>
          <w:tcPr>
            <w:tcW w:w="286"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293"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(1,175)</w:t>
            </w:r>
          </w:p>
        </w:tc>
      </w:tr>
      <w:tr>
        <w:trPr/>
        <w:tc>
          <w:tcPr>
            <w:tcW w:w="576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Increase in additional paid-in capital as a result of the stock award to employee</w:t>
            </w:r>
          </w:p>
        </w:tc>
        <w:tc>
          <w:tcPr>
            <w:tcW w:w="286"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pPr>
            <w:r>
              <w:rPr/>
              <w:t>​</w:t>
            </w:r>
          </w:p>
        </w:tc>
        <w:tc>
          <w:tcPr>
            <w:tcW w:w="61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589</w:t>
            </w:r>
          </w:p>
        </w:tc>
        <w:tc>
          <w:tcPr>
            <w:tcW w:w="293" w:type="dxa"/>
            <w:tcBorders/>
            <w:shd w:fill="CCEEFF" w:val="clear"/>
            <w:vAlign w:val="center"/>
          </w:tcPr>
          <w:p>
            <w:pPr>
              <w:pStyle w:val="TableContents"/>
              <w:bidi w:val="0"/>
              <w:spacing w:before="0" w:after="0"/>
              <w:ind w:left="0" w:right="0" w:hanging="0"/>
              <w:jc w:val="both"/>
              <w:rPr/>
            </w:pPr>
            <w:r>
              <w:rPr/>
              <w:t>​</w:t>
            </w:r>
          </w:p>
        </w:tc>
        <w:tc>
          <w:tcPr>
            <w:tcW w:w="201" w:type="dxa"/>
            <w:tcBorders/>
            <w:shd w:fill="CCEEFF" w:val="clear"/>
            <w:vAlign w:val="center"/>
          </w:tcPr>
          <w:p>
            <w:pPr>
              <w:pStyle w:val="TableContents"/>
              <w:bidi w:val="0"/>
              <w:spacing w:before="0" w:after="0"/>
              <w:ind w:left="0" w:right="0" w:hanging="0"/>
              <w:jc w:val="both"/>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589</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62" w:type="dxa"/>
            <w:tcBorders/>
            <w:shd w:fill="CCEEFF" w:val="clear"/>
            <w:vAlign w:val="center"/>
          </w:tcPr>
          <w:p>
            <w:pPr>
              <w:pStyle w:val="TableContents"/>
              <w:bidi w:val="0"/>
              <w:spacing w:before="0" w:after="0"/>
              <w:ind w:left="0" w:right="0" w:hanging="0"/>
              <w:jc w:val="right"/>
              <w:rPr/>
            </w:pPr>
            <w:r>
              <w:rPr/>
              <w:t>—</w:t>
            </w:r>
          </w:p>
        </w:tc>
      </w:tr>
      <w:tr>
        <w:trPr/>
        <w:tc>
          <w:tcPr>
            <w:tcW w:w="576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Decrease in additional paid-in capital as a result of repurchases of Class A common stock for withholding taxes on stock award to employee</w:t>
            </w:r>
          </w:p>
        </w:tc>
        <w:tc>
          <w:tcPr>
            <w:tcW w:w="286" w:type="dxa"/>
            <w:tcBorders/>
            <w:vAlign w:val="center"/>
          </w:tcPr>
          <w:p>
            <w:pPr>
              <w:pStyle w:val="TableContents"/>
              <w:bidi w:val="0"/>
              <w:spacing w:before="0" w:after="0"/>
              <w:ind w:left="0" w:right="0" w:hanging="0"/>
              <w:jc w:val="both"/>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(884)</w:t>
            </w:r>
          </w:p>
        </w:tc>
        <w:tc>
          <w:tcPr>
            <w:tcW w:w="293" w:type="dxa"/>
            <w:tcBorders/>
            <w:vAlign w:val="center"/>
          </w:tcPr>
          <w:p>
            <w:pPr>
              <w:pStyle w:val="TableContents"/>
              <w:bidi w:val="0"/>
              <w:spacing w:before="0" w:after="0"/>
              <w:ind w:left="0" w:right="0" w:hanging="0"/>
              <w:jc w:val="both"/>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(884)</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76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Change from net income attributable to Camping World Holdings, Inc. and transfers to non-controlling interests</w:t>
            </w:r>
          </w:p>
        </w:tc>
        <w:tc>
          <w:tcPr>
            <w:tcW w:w="286" w:type="dxa"/>
            <w:tcBorders/>
            <w:shd w:fill="CCEEFF" w:val="clear"/>
            <w:vAlign w:val="center"/>
          </w:tcPr>
          <w:p>
            <w:pPr>
              <w:pStyle w:val="TableContents"/>
              <w:bidi w:val="0"/>
              <w:spacing w:before="0" w:after="0"/>
              <w:ind w:left="0" w:right="0" w:hanging="0"/>
              <w:jc w:val="both"/>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26,639</w:t>
            </w:r>
          </w:p>
        </w:tc>
        <w:tc>
          <w:tcPr>
            <w:tcW w:w="293" w:type="dxa"/>
            <w:tcBorders/>
            <w:shd w:fill="CCEEFF" w:val="clear"/>
            <w:vAlign w:val="center"/>
          </w:tcPr>
          <w:p>
            <w:pPr>
              <w:pStyle w:val="TableContents"/>
              <w:bidi w:val="0"/>
              <w:spacing w:before="0" w:after="0"/>
              <w:ind w:left="0" w:right="0" w:hanging="0"/>
              <w:jc w:val="both"/>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30,138</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10,041</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17,433</w:t>
            </w:r>
          </w:p>
        </w:tc>
      </w:tr>
      <w:tr>
        <w:trPr/>
        <w:tc>
          <w:tcPr>
            <w:tcW w:w="5763"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both"/>
              <w:rPr/>
            </w:pPr>
            <w:r>
              <w:rPr/>
              <w:t>​</w:t>
            </w:r>
          </w:p>
        </w:tc>
        <w:tc>
          <w:tcPr>
            <w:tcW w:w="201"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6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firstLine="720"/>
        <w:jc w:val="both"/>
        <w:rPr>
          <w:color w:val="231F20"/>
        </w:rPr>
      </w:pPr>
      <w:r>
        <w:rPr>
          <w:color w:val="231F20"/>
        </w:rPr>
        <w:t>​</w:t>
      </w:r>
    </w:p>
    <w:p>
      <w:pPr>
        <w:pStyle w:val="TextBody"/>
        <w:bidi w:val="0"/>
        <w:spacing w:before="0" w:after="240"/>
        <w:ind w:left="0" w:right="0" w:hanging="0"/>
        <w:jc w:val="both"/>
        <w:rPr>
          <w:rFonts w:ascii="Arial;Helvetica;sans-serif" w:hAnsi="Arial;Helvetica;sans-serif"/>
          <w:b/>
          <w:sz w:val="20"/>
        </w:rPr>
      </w:pPr>
      <w:bookmarkStart w:id="1624" w:name="Tc_Di_puda69kas3nS1XxDTqQ_8_6"/>
      <w:bookmarkStart w:id="1625" w:name="Tc_v4LPtd-FwEqCVEKJCYywfw_8_4"/>
      <w:bookmarkStart w:id="1626" w:name="Tc_wj3Aj5mjOE2iCZ8VK63CRw_8_0"/>
      <w:bookmarkStart w:id="1627" w:name="Tc_2p2Yovh7bUGzQTIhoEh8hA_7_0"/>
      <w:bookmarkStart w:id="1628" w:name="Tc_sNUEfH5JkUKqm8H61FvqWg_6_6"/>
      <w:bookmarkStart w:id="1629" w:name="Tc_q3b7-CuqSE6g2eN7pG1d_g_6_0"/>
      <w:bookmarkStart w:id="1630" w:name="Tc_V6avzYMS5EePFb9xkwX9_g_5_6"/>
      <w:bookmarkStart w:id="1631" w:name="Tc_ajBr_JWCzUK9S4zlYsCrIA_5_2"/>
      <w:bookmarkStart w:id="1632" w:name="Tc_FuETs4fRmE-S3EJ-udd05g_5_0"/>
      <w:bookmarkStart w:id="1633" w:name="Tc_y4eDgjFbIUWC3mCaQF3Z-g_4_2"/>
      <w:bookmarkStart w:id="1634" w:name="Tc_Ehi1G2sg00y9X_fMclhQdA_4_0"/>
      <w:bookmarkStart w:id="1635" w:name="Tc_v2eS_pU8x0-kRPH-kU9eWg_3_0"/>
      <w:bookmarkStart w:id="1636" w:name="Tc_ZLATzgQ3sk69IKdgv73dNg_2_6"/>
      <w:bookmarkStart w:id="1637" w:name="Tc_71hbA2MZ2kCo976cTC1WTw_2_4"/>
      <w:bookmarkStart w:id="1638" w:name="Tc_83oQ6zCJO0KnD6q90sMnSA_2_2"/>
      <w:bookmarkStart w:id="1639" w:name="Tc_niLpfUSfzUmC7mzLjUK9Fw_2_0"/>
      <w:bookmarkStart w:id="1640" w:name="Tc_YOuhg2ryQ02JzqY8tO7KTg_1_6"/>
      <w:bookmarkStart w:id="1641" w:name="Tc_3ct_yj2_Dk-YQTHo86KK0Q_1_4"/>
      <w:bookmarkStart w:id="1642" w:name="Tc_xBCSjxy5s0-Berw2_GW2rA_1_2"/>
      <w:bookmarkStart w:id="1643" w:name="Tc_bwebrtZawkuNwQ8zCVvTMA_6_11"/>
      <w:bookmarkStart w:id="1644" w:name="Tc_yWHZ0Nm2FkmdJclllNhW-w_6_8"/>
      <w:bookmarkStart w:id="1645" w:name="Tc_OXWr5pG5xkiXclXuKThl2w_6_5"/>
      <w:bookmarkStart w:id="1646" w:name="Tc_Nxiimje9CUWlMEBsrmQBww_6_2"/>
      <w:bookmarkStart w:id="1647" w:name="Tc_kq0QCG0JV0Ce5Ry49EkEZw_6_0"/>
      <w:bookmarkStart w:id="1648" w:name="Tc_VcgoGKrTeU2LwsltB8xcCA_5_0"/>
      <w:bookmarkStart w:id="1649" w:name="Tc_5TO41SGHhk-n_3JG_zF62w_4_11"/>
      <w:bookmarkStart w:id="1650" w:name="Tc_f_LLuGeSj0eWlY_UARfVzQ_4_8"/>
      <w:bookmarkStart w:id="1651" w:name="Tc_5Jntmott50CbtsUvaF-wCQ_4_5"/>
      <w:bookmarkStart w:id="1652" w:name="Tc_2cp7eTrrc0WGUsN-4_slfA_4_2"/>
      <w:bookmarkStart w:id="1653" w:name="Tc_Z0UTo3N7qk6IENS0S9hFmg_4_0"/>
      <w:bookmarkStart w:id="1654" w:name="Tc_Ry4jI9d2E0quL3o0uTe7hg_3_0"/>
      <w:bookmarkStart w:id="1655" w:name="Tc_7MyMYP4v3UCn-uZ4E4RIXw_2_11"/>
      <w:bookmarkStart w:id="1656" w:name="Tc_8HQCWZY_xEyZSR6aYVmxew_2_8"/>
      <w:bookmarkStart w:id="1657" w:name="Tc_i_FJm4ZPI0WLau73yxEyqg_2_5"/>
      <w:bookmarkStart w:id="1658" w:name="Tc_kWo4aQ6nvEaugIMXgAcSFg_2_2"/>
      <w:bookmarkStart w:id="1659" w:name="Tc_hORyTVlgx0Ge7_B9gruI0w_2_0"/>
      <w:bookmarkStart w:id="1660" w:name="Tc_GL63otLn3EmxcY5QKXtEhw_1_8"/>
      <w:bookmarkStart w:id="1661" w:name="Tc_7WOvBXZuXkqVB4HdF8tYeA_1_2"/>
      <w:bookmarkStart w:id="1662" w:name="_6bf7c8f9_450b_415e_ad97_0208789de90e"/>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Pr>
          <w:rFonts w:ascii="Arial;Helvetica;sans-serif" w:hAnsi="Arial;Helvetica;sans-serif"/>
          <w:b/>
          <w:sz w:val="20"/>
        </w:rPr>
        <w:t>17. Stock-Based Compensation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stock-based compensation (“SBC”) that has been included in the following line items within the condensed consolidated statements of operations during:</w:t>
      </w:r>
    </w:p>
    <w:p>
      <w:pPr>
        <w:pStyle w:val="TextBody"/>
        <w:bidi w:val="0"/>
        <w:spacing w:before="0" w:after="0"/>
        <w:ind w:left="0" w:right="0" w:hanging="0"/>
        <w:jc w:val="both"/>
        <w:rPr/>
      </w:pPr>
      <w:r>
        <w:rPr/>
        <w:t>​</w:t>
      </w:r>
    </w:p>
    <w:tbl>
      <w:tblPr>
        <w:tblW w:w="7547" w:type="dxa"/>
        <w:jc w:val="left"/>
        <w:tblInd w:w="0" w:type="dxa"/>
        <w:tblLayout w:type="fixed"/>
        <w:tblCellMar>
          <w:top w:w="0" w:type="dxa"/>
          <w:left w:w="0" w:type="dxa"/>
          <w:bottom w:w="0" w:type="dxa"/>
          <w:right w:w="0" w:type="dxa"/>
        </w:tblCellMar>
      </w:tblPr>
      <w:tblGrid>
        <w:gridCol w:w="3181"/>
        <w:gridCol w:w="146"/>
        <w:gridCol w:w="220"/>
        <w:gridCol w:w="575"/>
        <w:gridCol w:w="389"/>
        <w:gridCol w:w="220"/>
        <w:gridCol w:w="575"/>
        <w:gridCol w:w="346"/>
        <w:gridCol w:w="196"/>
        <w:gridCol w:w="511"/>
        <w:gridCol w:w="346"/>
        <w:gridCol w:w="196"/>
        <w:gridCol w:w="646"/>
      </w:tblGrid>
      <w:tr>
        <w:trPr/>
        <w:tc>
          <w:tcPr>
            <w:tcW w:w="318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2710" cy="175260"/>
                      <wp:effectExtent l="0" t="0" r="0" b="0"/>
                      <wp:wrapNone/>
                      <wp:docPr id="242" name="Frame2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9700" cy="175260"/>
                      <wp:effectExtent l="0" t="0" r="0" b="0"/>
                      <wp:wrapNone/>
                      <wp:docPr id="243" name="Frame24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5125" cy="175260"/>
                      <wp:effectExtent l="0" t="0" r="0" b="0"/>
                      <wp:wrapNone/>
                      <wp:docPr id="244" name="Frame244"/>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47015" cy="175260"/>
                      <wp:effectExtent l="0" t="0" r="0" b="0"/>
                      <wp:wrapNone/>
                      <wp:docPr id="245" name="Frame245"/>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9700" cy="175260"/>
                      <wp:effectExtent l="0" t="0" r="0" b="0"/>
                      <wp:wrapNone/>
                      <wp:docPr id="246" name="Frame24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65125" cy="175260"/>
                      <wp:effectExtent l="0" t="0" r="0" b="0"/>
                      <wp:wrapNone/>
                      <wp:docPr id="247" name="Frame24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4460" cy="175260"/>
                      <wp:effectExtent l="0" t="0" r="0" b="0"/>
                      <wp:wrapNone/>
                      <wp:docPr id="249"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24485" cy="175260"/>
                      <wp:effectExtent l="0" t="0" r="0" b="0"/>
                      <wp:wrapNone/>
                      <wp:docPr id="250" name="Frame2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4460" cy="175260"/>
                      <wp:effectExtent l="0" t="0" r="0" b="0"/>
                      <wp:wrapNone/>
                      <wp:docPr id="252" name="Frame2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10210" cy="175260"/>
                      <wp:effectExtent l="0" t="0" r="0" b="0"/>
                      <wp:wrapNone/>
                      <wp:docPr id="253" name="Frame25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19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46" w:type="dxa"/>
            <w:tcBorders/>
            <w:vAlign w:val="center"/>
          </w:tcPr>
          <w:p>
            <w:pPr>
              <w:pStyle w:val="TableContents"/>
              <w:bidi w:val="0"/>
              <w:spacing w:before="0" w:after="0"/>
              <w:ind w:left="0" w:right="0" w:hanging="0"/>
              <w:jc w:val="both"/>
              <w:rPr/>
            </w:pPr>
            <w:r>
              <w:rPr/>
              <w:t>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89" w:type="dxa"/>
            <w:tcBorders/>
            <w:vAlign w:val="center"/>
          </w:tcPr>
          <w:p>
            <w:pPr>
              <w:pStyle w:val="TableContents"/>
              <w:bidi w:val="0"/>
              <w:spacing w:before="0" w:after="0"/>
              <w:ind w:left="0" w:right="0" w:hanging="0"/>
              <w:jc w:val="both"/>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318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Stock-based compensation expense:</w:t>
            </w:r>
          </w:p>
        </w:tc>
        <w:tc>
          <w:tcPr>
            <w:tcW w:w="146" w:type="dxa"/>
            <w:tcBorders/>
            <w:shd w:fill="CCEEFF" w:val="clear"/>
            <w:vAlign w:val="center"/>
          </w:tcPr>
          <w:p>
            <w:pPr>
              <w:pStyle w:val="TableContents"/>
              <w:bidi w:val="0"/>
              <w:spacing w:before="0" w:after="0"/>
              <w:ind w:left="0" w:right="0" w:hanging="0"/>
              <w:jc w:val="both"/>
              <w:rPr/>
            </w:pPr>
            <w:r>
              <w:rPr/>
              <w:t>​</w:t>
            </w:r>
          </w:p>
        </w:tc>
        <w:tc>
          <w:tcPr>
            <w:tcW w:w="220" w:type="dxa"/>
            <w:tcBorders/>
            <w:shd w:fill="CCEEFF" w:val="clear"/>
            <w:vAlign w:val="center"/>
          </w:tcPr>
          <w:p>
            <w:pPr>
              <w:pStyle w:val="TableContents"/>
              <w:bidi w:val="0"/>
              <w:spacing w:before="0" w:after="0"/>
              <w:ind w:left="0" w:right="0" w:hanging="0"/>
              <w:jc w:val="both"/>
              <w:rPr/>
            </w:pPr>
            <w:r>
              <w:rPr/>
              <w:t>​</w:t>
            </w:r>
          </w:p>
        </w:tc>
        <w:tc>
          <w:tcPr>
            <w:tcW w:w="575" w:type="dxa"/>
            <w:tcBorders/>
            <w:shd w:fill="CCEEFF" w:val="clear"/>
            <w:vAlign w:val="center"/>
          </w:tcPr>
          <w:p>
            <w:pPr>
              <w:pStyle w:val="TableContents"/>
              <w:bidi w:val="0"/>
              <w:spacing w:before="0" w:after="0"/>
              <w:ind w:left="0" w:right="0" w:hanging="0"/>
              <w:jc w:val="both"/>
              <w:rPr/>
            </w:pPr>
            <w:r>
              <w:rPr/>
              <w:t>​</w:t>
            </w:r>
          </w:p>
        </w:tc>
        <w:tc>
          <w:tcPr>
            <w:tcW w:w="389" w:type="dxa"/>
            <w:tcBorders/>
            <w:shd w:fill="CCEEFF" w:val="clear"/>
            <w:vAlign w:val="center"/>
          </w:tcPr>
          <w:p>
            <w:pPr>
              <w:pStyle w:val="TableContents"/>
              <w:bidi w:val="0"/>
              <w:spacing w:before="0" w:after="0"/>
              <w:ind w:left="0" w:right="0" w:hanging="0"/>
              <w:jc w:val="both"/>
              <w:rPr/>
            </w:pPr>
            <w:r>
              <w:rPr/>
              <w:t>​</w:t>
            </w:r>
          </w:p>
        </w:tc>
        <w:tc>
          <w:tcPr>
            <w:tcW w:w="220" w:type="dxa"/>
            <w:tcBorders/>
            <w:shd w:fill="CCEEFF" w:val="clear"/>
            <w:vAlign w:val="center"/>
          </w:tcPr>
          <w:p>
            <w:pPr>
              <w:pStyle w:val="TableContents"/>
              <w:bidi w:val="0"/>
              <w:spacing w:before="0" w:after="0"/>
              <w:ind w:left="0" w:right="0" w:hanging="0"/>
              <w:jc w:val="both"/>
              <w:rPr/>
            </w:pPr>
            <w:r>
              <w:rPr/>
              <w:t>​</w:t>
            </w:r>
          </w:p>
        </w:tc>
        <w:tc>
          <w:tcPr>
            <w:tcW w:w="57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46" w:type="dxa"/>
            <w:tcBorders/>
            <w:shd w:fill="CCEEFF" w:val="clear"/>
            <w:vAlign w:val="center"/>
          </w:tcPr>
          <w:p>
            <w:pPr>
              <w:pStyle w:val="TableContents"/>
              <w:bidi w:val="0"/>
              <w:spacing w:before="0" w:after="0"/>
              <w:ind w:left="0" w:right="0" w:hanging="0"/>
              <w:jc w:val="both"/>
              <w:rPr/>
            </w:pPr>
            <w:r>
              <w:rPr/>
              <w:t>​</w:t>
            </w:r>
          </w:p>
        </w:tc>
      </w:tr>
      <w:tr>
        <w:trPr/>
        <w:tc>
          <w:tcPr>
            <w:tcW w:w="3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Costs applicable to revenue</w:t>
            </w:r>
          </w:p>
        </w:tc>
        <w:tc>
          <w:tcPr>
            <w:tcW w:w="146" w:type="dxa"/>
            <w:tcBorders/>
            <w:vAlign w:val="center"/>
          </w:tcPr>
          <w:p>
            <w:pPr>
              <w:pStyle w:val="TableContents"/>
              <w:bidi w:val="0"/>
              <w:spacing w:before="0" w:after="0"/>
              <w:ind w:left="0" w:right="0" w:hanging="0"/>
              <w:jc w:val="both"/>
              <w:rPr/>
            </w:pPr>
            <w:r>
              <w:rPr/>
              <w:t>​</w:t>
            </w:r>
          </w:p>
        </w:tc>
        <w:tc>
          <w:tcPr>
            <w:tcW w:w="22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w:t>
            </w:r>
          </w:p>
        </w:tc>
        <w:tc>
          <w:tcPr>
            <w:tcW w:w="389" w:type="dxa"/>
            <w:tcBorders/>
            <w:vAlign w:val="center"/>
          </w:tcPr>
          <w:p>
            <w:pPr>
              <w:pStyle w:val="TableContents"/>
              <w:bidi w:val="0"/>
              <w:spacing w:before="0" w:after="0"/>
              <w:ind w:left="0" w:right="0" w:hanging="0"/>
              <w:jc w:val="both"/>
              <w:rPr/>
            </w:pPr>
            <w:r>
              <w:rPr/>
              <w:t>​</w:t>
            </w:r>
          </w:p>
        </w:tc>
        <w:tc>
          <w:tcPr>
            <w:tcW w:w="22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w:t>
            </w:r>
          </w:p>
        </w:tc>
      </w:tr>
      <w:tr>
        <w:trPr/>
        <w:tc>
          <w:tcPr>
            <w:tcW w:w="3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146" w:type="dxa"/>
            <w:tcBorders/>
            <w:shd w:fill="CCEEFF" w:val="clear"/>
            <w:vAlign w:val="center"/>
          </w:tcPr>
          <w:p>
            <w:pPr>
              <w:pStyle w:val="TableContents"/>
              <w:bidi w:val="0"/>
              <w:spacing w:before="0" w:after="0"/>
              <w:ind w:left="0" w:right="0" w:hanging="0"/>
              <w:jc w:val="both"/>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4,254</w:t>
            </w:r>
          </w:p>
        </w:tc>
        <w:tc>
          <w:tcPr>
            <w:tcW w:w="389" w:type="dxa"/>
            <w:tcBorders/>
            <w:shd w:fill="CCEEFF" w:val="clear"/>
            <w:vAlign w:val="center"/>
          </w:tcPr>
          <w:p>
            <w:pPr>
              <w:pStyle w:val="TableContents"/>
              <w:bidi w:val="0"/>
              <w:spacing w:before="0" w:after="0"/>
              <w:ind w:left="0" w:right="0" w:hanging="0"/>
              <w:jc w:val="both"/>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8,344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15,489</w:t>
            </w:r>
          </w:p>
        </w:tc>
      </w:tr>
      <w:tr>
        <w:trPr/>
        <w:tc>
          <w:tcPr>
            <w:tcW w:w="3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stock-based compensation expense</w:t>
            </w:r>
          </w:p>
        </w:tc>
        <w:tc>
          <w:tcPr>
            <w:tcW w:w="146" w:type="dxa"/>
            <w:tcBorders/>
            <w:vAlign w:val="center"/>
          </w:tcPr>
          <w:p>
            <w:pPr>
              <w:pStyle w:val="TableContents"/>
              <w:bidi w:val="0"/>
              <w:spacing w:before="0" w:after="0"/>
              <w:ind w:left="0" w:right="0" w:hanging="0"/>
              <w:jc w:val="both"/>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w:t>
            </w:r>
          </w:p>
        </w:tc>
        <w:tc>
          <w:tcPr>
            <w:tcW w:w="389" w:type="dxa"/>
            <w:tcBorders/>
            <w:vAlign w:val="center"/>
          </w:tcPr>
          <w:p>
            <w:pPr>
              <w:pStyle w:val="TableContents"/>
              <w:bidi w:val="0"/>
              <w:spacing w:before="0" w:after="0"/>
              <w:ind w:left="0" w:right="0" w:hanging="0"/>
              <w:jc w:val="both"/>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8,444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9,158</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15,714</w:t>
            </w:r>
          </w:p>
        </w:tc>
      </w:tr>
      <w:tr>
        <w:trPr/>
        <w:tc>
          <w:tcPr>
            <w:tcW w:w="318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20" w:type="dxa"/>
            <w:tcBorders/>
            <w:vAlign w:val="center"/>
          </w:tcPr>
          <w:p>
            <w:pPr>
              <w:pStyle w:val="TableContents"/>
              <w:bidi w:val="0"/>
              <w:spacing w:before="0" w:after="0"/>
              <w:ind w:left="0" w:right="0" w:hanging="0"/>
              <w:jc w:val="both"/>
              <w:rPr/>
            </w:pPr>
            <w:r>
              <w:rPr/>
              <w:t>​</w:t>
            </w:r>
          </w:p>
        </w:tc>
        <w:tc>
          <w:tcPr>
            <w:tcW w:w="575" w:type="dxa"/>
            <w:tcBorders/>
            <w:vAlign w:val="center"/>
          </w:tcPr>
          <w:p>
            <w:pPr>
              <w:pStyle w:val="TableContents"/>
              <w:bidi w:val="0"/>
              <w:spacing w:before="0" w:after="0"/>
              <w:ind w:left="0" w:right="0" w:hanging="0"/>
              <w:jc w:val="both"/>
              <w:rPr/>
            </w:pPr>
            <w:r>
              <w:rPr/>
              <w:t>​</w:t>
            </w:r>
          </w:p>
        </w:tc>
        <w:tc>
          <w:tcPr>
            <w:tcW w:w="389" w:type="dxa"/>
            <w:tcBorders/>
            <w:vAlign w:val="center"/>
          </w:tcPr>
          <w:p>
            <w:pPr>
              <w:pStyle w:val="TableContents"/>
              <w:bidi w:val="0"/>
              <w:spacing w:before="0" w:after="0"/>
              <w:ind w:left="0" w:right="0" w:hanging="0"/>
              <w:jc w:val="both"/>
              <w:rPr/>
            </w:pPr>
            <w:r>
              <w:rPr/>
              <w:t>​</w:t>
            </w:r>
          </w:p>
        </w:tc>
        <w:tc>
          <w:tcPr>
            <w:tcW w:w="220" w:type="dxa"/>
            <w:tcBorders/>
            <w:vAlign w:val="center"/>
          </w:tcPr>
          <w:p>
            <w:pPr>
              <w:pStyle w:val="TableContents"/>
              <w:bidi w:val="0"/>
              <w:spacing w:before="0" w:after="0"/>
              <w:ind w:left="0" w:right="0" w:hanging="0"/>
              <w:jc w:val="both"/>
              <w:rPr/>
            </w:pPr>
            <w:r>
              <w:rPr/>
              <w:t>​</w:t>
            </w:r>
          </w:p>
        </w:tc>
        <w:tc>
          <w:tcPr>
            <w:tcW w:w="57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summarizes stock option, restricted stock unit (“RSU”) and performance stock unit (“PSU”) activities for the six months ended June 30, 2026:</w:t>
      </w:r>
    </w:p>
    <w:p>
      <w:pPr>
        <w:pStyle w:val="TextBody"/>
        <w:bidi w:val="0"/>
        <w:spacing w:before="0" w:after="0"/>
        <w:ind w:left="0" w:right="0" w:hanging="0"/>
        <w:jc w:val="both"/>
        <w:rPr/>
      </w:pPr>
      <w:r>
        <w:rPr/>
        <w:t>​</w:t>
      </w:r>
    </w:p>
    <w:tbl>
      <w:tblPr>
        <w:tblW w:w="5446" w:type="dxa"/>
        <w:jc w:val="left"/>
        <w:tblInd w:w="0" w:type="dxa"/>
        <w:tblLayout w:type="fixed"/>
        <w:tblCellMar>
          <w:top w:w="0" w:type="dxa"/>
          <w:left w:w="0" w:type="dxa"/>
          <w:bottom w:w="0" w:type="dxa"/>
          <w:right w:w="0" w:type="dxa"/>
        </w:tblCellMar>
      </w:tblPr>
      <w:tblGrid>
        <w:gridCol w:w="2671"/>
        <w:gridCol w:w="109"/>
        <w:gridCol w:w="601"/>
        <w:gridCol w:w="109"/>
        <w:gridCol w:w="841"/>
        <w:gridCol w:w="109"/>
        <w:gridCol w:w="100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96085" cy="175260"/>
                      <wp:effectExtent l="0" t="0" r="0" b="0"/>
                      <wp:wrapNone/>
                      <wp:docPr id="254" name="Frame254"/>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81635" cy="175260"/>
                      <wp:effectExtent l="0" t="0" r="0" b="0"/>
                      <wp:wrapNone/>
                      <wp:docPr id="256" name="Frame25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34035" cy="175260"/>
                      <wp:effectExtent l="0" t="0" r="0" b="0"/>
                      <wp:wrapNone/>
                      <wp:docPr id="258" name="Frame25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38810" cy="175260"/>
                      <wp:effectExtent l="0" t="0" r="0" b="0"/>
                      <wp:wrapNone/>
                      <wp:docPr id="260" name="Frame26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Stock</w:t>
            </w:r>
          </w:p>
        </w:tc>
        <w:tc>
          <w:tcPr>
            <w:tcW w:w="109"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Restricted </w:t>
            </w:r>
          </w:p>
        </w:tc>
        <w:tc>
          <w:tcPr>
            <w:tcW w:w="109"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Performance</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(in thousands)</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Options</w:t>
            </w:r>
          </w:p>
        </w:tc>
        <w:tc>
          <w:tcPr>
            <w:tcW w:w="109"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Stock Units</w:t>
            </w:r>
          </w:p>
        </w:tc>
        <w:tc>
          <w:tcPr>
            <w:tcW w:w="109"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sz w:val="14"/>
              </w:rPr>
              <w:t>Stock Units</w:t>
            </w:r>
            <w:r>
              <w:rPr>
                <w:rFonts w:ascii="Arial;Helvetica;sans-serif" w:hAnsi="Arial;Helvetica;sans-serif"/>
                <w:b/>
                <w:sz w:val="11"/>
              </w:rPr>
              <w:t>(1)</w:t>
            </w:r>
          </w:p>
        </w:tc>
      </w:tr>
      <w:tr>
        <w:trPr/>
        <w:tc>
          <w:tcPr>
            <w:tcW w:w="26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Outstanding at December 31, 2025</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1,915</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750</w:t>
            </w:r>
          </w:p>
        </w:tc>
      </w:tr>
      <w:tr>
        <w:trPr/>
        <w:tc>
          <w:tcPr>
            <w:tcW w:w="26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Granted</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w:t>
            </w:r>
          </w:p>
        </w:tc>
        <w:tc>
          <w:tcPr>
            <w:tcW w:w="109"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r>
      <w:tr>
        <w:trPr/>
        <w:tc>
          <w:tcPr>
            <w:tcW w:w="26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Vested</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Forfeited</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109" w:type="dxa"/>
            <w:tcBorders/>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109" w:type="dxa"/>
            <w:tcBorders/>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Outstanding at June 30, 2026</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w:t>
            </w:r>
          </w:p>
        </w:tc>
        <w:tc>
          <w:tcPr>
            <w:tcW w:w="109" w:type="dxa"/>
            <w:tcBorders/>
            <w:shd w:fill="CCEEFF" w:val="clear"/>
            <w:vAlign w:val="center"/>
          </w:tcPr>
          <w:p>
            <w:pPr>
              <w:pStyle w:val="TableContents"/>
              <w:bidi w:val="0"/>
              <w:spacing w:before="0" w:after="0"/>
              <w:ind w:left="0" w:right="0" w:hanging="0"/>
              <w:jc w:val="both"/>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2,009</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950</w:t>
            </w:r>
          </w:p>
        </w:tc>
      </w:tr>
      <w:tr>
        <w:trPr/>
        <w:tc>
          <w:tcPr>
            <w:tcW w:w="26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Exercisable at June 30, 2026</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w:t>
            </w:r>
          </w:p>
        </w:tc>
        <w:tc>
          <w:tcPr>
            <w:tcW w:w="109"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109"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26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PSU quantities in this table are presented at target levels of performance prior to the final determination of goal achievement.</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RSUs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the Company granted a total of 244,585 RSUs to non-executive employees with an aggregate grant date fair value of $1.8 million and weighted-average grant date fair value of $7.49 per RSU, which will be recognized, net of forfeitures, over a vesting period of five years.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December 2025, in conjunction with the amended and restated employment agreement with Matthew D. Wagner, the Company granted Mr. Wagner 465,000 RSUs with a vesting period through November 15, 2028 and an effective date of January 1, 2026 to coincide with his appointment as the Company’s Chief Executive Officer and member of the Board. Also, in December 2025, Brent Moody was appointed as Chairman of the Board effective January 1, 2026 and the Company granted Mr. Moody RSUs with an aggregate grant date fair value of $550,000 with a vesting period of one year and an effective date of January 1, 2026. Although the effective date of Mr. Wagner’s and Mr. Moody’s RSU grants was January 1, 2026, these RSU grants met the criteria for a grant date for accounting purposes during December 2025. The 465,000 and 59,518 RSUs granted to Mr. Wagner and Mr. Moody, respectively, were recorded as if they were granted during the year ended December 31,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on the date of the Company’s annual stockholders’ meeting in May 2026, in accordance with the Company’s non-employee director compensation policy, each of the seven non-employee directors received grants of 20,325 RSUs with an aggregate grant date fair value of $1.0 million and a weighted-average grant date fair value of $7.38 per RSU, which will be recognized, net of forfeitures, over a vesting period of one year.</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PSUs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January 2025, pursuant to Mr. Lemonis’ previous employment agreement effective January 1, 2025 (the “Lemonis First Employment Agreement”), the Company granted Mr. Lemonis an award of PSUs under the 2016 Plan with respect to 750,000 PSUs if earned at “target” levels of performance, which will be eligible to vest based on the achievement of specified stock price hurdles over what was originally a three year performance period ending on December 31, 2027. However, if the Lemonis Second Employment Agreement is not extended, pursuant to the PSU award agreement with Mr. Lemonis the end of the post-termination measurement period will be February 16, 2027 and any tranche that has not met its stock price target will be forfeited. The PSUs are comprised of four tranches of 187,500 PSUs with hurdles ranging from $32.50 per share to $47.50 per share in $5.00 per share increments. The achievement of the stock price hurdles is based on the average 30 consecutive trading day closing stock price of the Company’s Class A common stock.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three months ended June 30, 2026, the Company granted PSUs to employees, including Mr. Kirn and Ms. Christen, with respect to an aggregate target number of 200,000 PSUs. The PSUs will be eligible to be earned based on an Adjusted EBITDA performance target for fiscal year 2026. In the event that actual performance exceeds or falls below target performance, the percentage of the earned PSUs will be adjusted upward or downward, as applicable, by an amount equal to 200% of the percentage by which actual performance exceeds or falls short of target performance; provided that in no event shall the number of PSUs eligible to vest for any year be less than the minimum (50% of the target number of PSUs for 110,000 of the target PSUs and 75% of the target number of PSUs for the remaining 90,000 of the target PSUs) or greater than the maximum (150% of the target number of PSUs). The earned PSUs will vest on the date on which the Compensation Committee certifies the Adjusted EBITDA achievement, which certification shall occur within </w:t>
      </w:r>
      <w:r>
        <w:rPr>
          <w:rFonts w:ascii="Arial;Helvetica;sans-serif" w:hAnsi="Arial;Helvetica;sans-serif"/>
          <w:b w:val="false"/>
          <w:i w:val="false"/>
          <w:caps w:val="false"/>
          <w:smallCaps w:val="false"/>
          <w:sz w:val="20"/>
        </w:rPr>
        <w:t>ten</w:t>
      </w:r>
      <w:r>
        <w:rPr>
          <w:rFonts w:ascii="Arial;Helvetica;sans-serif" w:hAnsi="Arial;Helvetica;sans-serif"/>
          <w:sz w:val="20"/>
        </w:rPr>
        <w:t xml:space="preserve"> (10) business days following the filing of the Company’s Annual Report on Form 10-K for fiscal year 2026 (“2026 PSU Vest Date”), subject to the employee’s continued employment or service through such date. The weighted-average grant date fair value of $6.92 per PSU will be recognized, net of forfeitures, through the 2026 PSU Vest Date based on an estimate of the probable outcome of the performance target. The probable outcome of the performance target is updated each reporting period through the final performance target resolution on the 2026 PSU Vest Date.</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Liability-Classified Share-Based Awards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discussed in Note 11 – Commitments and Contingencies and pursuant to the Lemonis Second Employment Agreement, Mr. Lemonis’ 2026 compensation included the 2026 Bonus of $2.3 million and the Lump-Sum Payment of $3.8 million, each of which could be settled in cash or shares of Class A common stock based on the closing stock price on the settlement date. Since the 2026 Bonus and the Lump-Sum Payment might be settled in cash or shares, were initially expected to be settled in shares, and a settlement in shares would result in a variable number of shares based on a fixed monetary amount, these payments were each recorded as liability-classified share-based awards (“Liability-Classified Awards”).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deemed the 2026 service conditions relating to the Lemonis Second Employment Agreement to be nonsubstantive for accounting purposes, so all of the SBC expense relating to the Liability-Classified Awards was recognized by December 31, 2025, which was the date that Mr. Lemonis retired from the position of Chief Executive Officer and Chairman of the Board. As of December 31, 2025, the aggregate $6.0 million for the Liability-Classified Awards was recorded in other current liabilities in the condensed consolidated balance sheet and was not a component of stockholders’ equity.</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As further discussed in Note 11 – Commitments and Contingencies and pursuant to the May 18, 2026 amendment to the Lemonis Second Employment Agreement, the Company settled each of the 2026 Bonus and Lump-Sum Payment in May 2026. The 2026 Bonus was settled with the issuance of 319,602 shares of Class A common stock, less 125,763 shares withheld to cover Mr. Lemonis’ associated tax withholding obligations. The Lump-Sum Payment was settled with a cash payment of $3.8 million. For the three and six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months ended June 30, 2026, the amount recorded to components of stockholders’ equity related to SBC expense exceeded the SBC expense recorded in the condensed statements of operations by $2.3 million, reflecting the 2026 Bonus settled in shares of Class A common stock in May 2026 for which the SBC expense had been recognized during the three months ended December 31, 2025.</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Arial;Helvetica;sans-serif" w:hAnsi="Arial;Helvetica;sans-serif"/>
          <w:b/>
          <w:sz w:val="20"/>
        </w:rPr>
      </w:pPr>
      <w:bookmarkStart w:id="1663" w:name="Tc_i3aFq15H7k-HK6_v7MjTag_26_0"/>
      <w:bookmarkStart w:id="1664" w:name="Tc_YQIqAUQ6U0GCEq8XSyOh_w_25_0"/>
      <w:bookmarkStart w:id="1665" w:name="Tc_GodBNjbBLkOHAfYhdOvQDA_23_12"/>
      <w:bookmarkStart w:id="1666" w:name="Tc_5z9jTdgiMU2ARe5cHSeBhA_23_0"/>
      <w:bookmarkStart w:id="1667" w:name="Tc_6izTiK1VD0WFKaQNhF_toQ_22_0"/>
      <w:bookmarkStart w:id="1668" w:name="Tc_t7L-xp5tQ0-0P758NUQ_DQ_21_0"/>
      <w:bookmarkStart w:id="1669" w:name="Tc_FS1U0QvMv0uquHjXfcbDeQ_20_0"/>
      <w:bookmarkStart w:id="1670" w:name="Tc_XkDhuX-93Ue0MBag9w-Yfg_18_11"/>
      <w:bookmarkStart w:id="1671" w:name="Tc_v8ZfKSIUKUWm7fW4fWzHkg_18_8"/>
      <w:bookmarkStart w:id="1672" w:name="Tc_LgPJpGco1k-ccmA676vBTQ_18_5"/>
      <w:bookmarkStart w:id="1673" w:name="Tc_IQTtCMd3X0KQ6otdO2uevA_18_2"/>
      <w:bookmarkStart w:id="1674" w:name="Tc_CaMIUMUmO0meQbymqkVnAg_18_0"/>
      <w:bookmarkStart w:id="1675" w:name="Tc_v9o72Zjh8USa7niArwC9wA_17_11"/>
      <w:bookmarkStart w:id="1676" w:name="Tc_kr8gTD5aDUiRKwROl4yVPg_17_8"/>
      <w:bookmarkStart w:id="1677" w:name="Tc_sYVfO7umOEGCalUmBJkHng_17_5"/>
      <w:bookmarkStart w:id="1678" w:name="Tc_zgNK2jw8-USmxpu55tWPdA_17_2"/>
      <w:bookmarkStart w:id="1679" w:name="Tc_ClqQttI2IUCV0GyogMKqNQ_17_0"/>
      <w:bookmarkStart w:id="1680" w:name="Tc_9L0ijeQxJEKdoj6-kx5eIA_15_0"/>
      <w:bookmarkStart w:id="1681" w:name="Tc_K77Ivb-pw0uhTxTgUp19kA_14_9"/>
      <w:bookmarkStart w:id="1682" w:name="Tc_gZ8cZxdTI0yLenfGyUeiRw_14_6"/>
      <w:bookmarkStart w:id="1683" w:name="Tc_CE5pr--2wUO_LZKdeXzQxw_14_3"/>
      <w:bookmarkStart w:id="1684" w:name="Tc_gKlCYFStQUK2NtWnFtoZOA_14_0"/>
      <w:bookmarkStart w:id="1685" w:name="Tc_V1pr11Lg7EqR951LiUcYgg_13_0"/>
      <w:bookmarkStart w:id="1686" w:name="Tc_xCyBXIFzekShtKGmhFzNuQ_12_12"/>
      <w:bookmarkStart w:id="1687" w:name="Tc_xSLh-1MOjE6H45dm3yZIyQ_12_6"/>
      <w:bookmarkStart w:id="1688" w:name="Tc_u3cXkfsLdEeUWGT7mNRfYA_12_0"/>
      <w:bookmarkStart w:id="1689" w:name="Tc_R_L20F9ibUik17p5Sm7BMw_11_0"/>
      <w:bookmarkStart w:id="1690" w:name="Tc_0DmUmOEAhEafJY7OTbPdXQ_10_0"/>
      <w:bookmarkStart w:id="1691" w:name="Tc_hW9T4twcakuevasSq7jWMA_9_11"/>
      <w:bookmarkStart w:id="1692" w:name="Tc_P3rtjnHPNkyoD23kiml45g_9_8"/>
      <w:bookmarkStart w:id="1693" w:name="Tc_O7r1SAzLzkSRSCAgXArwlw_9_5"/>
      <w:bookmarkStart w:id="1694" w:name="Tc_jBnJr5jXbkKeTvVhPgczYw_9_2"/>
      <w:bookmarkStart w:id="1695" w:name="Tc_krX3m20J_Umf5NYcJmfzPg_9_0"/>
      <w:bookmarkStart w:id="1696" w:name="Tc_ACCLe9EiMUOyxLqW5UL2gA_8_9"/>
      <w:bookmarkStart w:id="1697" w:name="Tc_ZLP9lKIrPUK52-jzFt09JQ_8_6"/>
      <w:bookmarkStart w:id="1698" w:name="Tc_PNTup8sHtk-QPLGjNW3z0g_8_3"/>
      <w:bookmarkStart w:id="1699" w:name="Tc_LiRsATEmo0qsg47mZ9lCLA_8_0"/>
      <w:bookmarkStart w:id="1700" w:name="Tc_syG6eP2g2UeNxLOdMsKVsA_7_12"/>
      <w:bookmarkStart w:id="1701" w:name="Tc_XJ3_SFNQ4ECEhk-OEEeQ1g_7_0"/>
      <w:bookmarkStart w:id="1702" w:name="Tc_NMK9o0bJk0CtTccz9kG4KA_6_11"/>
      <w:bookmarkStart w:id="1703" w:name="Tc_Ka8CYrPCP0-NSdnSKF82iQ_6_8"/>
      <w:bookmarkStart w:id="1704" w:name="Tc_u9tmdDOlEkeeeHOtX0irMQ_6_5"/>
      <w:bookmarkStart w:id="1705" w:name="Tc_DsYj3mTtbEWjA-iP0gI7TQ_6_2"/>
      <w:bookmarkStart w:id="1706" w:name="Tc__vR9EfQBCE-FlHF8qKSlsA_6_0"/>
      <w:bookmarkStart w:id="1707" w:name="Tc_ACNSNGNai0Sms1NL6bMkgA_5_0"/>
      <w:bookmarkStart w:id="1708" w:name="Tc_qEXtc-tGq0OtGhK6tZVOXA_4_11"/>
      <w:bookmarkStart w:id="1709" w:name="Tc_9-G1bAKGjUOpEeWBczrdeg_4_8"/>
      <w:bookmarkStart w:id="1710" w:name="Tc_W-XGnFdAC0WYkePnU-mYyQ_4_5"/>
      <w:bookmarkStart w:id="1711" w:name="Tc_A07NktHyxk-hG0ByGijStw_4_2"/>
      <w:bookmarkStart w:id="1712" w:name="Tc_TX42tgFTNUeWHpr6xFLBjw_4_0"/>
      <w:bookmarkStart w:id="1713" w:name="Tc_MX_8AcHNxU2nDzTFZ4iNNA_3_0"/>
      <w:bookmarkStart w:id="1714" w:name="Tc_POTrW4Hr80Ca0s0ClNI1qA_2_11"/>
      <w:bookmarkStart w:id="1715" w:name="Tc_nof4CDwKrke3tLLXdXxx_w_2_8"/>
      <w:bookmarkStart w:id="1716" w:name="Tc_8ytj-kDoYEGXRnLT7lUZDg_2_5"/>
      <w:bookmarkStart w:id="1717" w:name="Tc_u4u9z__QVkeJq8u6A1MVXw_2_2"/>
      <w:bookmarkStart w:id="1718" w:name="Tc_zTQB3-pKiU2V62ajO6BeFg_2_0"/>
      <w:bookmarkStart w:id="1719" w:name="Tc_wIfTczbb5E-yQrvzWpKsqw_1_8"/>
      <w:bookmarkStart w:id="1720" w:name="Tc_Gh8DNyYEy0aPGuptrzp7og_1_2"/>
      <w:bookmarkStart w:id="1721" w:name="_4a5ad4d3_acd9_4d14_9aca_df265403f2b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ascii="Arial;Helvetica;sans-serif" w:hAnsi="Arial;Helvetica;sans-serif"/>
          <w:b/>
          <w:sz w:val="20"/>
        </w:rPr>
        <w:t>18. Earnings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Basic earnings per share of Class A common stock is computed by dividing net income attributable to Camping World Holdings, Inc. by the weighted-average number of shares of Class A common stock outstanding during the period. Diluted earnings per share of Class A common stock is computed by dividing net income attributable to Camping World Holdings, Inc. by the weighted-average number of shares of Class A common stock outstanding adjusted to give effect to potentially dilutive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reconciliations of the numerators and denominators used to compute basic and diluted earnings per share of Class A common stock:</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555"/>
        <w:gridCol w:w="109"/>
        <w:gridCol w:w="196"/>
        <w:gridCol w:w="680"/>
        <w:gridCol w:w="346"/>
        <w:gridCol w:w="196"/>
        <w:gridCol w:w="680"/>
        <w:gridCol w:w="346"/>
        <w:gridCol w:w="196"/>
        <w:gridCol w:w="610"/>
        <w:gridCol w:w="346"/>
        <w:gridCol w:w="196"/>
        <w:gridCol w:w="749"/>
      </w:tblGrid>
      <w:tr>
        <w:trPr/>
        <w:tc>
          <w:tcPr>
            <w:tcW w:w="55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both"/>
              <w:rPr/>
            </w:pPr>
            <w:r>
              <w:rPr/>
              <w:t>​</w:t>
            </w:r>
          </w:p>
        </w:tc>
      </w:tr>
      <w:tr>
        <w:trPr/>
        <w:tc>
          <w:tcPr>
            <w:tcW w:w="55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Contents"/>
              <w:bidi w:val="0"/>
              <w:spacing w:before="0" w:after="0"/>
              <w:ind w:left="0" w:right="0" w:hanging="0"/>
              <w:jc w:val="both"/>
              <w:rPr/>
            </w:pPr>
            <w:r>
              <w:rPr/>
              <w:t>​</w:t>
            </w:r>
          </w:p>
        </w:tc>
        <w:tc>
          <w:tcPr>
            <w:tcW w:w="20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555"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 thousands except per share amounts)</w:t>
            </w:r>
          </w:p>
        </w:tc>
        <w:tc>
          <w:tcPr>
            <w:tcW w:w="109" w:type="dxa"/>
            <w:tcBorders/>
            <w:vAlign w:val="center"/>
          </w:tcPr>
          <w:p>
            <w:pPr>
              <w:pStyle w:val="TableContents"/>
              <w:bidi w:val="0"/>
              <w:spacing w:before="0" w:after="0"/>
              <w:ind w:left="0" w:right="0" w:hanging="0"/>
              <w:jc w:val="both"/>
              <w:rPr/>
            </w:pPr>
            <w:r>
              <w:rPr/>
              <w:t>​</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both"/>
              <w:rPr/>
            </w:pPr>
            <w:r>
              <w:rPr/>
              <w:t>  ​ ​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both"/>
              <w:rPr/>
            </w:pPr>
            <w:r>
              <w:rPr/>
              <w:t>​</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57,523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17,052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32,841</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(16,853)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(27,307)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(14,905)</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 — 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26,860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30,216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17,936</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Add: reallocation of net income attributable to non-controlling interests from the assumed dilutive effect of stock options, PSUs and RSUs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pPr>
            <w:r>
              <w:rPr/>
              <w:t>—</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Add: reallocation of net income attributable to non-controlling interests from the assumed redemption of common units of CWGS, LLC for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11,049</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 — 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26,942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30,243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28,985</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63,668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62,610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62,571</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liability-classified awards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PSUs and RSUs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common units of CWGS, LLC that are convertible into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64,175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62,747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64,166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102,661</w:t>
            </w:r>
          </w:p>
        </w:tc>
      </w:tr>
      <w:tr>
        <w:trPr/>
        <w:tc>
          <w:tcPr>
            <w:tcW w:w="55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per share of Class A common stock — basic</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0.29</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per share of Class A common stock — 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r>
      <w:tr>
        <w:trPr/>
        <w:tc>
          <w:tcPr>
            <w:tcW w:w="5555"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pPr>
            <w:r>
              <w:rPr/>
              <w:t>​</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anti-dilutive securities excluded from the computation of diluted earnings per share of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Stock options to purchase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w:t>
            </w:r>
          </w:p>
        </w:tc>
      </w:tr>
      <w:tr>
        <w:trPr/>
        <w:tc>
          <w:tcPr>
            <w:tcW w:w="55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PSUs and RSUs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1,684</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Common units of CWGS, LLC that are convertible into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pPr>
            <w:r>
              <w:rPr/>
              <w:t>—</w:t>
            </w:r>
          </w:p>
        </w:tc>
      </w:tr>
      <w:tr>
        <w:trPr/>
        <w:tc>
          <w:tcPr>
            <w:tcW w:w="55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555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contingently issuable shares excluded from the computation of diluted earnings per share of Class A common stock since all necessary conditions had not been satisfied: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49" w:type="dxa"/>
            <w:tcBorders/>
            <w:shd w:fill="CCEEFF" w:val="clear"/>
            <w:vAlign w:val="center"/>
          </w:tcPr>
          <w:p>
            <w:pPr>
              <w:pStyle w:val="TableContents"/>
              <w:bidi w:val="0"/>
              <w:spacing w:before="0" w:after="0"/>
              <w:ind w:left="0" w:right="0" w:hanging="0"/>
              <w:jc w:val="right"/>
              <w:rPr/>
            </w:pPr>
            <w:r>
              <w:rPr/>
              <w:t>​</w:t>
            </w:r>
          </w:p>
        </w:tc>
      </w:tr>
      <w:tr>
        <w:trPr/>
        <w:tc>
          <w:tcPr>
            <w:tcW w:w="5555"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PSUs</w:t>
            </w:r>
            <w:r>
              <w:rPr>
                <w:rFonts w:ascii="Arial;Helvetica;sans-serif" w:hAnsi="Arial;Helvetica;sans-serif"/>
                <w:sz w:val="12"/>
              </w:rPr>
              <w:t>(1)</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750</w:t>
            </w:r>
          </w:p>
        </w:tc>
      </w:tr>
    </w:tbl>
    <w:p>
      <w:pPr>
        <w:pStyle w:val="TextBody"/>
        <w:bidi w:val="0"/>
        <w:spacing w:before="0" w:after="0"/>
        <w:ind w:left="0" w:right="0" w:firstLine="720"/>
        <w:jc w:val="both"/>
        <w:rPr/>
      </w:pPr>
      <w:r>
        <w:rPr/>
        <w:t>​</w:t>
      </w:r>
    </w:p>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See Note 17 – Stock-Based Compensation Plans for further details of PSUs.</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Shares of the Company’s Class B common stock and Class C common stock do not share in the earnings or losses of the Company and are therefore not participating securities. As such, separate basic and diluted earnings per share of Class B common stock or Class C common stock under the two-class method has not been presented. </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19. Segments Information</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722" w:name="Tc_L0rxe36YkEmw58bVDhqbXg_22_11"/>
      <w:bookmarkStart w:id="1723" w:name="Tc_NOQTuc7hokWNfTkDMidjDA_22_8"/>
      <w:bookmarkStart w:id="1724" w:name="Tc_eLp0QoA48k67xdlqCiszTQ_22_5"/>
      <w:bookmarkStart w:id="1725" w:name="Tc_XEp2T0PWxkiT6mt8LyV3-w_22_2"/>
      <w:bookmarkStart w:id="1726" w:name="Tc_JjaVxAYZ9kyoiQTmuCdYIw_22_0"/>
      <w:bookmarkStart w:id="1727" w:name="Tc_V3LXjkqblEaLhiYwvA-ivA_21_0"/>
      <w:bookmarkStart w:id="1728" w:name="Tc_vmeKr7uJf0SKhC2wNfcDFw_20_0"/>
      <w:bookmarkStart w:id="1729" w:name="Tc__DskzBasIECLrY4DqH-_Lg_19_3"/>
      <w:bookmarkStart w:id="1730" w:name="Tc_wltYlf9wSkysDodTAcGLUg_19_0"/>
      <w:bookmarkStart w:id="1731" w:name="Tc_ZFdY8xUOIkWqazXxIttf_A_18_0"/>
      <w:bookmarkStart w:id="1732" w:name="Tc_b7tFzalctEySDobWesKylA_17_0"/>
      <w:bookmarkStart w:id="1733" w:name="Tc_wWuA33MIo0K4GMmbVNtQwg_16_0"/>
      <w:bookmarkStart w:id="1734" w:name="Tc_gRbO-9bjXk--36zEcDtdFw_15_6"/>
      <w:bookmarkStart w:id="1735" w:name="Tc_vvG8aUnLZ06UHXaoK4h5Qw_15_0"/>
      <w:bookmarkStart w:id="1736" w:name="Tc_3rVDexVJO0OHRmzAk1u1aw_14_0"/>
      <w:bookmarkStart w:id="1737" w:name="Tc_vamoJB11b0CvIrPpTmEKMQ_13_0"/>
      <w:bookmarkStart w:id="1738" w:name="Tc_pDqfplUkzkSzb0dvTQ0QSw_12_0"/>
      <w:bookmarkStart w:id="1739" w:name="Tc_YG6mSyQ0i0Gaaq9QTpsSAQ_11_0"/>
      <w:bookmarkStart w:id="1740" w:name="Tc_TwTLup3UW0iCSDCrGPwz8Q_10_0"/>
      <w:bookmarkStart w:id="1741" w:name="Tc_BrjkYNRZDU2yGDs4cCQ0Xg_9_0"/>
      <w:bookmarkStart w:id="1742" w:name="Tc_IrmoWq4_e0qa1cQiCueMrA_8_0"/>
      <w:bookmarkStart w:id="1743" w:name="Tc_uJa3ZgBHr0epLvK1DEwtTg_7_0"/>
      <w:bookmarkStart w:id="1744" w:name="Tc_HJhJcF3KDkqFPC0eYN8CaQ_6_0"/>
      <w:bookmarkStart w:id="1745" w:name="Tc_AoMmSBq7M0C8c3rnAoWYXg_5_0"/>
      <w:bookmarkStart w:id="1746" w:name="Tc_MYzAPO797kit8KFNdCjU_g_4_11"/>
      <w:bookmarkStart w:id="1747" w:name="Tc_tJoMr4OPZEiU2Y_oX0DIEw_4_8"/>
      <w:bookmarkStart w:id="1748" w:name="Tc_msrmHYPwJUe4FOqC4A6ImQ_4_5"/>
      <w:bookmarkStart w:id="1749" w:name="Tc_PV7qHCZbvUuD9T64jlaG9A_4_2"/>
      <w:bookmarkStart w:id="1750" w:name="Tc_N26IB2YvlEeAYJnurvJKdA_4_0"/>
      <w:bookmarkStart w:id="1751" w:name="Tc_TnaIaLYZrkOSIdgmvTSkbg_3_0"/>
      <w:bookmarkStart w:id="1752" w:name="Tc_3D2d8Q73fkSFfxlnOnnjUA_2_11"/>
      <w:bookmarkStart w:id="1753" w:name="Tc_gWbw8M-qkkuXLwAdc9u1uA_2_8"/>
      <w:bookmarkStart w:id="1754" w:name="Tc_zsm0wvvJ0UCuJht3R8JWIg_2_5"/>
      <w:bookmarkStart w:id="1755" w:name="Tc_B9MAE6_2_kKlXZ8aJbD9vQ_2_2"/>
      <w:bookmarkStart w:id="1756" w:name="Tc_SiAdq-ilm0-IVuQ43SxqqA_2_0"/>
      <w:bookmarkStart w:id="1757" w:name="Tc__uDRGkcaakSzTwjEN9NxGw_1_8"/>
      <w:bookmarkStart w:id="1758" w:name="Tc_wpkQ44e810CsiyRx4jagHQ_1_2"/>
      <w:bookmarkStart w:id="1759" w:name="_044941ff_bad5_4786_a8b9_d74bb62b2969"/>
      <w:bookmarkStart w:id="1760" w:name="Tc_tpKaplTLOkWA7xRetMi-1w_22_23"/>
      <w:bookmarkStart w:id="1761" w:name="Tc_2zuKL7Pxm02glSNQVu6pPw_22_20"/>
      <w:bookmarkStart w:id="1762" w:name="Tc_BoUq91oRhkSCmdlQmeG-VA_22_17"/>
      <w:bookmarkStart w:id="1763" w:name="Tc_Otq14WZwykSHuE85H8jjog_22_14"/>
      <w:bookmarkStart w:id="1764" w:name="Tc_gCaQwAfXZESrPGh-Uh4-3g_22_11"/>
      <w:bookmarkStart w:id="1765" w:name="Tc_S8ERolrpI06w9cUIGcvdBQ_22_8"/>
      <w:bookmarkStart w:id="1766" w:name="Tc_53E10aENukiz4ox11CBaqg_22_5"/>
      <w:bookmarkStart w:id="1767" w:name="Tc_4v-FHjKqdUq6dSO8uuZn9w_22_2"/>
      <w:bookmarkStart w:id="1768" w:name="Tc_hI3kAIEbG0iSYCIFL8JMIA_22_0"/>
      <w:bookmarkStart w:id="1769" w:name="Tc_Xx-fNN4saUm9Oj_yNhMW1w_21_21"/>
      <w:bookmarkStart w:id="1770" w:name="Tc_BS9s9lhwV0a3jZ-x20x4KQ_21_15"/>
      <w:bookmarkStart w:id="1771" w:name="Tc_aVaMSI1L1kabg5iLmYRRAw_21_9"/>
      <w:bookmarkStart w:id="1772" w:name="Tc_UuxmbbW9I0is_bBWgeFXWA_21_3"/>
      <w:bookmarkStart w:id="1773" w:name="Tc_MqtW1YIZSkOGsDH9vFyOLA_21_0"/>
      <w:bookmarkStart w:id="1774" w:name="Tc_ls9AB0AVykCO2RugMHBfuA_20_21"/>
      <w:bookmarkStart w:id="1775" w:name="Tc_vAGkQlS2pU6RpyclpyEoQg_20_15"/>
      <w:bookmarkStart w:id="1776" w:name="Tc_ueBPVPgEu0GDT0vppUCTnw_20_9"/>
      <w:bookmarkStart w:id="1777" w:name="Tc_FcrykyACBEu3wUs-GTHlPg_20_3"/>
      <w:bookmarkStart w:id="1778" w:name="Tc_cb69gvgdQEOO5F6ytVd5Ww_20_0"/>
      <w:bookmarkStart w:id="1779" w:name="Tc_29SbFuH-oE6yXWHVnPDayA_19_0"/>
      <w:bookmarkStart w:id="1780" w:name="Tc__UbzZZw3406crADcCsleqA_18_0"/>
      <w:bookmarkStart w:id="1781" w:name="Tc_HX0Sy7bKSUW900eOLUlVqg_17_0"/>
      <w:bookmarkStart w:id="1782" w:name="Tc_ixcU_xvdzE-prKLmFTu8nA_16_0"/>
      <w:bookmarkStart w:id="1783" w:name="Tc_dlVfZ0EKpkaIeoudVu5isQ_14_0"/>
      <w:bookmarkStart w:id="1784" w:name="Tc_RDi87i4iYUOuKzfgUT4_ww_13_0"/>
      <w:bookmarkStart w:id="1785" w:name="Tc__L5xKXdNaUOvkTB4InYe2w_12_21"/>
      <w:bookmarkStart w:id="1786" w:name="Tc_Sm_Oid_egkihgeKPBvZ9FQ_12_15"/>
      <w:bookmarkStart w:id="1787" w:name="Tc_O6fasGtmjkS1PTpZ5m2Tag_12_9"/>
      <w:bookmarkStart w:id="1788" w:name="Tc_ufM1ypTw2067NpT2NVM_PA_12_3"/>
      <w:bookmarkStart w:id="1789" w:name="Tc_Ok9STzQcXU6_lz4pBG0Qgw_12_0"/>
      <w:bookmarkStart w:id="1790" w:name="Tc_aoi3Kyyrx0eEogjm7faRrQ_11_21"/>
      <w:bookmarkStart w:id="1791" w:name="Tc_WWj26mX6DUa4FE8Ts6EeRg_11_15"/>
      <w:bookmarkStart w:id="1792" w:name="Tc_ArzRJlbl-ECNVNoxQBtTdQ_11_9"/>
      <w:bookmarkStart w:id="1793" w:name="Tc_H3Zde1JOZEWYyenVYSy1FA_11_3"/>
      <w:bookmarkStart w:id="1794" w:name="Tc_kZr397Z5bE2jzcwQDFNebg_11_0"/>
      <w:bookmarkStart w:id="1795" w:name="Tc_6-oShEpNSkCSghFC6PIKTA_10_21"/>
      <w:bookmarkStart w:id="1796" w:name="Tc_KAvwyqqODEufBuP3MxMmew_10_15"/>
      <w:bookmarkStart w:id="1797" w:name="Tc_J9EixauEP0irbEeYgAKBmA_10_9"/>
      <w:bookmarkStart w:id="1798" w:name="Tc_2PPjFMVFbEW1bjON39dF0g_10_3"/>
      <w:bookmarkStart w:id="1799" w:name="Tc_k5s019aP2kWI0TRTkJCJCw_10_0"/>
      <w:bookmarkStart w:id="1800" w:name="Tc_R7o_kQy6aku7Z6jpwPu6dg_9_21"/>
      <w:bookmarkStart w:id="1801" w:name="Tc_eo0hlq_VHk2HLwIWPNGs4w_9_15"/>
      <w:bookmarkStart w:id="1802" w:name="Tc_BdtMot8hz0CSALL8XPgsbQ_9_9"/>
      <w:bookmarkStart w:id="1803" w:name="Tc_sbGeRAu5NUK19kXrEuwcOg_9_3"/>
      <w:bookmarkStart w:id="1804" w:name="Tc_tAEq4ATPqkqP3ky5At9PNg_9_0"/>
      <w:bookmarkStart w:id="1805" w:name="Tc_ejowMa_DKkW-xAmRyGjiVA_8_21"/>
      <w:bookmarkStart w:id="1806" w:name="Tc_dXUXozhME0Wzup4pLtnvGQ_8_15"/>
      <w:bookmarkStart w:id="1807" w:name="Tc_bmCcvAi4l0aZbYzeFzntig_8_9"/>
      <w:bookmarkStart w:id="1808" w:name="Tc_aV4DEdtZYku0F3E-mwi8Fg_8_3"/>
      <w:bookmarkStart w:id="1809" w:name="Tc_Sf5fKXQsBEWWYceS0EaTGQ_8_0"/>
      <w:bookmarkStart w:id="1810" w:name="Tc_9IAYEhdN5ESVn5CY-fm-TQ_7_24"/>
      <w:bookmarkStart w:id="1811" w:name="Tc_VaY8VY_zhEKQq08qloZrPA_7_23"/>
      <w:bookmarkStart w:id="1812" w:name="Tc_fNKM7LdUvkOT0LmSsrmXWg_7_20"/>
      <w:bookmarkStart w:id="1813" w:name="Tc_7ihALSdzEUCfDGzwZszT2w_7_18"/>
      <w:bookmarkStart w:id="1814" w:name="Tc_n_-iZ1wb9EC5KKa5Znraig_7_17"/>
      <w:bookmarkStart w:id="1815" w:name="Tc_LiIKBHK1dUSl5kjHr2p3ww_7_14"/>
      <w:bookmarkStart w:id="1816" w:name="Tc_6qeHxSUNZ0-LiqZpoevUMw_7_12"/>
      <w:bookmarkStart w:id="1817" w:name="Tc_2f-ESFXkg0GwgzwxYBF1RA_7_11"/>
      <w:bookmarkStart w:id="1818" w:name="Tc_uxxXnOwNwEqPTMyAEab1bg_7_8"/>
      <w:bookmarkStart w:id="1819" w:name="Tc_tztZJoYVm0KRYph8repJTQ_7_6"/>
      <w:bookmarkStart w:id="1820" w:name="Tc_jSfBjLnsOEGlmtsCNHpZRw_7_5"/>
      <w:bookmarkStart w:id="1821" w:name="Tc_KzoYajO5PEGZgyJjwDwICA_7_2"/>
      <w:bookmarkStart w:id="1822" w:name="Tc_YGq6M2wjHUeXLJvRl4lB8Q_7_0"/>
      <w:bookmarkStart w:id="1823" w:name="Tc_NpnqnP6WTEqthefIBFQYxg_6_0"/>
      <w:bookmarkStart w:id="1824" w:name="Tc_kk8FLvgmhkWhD1TmTzXxIg_5_23"/>
      <w:bookmarkStart w:id="1825" w:name="Tc_xnF1KlinZ0eIrlUCe6_nmA_5_20"/>
      <w:bookmarkStart w:id="1826" w:name="Tc_D9UzU8WWOUKAXtrpQLhA_A_5_17"/>
      <w:bookmarkStart w:id="1827" w:name="Tc_D3bup5std0-tUjlNZgeGaw_5_14"/>
      <w:bookmarkStart w:id="1828" w:name="Tc_uqcRW6NRd0Goc-_o0q9V3g_5_11"/>
      <w:bookmarkStart w:id="1829" w:name="Tc_amPrMer26Uiljf1wyzlHfw_5_8"/>
      <w:bookmarkStart w:id="1830" w:name="Tc_gTGhdejqtk6ZbEWKYejQjw_5_5"/>
      <w:bookmarkStart w:id="1831" w:name="Tc_baJp25cNpkeEcAg5e0ko_w_5_2"/>
      <w:bookmarkStart w:id="1832" w:name="Tc_OIgV_rCstUmaG8Av_kfvGA_5_0"/>
      <w:bookmarkStart w:id="1833" w:name="Tc__NuXD-U0CUqd7ykXh-u5EA_4_23"/>
      <w:bookmarkStart w:id="1834" w:name="Tc__dXFEhpUeUmCYS0syj5YIQ_4_20"/>
      <w:bookmarkStart w:id="1835" w:name="Tc_C7VMYfMxpkKIeivatO2lkg_4_17"/>
      <w:bookmarkStart w:id="1836" w:name="Tc_ckVXmL6NAkONf1LaF0AcBg_4_14"/>
      <w:bookmarkStart w:id="1837" w:name="Tc_Aaix1agLKECeV4nDgQeusw_4_11"/>
      <w:bookmarkStart w:id="1838" w:name="Tc_sGzaoJtpg0GSca04pgiN-w_4_8"/>
      <w:bookmarkStart w:id="1839" w:name="Tc_pgFXLa_RFUuE9rSDF9FDRw_4_5"/>
      <w:bookmarkStart w:id="1840" w:name="Tc_NgO287zLWk2kIDm8bFdmpw_4_2"/>
      <w:bookmarkStart w:id="1841" w:name="Tc_MYSGhZOVpkm1n20ZO6YYHQ_3_23"/>
      <w:bookmarkStart w:id="1842" w:name="Tc_wgwKxzp50UStAt0zUGSuzg_3_20"/>
      <w:bookmarkStart w:id="1843" w:name="Tc_1V2o-XL6HEyWf_T54WwavQ_3_17"/>
      <w:bookmarkStart w:id="1844" w:name="Tc_EeedmgP8e0eAW4pW644qkQ_3_14"/>
      <w:bookmarkStart w:id="1845" w:name="Tc_wPWgFLwJEkOkdXKQuEKKAw_3_11"/>
      <w:bookmarkStart w:id="1846" w:name="Tc_XqtgdWu3REGJiof25k3XVg_3_8"/>
      <w:bookmarkStart w:id="1847" w:name="Tc_FyqpyXjkMEOaVa7xD6Z2KQ_3_5"/>
      <w:bookmarkStart w:id="1848" w:name="Tc_9CZLppreOU-TQFrBr-2xQA_3_2"/>
      <w:bookmarkStart w:id="1849" w:name="Tc_g4AL_qEnrUmpxwQ0x_WFQw_2_20"/>
      <w:bookmarkStart w:id="1850" w:name="Tc_ugaj5wn3GUipPvIPHyMFmg_2_14"/>
      <w:bookmarkStart w:id="1851" w:name="Tc_1heIHHb4AU-0_SMbbT8rjQ_2_8"/>
      <w:bookmarkStart w:id="1852" w:name="Tc_3ucKyeQ9LkuYcTLo80ltSg_2_2"/>
      <w:bookmarkStart w:id="1853" w:name="Tc_wZJtmN5m3E6E8cM8jCr8LQ_1_14"/>
      <w:bookmarkStart w:id="1854" w:name="Tc_B1JDSUbYzEqpFGc8LSYTiA_1_2"/>
      <w:bookmarkStart w:id="1855" w:name="_4dfa43c4_bb66_497f_b5fe_58fbeda4fdc0"/>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r>
        <w:rPr>
          <w:rFonts w:ascii="Arial;Helvetica;sans-serif" w:hAnsi="Arial;Helvetica;sans-serif"/>
          <w:sz w:val="20"/>
        </w:rPr>
        <w:t>intersegment costs applicable to revenues, (iii) adjusted SG&amp;A expense, (iv) floor plan interest expense, and (v) other segment items. Segment expenses exclude depreciation and amortization and certain noncash and other items that the Chief Operating Decision Maker (“CODM”) does not consider in his evaluation of ongoing operating performance. These excluded items include (a) SBC and (b) loss and/or impairment on investments in equity securities. As of June 30, 2026, the Company’s CODM was Matthew D. Wagner, the Company’s Chief Executive Officer and President.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Reportable segment revenue; segment adjusted EBITDA; depreciation and amortization; other interest expense, net; total assets; and capital expenditures are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08"/>
        <w:gridCol w:w="109"/>
        <w:gridCol w:w="193"/>
        <w:gridCol w:w="560"/>
        <w:gridCol w:w="109"/>
        <w:gridCol w:w="181"/>
        <w:gridCol w:w="721"/>
        <w:gridCol w:w="109"/>
        <w:gridCol w:w="193"/>
        <w:gridCol w:w="560"/>
        <w:gridCol w:w="109"/>
        <w:gridCol w:w="181"/>
        <w:gridCol w:w="721"/>
        <w:gridCol w:w="109"/>
        <w:gridCol w:w="181"/>
        <w:gridCol w:w="601"/>
        <w:gridCol w:w="109"/>
        <w:gridCol w:w="181"/>
        <w:gridCol w:w="721"/>
        <w:gridCol w:w="109"/>
        <w:gridCol w:w="181"/>
        <w:gridCol w:w="601"/>
        <w:gridCol w:w="109"/>
        <w:gridCol w:w="181"/>
        <w:gridCol w:w="768"/>
      </w:tblGrid>
      <w:tr>
        <w:trPr/>
        <w:tc>
          <w:tcPr>
            <w:tcW w:w="2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56080" cy="175260"/>
                      <wp:effectExtent l="0" t="0" r="0" b="0"/>
                      <wp:wrapNone/>
                      <wp:docPr id="261" name="Frame261"/>
                      <a:graphic xmlns:a="http://schemas.openxmlformats.org/drawingml/2006/main">
                        <a:graphicData uri="http://schemas.microsoft.com/office/word/2010/wordprocessingShape">
                          <wps:wsp>
                            <wps:cNvSpPr txBox="1"/>
                            <wps:spPr>
                              <a:xfrm>
                                <a:off x="0" y="0"/>
                                <a:ext cx="16560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2555" cy="175260"/>
                      <wp:effectExtent l="0" t="0" r="0" b="0"/>
                      <wp:wrapNone/>
                      <wp:docPr id="263" name="Frame26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55600" cy="175260"/>
                      <wp:effectExtent l="0" t="0" r="0" b="0"/>
                      <wp:wrapNone/>
                      <wp:docPr id="264" name="Frame26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4935" cy="175260"/>
                      <wp:effectExtent l="0" t="0" r="0" b="0"/>
                      <wp:wrapNone/>
                      <wp:docPr id="266" name="Frame2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57835" cy="175260"/>
                      <wp:effectExtent l="0" t="0" r="0" b="0"/>
                      <wp:wrapNone/>
                      <wp:docPr id="267" name="Frame2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2555" cy="175260"/>
                      <wp:effectExtent l="0" t="0" r="0" b="0"/>
                      <wp:wrapNone/>
                      <wp:docPr id="269" name="Frame26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55600" cy="175260"/>
                      <wp:effectExtent l="0" t="0" r="0" b="0"/>
                      <wp:wrapNone/>
                      <wp:docPr id="270" name="Frame270"/>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14935" cy="175260"/>
                      <wp:effectExtent l="0" t="0" r="0" b="0"/>
                      <wp:wrapNone/>
                      <wp:docPr id="272" name="Frame2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57835" cy="175260"/>
                      <wp:effectExtent l="0" t="0" r="0" b="0"/>
                      <wp:wrapNone/>
                      <wp:docPr id="273" name="Frame27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4935" cy="175260"/>
                      <wp:effectExtent l="0" t="0" r="0" b="0"/>
                      <wp:wrapNone/>
                      <wp:docPr id="275" name="Frame2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81635" cy="175260"/>
                      <wp:effectExtent l="0" t="0" r="0" b="0"/>
                      <wp:wrapNone/>
                      <wp:docPr id="276" name="Frame27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4935" cy="175260"/>
                      <wp:effectExtent l="0" t="0" r="0" b="0"/>
                      <wp:wrapNone/>
                      <wp:docPr id="278" name="Frame2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57835" cy="175260"/>
                      <wp:effectExtent l="0" t="0" r="0" b="0"/>
                      <wp:wrapNone/>
                      <wp:docPr id="279" name="Frame2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14935" cy="175260"/>
                      <wp:effectExtent l="0" t="0" r="0" b="0"/>
                      <wp:wrapNone/>
                      <wp:docPr id="281" name="Frame2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81635" cy="175260"/>
                      <wp:effectExtent l="0" t="0" r="0" b="0"/>
                      <wp:wrapNone/>
                      <wp:docPr id="282" name="Frame28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14935" cy="175260"/>
                      <wp:effectExtent l="0" t="0" r="0" b="0"/>
                      <wp:wrapNone/>
                      <wp:docPr id="284" name="Frame2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87680" cy="175260"/>
                      <wp:effectExtent l="0" t="0" r="0" b="0"/>
                      <wp:wrapNone/>
                      <wp:docPr id="285" name="Frame285"/>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36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June 30, </w:t>
            </w:r>
          </w:p>
        </w:tc>
        <w:tc>
          <w:tcPr>
            <w:tcW w:w="109" w:type="dxa"/>
            <w:tcBorders/>
            <w:vAlign w:val="center"/>
          </w:tcPr>
          <w:p>
            <w:pPr>
              <w:pStyle w:val="TableContents"/>
              <w:bidi w:val="0"/>
              <w:spacing w:before="0" w:after="0"/>
              <w:ind w:left="0" w:right="0" w:hanging="0"/>
              <w:jc w:val="center"/>
              <w:rPr/>
            </w:pPr>
            <w:r>
              <w:rPr/>
              <w:t>​</w:t>
            </w:r>
          </w:p>
        </w:tc>
        <w:tc>
          <w:tcPr>
            <w:tcW w:w="374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Six Months Ended June 30, </w: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7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109" w:type="dxa"/>
            <w:tcBorders/>
            <w:vAlign w:val="center"/>
          </w:tcPr>
          <w:p>
            <w:pPr>
              <w:pStyle w:val="TableContents"/>
              <w:bidi w:val="0"/>
              <w:spacing w:before="0" w:after="0"/>
              <w:ind w:left="0" w:right="0" w:hanging="0"/>
              <w:jc w:val="both"/>
              <w:rPr/>
            </w:pPr>
            <w:r>
              <w:rPr/>
              <w:t>​</w:t>
            </w:r>
          </w:p>
        </w:tc>
        <w:tc>
          <w:tcPr>
            <w:tcW w:w="17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109" w:type="dxa"/>
            <w:tcBorders/>
            <w:vAlign w:val="center"/>
          </w:tcPr>
          <w:p>
            <w:pPr>
              <w:pStyle w:val="TableContents"/>
              <w:bidi w:val="0"/>
              <w:spacing w:before="0" w:after="0"/>
              <w:ind w:left="0" w:right="0" w:hanging="0"/>
              <w:jc w:val="center"/>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109" w:type="dxa"/>
            <w:tcBorders/>
            <w:vAlign w:val="center"/>
          </w:tcPr>
          <w:p>
            <w:pPr>
              <w:pStyle w:val="TableContents"/>
              <w:bidi w:val="0"/>
              <w:spacing w:before="0" w:after="0"/>
              <w:ind w:left="0" w:right="0" w:hanging="0"/>
              <w:jc w:val="center"/>
              <w:rPr/>
            </w:pPr>
            <w:r>
              <w:rPr/>
              <w:t>​</w:t>
            </w:r>
          </w:p>
        </w:tc>
        <w:tc>
          <w:tcPr>
            <w:tcW w:w="1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53"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109" w:type="dxa"/>
            <w:tcBorders/>
            <w:vAlign w:val="center"/>
          </w:tcPr>
          <w:p>
            <w:pPr>
              <w:pStyle w:val="TableContents"/>
              <w:bidi w:val="0"/>
              <w:spacing w:before="0" w:after="0"/>
              <w:ind w:left="0" w:right="0" w:hanging="0"/>
              <w:jc w:val="center"/>
              <w:rPr/>
            </w:pPr>
            <w:r>
              <w:rPr/>
              <w:t>​</w:t>
            </w:r>
          </w:p>
        </w:tc>
        <w:tc>
          <w:tcPr>
            <w:tcW w:w="753"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Good Sam</w:t>
            </w:r>
          </w:p>
        </w:tc>
        <w:tc>
          <w:tcPr>
            <w:tcW w:w="109" w:type="dxa"/>
            <w:tcBorders/>
            <w:vAlign w:val="center"/>
          </w:tcPr>
          <w:p>
            <w:pPr>
              <w:pStyle w:val="TableContents"/>
              <w:bidi w:val="0"/>
              <w:spacing w:before="0" w:after="0"/>
              <w:ind w:left="0" w:right="0" w:hanging="0"/>
              <w:jc w:val="center"/>
              <w:rPr/>
            </w:pPr>
            <w:r>
              <w:rPr/>
              <w:t>​</w:t>
            </w:r>
          </w:p>
        </w:tc>
        <w:tc>
          <w:tcPr>
            <w:tcW w:w="949"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and</w: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53"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109" w:type="dxa"/>
            <w:tcBorders/>
            <w:vAlign w:val="center"/>
          </w:tcPr>
          <w:p>
            <w:pPr>
              <w:pStyle w:val="TableContents"/>
              <w:bidi w:val="0"/>
              <w:spacing w:before="0" w:after="0"/>
              <w:ind w:left="0" w:right="0" w:hanging="0"/>
              <w:jc w:val="center"/>
              <w:rPr/>
            </w:pPr>
            <w:r>
              <w:rPr/>
              <w:t>​</w:t>
            </w:r>
          </w:p>
        </w:tc>
        <w:tc>
          <w:tcPr>
            <w:tcW w:w="753"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Services</w:t>
            </w:r>
          </w:p>
        </w:tc>
        <w:tc>
          <w:tcPr>
            <w:tcW w:w="109" w:type="dxa"/>
            <w:tcBorders/>
            <w:vAlign w:val="center"/>
          </w:tcPr>
          <w:p>
            <w:pPr>
              <w:pStyle w:val="TableContents"/>
              <w:bidi w:val="0"/>
              <w:spacing w:before="0" w:after="0"/>
              <w:ind w:left="0" w:right="0" w:hanging="0"/>
              <w:jc w:val="center"/>
              <w:rPr/>
            </w:pPr>
            <w:r>
              <w:rPr/>
              <w:t>​</w:t>
            </w:r>
          </w:p>
        </w:tc>
        <w:tc>
          <w:tcPr>
            <w:tcW w:w="949"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Outdoor</w:t>
            </w:r>
          </w:p>
        </w:tc>
      </w:tr>
      <w:tr>
        <w:trPr/>
        <w:tc>
          <w:tcPr>
            <w:tcW w:w="260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09" w:type="dxa"/>
            <w:tcBorders/>
            <w:vAlign w:val="center"/>
          </w:tcPr>
          <w:p>
            <w:pPr>
              <w:pStyle w:val="TableContents"/>
              <w:bidi w:val="0"/>
              <w:spacing w:before="0" w:after="0"/>
              <w:ind w:left="0" w:right="0" w:hanging="0"/>
              <w:jc w:val="both"/>
              <w:rPr/>
            </w:pPr>
            <w:r>
              <w:rPr/>
              <w:t>​</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109" w:type="dxa"/>
            <w:tcBorders/>
            <w:vAlign w:val="center"/>
          </w:tcPr>
          <w:p>
            <w:pPr>
              <w:pStyle w:val="TableContents"/>
              <w:bidi w:val="0"/>
              <w:spacing w:before="0" w:after="0"/>
              <w:ind w:left="0" w:right="0" w:hanging="0"/>
              <w:jc w:val="center"/>
              <w:rPr/>
            </w:pPr>
            <w:r>
              <w:rPr/>
              <w:t>​</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and Plans</w:t>
            </w:r>
          </w:p>
        </w:tc>
        <w:tc>
          <w:tcPr>
            <w:tcW w:w="109" w:type="dxa"/>
            <w:tcBorders/>
            <w:vAlign w:val="center"/>
          </w:tcPr>
          <w:p>
            <w:pPr>
              <w:pStyle w:val="TableContents"/>
              <w:bidi w:val="0"/>
              <w:spacing w:before="0" w:after="0"/>
              <w:ind w:left="0" w:right="0" w:hanging="0"/>
              <w:jc w:val="center"/>
              <w:rPr/>
            </w:pPr>
            <w:r>
              <w:rPr/>
              <w:t>​</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b/>
                <w:sz w:val="13"/>
              </w:rPr>
            </w:pPr>
            <w:r>
              <w:rPr>
                <w:rFonts w:ascii="Arial;Helvetica;sans-serif" w:hAnsi="Arial;Helvetica;sans-serif"/>
                <w:b/>
                <w:sz w:val="13"/>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center"/>
              <w:rPr/>
            </w:pPr>
            <w:r>
              <w:rPr/>
              <w:t>​</w:t>
            </w:r>
          </w:p>
        </w:tc>
        <w:tc>
          <w:tcPr>
            <w:tcW w:w="56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3" w:type="dxa"/>
            <w:tcBorders/>
            <w:shd w:fill="CCEEFF" w:val="clear"/>
            <w:vAlign w:val="center"/>
          </w:tcPr>
          <w:p>
            <w:pPr>
              <w:pStyle w:val="TableContents"/>
              <w:bidi w:val="0"/>
              <w:spacing w:before="0" w:after="0"/>
              <w:ind w:left="0" w:right="0" w:hanging="0"/>
              <w:jc w:val="center"/>
              <w:rPr/>
            </w:pPr>
            <w:r>
              <w:rPr/>
              <w:t>​</w:t>
            </w:r>
          </w:p>
        </w:tc>
        <w:tc>
          <w:tcPr>
            <w:tcW w:w="56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center"/>
              <w:rPr/>
            </w:pPr>
            <w:r>
              <w:rPr/>
              <w:t>​</w:t>
            </w:r>
          </w:p>
        </w:tc>
      </w:tr>
      <w:tr>
        <w:trPr/>
        <w:tc>
          <w:tcPr>
            <w:tcW w:w="2608" w:type="dxa"/>
            <w:tcBorders/>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Good Sam Services and Plans</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54,629</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54,213</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103,087</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100,421</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68" w:type="dxa"/>
            <w:tcBorders/>
            <w:vAlign w:val="center"/>
          </w:tcPr>
          <w:p>
            <w:pPr>
              <w:pStyle w:val="TableContents"/>
              <w:bidi w:val="0"/>
              <w:spacing w:before="0" w:after="0"/>
              <w:ind w:left="0" w:right="0" w:hanging="0"/>
              <w:jc w:val="right"/>
              <w:rPr/>
            </w:pPr>
            <w:r>
              <w:rPr/>
              <w:t>—</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New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869,047</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915,106</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1,456,741</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1,536,538</w:t>
            </w:r>
          </w:p>
        </w:tc>
      </w:tr>
      <w:tr>
        <w:trPr/>
        <w:tc>
          <w:tcPr>
            <w:tcW w:w="2608" w:type="dxa"/>
            <w:tcBorders/>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Used vehicles</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580,322</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572,271</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984,102</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994,622</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Products, service and other</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217,563</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222,890</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375,983</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387,882</w:t>
            </w:r>
          </w:p>
        </w:tc>
      </w:tr>
      <w:tr>
        <w:trPr/>
        <w:tc>
          <w:tcPr>
            <w:tcW w:w="2608" w:type="dxa"/>
            <w:tcBorders/>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Finance and insurance, net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201,677</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201,198</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347,777</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349,865</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Good Sam Club</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10,801</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10,270</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20,954</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20,144</w:t>
            </w:r>
          </w:p>
        </w:tc>
      </w:tr>
      <w:tr>
        <w:trPr/>
        <w:tc>
          <w:tcPr>
            <w:tcW w:w="2608"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3"/>
              </w:rPr>
              <w:t>Intersegment revenue</w:t>
            </w:r>
            <w:r>
              <w:rPr>
                <w:rFonts w:ascii="Arial;Helvetica;sans-serif" w:hAnsi="Arial;Helvetica;sans-serif"/>
                <w:sz w:val="10"/>
              </w:rPr>
              <w:t>(1)</w:t>
            </w:r>
          </w:p>
        </w:tc>
        <w:tc>
          <w:tcPr>
            <w:tcW w:w="109" w:type="dxa"/>
            <w:tcBorders/>
            <w:vAlign w:val="center"/>
          </w:tcPr>
          <w:p>
            <w:pPr>
              <w:pStyle w:val="TableContents"/>
              <w:bidi w:val="0"/>
              <w:spacing w:before="0" w:after="0"/>
              <w:ind w:left="0" w:right="0" w:hanging="0"/>
              <w:jc w:val="both"/>
              <w:rPr/>
            </w:pPr>
            <w:r>
              <w:rPr/>
              <w:t>​</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127</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1,538</w:t>
            </w:r>
          </w:p>
        </w:tc>
        <w:tc>
          <w:tcPr>
            <w:tcW w:w="109" w:type="dxa"/>
            <w:tcBorders/>
            <w:vAlign w:val="center"/>
          </w:tcPr>
          <w:p>
            <w:pPr>
              <w:pStyle w:val="TableContents"/>
              <w:bidi w:val="0"/>
              <w:spacing w:before="0" w:after="0"/>
              <w:ind w:left="0" w:right="0" w:hanging="0"/>
              <w:jc w:val="both"/>
              <w:rPr/>
            </w:pPr>
            <w:r>
              <w:rPr/>
              <w:t>​</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88</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4,256</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1,019</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2,920</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896</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6,660</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Total revenue before intersegment eliminations</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both"/>
              <w:rPr/>
            </w:pPr>
            <w:r>
              <w:rPr/>
              <w:t>​</w:t>
            </w:r>
          </w:p>
        </w:tc>
        <w:tc>
          <w:tcPr>
            <w:tcW w:w="560"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54,756</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1,880,948</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both"/>
              <w:rPr/>
            </w:pPr>
            <w:r>
              <w:rPr/>
              <w:t>​</w:t>
            </w:r>
          </w:p>
        </w:tc>
        <w:tc>
          <w:tcPr>
            <w:tcW w:w="560"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54,301</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1,925,991</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104,106</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3,188,477</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101,317</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both"/>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3,295,711</w: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both"/>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both"/>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68" w:type="dxa"/>
            <w:tcBorders/>
            <w:vAlign w:val="center"/>
          </w:tcPr>
          <w:p>
            <w:pPr>
              <w:pStyle w:val="TableContents"/>
              <w:bidi w:val="0"/>
              <w:spacing w:before="0" w:after="0"/>
              <w:ind w:left="0" w:right="0" w:hanging="0"/>
              <w:jc w:val="right"/>
              <w:rPr/>
            </w:pPr>
            <w:r>
              <w:rPr/>
              <w:t>​</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b/>
                <w:sz w:val="13"/>
              </w:rPr>
            </w:pPr>
            <w:r>
              <w:rPr>
                <w:rFonts w:ascii="Arial;Helvetica;sans-serif" w:hAnsi="Arial;Helvetica;sans-serif"/>
                <w:b/>
                <w:sz w:val="13"/>
              </w:rPr>
              <w:t>Segment expenses:</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center"/>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3" w:type="dxa"/>
            <w:tcBorders/>
            <w:shd w:fill="CCEEFF" w:val="clear"/>
            <w:vAlign w:val="center"/>
          </w:tcPr>
          <w:p>
            <w:pPr>
              <w:pStyle w:val="TableContents"/>
              <w:bidi w:val="0"/>
              <w:spacing w:before="0" w:after="0"/>
              <w:ind w:left="0" w:right="0" w:hanging="0"/>
              <w:jc w:val="center"/>
              <w:rPr/>
            </w:pPr>
            <w:r>
              <w:rPr/>
              <w:t>​</w:t>
            </w:r>
          </w:p>
        </w:tc>
        <w:tc>
          <w:tcPr>
            <w:tcW w:w="56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center"/>
              <w:rPr/>
            </w:pPr>
            <w:r>
              <w:rPr/>
              <w:t>​</w:t>
            </w:r>
          </w:p>
        </w:tc>
      </w:tr>
      <w:tr>
        <w:trPr/>
        <w:tc>
          <w:tcPr>
            <w:tcW w:w="2608"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3"/>
              </w:rPr>
              <w:t>Adjusted costs applicable to revenue</w:t>
            </w:r>
            <w:r>
              <w:rPr>
                <w:rFonts w:ascii="Arial;Helvetica;sans-serif" w:hAnsi="Arial;Helvetica;sans-serif"/>
                <w:sz w:val="10"/>
              </w:rPr>
              <w:t>(2)</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center"/>
              <w:rPr/>
            </w:pPr>
            <w:r>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20,839</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1,374,692</w:t>
            </w:r>
          </w:p>
        </w:tc>
        <w:tc>
          <w:tcPr>
            <w:tcW w:w="109"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21,936</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1,361,657</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39,701</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2,306,966</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39,613</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2,327,751</w:t>
            </w:r>
          </w:p>
        </w:tc>
      </w:tr>
      <w:tr>
        <w:trPr/>
        <w:tc>
          <w:tcPr>
            <w:tcW w:w="2608"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3"/>
              </w:rPr>
              <w:t>Intersegment costs applicable to revenue</w:t>
            </w:r>
            <w:r>
              <w:rPr>
                <w:rFonts w:ascii="Arial;Helvetica;sans-serif" w:hAnsi="Arial;Helvetica;sans-serif"/>
                <w:sz w:val="10"/>
              </w:rPr>
              <w:t>(3)</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2,694</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40</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3,792</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672</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4,741</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627</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6,417</w:t>
            </w:r>
          </w:p>
        </w:tc>
      </w:tr>
      <w:tr>
        <w:trPr/>
        <w:tc>
          <w:tcPr>
            <w:tcW w:w="2608"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3"/>
              </w:rPr>
              <w:t>Adjusted selling, general, and administrative</w:t>
            </w:r>
            <w:r>
              <w:rPr>
                <w:rFonts w:ascii="Arial;Helvetica;sans-serif" w:hAnsi="Arial;Helvetica;sans-serif"/>
                <w:sz w:val="10"/>
              </w:rPr>
              <w:t>(4)</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8,952</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394,013</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7,167</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417,513</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16,741</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736,935</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14,809</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787,245</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Floor plan interest expense</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19,852</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20,989</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41,671</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39,295</w:t>
            </w:r>
          </w:p>
        </w:tc>
      </w:tr>
      <w:tr>
        <w:trPr/>
        <w:tc>
          <w:tcPr>
            <w:tcW w:w="2608"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3"/>
              </w:rPr>
              <w:t>Other segment items</w:t>
            </w:r>
            <w:r>
              <w:rPr>
                <w:rFonts w:ascii="Arial;Helvetica;sans-serif" w:hAnsi="Arial;Helvetica;sans-serif"/>
                <w:sz w:val="10"/>
              </w:rPr>
              <w:t>(5)</w:t>
            </w:r>
          </w:p>
        </w:tc>
        <w:tc>
          <w:tcPr>
            <w:tcW w:w="109" w:type="dxa"/>
            <w:tcBorders/>
            <w:vAlign w:val="center"/>
          </w:tcPr>
          <w:p>
            <w:pPr>
              <w:pStyle w:val="TableContents"/>
              <w:bidi w:val="0"/>
              <w:spacing w:before="0" w:after="0"/>
              <w:ind w:left="0" w:right="0" w:hanging="0"/>
              <w:jc w:val="both"/>
              <w:rPr/>
            </w:pPr>
            <w:r>
              <w:rPr/>
              <w:t>​</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(138)</w:t>
            </w:r>
          </w:p>
        </w:tc>
        <w:tc>
          <w:tcPr>
            <w:tcW w:w="109" w:type="dxa"/>
            <w:tcBorders/>
            <w:vAlign w:val="center"/>
          </w:tcPr>
          <w:p>
            <w:pPr>
              <w:pStyle w:val="TableContents"/>
              <w:bidi w:val="0"/>
              <w:spacing w:before="0" w:after="0"/>
              <w:ind w:left="0" w:right="0" w:hanging="0"/>
              <w:jc w:val="both"/>
              <w:rPr/>
            </w:pPr>
            <w:r>
              <w:rPr/>
              <w:t>​</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(236)</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w:t>
            </w:r>
          </w:p>
        </w:tc>
      </w:tr>
      <w:tr>
        <w:trPr/>
        <w:tc>
          <w:tcPr>
            <w:tcW w:w="2608" w:type="dxa"/>
            <w:tcBorders/>
            <w:shd w:fill="CCEEFF" w:val="clear"/>
            <w:vAlign w:val="center"/>
          </w:tcPr>
          <w:p>
            <w:pPr>
              <w:pStyle w:val="TableContents"/>
              <w:bidi w:val="0"/>
              <w:spacing w:before="0" w:after="0"/>
              <w:ind w:left="0" w:right="0" w:hanging="0"/>
              <w:jc w:val="both"/>
              <w:rPr>
                <w:rFonts w:ascii="Arial;Helvetica;sans-serif" w:hAnsi="Arial;Helvetica;sans-serif"/>
                <w:b/>
                <w:sz w:val="13"/>
              </w:rPr>
            </w:pPr>
            <w:r>
              <w:rPr>
                <w:rFonts w:ascii="Arial;Helvetica;sans-serif" w:hAnsi="Arial;Helvetica;sans-serif"/>
                <w:b/>
                <w:sz w:val="13"/>
              </w:rPr>
              <w:t>Segment Adjusted EBITDA</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24,909</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89,835</w:t>
            </w:r>
          </w:p>
        </w:tc>
        <w:tc>
          <w:tcPr>
            <w:tcW w:w="109" w:type="dxa"/>
            <w:tcBorders/>
            <w:shd w:fill="CCEEFF" w:val="clear"/>
            <w:vAlign w:val="center"/>
          </w:tcPr>
          <w:p>
            <w:pPr>
              <w:pStyle w:val="TableContents"/>
              <w:bidi w:val="0"/>
              <w:spacing w:before="0" w:after="0"/>
              <w:ind w:left="0" w:right="0" w:hanging="0"/>
              <w:jc w:val="both"/>
              <w:rPr/>
            </w:pPr>
            <w:r>
              <w:rPr/>
              <w:t>​</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25,158</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122,020</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46,992</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sz w:val="13"/>
              </w:rPr>
            </w:pPr>
            <w:r>
              <w:rPr>
                <w:rFonts w:ascii="Arial;Helvetica;sans-serif" w:hAnsi="Arial;Helvetica;sans-serif"/>
                <w:sz w:val="13"/>
              </w:rPr>
              <w:t>98,400</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46,268</w:t>
            </w:r>
          </w:p>
        </w:tc>
        <w:tc>
          <w:tcPr>
            <w:tcW w:w="109" w:type="dxa"/>
            <w:tcBorders/>
            <w:shd w:fill="CCEEFF" w:val="clear"/>
            <w:vAlign w:val="center"/>
          </w:tcPr>
          <w:p>
            <w:pPr>
              <w:pStyle w:val="TableContents"/>
              <w:bidi w:val="0"/>
              <w:spacing w:before="0" w:after="0"/>
              <w:ind w:left="0" w:right="0" w:hanging="0"/>
              <w:jc w:val="both"/>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135,023</w:t>
            </w:r>
          </w:p>
        </w:tc>
      </w:tr>
      <w:tr>
        <w:trPr/>
        <w:tc>
          <w:tcPr>
            <w:tcW w:w="260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both"/>
              <w:rPr/>
            </w:pPr>
            <w:r>
              <w:rPr/>
              <w:t>​</w:t>
            </w:r>
          </w:p>
        </w:tc>
        <w:tc>
          <w:tcPr>
            <w:tcW w:w="5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93" w:type="dxa"/>
            <w:tcBorders/>
            <w:vAlign w:val="center"/>
          </w:tcPr>
          <w:p>
            <w:pPr>
              <w:pStyle w:val="TableContents"/>
              <w:bidi w:val="0"/>
              <w:spacing w:before="0" w:after="0"/>
              <w:ind w:left="0" w:right="0" w:hanging="0"/>
              <w:jc w:val="both"/>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both"/>
              <w:rPr/>
            </w:pPr>
            <w:r>
              <w:rPr/>
              <w:t>​</w:t>
            </w:r>
          </w:p>
        </w:tc>
        <w:tc>
          <w:tcPr>
            <w:tcW w:w="768" w:type="dxa"/>
            <w:tcBorders/>
            <w:vAlign w:val="center"/>
          </w:tcPr>
          <w:p>
            <w:pPr>
              <w:pStyle w:val="TableContents"/>
              <w:bidi w:val="0"/>
              <w:spacing w:before="0" w:after="0"/>
              <w:ind w:left="0" w:right="0" w:hanging="0"/>
              <w:jc w:val="right"/>
              <w:rPr/>
            </w:pPr>
            <w:r>
              <w:rPr/>
              <w:t>​</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revenue consists of segment revenue that is eliminated in our condensed consolidated statements of operations.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(2)</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costs applicable to revenue exclude SBC expense and intersegment costs applicable to revenue.</w:t>
            </w:r>
          </w:p>
        </w:tc>
      </w:tr>
    </w:tbl>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(3)</w:t>
            </w:r>
          </w:p>
        </w:tc>
        <w:tc>
          <w:tcPr>
            <w:tcW w:w="983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costs applicable to revenue consist of segment costs applicable to revenue that are eliminated in our condensed consolidated statements of operations.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(4)</w:t>
            </w:r>
          </w:p>
        </w:tc>
        <w:tc>
          <w:tcPr>
            <w:tcW w:w="6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SG&amp;A expenses exclude SBC expense and intersegment operating expenses.</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(5)</w:t>
            </w:r>
          </w:p>
        </w:tc>
        <w:tc>
          <w:tcPr>
            <w:tcW w:w="984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(i) intersegment operating expenses, which are eliminated in our condensed consolidated statements of operations, and (ii) other expense, net excluding loss and/or impairment on investments in equity securities.</w:t>
            </w:r>
          </w:p>
        </w:tc>
      </w:tr>
    </w:tbl>
    <w:p>
      <w:pPr>
        <w:pStyle w:val="TextBody"/>
        <w:bidi w:val="0"/>
        <w:spacing w:before="0" w:after="120"/>
        <w:ind w:left="60" w:right="0" w:hanging="0"/>
        <w:jc w:val="both"/>
        <w:rPr/>
      </w:pPr>
      <w:r>
        <w:rPr/>
        <w:t>​</w:t>
      </w:r>
    </w:p>
    <w:tbl>
      <w:tblPr>
        <w:tblW w:w="9436" w:type="dxa"/>
        <w:jc w:val="left"/>
        <w:tblInd w:w="0" w:type="dxa"/>
        <w:tblLayout w:type="fixed"/>
        <w:tblCellMar>
          <w:top w:w="0" w:type="dxa"/>
          <w:left w:w="0" w:type="dxa"/>
          <w:bottom w:w="0" w:type="dxa"/>
          <w:right w:w="0" w:type="dxa"/>
        </w:tblCellMar>
      </w:tblPr>
      <w:tblGrid>
        <w:gridCol w:w="4336"/>
        <w:gridCol w:w="109"/>
        <w:gridCol w:w="196"/>
        <w:gridCol w:w="826"/>
        <w:gridCol w:w="286"/>
        <w:gridCol w:w="196"/>
        <w:gridCol w:w="826"/>
        <w:gridCol w:w="286"/>
        <w:gridCol w:w="196"/>
        <w:gridCol w:w="826"/>
        <w:gridCol w:w="286"/>
        <w:gridCol w:w="196"/>
        <w:gridCol w:w="871"/>
      </w:tblGrid>
      <w:tr>
        <w:trPr/>
        <w:tc>
          <w:tcPr>
            <w:tcW w:w="43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4460" cy="175260"/>
                      <wp:effectExtent l="0" t="0" r="0" b="0"/>
                      <wp:wrapNone/>
                      <wp:docPr id="286" name="Frame2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24510" cy="175260"/>
                      <wp:effectExtent l="0" t="0" r="0" b="0"/>
                      <wp:wrapNone/>
                      <wp:docPr id="287" name="Frame2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81610" cy="175260"/>
                      <wp:effectExtent l="0" t="0" r="0" b="0"/>
                      <wp:wrapNone/>
                      <wp:docPr id="288" name="Frame28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4510" cy="175260"/>
                      <wp:effectExtent l="0" t="0" r="0" b="0"/>
                      <wp:wrapNone/>
                      <wp:docPr id="290" name="Frame2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1610" cy="175260"/>
                      <wp:effectExtent l="0" t="0" r="0" b="0"/>
                      <wp:wrapNone/>
                      <wp:docPr id="291" name="Frame29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92" name="Frame2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24510" cy="175260"/>
                      <wp:effectExtent l="0" t="0" r="0" b="0"/>
                      <wp:wrapNone/>
                      <wp:docPr id="293" name="Frame2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81610" cy="175260"/>
                      <wp:effectExtent l="0" t="0" r="0" b="0"/>
                      <wp:wrapNone/>
                      <wp:docPr id="294" name="Frame2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53085" cy="175260"/>
                      <wp:effectExtent l="0" t="0" r="0" b="0"/>
                      <wp:wrapNone/>
                      <wp:docPr id="296" name="Frame29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6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June 30, </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43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09" w:type="dxa"/>
            <w:tcBorders/>
            <w:vAlign w:val="center"/>
          </w:tcPr>
          <w:p>
            <w:pPr>
              <w:pStyle w:val="TableContents"/>
              <w:bidi w:val="0"/>
              <w:spacing w:before="0" w:after="0"/>
              <w:ind w:left="0" w:right="0" w:hanging="0"/>
              <w:jc w:val="both"/>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86" w:type="dxa"/>
            <w:tcBorders/>
            <w:vAlign w:val="center"/>
          </w:tcPr>
          <w:p>
            <w:pPr>
              <w:pStyle w:val="TableContents"/>
              <w:bidi w:val="0"/>
              <w:spacing w:before="0" w:after="0"/>
              <w:ind w:left="0" w:right="0" w:hanging="0"/>
              <w:jc w:val="both"/>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286" w:type="dxa"/>
            <w:tcBorders/>
            <w:vAlign w:val="center"/>
          </w:tcPr>
          <w:p>
            <w:pPr>
              <w:pStyle w:val="TableContents"/>
              <w:bidi w:val="0"/>
              <w:spacing w:before="0" w:after="0"/>
              <w:ind w:left="0" w:right="0" w:hanging="0"/>
              <w:jc w:val="both"/>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86" w:type="dxa"/>
            <w:tcBorders/>
            <w:vAlign w:val="center"/>
          </w:tcPr>
          <w:p>
            <w:pPr>
              <w:pStyle w:val="TableContents"/>
              <w:bidi w:val="0"/>
              <w:spacing w:before="0" w:after="0"/>
              <w:ind w:left="0" w:right="0" w:hanging="0"/>
              <w:jc w:val="center"/>
              <w:rPr/>
            </w:pPr>
            <w:r>
              <w:rPr/>
              <w:t>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 Segment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54,756</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54,301</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104,106</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101,317</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Segment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1,880,948</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1,925,991</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3,188,477</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3,295,711</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segment revenue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1,935,704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1,980,292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3,292,583</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3,397,028</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Intersegment eliminations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(1,665)</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(4,344)</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(3,939)</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(7,556)</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1,934,039</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1,975,948</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3,288,644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3,389,472</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Segment Adjusted EBITDA:</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 Segment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24,909</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25,158</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46,992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46,268</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Segment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89,835</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122,020</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98,400</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135,023</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Segment Adjusted EBITDA</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114,744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147,178</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145,392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181,291</w:t>
            </w:r>
          </w:p>
        </w:tc>
      </w:tr>
      <w:tr>
        <w:trPr/>
        <w:tc>
          <w:tcPr>
            <w:tcW w:w="433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Corporate SG&amp;A excluding SBC</w:t>
            </w:r>
            <w:r>
              <w:rPr>
                <w:rFonts w:ascii="Arial;Helvetica;sans-serif" w:hAnsi="Arial;Helvetica;sans-serif"/>
                <w:sz w:val="12"/>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(3,641)</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(4,465)</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(6,590)</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(7,391)</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(23,419)</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(47,352)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(45,963)</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lease termination and/or remeasurement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r>
      <w:tr>
        <w:trPr/>
        <w:tc>
          <w:tcPr>
            <w:tcW w:w="43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2,055</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1,887</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r>
      <w:tr>
        <w:trPr/>
        <w:tc>
          <w:tcPr>
            <w:tcW w:w="4336"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Stock-based compensation</w:t>
            </w:r>
            <w:r>
              <w:rPr>
                <w:rFonts w:ascii="Arial;Helvetica;sans-serif" w:hAnsi="Arial;Helvetica;sans-serif"/>
                <w:sz w:val="12"/>
              </w:rPr>
              <w:t>(2)</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(8,444)</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(9,158)</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(15,714)</w:t>
            </w:r>
          </w:p>
        </w:tc>
      </w:tr>
      <w:tr>
        <w:trPr/>
        <w:tc>
          <w:tcPr>
            <w:tcW w:w="433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Loss and impairment on investments in equity securities</w:t>
            </w:r>
            <w:r>
              <w:rPr>
                <w:rFonts w:ascii="Arial;Helvetica;sans-serif" w:hAnsi="Arial;Helvetica;sans-serif"/>
                <w:sz w:val="12"/>
              </w:rPr>
              <w:t>(3)</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(2,757)</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Other interest expense, net </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(26,912)</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(30,836)</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(53,761)</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(61,367)</w:t>
            </w:r>
          </w:p>
        </w:tc>
      </w:tr>
      <w:tr>
        <w:trPr/>
        <w:tc>
          <w:tcPr>
            <w:tcW w:w="433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eliminations</w:t>
            </w:r>
            <w:r>
              <w:rPr>
                <w:rFonts w:ascii="Arial;Helvetica;sans-serif" w:hAnsi="Arial;Helvetica;sans-serif"/>
                <w:sz w:val="12"/>
              </w:rPr>
              <w:t>(4)</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(492)</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1,238</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(533)</w:t>
            </w:r>
          </w:p>
        </w:tc>
      </w:tr>
      <w:tr>
        <w:trPr/>
        <w:tc>
          <w:tcPr>
            <w:tcW w:w="43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before income taxes</w:t>
            </w:r>
          </w:p>
        </w:tc>
        <w:tc>
          <w:tcPr>
            <w:tcW w:w="109"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45,084</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75,844</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18,339</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47,691</w:t>
            </w:r>
          </w:p>
        </w:tc>
      </w:tr>
      <w:tr>
        <w:trPr/>
        <w:tc>
          <w:tcPr>
            <w:tcW w:w="43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25"/>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8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56" w:name="Tc_00WYOO1iKUuveInojUVpPQ_6_11"/>
      <w:bookmarkStart w:id="1857" w:name="Tc_55REjnAZy0qbQMs2hbCFEg_6_8"/>
      <w:bookmarkStart w:id="1858" w:name="Tc_FzBKitjDKE-BKWt6DuCFng_6_5"/>
      <w:bookmarkStart w:id="1859" w:name="Tc_c1duLQsCaU-OT0rQqAKW5w_6_2"/>
      <w:bookmarkStart w:id="1860" w:name="Tc_oDm5lQmSs0OkOJsp41A48A_6_0"/>
      <w:bookmarkStart w:id="1861" w:name="Tc_nNqkPoFN4Uyderv_BXue9Q_5_0"/>
      <w:bookmarkStart w:id="1862" w:name="Tc_OBtOn0J1t0uqr-0b9uynXg_4_11"/>
      <w:bookmarkStart w:id="1863" w:name="Tc_DqpYP5E2ZEyPO-1XbL--Cg_4_8"/>
      <w:bookmarkStart w:id="1864" w:name="Tc_xWKwJaCYyUm2S8bEQz89Dg_4_5"/>
      <w:bookmarkStart w:id="1865" w:name="Tc_wVTmMpVbEEiR3Z1I-3Kd5g_4_2"/>
      <w:bookmarkStart w:id="1866" w:name="Tc_XkNgZ5K9LUusM0Ukok-qvA_4_0"/>
      <w:bookmarkStart w:id="1867" w:name="Tc_CPNjxWdQxEeHX0m0f_zXKw_3_0"/>
      <w:bookmarkStart w:id="1868" w:name="Tc_4a51YR-9OkyFIqJvkqIC6A_2_11"/>
      <w:bookmarkStart w:id="1869" w:name="Tc__65cRQqLwkKSAl3wrJNc5w_2_8"/>
      <w:bookmarkStart w:id="1870" w:name="Tc_gpv7IACYtkOyiXmZPIwz3A_2_5"/>
      <w:bookmarkStart w:id="1871" w:name="Tc_8JkUNZbFckmMFoOeruonzw_2_2"/>
      <w:bookmarkStart w:id="1872" w:name="Tc__46DRMlfC0iS7K_1Rznvmg_2_0"/>
      <w:bookmarkStart w:id="1873" w:name="Tc_5iTjPndvJUWW2Irf1J_jqg_1_8"/>
      <w:bookmarkStart w:id="1874" w:name="Tc_oZ8Z5Dkw00aRSLjRcKyW9w_1_2"/>
      <w:bookmarkStart w:id="1875" w:name="Tc_c8e6mV6TXE29MbpkSZKiOA_8_8"/>
      <w:bookmarkStart w:id="1876" w:name="Tc_dkf-R9PfPU26d8wHN9xRfg_8_5"/>
      <w:bookmarkStart w:id="1877" w:name="Tc_F30MxFO4sU2_vhqUyTZNDg_8_2"/>
      <w:bookmarkStart w:id="1878" w:name="Tc_jd1Dj0TY7ku4Pt4WcO5KTQ_8_0"/>
      <w:bookmarkStart w:id="1879" w:name="Tc_Y2o5lp0CEECI2NB_AC-OOA_7_0"/>
      <w:bookmarkStart w:id="1880" w:name="Tc_9REIHWmAkUaE5Dv-_d4XVQ_6_0"/>
      <w:bookmarkStart w:id="1881" w:name="Tc_WYpVY6MTeky4j_kduupsUA_5_0"/>
      <w:bookmarkStart w:id="1882" w:name="Tc_azhTJrOl6kqctP3hQkqeFA_4_8"/>
      <w:bookmarkStart w:id="1883" w:name="Tc_066rjySl6Eexlm6J67AhxA_4_5"/>
      <w:bookmarkStart w:id="1884" w:name="Tc_g7v6DIf6lkKmsCSkTNT_Fw_4_2"/>
      <w:bookmarkStart w:id="1885" w:name="Tc_HvT2bcSvD0y12iP_pVFkSw_4_0"/>
      <w:bookmarkStart w:id="1886" w:name="Tc_jsroOxdo2kC47RzWc9oEQA_3_0"/>
      <w:bookmarkStart w:id="1887" w:name="Tc_Er94OSdu4UW4ucXHNEkkIg_2_8"/>
      <w:bookmarkStart w:id="1888" w:name="Tc_YudlzBiZDkaMDwIPafconA_2_5"/>
      <w:bookmarkStart w:id="1889" w:name="Tc_-Pmtz7mXdU2X9LdGfwM4Lw_2_2"/>
      <w:bookmarkStart w:id="1890" w:name="Tc_bqJdGPB2vUCXqTWOB08SoQ_2_0"/>
      <w:bookmarkStart w:id="1891" w:name="Tc_pUIKyEH_NU-8nQkS2S5QbQ_1_8"/>
      <w:bookmarkStart w:id="1892" w:name="Tc_OJI_9xeSw0qWr9sfq3OT6Q_1_5"/>
      <w:bookmarkStart w:id="1893" w:name="Tc_IQAwJaivMEydvfTc7Vg3Lw_1_2"/>
      <w:bookmarkStart w:id="1894" w:name="Tc_EXB10qr_o02t6j2SCPw-Jg_8_11"/>
      <w:bookmarkStart w:id="1895" w:name="Tc_qlY3DTVMhkeXxvBF0MS_Qw_8_8"/>
      <w:bookmarkStart w:id="1896" w:name="Tc_cAZJeqhcxU26gMdW4lNOxA_8_5"/>
      <w:bookmarkStart w:id="1897" w:name="Tc_SxH32jY8kEKDALhkNgTfpg_8_2"/>
      <w:bookmarkStart w:id="1898" w:name="Tc_Awo9RC9mhUuohl0yHy2NsA_8_0"/>
      <w:bookmarkStart w:id="1899" w:name="Tc_beM1SsH3WUKE8qVBUll29g_7_0"/>
      <w:bookmarkStart w:id="1900" w:name="Tc_JzHIubuvk02t8k4wVzUDRw_6_0"/>
      <w:bookmarkStart w:id="1901" w:name="Tc_Uo9rThm2pkuz1XRRDB0yKg_5_0"/>
      <w:bookmarkStart w:id="1902" w:name="Tc_j5CS-gG63kixInBT1niEsw_4_11"/>
      <w:bookmarkStart w:id="1903" w:name="Tc_Iox54Hs-ok-MLq9MDS4yvg_4_8"/>
      <w:bookmarkStart w:id="1904" w:name="Tc_A2cWuH5OBE-35LKUDTaTHw_4_5"/>
      <w:bookmarkStart w:id="1905" w:name="Tc_T0gh4uYJA0Wc-BLo2hkWYw_4_2"/>
      <w:bookmarkStart w:id="1906" w:name="Tc_3oH3htMG60Sr9zZ07q_LYg_4_0"/>
      <w:bookmarkStart w:id="1907" w:name="Tc_GFn3kdx95k-D7C8g0WuGeA_3_0"/>
      <w:bookmarkStart w:id="1908" w:name="Tc_tT_urylItESWCjP_OZnGYw_2_11"/>
      <w:bookmarkStart w:id="1909" w:name="Tc_NHzZQlbyVUKdpmHB-tcr7g_2_8"/>
      <w:bookmarkStart w:id="1910" w:name="Tc_qC8rfL8f50KcrAmOMABaCQ_2_5"/>
      <w:bookmarkStart w:id="1911" w:name="Tc_R_LRGBsXs0aJ6W0mUfhQpw_2_2"/>
      <w:bookmarkStart w:id="1912" w:name="Tc_awfxmokVg0iJ5UXD1c7x2g_2_0"/>
      <w:bookmarkStart w:id="1913" w:name="Tc_ToRjGkpV1U20qtf2GZhquw_1_8"/>
      <w:bookmarkStart w:id="1914" w:name="Tc_41FKGQjt90-W0gQiivyQVg_1_2"/>
      <w:bookmarkStart w:id="1915" w:name="Tc_YHI4y9nTf0WZ5M8Ib680RA_6_11"/>
      <w:bookmarkStart w:id="1916" w:name="Tc_90VF8NAS_0qmh0HnxOp5Tw_6_8"/>
      <w:bookmarkStart w:id="1917" w:name="Tc_0atCG77O7Uqv5XlpnY4Ixg_6_5"/>
      <w:bookmarkStart w:id="1918" w:name="Tc_sjCQg2kSk0ia8h_XiOIJYw_6_2"/>
      <w:bookmarkStart w:id="1919" w:name="Tc_4c0vcSagHE6IvB9Im5ftbA_6_0"/>
      <w:bookmarkStart w:id="1920" w:name="Tc_eEVK5V04ekWuvnnGvPporw_5_0"/>
      <w:bookmarkStart w:id="1921" w:name="Tc_XpqLX6Uawk6BNOcBV3PP_g_4_11"/>
      <w:bookmarkStart w:id="1922" w:name="Tc_bcVaz8W_7k-xO6IrePRN5A_4_8"/>
      <w:bookmarkStart w:id="1923" w:name="Tc_t8Wzqf3YM029q4QkNTtItw_4_5"/>
      <w:bookmarkStart w:id="1924" w:name="Tc_h1k7Mdux-U6WBCtT22l1qQ_4_2"/>
      <w:bookmarkStart w:id="1925" w:name="Tc_fQ0QlULFeUKh4vvqF8J-qw_4_0"/>
      <w:bookmarkStart w:id="1926" w:name="Tc_4OWyiCEGI0SdpKXosA9rgg_3_0"/>
      <w:bookmarkStart w:id="1927" w:name="Tc_J7QBXg_c2EqapxruHFB0Sw_2_11"/>
      <w:bookmarkStart w:id="1928" w:name="Tc_2zioRPDEyEGsatTeoD60TA_2_8"/>
      <w:bookmarkStart w:id="1929" w:name="Tc_K--L8j4WHUSIxGzgv3-sMg_2_5"/>
      <w:bookmarkStart w:id="1930" w:name="Tc_dkimCZOKTUKsEfZbEFNjiA_2_2"/>
      <w:bookmarkStart w:id="1931" w:name="Tc_5orkfbU7pkOt1RQAgddO7A_2_0"/>
      <w:bookmarkStart w:id="1932" w:name="Tc_SzkKDbWH_UGikoOZQAVAFg_1_8"/>
      <w:bookmarkStart w:id="1933" w:name="Tc_4yoS-oBLn0uakTQcB-yVhg_1_2"/>
      <w:bookmarkStart w:id="1934" w:name="Tc_00WYOO1iKUuveInojUVpPQ_6_11"/>
      <w:bookmarkStart w:id="1935" w:name="Tc_55REjnAZy0qbQMs2hbCFEg_6_8"/>
      <w:bookmarkStart w:id="1936" w:name="Tc_FzBKitjDKE-BKWt6DuCFng_6_5"/>
      <w:bookmarkStart w:id="1937" w:name="Tc_c1duLQsCaU-OT0rQqAKW5w_6_2"/>
      <w:bookmarkStart w:id="1938" w:name="Tc_oDm5lQmSs0OkOJsp41A48A_6_0"/>
      <w:bookmarkStart w:id="1939" w:name="Tc_nNqkPoFN4Uyderv_BXue9Q_5_0"/>
      <w:bookmarkStart w:id="1940" w:name="Tc_OBtOn0J1t0uqr-0b9uynXg_4_11"/>
      <w:bookmarkStart w:id="1941" w:name="Tc_DqpYP5E2ZEyPO-1XbL--Cg_4_8"/>
      <w:bookmarkStart w:id="1942" w:name="Tc_xWKwJaCYyUm2S8bEQz89Dg_4_5"/>
      <w:bookmarkStart w:id="1943" w:name="Tc_wVTmMpVbEEiR3Z1I-3Kd5g_4_2"/>
      <w:bookmarkStart w:id="1944" w:name="Tc_XkNgZ5K9LUusM0Ukok-qvA_4_0"/>
      <w:bookmarkStart w:id="1945" w:name="Tc_CPNjxWdQxEeHX0m0f_zXKw_3_0"/>
      <w:bookmarkStart w:id="1946" w:name="Tc_4a51YR-9OkyFIqJvkqIC6A_2_11"/>
      <w:bookmarkStart w:id="1947" w:name="Tc__65cRQqLwkKSAl3wrJNc5w_2_8"/>
      <w:bookmarkStart w:id="1948" w:name="Tc_gpv7IACYtkOyiXmZPIwz3A_2_5"/>
      <w:bookmarkStart w:id="1949" w:name="Tc_8JkUNZbFckmMFoOeruonzw_2_2"/>
      <w:bookmarkStart w:id="1950" w:name="Tc__46DRMlfC0iS7K_1Rznvmg_2_0"/>
      <w:bookmarkStart w:id="1951" w:name="Tc_5iTjPndvJUWW2Irf1J_jqg_1_8"/>
      <w:bookmarkStart w:id="1952" w:name="Tc_oZ8Z5Dkw00aRSLjRcKyW9w_1_2"/>
      <w:bookmarkStart w:id="1953" w:name="Tc_c8e6mV6TXE29MbpkSZKiOA_8_8"/>
      <w:bookmarkStart w:id="1954" w:name="Tc_dkf-R9PfPU26d8wHN9xRfg_8_5"/>
      <w:bookmarkStart w:id="1955" w:name="Tc_F30MxFO4sU2_vhqUyTZNDg_8_2"/>
      <w:bookmarkStart w:id="1956" w:name="Tc_jd1Dj0TY7ku4Pt4WcO5KTQ_8_0"/>
      <w:bookmarkStart w:id="1957" w:name="Tc_Y2o5lp0CEECI2NB_AC-OOA_7_0"/>
      <w:bookmarkStart w:id="1958" w:name="Tc_9REIHWmAkUaE5Dv-_d4XVQ_6_0"/>
      <w:bookmarkStart w:id="1959" w:name="Tc_WYpVY6MTeky4j_kduupsUA_5_0"/>
      <w:bookmarkStart w:id="1960" w:name="Tc_azhTJrOl6kqctP3hQkqeFA_4_8"/>
      <w:bookmarkStart w:id="1961" w:name="Tc_066rjySl6Eexlm6J67AhxA_4_5"/>
      <w:bookmarkStart w:id="1962" w:name="Tc_g7v6DIf6lkKmsCSkTNT_Fw_4_2"/>
      <w:bookmarkStart w:id="1963" w:name="Tc_HvT2bcSvD0y12iP_pVFkSw_4_0"/>
      <w:bookmarkStart w:id="1964" w:name="Tc_jsroOxdo2kC47RzWc9oEQA_3_0"/>
      <w:bookmarkStart w:id="1965" w:name="Tc_Er94OSdu4UW4ucXHNEkkIg_2_8"/>
      <w:bookmarkStart w:id="1966" w:name="Tc_YudlzBiZDkaMDwIPafconA_2_5"/>
      <w:bookmarkStart w:id="1967" w:name="Tc_-Pmtz7mXdU2X9LdGfwM4Lw_2_2"/>
      <w:bookmarkStart w:id="1968" w:name="Tc_bqJdGPB2vUCXqTWOB08SoQ_2_0"/>
      <w:bookmarkStart w:id="1969" w:name="Tc_pUIKyEH_NU-8nQkS2S5QbQ_1_8"/>
      <w:bookmarkStart w:id="1970" w:name="Tc_OJI_9xeSw0qWr9sfq3OT6Q_1_5"/>
      <w:bookmarkStart w:id="1971" w:name="Tc_IQAwJaivMEydvfTc7Vg3Lw_1_2"/>
      <w:bookmarkStart w:id="1972" w:name="Tc_EXB10qr_o02t6j2SCPw-Jg_8_11"/>
      <w:bookmarkStart w:id="1973" w:name="Tc_qlY3DTVMhkeXxvBF0MS_Qw_8_8"/>
      <w:bookmarkStart w:id="1974" w:name="Tc_cAZJeqhcxU26gMdW4lNOxA_8_5"/>
      <w:bookmarkStart w:id="1975" w:name="Tc_SxH32jY8kEKDALhkNgTfpg_8_2"/>
      <w:bookmarkStart w:id="1976" w:name="Tc_Awo9RC9mhUuohl0yHy2NsA_8_0"/>
      <w:bookmarkStart w:id="1977" w:name="Tc_beM1SsH3WUKE8qVBUll29g_7_0"/>
      <w:bookmarkStart w:id="1978" w:name="Tc_JzHIubuvk02t8k4wVzUDRw_6_0"/>
      <w:bookmarkStart w:id="1979" w:name="Tc_Uo9rThm2pkuz1XRRDB0yKg_5_0"/>
      <w:bookmarkStart w:id="1980" w:name="Tc_j5CS-gG63kixInBT1niEsw_4_11"/>
      <w:bookmarkStart w:id="1981" w:name="Tc_Iox54Hs-ok-MLq9MDS4yvg_4_8"/>
      <w:bookmarkStart w:id="1982" w:name="Tc_A2cWuH5OBE-35LKUDTaTHw_4_5"/>
      <w:bookmarkStart w:id="1983" w:name="Tc_T0gh4uYJA0Wc-BLo2hkWYw_4_2"/>
      <w:bookmarkStart w:id="1984" w:name="Tc_3oH3htMG60Sr9zZ07q_LYg_4_0"/>
      <w:bookmarkStart w:id="1985" w:name="Tc_GFn3kdx95k-D7C8g0WuGeA_3_0"/>
      <w:bookmarkStart w:id="1986" w:name="Tc_tT_urylItESWCjP_OZnGYw_2_11"/>
      <w:bookmarkStart w:id="1987" w:name="Tc_NHzZQlbyVUKdpmHB-tcr7g_2_8"/>
      <w:bookmarkStart w:id="1988" w:name="Tc_qC8rfL8f50KcrAmOMABaCQ_2_5"/>
      <w:bookmarkStart w:id="1989" w:name="Tc_R_LRGBsXs0aJ6W0mUfhQpw_2_2"/>
      <w:bookmarkStart w:id="1990" w:name="Tc_awfxmokVg0iJ5UXD1c7x2g_2_0"/>
      <w:bookmarkStart w:id="1991" w:name="Tc_ToRjGkpV1U20qtf2GZhquw_1_8"/>
      <w:bookmarkStart w:id="1992" w:name="Tc_41FKGQjt90-W0gQiivyQVg_1_2"/>
      <w:bookmarkStart w:id="1993" w:name="Tc_YHI4y9nTf0WZ5M8Ib680RA_6_11"/>
      <w:bookmarkStart w:id="1994" w:name="Tc_90VF8NAS_0qmh0HnxOp5Tw_6_8"/>
      <w:bookmarkStart w:id="1995" w:name="Tc_0atCG77O7Uqv5XlpnY4Ixg_6_5"/>
      <w:bookmarkStart w:id="1996" w:name="Tc_sjCQg2kSk0ia8h_XiOIJYw_6_2"/>
      <w:bookmarkStart w:id="1997" w:name="Tc_4c0vcSagHE6IvB9Im5ftbA_6_0"/>
      <w:bookmarkStart w:id="1998" w:name="Tc_eEVK5V04ekWuvnnGvPporw_5_0"/>
      <w:bookmarkStart w:id="1999" w:name="Tc_XpqLX6Uawk6BNOcBV3PP_g_4_11"/>
      <w:bookmarkStart w:id="2000" w:name="Tc_bcVaz8W_7k-xO6IrePRN5A_4_8"/>
      <w:bookmarkStart w:id="2001" w:name="Tc_t8Wzqf3YM029q4QkNTtItw_4_5"/>
      <w:bookmarkStart w:id="2002" w:name="Tc_h1k7Mdux-U6WBCtT22l1qQ_4_2"/>
      <w:bookmarkStart w:id="2003" w:name="Tc_fQ0QlULFeUKh4vvqF8J-qw_4_0"/>
      <w:bookmarkStart w:id="2004" w:name="Tc_4OWyiCEGI0SdpKXosA9rgg_3_0"/>
      <w:bookmarkStart w:id="2005" w:name="Tc_J7QBXg_c2EqapxruHFB0Sw_2_11"/>
      <w:bookmarkStart w:id="2006" w:name="Tc_2zioRPDEyEGsatTeoD60TA_2_8"/>
      <w:bookmarkStart w:id="2007" w:name="Tc_K--L8j4WHUSIxGzgv3-sMg_2_5"/>
      <w:bookmarkStart w:id="2008" w:name="Tc_dkimCZOKTUKsEfZbEFNjiA_2_2"/>
      <w:bookmarkStart w:id="2009" w:name="Tc_5orkfbU7pkOt1RQAgddO7A_2_0"/>
      <w:bookmarkStart w:id="2010" w:name="Tc_SzkKDbWH_UGikoOZQAVAFg_1_8"/>
      <w:bookmarkStart w:id="2011" w:name="Tc_4yoS-oBLn0uakTQcB-yVhg_1_2"/>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p>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(2)</w:t>
            </w:r>
          </w:p>
        </w:tc>
        <w:tc>
          <w:tcPr>
            <w:tcW w:w="984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SBC amount includes SBC allocated to the segments and SBC relating to the Board of Directors for their service as board members that is not allocated to the segments (See Note 17 — Stock-Based Compensation Plans).</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(3)</w:t>
            </w:r>
          </w:p>
        </w:tc>
        <w:tc>
          <w:tcPr>
            <w:tcW w:w="984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loss and/or impairment on investments in equity securities and interest income relating to any notes receivables with those investments. These amounts are included in other expense, net in the condensed consolidated statements of operations.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(4)</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net impact of intersegment eliminations on income (loss) before income taxes.</w:t>
            </w:r>
          </w:p>
        </w:tc>
      </w:tr>
    </w:tbl>
    <w:p>
      <w:pPr>
        <w:pStyle w:val="TextBody"/>
        <w:bidi w:val="0"/>
        <w:spacing w:before="0" w:after="120"/>
        <w:ind w:left="420" w:right="0" w:hanging="0"/>
        <w:jc w:val="both"/>
        <w:rPr/>
      </w:pPr>
      <w:r>
        <w:rPr/>
        <w:t>​</w:t>
      </w:r>
    </w:p>
    <w:tbl>
      <w:tblPr>
        <w:tblW w:w="7156" w:type="dxa"/>
        <w:jc w:val="left"/>
        <w:tblInd w:w="0" w:type="dxa"/>
        <w:tblLayout w:type="fixed"/>
        <w:tblCellMar>
          <w:top w:w="0" w:type="dxa"/>
          <w:left w:w="0" w:type="dxa"/>
          <w:bottom w:w="0" w:type="dxa"/>
          <w:right w:w="0" w:type="dxa"/>
        </w:tblCellMar>
      </w:tblPr>
      <w:tblGrid>
        <w:gridCol w:w="2656"/>
        <w:gridCol w:w="146"/>
        <w:gridCol w:w="204"/>
        <w:gridCol w:w="627"/>
        <w:gridCol w:w="361"/>
        <w:gridCol w:w="204"/>
        <w:gridCol w:w="627"/>
        <w:gridCol w:w="346"/>
        <w:gridCol w:w="196"/>
        <w:gridCol w:w="601"/>
        <w:gridCol w:w="346"/>
        <w:gridCol w:w="196"/>
        <w:gridCol w:w="646"/>
      </w:tblGrid>
      <w:tr>
        <w:trPr/>
        <w:tc>
          <w:tcPr>
            <w:tcW w:w="265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both"/>
              <w:rPr/>
            </w:pPr>
            <w:r>
              <w:rPr/>
              <w:t>​</w:t>
            </w:r>
          </w:p>
        </w:tc>
      </w:tr>
      <w:tr>
        <w:trPr/>
        <w:tc>
          <w:tcPr>
            <w:tcW w:w="265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46" w:type="dxa"/>
            <w:tcBorders/>
            <w:vAlign w:val="center"/>
          </w:tcPr>
          <w:p>
            <w:pPr>
              <w:pStyle w:val="TableContents"/>
              <w:bidi w:val="0"/>
              <w:spacing w:before="0" w:after="0"/>
              <w:ind w:left="0" w:right="0" w:hanging="0"/>
              <w:jc w:val="both"/>
              <w:rPr/>
            </w:pPr>
            <w:r>
              <w:rPr/>
              <w:t> </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61" w:type="dxa"/>
            <w:tcBorders/>
            <w:vAlign w:val="center"/>
          </w:tcPr>
          <w:p>
            <w:pPr>
              <w:pStyle w:val="TableContents"/>
              <w:bidi w:val="0"/>
              <w:spacing w:before="0" w:after="0"/>
              <w:ind w:left="0" w:right="0" w:hanging="0"/>
              <w:jc w:val="both"/>
              <w:rPr/>
            </w:pPr>
            <w:r>
              <w:rPr/>
              <w:t>  ​ ​ ​</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Depreciation and amortization:</w:t>
            </w:r>
          </w:p>
        </w:tc>
        <w:tc>
          <w:tcPr>
            <w:tcW w:w="146" w:type="dxa"/>
            <w:tcBorders/>
            <w:shd w:fill="CCEEFF" w:val="clear"/>
            <w:vAlign w:val="center"/>
          </w:tcPr>
          <w:p>
            <w:pPr>
              <w:pStyle w:val="TableContents"/>
              <w:bidi w:val="0"/>
              <w:spacing w:before="0" w:after="0"/>
              <w:ind w:left="0" w:right="0" w:hanging="0"/>
              <w:jc w:val="both"/>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627" w:type="dxa"/>
            <w:tcBorders/>
            <w:shd w:fill="CCEEFF" w:val="clear"/>
            <w:vAlign w:val="center"/>
          </w:tcPr>
          <w:p>
            <w:pPr>
              <w:pStyle w:val="TableContents"/>
              <w:bidi w:val="0"/>
              <w:spacing w:before="0" w:after="0"/>
              <w:ind w:left="0" w:right="0" w:hanging="0"/>
              <w:jc w:val="both"/>
              <w:rPr/>
            </w:pPr>
            <w:r>
              <w:rPr/>
              <w:t>​</w:t>
            </w:r>
          </w:p>
        </w:tc>
        <w:tc>
          <w:tcPr>
            <w:tcW w:w="361" w:type="dxa"/>
            <w:tcBorders/>
            <w:shd w:fill="CCEEFF" w:val="clear"/>
            <w:vAlign w:val="center"/>
          </w:tcPr>
          <w:p>
            <w:pPr>
              <w:pStyle w:val="TableContents"/>
              <w:bidi w:val="0"/>
              <w:spacing w:before="0" w:after="0"/>
              <w:ind w:left="0" w:right="0" w:hanging="0"/>
              <w:jc w:val="both"/>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627"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46" w:type="dxa"/>
            <w:tcBorders/>
            <w:shd w:fill="CCEEFF" w:val="clear"/>
            <w:vAlign w:val="center"/>
          </w:tcPr>
          <w:p>
            <w:pPr>
              <w:pStyle w:val="TableContents"/>
              <w:bidi w:val="0"/>
              <w:spacing w:before="0" w:after="0"/>
              <w:ind w:left="0" w:right="0" w:hanging="0"/>
              <w:jc w:val="both"/>
              <w:rPr/>
            </w:pPr>
            <w:r>
              <w:rPr/>
              <w:t>​</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2,053</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3,170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2,026</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46"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22,581</w:t>
            </w:r>
          </w:p>
        </w:tc>
        <w:tc>
          <w:tcPr>
            <w:tcW w:w="361"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22,294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44,182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43,937</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depreciation and amortization</w:t>
            </w:r>
          </w:p>
        </w:tc>
        <w:tc>
          <w:tcPr>
            <w:tcW w:w="146" w:type="dxa"/>
            <w:tcBorders/>
            <w:vAlign w:val="center"/>
          </w:tcPr>
          <w:p>
            <w:pPr>
              <w:pStyle w:val="TableContents"/>
              <w:bidi w:val="0"/>
              <w:spacing w:before="0" w:after="0"/>
              <w:ind w:left="0" w:right="0" w:hanging="0"/>
              <w:jc w:val="both"/>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24,634</w:t>
            </w:r>
          </w:p>
        </w:tc>
        <w:tc>
          <w:tcPr>
            <w:tcW w:w="361" w:type="dxa"/>
            <w:tcBorders/>
            <w:vAlign w:val="center"/>
          </w:tcPr>
          <w:p>
            <w:pPr>
              <w:pStyle w:val="TableContents"/>
              <w:bidi w:val="0"/>
              <w:spacing w:before="0" w:after="0"/>
              <w:ind w:left="0" w:right="0" w:hanging="0"/>
              <w:jc w:val="both"/>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47,352</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45,963</w:t>
            </w:r>
          </w:p>
        </w:tc>
      </w:tr>
      <w:tr>
        <w:trPr/>
        <w:tc>
          <w:tcPr>
            <w:tcW w:w="265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7176" w:type="dxa"/>
        <w:jc w:val="left"/>
        <w:tblInd w:w="0" w:type="dxa"/>
        <w:tblLayout w:type="fixed"/>
        <w:tblCellMar>
          <w:top w:w="0" w:type="dxa"/>
          <w:left w:w="0" w:type="dxa"/>
          <w:bottom w:w="0" w:type="dxa"/>
          <w:right w:w="0" w:type="dxa"/>
        </w:tblCellMar>
      </w:tblPr>
      <w:tblGrid>
        <w:gridCol w:w="2476"/>
        <w:gridCol w:w="346"/>
        <w:gridCol w:w="204"/>
        <w:gridCol w:w="627"/>
        <w:gridCol w:w="361"/>
        <w:gridCol w:w="204"/>
        <w:gridCol w:w="627"/>
        <w:gridCol w:w="346"/>
        <w:gridCol w:w="196"/>
        <w:gridCol w:w="601"/>
        <w:gridCol w:w="346"/>
        <w:gridCol w:w="196"/>
        <w:gridCol w:w="646"/>
      </w:tblGrid>
      <w:tr>
        <w:trPr/>
        <w:tc>
          <w:tcPr>
            <w:tcW w:w="24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9540" cy="175260"/>
                      <wp:effectExtent l="0" t="0" r="0" b="0"/>
                      <wp:wrapNone/>
                      <wp:docPr id="298" name="Frame29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98145" cy="175260"/>
                      <wp:effectExtent l="0" t="0" r="0" b="0"/>
                      <wp:wrapNone/>
                      <wp:docPr id="299" name="Frame299"/>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9235" cy="175260"/>
                      <wp:effectExtent l="0" t="0" r="0" b="0"/>
                      <wp:wrapNone/>
                      <wp:docPr id="300" name="Frame3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9540" cy="175260"/>
                      <wp:effectExtent l="0" t="0" r="0" b="0"/>
                      <wp:wrapNone/>
                      <wp:docPr id="301" name="Frame301"/>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98145" cy="175260"/>
                      <wp:effectExtent l="0" t="0" r="0" b="0"/>
                      <wp:wrapNone/>
                      <wp:docPr id="302" name="Frame302"/>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304" name="Frame3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81635" cy="175260"/>
                      <wp:effectExtent l="0" t="0" r="0" b="0"/>
                      <wp:wrapNone/>
                      <wp:docPr id="305" name="Frame30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7" name="Frame3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10210" cy="175260"/>
                      <wp:effectExtent l="0" t="0" r="0" b="0"/>
                      <wp:wrapNone/>
                      <wp:docPr id="308" name="Frame30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61" w:type="dxa"/>
            <w:tcBorders/>
            <w:vAlign w:val="center"/>
          </w:tcPr>
          <w:p>
            <w:pPr>
              <w:pStyle w:val="TableContents"/>
              <w:bidi w:val="0"/>
              <w:spacing w:before="0" w:after="0"/>
              <w:ind w:left="0" w:right="0" w:hanging="0"/>
              <w:jc w:val="both"/>
              <w:rPr/>
            </w:pPr>
            <w:r>
              <w:rPr/>
              <w:t>  ​ ​ ​</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47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627" w:type="dxa"/>
            <w:tcBorders/>
            <w:shd w:fill="CCEEFF" w:val="clear"/>
            <w:vAlign w:val="center"/>
          </w:tcPr>
          <w:p>
            <w:pPr>
              <w:pStyle w:val="TableContents"/>
              <w:bidi w:val="0"/>
              <w:spacing w:before="0" w:after="0"/>
              <w:ind w:left="0" w:right="0" w:hanging="0"/>
              <w:jc w:val="both"/>
              <w:rPr/>
            </w:pPr>
            <w:r>
              <w:rPr/>
              <w:t>​</w:t>
            </w:r>
          </w:p>
        </w:tc>
        <w:tc>
          <w:tcPr>
            <w:tcW w:w="361" w:type="dxa"/>
            <w:tcBorders/>
            <w:shd w:fill="CCEEFF" w:val="clear"/>
            <w:vAlign w:val="center"/>
          </w:tcPr>
          <w:p>
            <w:pPr>
              <w:pStyle w:val="TableContents"/>
              <w:bidi w:val="0"/>
              <w:spacing w:before="0" w:after="0"/>
              <w:ind w:left="0" w:right="0" w:hanging="0"/>
              <w:jc w:val="both"/>
              <w:rPr/>
            </w:pPr>
            <w:r>
              <w:rPr/>
              <w:t>​</w:t>
            </w:r>
          </w:p>
        </w:tc>
        <w:tc>
          <w:tcPr>
            <w:tcW w:w="204" w:type="dxa"/>
            <w:tcBorders/>
            <w:shd w:fill="CCEEFF" w:val="clear"/>
            <w:vAlign w:val="center"/>
          </w:tcPr>
          <w:p>
            <w:pPr>
              <w:pStyle w:val="TableContents"/>
              <w:bidi w:val="0"/>
              <w:spacing w:before="0" w:after="0"/>
              <w:ind w:left="0" w:right="0" w:hanging="0"/>
              <w:jc w:val="both"/>
              <w:rPr/>
            </w:pPr>
            <w:r>
              <w:rPr/>
              <w:t>​</w:t>
            </w:r>
          </w:p>
        </w:tc>
        <w:tc>
          <w:tcPr>
            <w:tcW w:w="627"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46" w:type="dxa"/>
            <w:tcBorders/>
            <w:shd w:fill="CCEEFF" w:val="clear"/>
            <w:vAlign w:val="center"/>
          </w:tcPr>
          <w:p>
            <w:pPr>
              <w:pStyle w:val="TableContents"/>
              <w:bidi w:val="0"/>
              <w:spacing w:before="0" w:after="0"/>
              <w:ind w:left="0" w:right="0" w:hanging="0"/>
              <w:jc w:val="both"/>
              <w:rPr/>
            </w:pPr>
            <w:r>
              <w:rPr/>
              <w:t>​</w:t>
            </w:r>
          </w:p>
        </w:tc>
      </w:tr>
      <w:tr>
        <w:trPr/>
        <w:tc>
          <w:tcPr>
            <w:tcW w:w="247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w:t>
            </w:r>
          </w:p>
        </w:tc>
      </w:tr>
      <w:tr>
        <w:trPr/>
        <w:tc>
          <w:tcPr>
            <w:tcW w:w="247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5,491</w:t>
            </w:r>
          </w:p>
        </w:tc>
        <w:tc>
          <w:tcPr>
            <w:tcW w:w="361"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10,683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12,709</w:t>
            </w:r>
          </w:p>
        </w:tc>
      </w:tr>
      <w:tr>
        <w:trPr/>
        <w:tc>
          <w:tcPr>
            <w:tcW w:w="247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5,295</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12,636</w:t>
            </w:r>
          </w:p>
        </w:tc>
      </w:tr>
      <w:tr>
        <w:trPr/>
        <w:tc>
          <w:tcPr>
            <w:tcW w:w="247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Corporate &amp; other</w:t>
            </w:r>
          </w:p>
        </w:tc>
        <w:tc>
          <w:tcPr>
            <w:tcW w:w="346"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21,617</w:t>
            </w:r>
          </w:p>
        </w:tc>
        <w:tc>
          <w:tcPr>
            <w:tcW w:w="361" w:type="dxa"/>
            <w:tcBorders/>
            <w:shd w:fill="CCEEFF" w:val="clear"/>
            <w:vAlign w:val="center"/>
          </w:tcPr>
          <w:p>
            <w:pPr>
              <w:pStyle w:val="TableContents"/>
              <w:bidi w:val="0"/>
              <w:spacing w:before="0" w:after="0"/>
              <w:ind w:left="0" w:right="0" w:hanging="0"/>
              <w:jc w:val="both"/>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24,557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43,311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48,731</w:t>
            </w:r>
          </w:p>
        </w:tc>
      </w:tr>
      <w:tr>
        <w:trPr/>
        <w:tc>
          <w:tcPr>
            <w:tcW w:w="247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interest expense, net</w:t>
            </w:r>
          </w:p>
        </w:tc>
        <w:tc>
          <w:tcPr>
            <w:tcW w:w="346" w:type="dxa"/>
            <w:tcBorders/>
            <w:vAlign w:val="center"/>
          </w:tcPr>
          <w:p>
            <w:pPr>
              <w:pStyle w:val="TableContents"/>
              <w:bidi w:val="0"/>
              <w:spacing w:before="0" w:after="0"/>
              <w:ind w:left="0" w:right="0" w:hanging="0"/>
              <w:jc w:val="both"/>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26,912</w:t>
            </w:r>
          </w:p>
        </w:tc>
        <w:tc>
          <w:tcPr>
            <w:tcW w:w="361" w:type="dxa"/>
            <w:tcBorders/>
            <w:vAlign w:val="center"/>
          </w:tcPr>
          <w:p>
            <w:pPr>
              <w:pStyle w:val="TableContents"/>
              <w:bidi w:val="0"/>
              <w:spacing w:before="0" w:after="0"/>
              <w:ind w:left="0" w:right="0" w:hanging="0"/>
              <w:jc w:val="both"/>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30,836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53,761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61,367</w:t>
            </w:r>
          </w:p>
        </w:tc>
      </w:tr>
      <w:tr>
        <w:trPr/>
        <w:tc>
          <w:tcPr>
            <w:tcW w:w="24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c>
          <w:tcPr>
            <w:tcW w:w="204" w:type="dxa"/>
            <w:tcBorders/>
            <w:vAlign w:val="center"/>
          </w:tcPr>
          <w:p>
            <w:pPr>
              <w:pStyle w:val="TableContents"/>
              <w:bidi w:val="0"/>
              <w:spacing w:before="0" w:after="0"/>
              <w:ind w:left="0" w:right="0" w:hanging="0"/>
              <w:jc w:val="both"/>
              <w:rPr/>
            </w:pPr>
            <w:r>
              <w:rPr/>
              <w:t>​</w:t>
            </w:r>
          </w:p>
        </w:tc>
        <w:tc>
          <w:tcPr>
            <w:tcW w:w="62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6563" w:type="dxa"/>
        <w:jc w:val="left"/>
        <w:tblInd w:w="0" w:type="dxa"/>
        <w:tblLayout w:type="fixed"/>
        <w:tblCellMar>
          <w:top w:w="0" w:type="dxa"/>
          <w:left w:w="0" w:type="dxa"/>
          <w:bottom w:w="0" w:type="dxa"/>
          <w:right w:w="0" w:type="dxa"/>
        </w:tblCellMar>
      </w:tblPr>
      <w:tblGrid>
        <w:gridCol w:w="2401"/>
        <w:gridCol w:w="346"/>
        <w:gridCol w:w="196"/>
        <w:gridCol w:w="826"/>
        <w:gridCol w:w="346"/>
        <w:gridCol w:w="198"/>
        <w:gridCol w:w="837"/>
        <w:gridCol w:w="346"/>
        <w:gridCol w:w="196"/>
        <w:gridCol w:w="87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524635" cy="175260"/>
                      <wp:effectExtent l="0" t="0" r="0" b="0"/>
                      <wp:wrapNone/>
                      <wp:docPr id="309" name="Frame30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24510" cy="175260"/>
                      <wp:effectExtent l="0" t="0" r="0" b="0"/>
                      <wp:wrapNone/>
                      <wp:docPr id="312" name="Frame3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5730" cy="175260"/>
                      <wp:effectExtent l="0" t="0" r="0" b="0"/>
                      <wp:wrapNone/>
                      <wp:docPr id="314" name="Frame31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1495" cy="175260"/>
                      <wp:effectExtent l="0" t="0" r="0" b="0"/>
                      <wp:wrapNone/>
                      <wp:docPr id="315" name="Frame315"/>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53085" cy="175260"/>
                      <wp:effectExtent l="0" t="0" r="0" b="0"/>
                      <wp:wrapNone/>
                      <wp:docPr id="318" name="Frame31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December 31, </w:t>
            </w:r>
          </w:p>
        </w:tc>
        <w:tc>
          <w:tcPr>
            <w:tcW w:w="346" w:type="dxa"/>
            <w:tcBorders/>
            <w:vAlign w:val="center"/>
          </w:tcPr>
          <w:p>
            <w:pPr>
              <w:pStyle w:val="TableContents"/>
              <w:bidi w:val="0"/>
              <w:spacing w:before="0" w:after="0"/>
              <w:ind w:left="0" w:right="0" w:hanging="0"/>
              <w:jc w:val="center"/>
              <w:rPr/>
            </w:pPr>
            <w:r>
              <w:rPr/>
              <w:t>​</w:t>
            </w:r>
          </w:p>
        </w:tc>
        <w:tc>
          <w:tcPr>
            <w:tcW w:w="106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w: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center"/>
              <w:rPr/>
            </w:pPr>
            <w:r>
              <w:rPr/>
              <w:t>  ​ ​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40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8" w:type="dxa"/>
            <w:tcBorders/>
            <w:shd w:fill="CCEEFF" w:val="clear"/>
            <w:vAlign w:val="center"/>
          </w:tcPr>
          <w:p>
            <w:pPr>
              <w:pStyle w:val="TableContents"/>
              <w:bidi w:val="0"/>
              <w:spacing w:before="0" w:after="0"/>
              <w:ind w:left="0" w:right="0" w:hanging="0"/>
              <w:jc w:val="center"/>
              <w:rPr/>
            </w:pPr>
            <w:r>
              <w:rPr/>
              <w:t>​</w:t>
            </w:r>
          </w:p>
        </w:tc>
        <w:tc>
          <w:tcPr>
            <w:tcW w:w="83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Good Sam Services and Plans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94,810</w:t>
            </w:r>
          </w:p>
        </w:tc>
        <w:tc>
          <w:tcPr>
            <w:tcW w:w="34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3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127,282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87,911</w:t>
            </w:r>
          </w:p>
        </w:tc>
      </w:tr>
      <w:tr>
        <w:trPr/>
        <w:tc>
          <w:tcPr>
            <w:tcW w:w="24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4,755,642</w:t>
            </w:r>
          </w:p>
        </w:tc>
        <w:tc>
          <w:tcPr>
            <w:tcW w:w="346" w:type="dxa"/>
            <w:tcBorders/>
            <w:shd w:fill="CCEEFF" w:val="clear"/>
            <w:vAlign w:val="center"/>
          </w:tcPr>
          <w:p>
            <w:pPr>
              <w:pStyle w:val="TableContents"/>
              <w:bidi w:val="0"/>
              <w:spacing w:before="0" w:after="0"/>
              <w:ind w:left="0" w:right="0" w:hanging="0"/>
              <w:jc w:val="both"/>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4,906,137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4,881,045</w:t>
            </w:r>
          </w:p>
        </w:tc>
      </w:tr>
      <w:tr>
        <w:trPr/>
        <w:tc>
          <w:tcPr>
            <w:tcW w:w="24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Subtotal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4,850,452</w:t>
            </w:r>
          </w:p>
        </w:tc>
        <w:tc>
          <w:tcPr>
            <w:tcW w:w="34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83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5,033,419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4,968,956</w:t>
            </w:r>
          </w:p>
        </w:tc>
      </w:tr>
      <w:tr>
        <w:trPr/>
        <w:tc>
          <w:tcPr>
            <w:tcW w:w="24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Corporate &amp; other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8,341</w:t>
            </w:r>
          </w:p>
        </w:tc>
        <w:tc>
          <w:tcPr>
            <w:tcW w:w="346" w:type="dxa"/>
            <w:tcBorders/>
            <w:shd w:fill="CCEEFF" w:val="clear"/>
            <w:vAlign w:val="center"/>
          </w:tcPr>
          <w:p>
            <w:pPr>
              <w:pStyle w:val="TableContents"/>
              <w:bidi w:val="0"/>
              <w:spacing w:before="0" w:after="0"/>
              <w:ind w:left="0" w:right="0" w:hanging="0"/>
              <w:jc w:val="both"/>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10,915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222,891</w:t>
            </w:r>
          </w:p>
        </w:tc>
      </w:tr>
      <w:tr>
        <w:trPr/>
        <w:tc>
          <w:tcPr>
            <w:tcW w:w="24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assets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4,858,793</w:t>
            </w:r>
          </w:p>
        </w:tc>
        <w:tc>
          <w:tcPr>
            <w:tcW w:w="346" w:type="dxa"/>
            <w:tcBorders/>
            <w:vAlign w:val="center"/>
          </w:tcPr>
          <w:p>
            <w:pPr>
              <w:pStyle w:val="TableContents"/>
              <w:bidi w:val="0"/>
              <w:spacing w:before="0" w:after="0"/>
              <w:ind w:left="0" w:right="0" w:hanging="0"/>
              <w:jc w:val="both"/>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3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5,044,334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5,191,847</w:t>
            </w:r>
          </w:p>
        </w:tc>
      </w:tr>
      <w:tr>
        <w:trPr/>
        <w:tc>
          <w:tcPr>
            <w:tcW w:w="24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8" w:type="dxa"/>
            <w:tcBorders/>
            <w:vAlign w:val="center"/>
          </w:tcPr>
          <w:p>
            <w:pPr>
              <w:pStyle w:val="TableContents"/>
              <w:bidi w:val="0"/>
              <w:spacing w:before="0" w:after="0"/>
              <w:ind w:left="0" w:right="0" w:hanging="0"/>
              <w:jc w:val="both"/>
              <w:rPr/>
            </w:pPr>
            <w:r>
              <w:rPr/>
              <w:t>​</w:t>
            </w:r>
          </w:p>
        </w:tc>
        <w:tc>
          <w:tcPr>
            <w:tcW w:w="83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6835" w:type="dxa"/>
        <w:jc w:val="left"/>
        <w:tblInd w:w="0" w:type="dxa"/>
        <w:tblLayout w:type="fixed"/>
        <w:tblCellMar>
          <w:top w:w="0" w:type="dxa"/>
          <w:left w:w="0" w:type="dxa"/>
          <w:bottom w:w="0" w:type="dxa"/>
          <w:right w:w="0" w:type="dxa"/>
        </w:tblCellMar>
      </w:tblPr>
      <w:tblGrid>
        <w:gridCol w:w="2401"/>
        <w:gridCol w:w="109"/>
        <w:gridCol w:w="211"/>
        <w:gridCol w:w="647"/>
        <w:gridCol w:w="308"/>
        <w:gridCol w:w="211"/>
        <w:gridCol w:w="647"/>
        <w:gridCol w:w="286"/>
        <w:gridCol w:w="196"/>
        <w:gridCol w:w="601"/>
        <w:gridCol w:w="286"/>
        <w:gridCol w:w="196"/>
        <w:gridCol w:w="73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524635" cy="175260"/>
                      <wp:effectExtent l="0" t="0" r="0" b="0"/>
                      <wp:wrapNone/>
                      <wp:docPr id="319" name="Frame31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10845" cy="175260"/>
                      <wp:effectExtent l="0" t="0" r="0" b="0"/>
                      <wp:wrapNone/>
                      <wp:docPr id="322" name="Frame32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95580" cy="175260"/>
                      <wp:effectExtent l="0" t="0" r="0" b="0"/>
                      <wp:wrapNone/>
                      <wp:docPr id="323" name="Frame32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10845" cy="175260"/>
                      <wp:effectExtent l="0" t="0" r="0" b="0"/>
                      <wp:wrapNone/>
                      <wp:docPr id="325" name="Frame325"/>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81610" cy="175260"/>
                      <wp:effectExtent l="0" t="0" r="0" b="0"/>
                      <wp:wrapNone/>
                      <wp:docPr id="326" name="Frame3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4460" cy="175260"/>
                      <wp:effectExtent l="0" t="0" r="0" b="0"/>
                      <wp:wrapNone/>
                      <wp:docPr id="327" name="Frame3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81635" cy="175260"/>
                      <wp:effectExtent l="0" t="0" r="0" b="0"/>
                      <wp:wrapNone/>
                      <wp:docPr id="328" name="Frame32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1610" cy="175260"/>
                      <wp:effectExtent l="0" t="0" r="0" b="0"/>
                      <wp:wrapNone/>
                      <wp:docPr id="329" name="Frame3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7360" cy="175260"/>
                      <wp:effectExtent l="0" t="0" r="0" b="0"/>
                      <wp:wrapNone/>
                      <wp:docPr id="331" name="Frame3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024"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 </w:t>
            </w:r>
          </w:p>
        </w:tc>
        <w:tc>
          <w:tcPr>
            <w:tcW w:w="28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09" w:type="dxa"/>
            <w:tcBorders/>
            <w:vAlign w:val="center"/>
          </w:tcPr>
          <w:p>
            <w:pPr>
              <w:pStyle w:val="TableContents"/>
              <w:bidi w:val="0"/>
              <w:spacing w:before="0" w:after="0"/>
              <w:ind w:left="0" w:right="0" w:hanging="0"/>
              <w:jc w:val="both"/>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08" w:type="dxa"/>
            <w:tcBorders/>
            <w:vAlign w:val="center"/>
          </w:tcPr>
          <w:p>
            <w:pPr>
              <w:pStyle w:val="TableContents"/>
              <w:bidi w:val="0"/>
              <w:spacing w:before="0" w:after="0"/>
              <w:ind w:left="0" w:right="0" w:hanging="0"/>
              <w:jc w:val="both"/>
              <w:rPr/>
            </w:pPr>
            <w:r>
              <w:rPr/>
              <w:t>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286" w:type="dxa"/>
            <w:tcBorders/>
            <w:vAlign w:val="center"/>
          </w:tcPr>
          <w:p>
            <w:pPr>
              <w:pStyle w:val="TableContents"/>
              <w:bidi w:val="0"/>
              <w:spacing w:before="0" w:after="0"/>
              <w:ind w:left="0" w:right="0" w:hanging="0"/>
              <w:jc w:val="both"/>
              <w:rPr/>
            </w:pPr>
            <w:r>
              <w:rPr/>
              <w:t>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86" w:type="dxa"/>
            <w:tcBorders/>
            <w:vAlign w:val="center"/>
          </w:tcPr>
          <w:p>
            <w:pPr>
              <w:pStyle w:val="TableContents"/>
              <w:bidi w:val="0"/>
              <w:spacing w:before="0" w:after="0"/>
              <w:ind w:left="0" w:right="0" w:hanging="0"/>
              <w:jc w:val="both"/>
              <w:rPr/>
            </w:pPr>
            <w:r>
              <w:rPr/>
              <w:t>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40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Capital expenditures:</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47" w:type="dxa"/>
            <w:tcBorders/>
            <w:shd w:fill="CCEEFF" w:val="clear"/>
            <w:vAlign w:val="center"/>
          </w:tcPr>
          <w:p>
            <w:pPr>
              <w:pStyle w:val="TableContents"/>
              <w:bidi w:val="0"/>
              <w:spacing w:before="0" w:after="0"/>
              <w:ind w:left="0" w:right="0" w:hanging="0"/>
              <w:jc w:val="both"/>
              <w:rPr/>
            </w:pPr>
            <w:r>
              <w:rPr/>
              <w:t>​</w:t>
            </w:r>
          </w:p>
        </w:tc>
        <w:tc>
          <w:tcPr>
            <w:tcW w:w="308"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47" w:type="dxa"/>
            <w:tcBorders/>
            <w:shd w:fill="CCEEFF" w:val="clear"/>
            <w:vAlign w:val="center"/>
          </w:tcPr>
          <w:p>
            <w:pPr>
              <w:pStyle w:val="TableContents"/>
              <w:bidi w:val="0"/>
              <w:spacing w:before="0" w:after="0"/>
              <w:ind w:left="0" w:right="0" w:hanging="0"/>
              <w:jc w:val="both"/>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both"/>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24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Good Sam Services and Plans </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4,517</w:t>
            </w:r>
          </w:p>
        </w:tc>
        <w:tc>
          <w:tcPr>
            <w:tcW w:w="308"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2,213</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9,156</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5,118</w:t>
            </w:r>
          </w:p>
        </w:tc>
      </w:tr>
      <w:tr>
        <w:trPr/>
        <w:tc>
          <w:tcPr>
            <w:tcW w:w="24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25,045</w:t>
            </w:r>
          </w:p>
        </w:tc>
        <w:tc>
          <w:tcPr>
            <w:tcW w:w="308"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47,774</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56,441</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116,964</w:t>
            </w:r>
          </w:p>
        </w:tc>
      </w:tr>
      <w:tr>
        <w:trPr/>
        <w:tc>
          <w:tcPr>
            <w:tcW w:w="24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capital expenditures</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29,562</w:t>
            </w:r>
          </w:p>
        </w:tc>
        <w:tc>
          <w:tcPr>
            <w:tcW w:w="308"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49,987</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65,597</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122,082</w:t>
            </w:r>
          </w:p>
        </w:tc>
      </w:tr>
      <w:tr>
        <w:trPr/>
        <w:tc>
          <w:tcPr>
            <w:tcW w:w="240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47" w:type="dxa"/>
            <w:tcBorders/>
            <w:vAlign w:val="center"/>
          </w:tcPr>
          <w:p>
            <w:pPr>
              <w:pStyle w:val="TableContents"/>
              <w:bidi w:val="0"/>
              <w:spacing w:before="0" w:after="0"/>
              <w:ind w:left="0" w:right="0" w:hanging="0"/>
              <w:jc w:val="both"/>
              <w:rPr/>
            </w:pPr>
            <w:r>
              <w:rPr/>
              <w:t>​</w:t>
            </w:r>
          </w:p>
        </w:tc>
        <w:tc>
          <w:tcPr>
            <w:tcW w:w="308"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47"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2012" w:name="Item2ManagementsDiscussionandAnalysis_80"/>
      <w:bookmarkStart w:id="2013" w:name="_78e1cc8d_8d05_42f9_adc0_d7868070a3c4"/>
      <w:bookmarkEnd w:id="2012"/>
      <w:bookmarkEnd w:id="2013"/>
      <w:r>
        <w:rPr>
          <w:rFonts w:ascii="Arial;Helvetica;sans-serif" w:hAnsi="Arial;Helvetica;san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MANAGEMENT’S DISCUSSION AND ANALYSIS OF</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FINANCIAL CONDITION AND RESULTS OF OPERATIONS</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2025, filed with the SEC on February 27, 2026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Overview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Camping World Holdings, Inc. (together with its subsidiaries) is America’s largest retailer of RVs and related products and services. Through our Camping World and Good Sam brands, our vision is to make it easy for everyone to enjoy RVing and empower our customers’ joy of travel. We strive to build long-term value for our customers, employees, and stockholders by combining a comprehensive offering of RV products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services with a national network of RV dealerships, service centers and customer support centers. We also believe that our Good Sam organization and family of highly-specialized services and plans, including roadside assistance, protection plans and insurance, uniquely enable us to protect our customers on the road ahead. On June 30, 2026, we operated a total of 200 locations, with all of them selling and/or servicing RVs. See Note 1 – Summary of Significant Accounting Policies to our condensed consolidated financial statements included in Part I, Item 1 of this Form 10-Q.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 summary of the changes in quantities and types of retail stores and changes in same stores from June 30, 2025 to June 30, 2026, are in the table below:</w:t>
      </w:r>
    </w:p>
    <w:tbl>
      <w:tblPr>
        <w:tblW w:w="6477" w:type="dxa"/>
        <w:jc w:val="left"/>
        <w:tblInd w:w="0" w:type="dxa"/>
        <w:tblLayout w:type="fixed"/>
        <w:tblCellMar>
          <w:top w:w="0" w:type="dxa"/>
          <w:left w:w="0" w:type="dxa"/>
          <w:bottom w:w="0" w:type="dxa"/>
          <w:right w:w="0" w:type="dxa"/>
        </w:tblCellMar>
      </w:tblPr>
      <w:tblGrid>
        <w:gridCol w:w="3346"/>
        <w:gridCol w:w="195"/>
        <w:gridCol w:w="676"/>
        <w:gridCol w:w="242"/>
        <w:gridCol w:w="778"/>
        <w:gridCol w:w="109"/>
        <w:gridCol w:w="421"/>
        <w:gridCol w:w="109"/>
        <w:gridCol w:w="60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24710" cy="175260"/>
                      <wp:effectExtent l="0" t="0" r="0" b="0"/>
                      <wp:wrapNone/>
                      <wp:docPr id="332" name="Frame332"/>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3825" cy="175260"/>
                      <wp:effectExtent l="0" t="0" r="0" b="0"/>
                      <wp:wrapNone/>
                      <wp:docPr id="333" name="Frame333"/>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29260" cy="175260"/>
                      <wp:effectExtent l="0" t="0" r="0" b="0"/>
                      <wp:wrapNone/>
                      <wp:docPr id="334" name="Frame3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53670" cy="175260"/>
                      <wp:effectExtent l="0" t="0" r="0" b="0"/>
                      <wp:wrapNone/>
                      <wp:docPr id="335" name="Frame33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4030" cy="175260"/>
                      <wp:effectExtent l="0" t="0" r="0" b="0"/>
                      <wp:wrapNone/>
                      <wp:docPr id="336" name="Frame336"/>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7335" cy="175260"/>
                      <wp:effectExtent l="0" t="0" r="0" b="0"/>
                      <wp:wrapNone/>
                      <wp:docPr id="338" name="Frame3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81635" cy="175260"/>
                      <wp:effectExtent l="0" t="0" r="0" b="0"/>
                      <wp:wrapNone/>
                      <wp:docPr id="340" name="Frame3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both"/>
              <w:rPr/>
            </w:pPr>
            <w:r>
              <w:rPr/>
              <w:t>​</w:t>
            </w:r>
          </w:p>
        </w:tc>
        <w:tc>
          <w:tcPr>
            <w:tcW w:w="87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w:t>
            </w:r>
          </w:p>
        </w:tc>
        <w:tc>
          <w:tcPr>
            <w:tcW w:w="1020"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Service &amp;</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Same </w:t>
            </w:r>
          </w:p>
        </w:tc>
      </w:tr>
      <w:tr>
        <w:trPr/>
        <w:tc>
          <w:tcPr>
            <w:tcW w:w="3346" w:type="dxa"/>
            <w:tcBorders/>
            <w:vAlign w:val="center"/>
          </w:tcPr>
          <w:p>
            <w:pPr>
              <w:pStyle w:val="TableContents"/>
              <w:bidi w:val="0"/>
              <w:spacing w:before="0" w:after="0"/>
              <w:ind w:left="0" w:right="0" w:hanging="0"/>
              <w:jc w:val="both"/>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Dealerships</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 Centers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sz w:val="13"/>
              </w:rPr>
              <w:t>Store</w:t>
            </w:r>
            <w:r>
              <w:rPr>
                <w:rFonts w:ascii="Arial;Helvetica;sans-serif" w:hAnsi="Arial;Helvetica;sans-serif"/>
                <w:sz w:val="10"/>
              </w:rPr>
              <w:t>(1)</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June 30, 2025</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201</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178</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Opened</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Re-opened</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Closed </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w:t>
            </w:r>
          </w:p>
        </w:tc>
      </w:tr>
      <w:tr>
        <w:trPr/>
        <w:tc>
          <w:tcPr>
            <w:tcW w:w="334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 xml:space="preserve">Achieved designation of same store </w:t>
            </w:r>
            <w:r>
              <w:rPr>
                <w:rFonts w:ascii="Arial;Helvetica;sans-serif" w:hAnsi="Arial;Helvetica;sans-serif"/>
                <w:sz w:val="11"/>
              </w:rPr>
              <w:t>(1)</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June 30, 2026</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w:t>
            </w:r>
          </w:p>
        </w:tc>
        <w:tc>
          <w:tcPr>
            <w:tcW w:w="242" w:type="dxa"/>
            <w:tcBorders/>
            <w:vAlign w:val="center"/>
          </w:tcPr>
          <w:p>
            <w:pPr>
              <w:pStyle w:val="TableContents"/>
              <w:bidi w:val="0"/>
              <w:spacing w:before="0" w:after="0"/>
              <w:ind w:left="0" w:right="0" w:hanging="0"/>
              <w:jc w:val="both"/>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both"/>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186</w:t>
            </w:r>
          </w:p>
        </w:tc>
      </w:tr>
      <w:tr>
        <w:trPr/>
        <w:tc>
          <w:tcPr>
            <w:tcW w:w="3346" w:type="dxa"/>
            <w:tcBorders/>
            <w:vAlign w:val="center"/>
          </w:tcPr>
          <w:p>
            <w:pPr>
              <w:pStyle w:val="TableContents"/>
              <w:bidi w:val="0"/>
              <w:spacing w:before="0" w:after="0"/>
              <w:ind w:left="0" w:right="0" w:hanging="0"/>
              <w:jc w:val="both"/>
              <w:rPr/>
            </w:pPr>
            <w:r>
              <w:rPr/>
              <w:t>​</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Our same store revenue and units calculations for a given period include only those stores that were open both at the end of the corresponding period and at the beginning of the preceding fiscal year.</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Trends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According to the RV Industry Association’s (“RVIA”) survey of manufacturers, which almost entirely focuses on North America, the latest Summer 2026 edition of RV RoadSigns presented a 10.2% downward revision of their median forecast of 2026 wholesale shipments of new RVs from their previous Spring 2026 report. The 314,100 unit median of their revised forecast of 2026 wholesale shipments of new RVs was 8.2% lower than 2025 shipment levels.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RV wholesale shipments for the first six months of 2026 totaled 163,644 units, a decrease of 14.2% compared to the same period in the prior year per the June 2026 survey of manufacturers prepared by the RVIA. According to Statistical Surveys, Inc. (“SSI”) aggregation of North American RV retail transactions, new RV registrations in the U.S. declined by 16.4% to 113,631 registrations for the year-to-date period ended May 31, 2026 compared to the comparable period ended May 31, 2025. Used RV registrations increased 2.4% to 284,744 over the same period. Additionally, SSI reported a decrease of new RV registrations in the U.S. of 15.0% and 19.0% for April and May 2026, respectively, compared to the same periods of 2025.</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above decreases in projected RV wholesale shipments and new RV registrations have been largely impacted by economic conditions and the subsequent declines in consumer sentiment year to date, likely driven by geopolitical events in the Middle East, including the U.S. and Israeli military conflict with Iran (described below); high fuel prices; and the persistence of a high-interest-rate environment. For instance, the University of Michigan’s surveys of consumers reported decreases in the index of consumer sentiment of 6.4% and 18.5% as of June 2026 compared to December 2025 and June 2025, respectively.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U.S. and Israeli military conflict with Iran, which began on February 28, 2026, has resulted in an increase in the price of gasoline, which has negatively impacted demand for new RVs as discussed above. If high fuel prices continue for an extended period, it could apply downward pressure on average selling prices of RVs from additional reductions in consumer discretionary spending and/or further negatively impact consumer demand for RVs. Additionally, as a result of the conflict, the related increase in energy costs and other disruptions to the global supply chain could continue to increase inflation, which may delay future interest rate cuts or result in higher interest rates as the U.S. Federal Reserve attempts to counteract inflationary pressures. A higher cost of consumer credit could negatively impact demand for RVs and average selling price as interest expense becomes a higher proportion of the customer’s monthly payment.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are closely monitoring U.S. trade policy developments with countries from which we source product and equipment, such as China, Mexico, and Canada. There is uncertainty as to the extent and duration of additional tariffs that have been or may be imposed on imports from these countries, including additional tariffs enacted in April 2026 on steel and aluminum, which are core materials for RVs. We benefit from the U.S. assembly of new vehicles, which are not subject to tariffs on the assembled product unlike other similar industries that may have their products assembled in China, Mexico, or Canada. However, many of our U.S.-based suppliers source some of their components from these countries, which has resulted, and may continue to result, in higher procurement costs. For the year ended December 31, 2025, our costs applicable to revenue included directly sourced inventory from China, Mexico, and Canada of approximately $37.6 million, $10.5 million and $2.3 million, respectively. As of June 30, 2026, refunds received for tariffs that were previously imposed under the International Emergency Economic Powers Act have been less than $2.0 million and further refunds are not expected to be material.</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Financial Institutions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b/>
          <w:sz w:val="20"/>
        </w:rPr>
      </w:pPr>
      <w:bookmarkStart w:id="2014" w:name="_8836431b_fc2c_497d_9420_947e64e78c6c"/>
      <w:bookmarkEnd w:id="2014"/>
      <w:r>
        <w:rPr>
          <w:rFonts w:ascii="Arial;Helvetica;sans-serif" w:hAnsi="Arial;Helvetica;sans-serif"/>
          <w:b/>
          <w:sz w:val="20"/>
        </w:rPr>
        <w:t>Results of Operations</w:t>
      </w:r>
    </w:p>
    <w:p>
      <w:pPr>
        <w:pStyle w:val="TextBody"/>
        <w:bidi w:val="0"/>
        <w:spacing w:before="0" w:after="120"/>
        <w:ind w:left="0" w:right="0" w:hanging="0"/>
        <w:jc w:val="both"/>
        <w:rPr>
          <w:rFonts w:ascii="Arial;Helvetica;sans-serif" w:hAnsi="Arial;Helvetica;sans-serif"/>
          <w:b/>
          <w:i/>
          <w:sz w:val="20"/>
        </w:rPr>
      </w:pPr>
      <w:r>
        <w:rPr>
          <w:rFonts w:ascii="Arial;Helvetica;sans-serif" w:hAnsi="Arial;Helvetica;sans-serif"/>
          <w:b/>
          <w:i/>
          <w:sz w:val="20"/>
        </w:rPr>
        <w:t>Three Months Ended June 30, 2026 Compared to Three Months Ended June 30, 2025</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Unless otherwise indicated, all financial comparisons in this section of Results of Operations compare our financial results for the three months ended June 30, 2026 to our financial results from the three months ended June 30, 2025. The following table sets forth information comparing the components of net income for the three months ended June 30, 2026 and 2025:</w:t>
      </w:r>
    </w:p>
    <w:tbl>
      <w:tblPr>
        <w:tblW w:w="10205" w:type="dxa"/>
        <w:jc w:val="left"/>
        <w:tblInd w:w="0" w:type="dxa"/>
        <w:tblLayout w:type="fixed"/>
        <w:tblCellMar>
          <w:top w:w="0" w:type="dxa"/>
          <w:left w:w="0" w:type="dxa"/>
          <w:bottom w:w="0" w:type="dxa"/>
          <w:right w:w="0" w:type="dxa"/>
        </w:tblCellMar>
      </w:tblPr>
      <w:tblGrid>
        <w:gridCol w:w="3050"/>
        <w:gridCol w:w="346"/>
        <w:gridCol w:w="196"/>
        <w:gridCol w:w="826"/>
        <w:gridCol w:w="346"/>
        <w:gridCol w:w="766"/>
        <w:gridCol w:w="346"/>
        <w:gridCol w:w="196"/>
        <w:gridCol w:w="826"/>
        <w:gridCol w:w="346"/>
        <w:gridCol w:w="766"/>
        <w:gridCol w:w="346"/>
        <w:gridCol w:w="196"/>
        <w:gridCol w:w="683"/>
        <w:gridCol w:w="346"/>
        <w:gridCol w:w="624"/>
      </w:tblGrid>
      <w:tr>
        <w:trPr/>
        <w:tc>
          <w:tcPr>
            <w:tcW w:w="3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936750" cy="175260"/>
                      <wp:effectExtent l="0" t="0" r="0" b="0"/>
                      <wp:wrapNone/>
                      <wp:docPr id="341" name="Frame341"/>
                      <a:graphic xmlns:a="http://schemas.openxmlformats.org/drawingml/2006/main">
                        <a:graphicData uri="http://schemas.microsoft.com/office/word/2010/wordprocessingShape">
                          <wps:wsp>
                            <wps:cNvSpPr txBox="1"/>
                            <wps:spPr>
                              <a:xfrm>
                                <a:off x="0" y="0"/>
                                <a:ext cx="19367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4460" cy="175260"/>
                      <wp:effectExtent l="0" t="0" r="0" b="0"/>
                      <wp:wrapNone/>
                      <wp:docPr id="343" name="Frame3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24510" cy="175260"/>
                      <wp:effectExtent l="0" t="0" r="0" b="0"/>
                      <wp:wrapNone/>
                      <wp:docPr id="344" name="Frame3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86410" cy="175260"/>
                      <wp:effectExtent l="0" t="0" r="0" b="0"/>
                      <wp:wrapNone/>
                      <wp:docPr id="346" name="Frame3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48" name="Frame3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24510" cy="175260"/>
                      <wp:effectExtent l="0" t="0" r="0" b="0"/>
                      <wp:wrapNone/>
                      <wp:docPr id="349" name="Frame3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86410" cy="175260"/>
                      <wp:effectExtent l="0" t="0" r="0" b="0"/>
                      <wp:wrapNone/>
                      <wp:docPr id="351" name="Frame35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53"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3705" cy="175260"/>
                      <wp:effectExtent l="0" t="0" r="0" b="0"/>
                      <wp:wrapNone/>
                      <wp:docPr id="354" name="Frame35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96240" cy="175260"/>
                      <wp:effectExtent l="0" t="0" r="0" b="0"/>
                      <wp:wrapNone/>
                      <wp:docPr id="356" name="Frame356"/>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5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61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both"/>
              <w:rPr/>
            </w:pPr>
            <w:r>
              <w:rPr/>
              <w:t>​</w:t>
            </w:r>
          </w:p>
        </w:tc>
      </w:tr>
      <w:tr>
        <w:trPr/>
        <w:tc>
          <w:tcPr>
            <w:tcW w:w="305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2026</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2025</w:t>
            </w:r>
          </w:p>
        </w:tc>
        <w:tc>
          <w:tcPr>
            <w:tcW w:w="346" w:type="dxa"/>
            <w:tcBorders/>
            <w:vAlign w:val="center"/>
          </w:tcPr>
          <w:p>
            <w:pPr>
              <w:pStyle w:val="TableContents"/>
              <w:bidi w:val="0"/>
              <w:spacing w:before="0" w:after="0"/>
              <w:ind w:left="0" w:right="0" w:hanging="0"/>
              <w:jc w:val="both"/>
              <w:rPr/>
            </w:pPr>
            <w:r>
              <w:rPr/>
              <w:t>​</w:t>
            </w:r>
          </w:p>
        </w:tc>
        <w:tc>
          <w:tcPr>
            <w:tcW w:w="1849" w:type="dxa"/>
            <w:gridSpan w:val="4"/>
            <w:tcBorders/>
            <w:vAlign w:val="center"/>
          </w:tcPr>
          <w:p>
            <w:pPr>
              <w:pStyle w:val="TableContents"/>
              <w:bidi w:val="0"/>
              <w:spacing w:before="0" w:after="0"/>
              <w:ind w:left="0" w:right="0" w:hanging="0"/>
              <w:jc w:val="center"/>
              <w:rPr/>
            </w:pPr>
            <w:r>
              <w:rPr/>
              <w:t>​</w:t>
            </w:r>
          </w:p>
        </w:tc>
      </w:tr>
      <w:tr>
        <w:trPr/>
        <w:tc>
          <w:tcPr>
            <w:tcW w:w="305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 (Unfavorable)</w:t>
            </w:r>
          </w:p>
        </w:tc>
      </w:tr>
      <w:tr>
        <w:trPr/>
        <w:tc>
          <w:tcPr>
            <w:tcW w:w="3050"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346" w:type="dxa"/>
            <w:tcBorders/>
            <w:vAlign w:val="center"/>
          </w:tcPr>
          <w:p>
            <w:pPr>
              <w:pStyle w:val="TableContents"/>
              <w:bidi w:val="0"/>
              <w:spacing w:before="0" w:after="0"/>
              <w:ind w:left="0" w:right="0" w:hanging="0"/>
              <w:jc w:val="both"/>
              <w:rPr/>
            </w:pPr>
            <w:r>
              <w:rPr/>
              <w:t>  ​ ​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both"/>
              <w:rPr/>
            </w:pPr>
            <w:r>
              <w:rPr/>
              <w:t>​</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54,629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54,213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pPr>
            <w:r>
              <w:rPr/>
              <w:t>​</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869,047</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915,106</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(46,059)</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580,322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572,271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8,051</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217,563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222,890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(5,327)</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201,677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201,198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479</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10,801</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10,270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531</w:t>
            </w:r>
          </w:p>
        </w:tc>
        <w:tc>
          <w:tcPr>
            <w:tcW w:w="346" w:type="dxa"/>
            <w:tcBorders/>
            <w:vAlign w:val="center"/>
          </w:tcPr>
          <w:p>
            <w:pPr>
              <w:pStyle w:val="TableContents"/>
              <w:bidi w:val="0"/>
              <w:spacing w:before="0" w:after="0"/>
              <w:ind w:left="0" w:right="0" w:hanging="0"/>
              <w:jc w:val="both"/>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1,879,410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1,921,735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(42,325)</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1,934,039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1,975,948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(41,909)</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r>
      <w:tr>
        <w:trPr/>
        <w:tc>
          <w:tcPr>
            <w:tcW w:w="3050" w:type="dxa"/>
            <w:tcBorders/>
            <w:shd w:fill="CCEEFF" w:val="clear"/>
            <w:vAlign w:val="center"/>
          </w:tcPr>
          <w:p>
            <w:pPr>
              <w:pStyle w:val="TableContents"/>
              <w:bidi w:val="0"/>
              <w:spacing w:before="0" w:after="0"/>
              <w:ind w:left="0" w:right="0" w:hanging="0"/>
              <w:jc w:val="both"/>
              <w:rPr/>
            </w:pPr>
            <w:r>
              <w:rPr/>
              <w: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pPr>
            <w:r>
              <w:rPr/>
              <w:t>​</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profit (exclusive of depreciation and amortization shown separately below):</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pPr>
            <w:r>
              <w:rPr/>
              <w:t>​</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33,743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32,266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1,477</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pPr>
            <w:r>
              <w:rPr/>
              <w:t>​</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95,061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126,233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(31,172)</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95,641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117,032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(21,391)</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102,856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106,478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(3,622)</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201,677</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201,198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479</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9,400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9,048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352</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504,635</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559,989</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(55,354)</w:t>
            </w:r>
          </w:p>
        </w:tc>
        <w:tc>
          <w:tcPr>
            <w:tcW w:w="346" w:type="dxa"/>
            <w:tcBorders/>
            <w:vAlign w:val="center"/>
          </w:tcPr>
          <w:p>
            <w:pPr>
              <w:pStyle w:val="TableContents"/>
              <w:bidi w:val="0"/>
              <w:spacing w:before="0" w:after="0"/>
              <w:ind w:left="0" w:right="0" w:hanging="0"/>
              <w:jc w:val="both"/>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profit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538,378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592,255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(53,877)</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w:t>
            </w:r>
          </w:p>
        </w:tc>
      </w:tr>
      <w:tr>
        <w:trPr/>
        <w:tc>
          <w:tcPr>
            <w:tcW w:w="3050"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pPr>
            <w:r>
              <w:rPr/>
              <w:t>​</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pPr>
            <w:r>
              <w:rPr/>
              <w:t>​</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410,860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437,489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26,629</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23,419</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(1,215)</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on lease termination and/or remeasurement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(92.5%)</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(2,055)</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3,240</w:t>
            </w:r>
          </w:p>
        </w:tc>
        <w:tc>
          <w:tcPr>
            <w:tcW w:w="346" w:type="dxa"/>
            <w:tcBorders/>
            <w:vAlign w:val="center"/>
          </w:tcPr>
          <w:p>
            <w:pPr>
              <w:pStyle w:val="TableContents"/>
              <w:bidi w:val="0"/>
              <w:spacing w:before="0" w:after="0"/>
              <w:ind w:left="0" w:right="0" w:hanging="0"/>
              <w:jc w:val="both"/>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273.4%</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446,530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461,986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15,456</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91,848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130,269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(38,421)</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(29.5%)</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pPr>
            <w:r>
              <w:rPr/>
              <w:t>​</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(19,852)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(20,989)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1,137</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(26,912)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(30,836)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3,924</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346" w:type="dxa"/>
            <w:tcBorders/>
            <w:vAlign w:val="center"/>
          </w:tcPr>
          <w:p>
            <w:pPr>
              <w:pStyle w:val="TableContents"/>
              <w:bidi w:val="0"/>
              <w:spacing w:before="0" w:after="0"/>
              <w:ind w:left="0" w:right="0" w:hanging="0"/>
              <w:jc w:val="both"/>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(46,764)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(54,425)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7,661</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before income taxes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45,084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75,844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(30,760)</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(40.6%)</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(18,321)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16,950</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92.5%</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43,713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57,523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(13,810)</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(24.0%)</w:t>
            </w:r>
          </w:p>
        </w:tc>
      </w:tr>
      <w:tr>
        <w:trPr/>
        <w:tc>
          <w:tcPr>
            <w:tcW w:w="305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(16,853)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(27,307)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10,454</w:t>
            </w:r>
          </w:p>
        </w:tc>
        <w:tc>
          <w:tcPr>
            <w:tcW w:w="346" w:type="dxa"/>
            <w:tcBorders/>
            <w:shd w:fill="CCEEFF" w:val="clear"/>
            <w:vAlign w:val="center"/>
          </w:tcPr>
          <w:p>
            <w:pPr>
              <w:pStyle w:val="TableContents"/>
              <w:bidi w:val="0"/>
              <w:spacing w:before="0" w:after="0"/>
              <w:ind w:left="0" w:right="0" w:hanging="0"/>
              <w:jc w:val="both"/>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38.3%</w:t>
            </w:r>
          </w:p>
        </w:tc>
      </w:tr>
      <w:tr>
        <w:trPr/>
        <w:tc>
          <w:tcPr>
            <w:tcW w:w="305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26,860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30,216</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(3,356)</w:t>
            </w:r>
          </w:p>
        </w:tc>
        <w:tc>
          <w:tcPr>
            <w:tcW w:w="346" w:type="dxa"/>
            <w:tcBorders/>
            <w:vAlign w:val="center"/>
          </w:tcPr>
          <w:p>
            <w:pPr>
              <w:pStyle w:val="TableContents"/>
              <w:bidi w:val="0"/>
              <w:spacing w:before="0" w:after="0"/>
              <w:ind w:left="0" w:right="0" w:hanging="0"/>
              <w:jc w:val="both"/>
              <w:rPr/>
            </w:pPr>
            <w:r>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w:t>
            </w:r>
          </w:p>
        </w:tc>
      </w:tr>
      <w:tr>
        <w:trPr/>
        <w:tc>
          <w:tcPr>
            <w:tcW w:w="305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2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sz w:val="16"/>
        </w:rPr>
        <w:t>n/m- not meaningful</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16"/>
        </w:rPr>
      </w:pPr>
      <w:r>
        <w:rPr>
          <w:rFonts w:ascii="Arial;Helvetica;sans-serif" w:hAnsi="Arial;Helvetica;sans-serif"/>
          <w:b/>
          <w:sz w:val="16"/>
        </w:rPr>
        <w:t xml:space="preserve">Supplemental Data </w:t>
      </w:r>
    </w:p>
    <w:tbl>
      <w:tblPr>
        <w:tblW w:w="10205" w:type="dxa"/>
        <w:jc w:val="left"/>
        <w:tblInd w:w="0" w:type="dxa"/>
        <w:tblLayout w:type="fixed"/>
        <w:tblCellMar>
          <w:top w:w="0" w:type="dxa"/>
          <w:left w:w="0" w:type="dxa"/>
          <w:bottom w:w="0" w:type="dxa"/>
          <w:right w:w="0" w:type="dxa"/>
        </w:tblCellMar>
      </w:tblPr>
      <w:tblGrid>
        <w:gridCol w:w="4465"/>
        <w:gridCol w:w="346"/>
        <w:gridCol w:w="203"/>
        <w:gridCol w:w="861"/>
        <w:gridCol w:w="360"/>
        <w:gridCol w:w="203"/>
        <w:gridCol w:w="861"/>
        <w:gridCol w:w="346"/>
        <w:gridCol w:w="196"/>
        <w:gridCol w:w="803"/>
        <w:gridCol w:w="376"/>
        <w:gridCol w:w="346"/>
        <w:gridCol w:w="109"/>
        <w:gridCol w:w="730"/>
      </w:tblGrid>
      <w:tr>
        <w:trPr/>
        <w:tc>
          <w:tcPr>
            <w:tcW w:w="4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835275" cy="175260"/>
                      <wp:effectExtent l="0" t="0" r="0" b="0"/>
                      <wp:wrapNone/>
                      <wp:docPr id="357" name="Frame357"/>
                      <a:graphic xmlns:a="http://schemas.openxmlformats.org/drawingml/2006/main">
                        <a:graphicData uri="http://schemas.microsoft.com/office/word/2010/wordprocessingShape">
                          <wps:wsp>
                            <wps:cNvSpPr txBox="1"/>
                            <wps:spPr>
                              <a:xfrm>
                                <a:off x="0" y="0"/>
                                <a:ext cx="28352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8905" cy="175260"/>
                      <wp:effectExtent l="0" t="0" r="0" b="0"/>
                      <wp:wrapNone/>
                      <wp:docPr id="359" name="Frame35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46735" cy="175260"/>
                      <wp:effectExtent l="0" t="0" r="0" b="0"/>
                      <wp:wrapNone/>
                      <wp:docPr id="360" name="Frame360"/>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8600" cy="175260"/>
                      <wp:effectExtent l="0" t="0" r="0" b="0"/>
                      <wp:wrapNone/>
                      <wp:docPr id="361" name="Frame3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8905" cy="175260"/>
                      <wp:effectExtent l="0" t="0" r="0" b="0"/>
                      <wp:wrapNone/>
                      <wp:docPr id="362" name="Frame36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46735" cy="175260"/>
                      <wp:effectExtent l="0" t="0" r="0" b="0"/>
                      <wp:wrapNone/>
                      <wp:docPr id="363" name="Frame363"/>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9905" cy="175260"/>
                      <wp:effectExtent l="0" t="0" r="0" b="0"/>
                      <wp:wrapNone/>
                      <wp:docPr id="366" name="Frame366"/>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38760" cy="175260"/>
                      <wp:effectExtent l="0" t="0" r="0" b="0"/>
                      <wp:wrapNone/>
                      <wp:docPr id="367" name="Frame36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63550" cy="175260"/>
                      <wp:effectExtent l="0" t="0" r="0" b="0"/>
                      <wp:wrapNone/>
                      <wp:docPr id="370" name="Frame37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both"/>
              <w:rPr/>
            </w:pPr>
            <w:r>
              <w:rPr/>
              <w:t>​</w:t>
            </w:r>
          </w:p>
        </w:tc>
        <w:tc>
          <w:tcPr>
            <w:tcW w:w="99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3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w:t>
            </w:r>
          </w:p>
        </w:tc>
      </w:tr>
      <w:tr>
        <w:trPr/>
        <w:tc>
          <w:tcPr>
            <w:tcW w:w="446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60" w:type="dxa"/>
            <w:tcBorders/>
            <w:vAlign w:val="center"/>
          </w:tcPr>
          <w:p>
            <w:pPr>
              <w:pStyle w:val="TableContents"/>
              <w:bidi w:val="0"/>
              <w:spacing w:before="0" w:after="0"/>
              <w:ind w:left="0" w:right="0" w:hanging="0"/>
              <w:jc w:val="both"/>
              <w:rPr/>
            </w:pPr>
            <w:r>
              <w:rPr/>
              <w:t>  ​ ​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(decrease)</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Unit sales</w:t>
            </w:r>
          </w:p>
        </w:tc>
        <w:tc>
          <w:tcPr>
            <w:tcW w:w="346" w:type="dxa"/>
            <w:tcBorders/>
            <w:shd w:fill="CCEEFF" w:val="clear"/>
            <w:vAlign w:val="center"/>
          </w:tcPr>
          <w:p>
            <w:pPr>
              <w:pStyle w:val="TableContents"/>
              <w:bidi w:val="0"/>
              <w:spacing w:before="0" w:after="0"/>
              <w:ind w:left="0" w:right="0" w:hanging="0"/>
              <w:jc w:val="both"/>
              <w:rPr/>
            </w:pPr>
            <w:r>
              <w:rPr/>
              <w:t>  ​ ​ ​</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both"/>
              <w:rPr/>
            </w:pPr>
            <w:r>
              <w:rPr/>
              <w:t>​</w:t>
            </w:r>
          </w:p>
        </w:tc>
        <w:tc>
          <w:tcPr>
            <w:tcW w:w="360" w:type="dxa"/>
            <w:tcBorders/>
            <w:shd w:fill="CCEEFF" w:val="clear"/>
            <w:vAlign w:val="center"/>
          </w:tcPr>
          <w:p>
            <w:pPr>
              <w:pStyle w:val="TableContents"/>
              <w:bidi w:val="0"/>
              <w:spacing w:before="0" w:after="0"/>
              <w:ind w:left="0" w:right="0" w:hanging="0"/>
              <w:jc w:val="both"/>
              <w:rPr/>
            </w:pPr>
            <w:r>
              <w:rPr/>
              <w:t>  ​ ​ ​</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both"/>
              <w:rPr/>
            </w:pPr>
            <w:r>
              <w:rPr/>
              <w:t>​</w:t>
            </w:r>
          </w:p>
        </w:tc>
        <w:tc>
          <w:tcPr>
            <w:tcW w:w="37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both"/>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22,312</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26,696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19,882</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18,906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976</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5.2% </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42,194</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45,602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(3,408)</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r>
      <w:tr>
        <w:trPr/>
        <w:tc>
          <w:tcPr>
            <w:tcW w:w="446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selling price</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38,950</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34,279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13.6% </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29,188</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30,269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(1,081)</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r>
      <w:tr>
        <w:trPr/>
        <w:tc>
          <w:tcPr>
            <w:tcW w:w="446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unit sales</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20,983</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25,066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(4,083)</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18,897</w:t>
            </w:r>
          </w:p>
        </w:tc>
        <w:tc>
          <w:tcPr>
            <w:tcW w:w="360"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17,971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926</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5.2% </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39,880</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43,037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(3,157)</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w: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revenue</w:t>
            </w:r>
            <w:r>
              <w:rPr>
                <w:rFonts w:ascii="Arial;Helvetica;sans-serif" w:hAnsi="Arial;Helvetica;sans-serif"/>
                <w:sz w:val="12"/>
              </w:rPr>
              <w:t>(1)</w:t>
            </w:r>
            <w:r>
              <w:rPr>
                <w:rFonts w:ascii="Arial;Helvetica;sans-serif" w:hAnsi="Arial;Helvetica;sans-serif"/>
                <w:sz w:val="16"/>
              </w:rPr>
              <w:t xml:space="preserve">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816,742</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851,221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(34,479)</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551,709</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536,149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15,560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2.9% </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173,025</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175,821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(2,796)</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192,349</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190,716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1,633</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0.9% </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1,733,825</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1,753,907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(20,082)</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r>
      <w:tr>
        <w:trPr/>
        <w:tc>
          <w:tcPr>
            <w:tcW w:w="446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gross profit per unit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4,261</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4,729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(468)</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4,810</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6,190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(1,380)</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 per vehicle unit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4,780</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4,412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368</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8.3% </w:t>
            </w:r>
          </w:p>
        </w:tc>
      </w:tr>
      <w:tr>
        <w:trPr/>
        <w:tc>
          <w:tcPr>
            <w:tcW w:w="4465"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Total vehicle front-end yield</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9,299</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9,747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w:t>
            </w:r>
          </w:p>
        </w:tc>
      </w:tr>
      <w:tr>
        <w:trPr/>
        <w:tc>
          <w:tcPr>
            <w:tcW w:w="446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margin</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61.8%</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225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unch</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87.0%</w:t>
            </w:r>
          </w:p>
        </w:tc>
        <w:tc>
          <w:tcPr>
            <w:tcW w:w="360"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(229)</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margin</w:t>
            </w:r>
          </w:p>
        </w:tc>
        <w:tc>
          <w:tcPr>
            <w:tcW w:w="346" w:type="dxa"/>
            <w:tcBorders/>
            <w:vAlign w:val="center"/>
          </w:tcPr>
          <w:p>
            <w:pPr>
              <w:pStyle w:val="TableContents"/>
              <w:bidi w:val="0"/>
              <w:spacing w:before="0" w:after="0"/>
              <w:ind w:left="0" w:right="0" w:hanging="0"/>
              <w:jc w:val="both"/>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27.8%</w:t>
            </w:r>
          </w:p>
        </w:tc>
        <w:tc>
          <w:tcPr>
            <w:tcW w:w="360" w:type="dxa"/>
            <w:tcBorders/>
            <w:vAlign w:val="center"/>
          </w:tcPr>
          <w:p>
            <w:pPr>
              <w:pStyle w:val="TableContents"/>
              <w:bidi w:val="0"/>
              <w:spacing w:before="0" w:after="0"/>
              <w:ind w:left="0" w:right="0" w:hanging="0"/>
              <w:jc w:val="both"/>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Retail locations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dealerships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service &amp; retail centers</w:t>
            </w:r>
          </w:p>
        </w:tc>
        <w:tc>
          <w:tcPr>
            <w:tcW w:w="346"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60"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0.0% </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Total </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inventories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1,264,258</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1,330,965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(66,707)</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429,417</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536,665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(107,248)</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parts, accessories and misc.</w:t>
            </w:r>
          </w:p>
        </w:tc>
        <w:tc>
          <w:tcPr>
            <w:tcW w:w="346"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166,351</w:t>
            </w:r>
          </w:p>
        </w:tc>
        <w:tc>
          <w:tcPr>
            <w:tcW w:w="360" w:type="dxa"/>
            <w:tcBorders/>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193,232</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(26,881)</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RV and Outdoor Retail inventories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1,860,026</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2,060,862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(200,836)</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w: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Vehicle inventory per location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per dealer location</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6,353</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6,655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per dealer location</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2,158</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(525)</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w: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both"/>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both"/>
              <w:rPr/>
            </w:pPr>
            <w:r>
              <w:rPr/>
              <w:t>​</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both"/>
              <w:rPr/>
            </w:pPr>
            <w:r>
              <w:rPr/>
              <w:t>​</w:t>
            </w:r>
          </w:p>
        </w:tc>
      </w:tr>
      <w:tr>
        <w:trPr/>
        <w:tc>
          <w:tcPr>
            <w:tcW w:w="4465"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Vehicle inventory turnover</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turnover</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turnover</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r>
      <w:tr>
        <w:trPr/>
        <w:tc>
          <w:tcPr>
            <w:tcW w:w="446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pPr>
            <w:r>
              <w:rPr/>
              <w:t>​</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data</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pPr>
            <w:r>
              <w:rPr/>
              <w:t>​</w:t>
            </w:r>
          </w:p>
        </w:tc>
      </w:tr>
      <w:tr>
        <w:trPr/>
        <w:tc>
          <w:tcPr>
            <w:tcW w:w="4465"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Active Customers</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4,102,846</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4,221,642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(118,796)</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r>
      <w:tr>
        <w:trPr/>
        <w:tc>
          <w:tcPr>
            <w:tcW w:w="4465"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Good Sam Club members </w:t>
            </w:r>
            <w:r>
              <w:rPr>
                <w:rFonts w:ascii="Arial;Helvetica;sans-serif" w:hAnsi="Arial;Helvetica;sans-serif"/>
                <w:sz w:val="12"/>
              </w:rPr>
              <w:t>(5)</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1,472,554</w:t>
            </w:r>
          </w:p>
        </w:tc>
        <w:tc>
          <w:tcPr>
            <w:tcW w:w="360"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1,662,653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(190,099)</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w:t>
            </w:r>
          </w:p>
        </w:tc>
      </w:tr>
      <w:tr>
        <w:trPr/>
        <w:tc>
          <w:tcPr>
            <w:tcW w:w="4465"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Service bays </w:t>
            </w:r>
            <w:r>
              <w:rPr>
                <w:rFonts w:ascii="Arial;Helvetica;sans-serif" w:hAnsi="Arial;Helvetica;sans-serif"/>
                <w:sz w:val="12"/>
              </w:rPr>
              <w:t>(6)</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2,842</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1.2% </w:t>
            </w:r>
          </w:p>
        </w:tc>
      </w:tr>
      <w:tr>
        <w:trPr/>
        <w:tc>
          <w:tcPr>
            <w:tcW w:w="446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gross profit as a % of total vehicle revenue</w:t>
            </w:r>
          </w:p>
        </w:tc>
        <w:tc>
          <w:tcPr>
            <w:tcW w:w="346" w:type="dxa"/>
            <w:tcBorders/>
            <w:shd w:fill="CCEEFF" w:val="clear"/>
            <w:vAlign w:val="center"/>
          </w:tcPr>
          <w:p>
            <w:pPr>
              <w:pStyle w:val="TableContents"/>
              <w:bidi w:val="0"/>
              <w:spacing w:before="0" w:after="0"/>
              <w:ind w:left="0" w:right="0" w:hanging="0"/>
              <w:jc w:val="both"/>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w:t>
            </w:r>
          </w:p>
        </w:tc>
        <w:tc>
          <w:tcPr>
            <w:tcW w:w="360" w:type="dxa"/>
            <w:tcBorders/>
            <w:shd w:fill="CCEEFF" w:val="clear"/>
            <w:vAlign w:val="center"/>
          </w:tcPr>
          <w:p>
            <w:pPr>
              <w:pStyle w:val="TableContents"/>
              <w:bidi w:val="0"/>
              <w:spacing w:before="0" w:after="0"/>
              <w:ind w:left="0" w:right="0" w:hanging="0"/>
              <w:jc w:val="right"/>
              <w:rPr/>
            </w:pPr>
            <w:r>
              <w:rPr/>
              <w:t>​</w:t>
            </w:r>
          </w:p>
        </w:tc>
        <w:tc>
          <w:tcPr>
            <w:tcW w:w="203" w:type="dxa"/>
            <w:tcBorders/>
            <w:shd w:fill="CCEEFF" w:val="clear"/>
            <w:vAlign w:val="center"/>
          </w:tcPr>
          <w:p>
            <w:pPr>
              <w:pStyle w:val="TableContents"/>
              <w:bidi w:val="0"/>
              <w:spacing w:before="0" w:after="0"/>
              <w:ind w:left="0" w:right="0" w:hanging="0"/>
              <w:jc w:val="both"/>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39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446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Same store locations</w:t>
            </w:r>
          </w:p>
        </w:tc>
        <w:tc>
          <w:tcPr>
            <w:tcW w:w="34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w:t>
            </w:r>
          </w:p>
        </w:tc>
        <w:tc>
          <w:tcPr>
            <w:tcW w:w="360"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46" w:type="dxa"/>
            <w:tcBorders/>
            <w:vAlign w:val="center"/>
          </w:tcPr>
          <w:p>
            <w:pPr>
              <w:pStyle w:val="TableContents"/>
              <w:bidi w:val="0"/>
              <w:spacing w:before="0" w:after="0"/>
              <w:ind w:left="0" w:right="0" w:hanging="0"/>
              <w:jc w:val="both"/>
              <w:rPr>
                <w:color w:val="FF0000"/>
              </w:rPr>
            </w:pPr>
            <w:r>
              <w:rPr>
                <w:color w:val="FF0000"/>
              </w:rPr>
              <w:t>​</w:t>
            </w:r>
          </w:p>
        </w:tc>
        <w:tc>
          <w:tcPr>
            <w:tcW w:w="196" w:type="dxa"/>
            <w:tcBorders/>
            <w:vAlign w:val="center"/>
          </w:tcPr>
          <w:p>
            <w:pPr>
              <w:pStyle w:val="TableContents"/>
              <w:bidi w:val="0"/>
              <w:spacing w:before="0" w:after="0"/>
              <w:ind w:left="0" w:right="0" w:hanging="0"/>
              <w:jc w:val="both"/>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30"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n/a</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unch – unchanged</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bps – basis points</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n/a – not applicable</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same store revenue and units calculations for a given period include only those stores that were open both at the end of the corresponding period and at the beginning of the preceding fiscal year.</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Front end yield is calculated as gross profit from new vehicles, used vehicles and finance and insurance (net), divided by combined new and used vehicle unit sales.</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Inventory turnover is calculated as vehicle costs applicable to revenue over the last twelve months divided by the average quarterly ending vehicle inventory over the last twelve months.</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 Active Customer is a customer who has transacted with us in any of the eight most recently completed fiscal quarters prior to the date of measurement.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Excludes Good Sam Club members under the free basic plan, which was introduced in November 2023 and provides for limited participation in the loyalty point program without access to the remaining member benefits.</w:t>
            </w:r>
          </w:p>
        </w:tc>
      </w:tr>
    </w:tbl>
    <w:tbl>
      <w:tblPr>
        <w:tblW w:w="7547" w:type="dxa"/>
        <w:jc w:val="left"/>
        <w:tblInd w:w="0" w:type="dxa"/>
        <w:tblLayout w:type="fixed"/>
        <w:tblCellMar>
          <w:top w:w="0" w:type="dxa"/>
          <w:left w:w="0" w:type="dxa"/>
          <w:bottom w:w="0" w:type="dxa"/>
          <w:right w:w="0" w:type="dxa"/>
        </w:tblCellMar>
      </w:tblPr>
      <w:tblGrid>
        <w:gridCol w:w="271"/>
        <w:gridCol w:w="727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(6)</w:t>
            </w:r>
          </w:p>
        </w:tc>
        <w:tc>
          <w:tcPr>
            <w:tcW w:w="72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service bay is a fully-constructed bay dedicated to service, installation, and/or collision offerings.</w:t>
            </w:r>
          </w:p>
        </w:tc>
      </w:tr>
    </w:tbl>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Revenue and Gross Profit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Good Sam Services and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primarily from new publishing partnerships.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gross profit and gross margin increased primarily from reduced costs for roadside assistance and gross profit was also favorably impacted by the increase in publishing partnerships discussed above.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RV and Outdoor Retail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New vehicles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New vehicles revenue decreased primarily due to a 16.4% decrease in new vehicles unit sales partially offset by a 13.6% increase in the average selling price per new vehicle (discussed below). On a same store basis, new vehicles revenue decreased 4.1% to $816.7 million resulting from a 16.3% decrease in new vehicles units sold partially offset by a 14.6% increase in the average selling price per vehicle sold.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vehicles gross profit decreased primarily due to a 16.4% decrease in new vehicles unit sales and a 286 basis point decrease in new vehicles gross margin. The new vehicles gross margin decrease was primarily driven by a 17.4% increase in the average cost per new vehicle sold, partially offset by a 13.6% increase in the average selling price per new vehicle sold. The increases in average selling price and average cost of new vehicles were largely driven by a mix shift toward higher cost motorized vehicles and fifth wheels and away from lower cost travel trailers. See “Industry Trends” above for a discussion of the impact of economic conditions and consumer sentiment on the demand for new vehicles.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Used vehicles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revenue increased primarily due to a 5.2% increase in used vehicles unit sales, partially offset by a 3.6% decrease in the average selling price per used vehicle sold, mainly from the mix shift away from higher priced motorized units toward lower-priced towables. On a same store basis, used vehicles revenue increased 2.9% to $551.7 million resulting from an increase in used vehicles unit sales of 5.2%, partially offset by a 2.1% decrease in average sales price per used vehicle sold.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Used vehicles gross profit and gross margin decreased primarily due to a 3.6% decrease in the average selling price per used vehicle sold and a 1.2% increase in the average cost per used vehicle sold. This impact to used vehicle gross profit was partially offset by the 5.2% increase in used vehicle unit sales.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Products, service and other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revenue decreased primarily due to reduced service, collision, and warranty work. On a same store basis, products, service and other revenue decreased 1.6% to $173.0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gross profit decreased primarily due to the lower revenue discussed above. Products, service and other gross margin decreased 50 basis points to 47.3%, driven by a lower mix of higher margin service and collision revenue and increased labor rates.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Finance and insurance,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increase was driven by a 5.3% increase in total vehicle average selling price, as certain finance and insurance, net offerings correlate with the selling price of vehicles, partially offset by fewer contracts sold on new vehicles, resulting from a 16.4% decrease in new vehicle unit sales. Finance and insurance, net revenue as a percentage of new and used vehicle revenue was 13.9%, a 39 basis point increase from the prior year. On a same store basis, finance and insurance, net revenue increased 0.9%.</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Good Sam Club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Club revenue and gross profit increased mainly due to memberships provided with vehicle sales shifting from three-year, lower-tier memberships to one-year, elite-tier memberships. This aligns with the current marketing strategy and increased annual pricing due to enhanced benefits, including loyalty points. These gains were partially offset by an 11.4% decline in paid members (excluding free basic plan members), as higher prices contributed to lower renewal rates.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Operating Expenses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Selling, 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Selling, general, and administrative expenses decreased primarily due to a $28.2 million decrease in employee cash compensation costs excluding commissions, resulting primarily from a headcount reduction during the second half of 2025; a $4.9 million decrease in commissions costs; and a $4.1 million decrease in stock-based compensation expense (“SBC”), partially offset by a $4.5 million increase in outside service provider fees related primarily to software expenses and related maintenance expenses, a $2.2 million increase in advertising expenses, and a $1.9 million increase in rent expense.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Long-lived asset impairment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discussed in Note 5 – Long-Lived Asset Impairment to our condensed consolidated financial statements included in Part I, Item 1 of this Form 10-Q, we recognized $13.1 million of long-lived asset impairment charges for the three months ended June 30, 2026 relating to decreases in market rental rates or market value of real property for closed locations, or based on the Company’s review of location performance in the normal course of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interest expense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decrease in floor plan interest expense was primarily due to a 48 basis point decrease in the average floor plan borrowing rate, partially offset by a 2.1% increase in the average floor plan balance.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average interest rate for the Floor Plan Facility for the three months ended June 30, 2026 and 2025 was 5.98% and 6.46%,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interest expense,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Other interest expense, net decreased primarily due to reduced interest rates and reduced borrowings on our Term Loan Facility and our Real Estate Facilities. The average interest rate for the Term Loan Facility for the three months ended June 30, 2026 and 2025 was 6.28% and 6.88%, respectively. The average interest rate on the M&amp;T Real Estate Facility (as defined in Note 8 – Long-Term Debt to our condensed consolidated financial statements included in Part I, Item 1 of this Form 10-Q) for three months ended June 30, 2026 and 2025 was 6.49% and 6.67%,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Income tax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decrease in income tax expense was primarily due to the exclusion of pre-tax book income attributed to the public holding company, CWH, as CWH continues to be a loss jurisdiction with a full valuation allowance that is excluded from the quarterly income tax expense. See Note 14 ― Income Taxes to our condensed consolidated financial statements included in Part I, Item 1 of this Form 10-Q for further details.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Segment Results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information comparing select components of Segment Adjusted EBITDA for each of our segments for the periods presented:</w:t>
      </w:r>
    </w:p>
    <w:tbl>
      <w:tblPr>
        <w:tblW w:w="10205" w:type="dxa"/>
        <w:jc w:val="left"/>
        <w:tblInd w:w="0" w:type="dxa"/>
        <w:tblLayout w:type="fixed"/>
        <w:tblCellMar>
          <w:top w:w="0" w:type="dxa"/>
          <w:left w:w="0" w:type="dxa"/>
          <w:bottom w:w="0" w:type="dxa"/>
          <w:right w:w="0" w:type="dxa"/>
        </w:tblCellMar>
      </w:tblPr>
      <w:tblGrid>
        <w:gridCol w:w="3107"/>
        <w:gridCol w:w="346"/>
        <w:gridCol w:w="196"/>
        <w:gridCol w:w="826"/>
        <w:gridCol w:w="346"/>
        <w:gridCol w:w="685"/>
        <w:gridCol w:w="346"/>
        <w:gridCol w:w="196"/>
        <w:gridCol w:w="826"/>
        <w:gridCol w:w="346"/>
        <w:gridCol w:w="685"/>
        <w:gridCol w:w="346"/>
        <w:gridCol w:w="196"/>
        <w:gridCol w:w="710"/>
        <w:gridCol w:w="346"/>
        <w:gridCol w:w="702"/>
      </w:tblGrid>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72" name="Frame3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24510" cy="175260"/>
                      <wp:effectExtent l="0" t="0" r="0" b="0"/>
                      <wp:wrapNone/>
                      <wp:docPr id="373" name="Frame37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4975" cy="175260"/>
                      <wp:effectExtent l="0" t="0" r="0" b="0"/>
                      <wp:wrapNone/>
                      <wp:docPr id="375" name="Frame375"/>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4460" cy="175260"/>
                      <wp:effectExtent l="0" t="0" r="0" b="0"/>
                      <wp:wrapNone/>
                      <wp:docPr id="377" name="Frame3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24510" cy="175260"/>
                      <wp:effectExtent l="0" t="0" r="0" b="0"/>
                      <wp:wrapNone/>
                      <wp:docPr id="378" name="Frame3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4975" cy="175260"/>
                      <wp:effectExtent l="0" t="0" r="0" b="0"/>
                      <wp:wrapNone/>
                      <wp:docPr id="380" name="Frame380"/>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24460" cy="175260"/>
                      <wp:effectExtent l="0" t="0" r="0" b="0"/>
                      <wp:wrapNone/>
                      <wp:docPr id="382" name="Frame3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50850" cy="175260"/>
                      <wp:effectExtent l="0" t="0" r="0" b="0"/>
                      <wp:wrapNone/>
                      <wp:docPr id="383" name="Frame38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45770" cy="175260"/>
                      <wp:effectExtent l="0" t="0" r="0" b="0"/>
                      <wp:wrapNone/>
                      <wp:docPr id="385" name="Frame38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1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445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Three Months Ended June 30,</w:t>
            </w:r>
          </w:p>
        </w:tc>
        <w:tc>
          <w:tcPr>
            <w:tcW w:w="346" w:type="dxa"/>
            <w:tcBorders/>
            <w:vAlign w:val="center"/>
          </w:tcPr>
          <w:p>
            <w:pPr>
              <w:pStyle w:val="TableContents"/>
              <w:bidi w:val="0"/>
              <w:spacing w:before="0" w:after="0"/>
              <w:ind w:left="0" w:right="0" w:hanging="0"/>
              <w:jc w:val="both"/>
              <w:rPr/>
            </w:pPr>
            <w:r>
              <w:rPr/>
              <w:t>​</w:t>
            </w:r>
          </w:p>
        </w:tc>
        <w:tc>
          <w:tcPr>
            <w:tcW w:w="1954" w:type="dxa"/>
            <w:gridSpan w:val="4"/>
            <w:tcBorders/>
            <w:vAlign w:val="center"/>
          </w:tcPr>
          <w:p>
            <w:pPr>
              <w:pStyle w:val="TableContents"/>
              <w:bidi w:val="0"/>
              <w:spacing w:before="0" w:after="0"/>
              <w:ind w:left="0" w:right="0" w:hanging="0"/>
              <w:jc w:val="center"/>
              <w:rPr/>
            </w:pPr>
            <w:r>
              <w:rPr/>
              <w:t>​</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2026</w:t>
            </w:r>
          </w:p>
        </w:tc>
        <w:tc>
          <w:tcPr>
            <w:tcW w:w="34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2025</w:t>
            </w:r>
          </w:p>
        </w:tc>
        <w:tc>
          <w:tcPr>
            <w:tcW w:w="346" w:type="dxa"/>
            <w:tcBorders/>
            <w:vAlign w:val="center"/>
          </w:tcPr>
          <w:p>
            <w:pPr>
              <w:pStyle w:val="TableContents"/>
              <w:bidi w:val="0"/>
              <w:spacing w:before="0" w:after="0"/>
              <w:ind w:left="0" w:right="0" w:hanging="0"/>
              <w:jc w:val="both"/>
              <w:rPr/>
            </w:pPr>
            <w:r>
              <w:rPr/>
              <w:t>​</w:t>
            </w:r>
          </w:p>
        </w:tc>
        <w:tc>
          <w:tcPr>
            <w:tcW w:w="1954" w:type="dxa"/>
            <w:gridSpan w:val="4"/>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Favorable / </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9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(Unfavorable)</w:t>
            </w:r>
          </w:p>
        </w:tc>
      </w:tr>
      <w:tr>
        <w:trPr/>
        <w:tc>
          <w:tcPr>
            <w:tcW w:w="3107"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before="0" w:after="0"/>
              <w:ind w:left="0" w:right="0" w:hanging="0"/>
              <w:jc w:val="both"/>
              <w:rPr/>
            </w:pPr>
            <w:r>
              <w:rP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before="0" w:after="0"/>
              <w:ind w:left="0" w:right="0" w:hanging="0"/>
              <w:jc w:val="both"/>
              <w:rPr/>
            </w:pPr>
            <w:r>
              <w:rP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Revenue</w:t>
            </w:r>
          </w:p>
        </w:tc>
        <w:tc>
          <w:tcPr>
            <w:tcW w:w="346" w:type="dxa"/>
            <w:tcBorders/>
            <w:vAlign w:val="center"/>
          </w:tcPr>
          <w:p>
            <w:pPr>
              <w:pStyle w:val="TableContents"/>
              <w:bidi w:val="0"/>
              <w:spacing w:before="0" w:after="0"/>
              <w:ind w:left="0" w:right="0" w:hanging="0"/>
              <w:jc w:val="both"/>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both"/>
              <w:rPr/>
            </w:pPr>
            <w:r>
              <w:rPr/>
              <w:t>  ​ ​ ​</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both"/>
              <w:rPr/>
            </w:pPr>
            <w:r>
              <w:rPr/>
              <w:t>​</w:t>
            </w:r>
          </w:p>
        </w:tc>
      </w:tr>
      <w:tr>
        <w:trPr/>
        <w:tc>
          <w:tcPr>
            <w:tcW w:w="310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54,629</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54,213</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0.8% </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revenue</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tc>
        <w:tc>
          <w:tcPr>
            <w:tcW w:w="346" w:type="dxa"/>
            <w:tcBorders/>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44.3% </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54,756</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54,301</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455</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0.8% </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both"/>
              <w:rPr/>
            </w:pPr>
            <w:r>
              <w:rPr/>
              <w:t>​</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Adjusted costs applicable to revenue</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20,839</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38.1%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21,936</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40.4%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1,097</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5.0% </w:t>
            </w:r>
          </w:p>
        </w:tc>
      </w:tr>
      <w:tr>
        <w:trPr/>
        <w:tc>
          <w:tcPr>
            <w:tcW w:w="3107"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costs applicable to revenue</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Adjusted selling, general, and administrative</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8,952</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16.3%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7,167</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13.2%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(1,785)</w:t>
            </w:r>
          </w:p>
        </w:tc>
        <w:tc>
          <w:tcPr>
            <w:tcW w:w="346" w:type="dxa"/>
            <w:tcBorders/>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24,909</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45.5%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25,158</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46.3%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both"/>
              <w:rPr/>
            </w:pPr>
            <w:r>
              <w:rPr/>
              <w:t>​</w:t>
            </w:r>
          </w:p>
        </w:tc>
      </w:tr>
      <w:tr>
        <w:trPr/>
        <w:tc>
          <w:tcPr>
            <w:tcW w:w="310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1,879,410</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99.9%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1,921,735</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(42,325)</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revenue</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1,538</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4,256</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(2,718)</w:t>
            </w:r>
          </w:p>
        </w:tc>
        <w:tc>
          <w:tcPr>
            <w:tcW w:w="346" w:type="dxa"/>
            <w:tcBorders/>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(63.9%)</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1,880,948</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1,925,991</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(45,043)</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both"/>
              <w:rPr/>
            </w:pPr>
            <w:r>
              <w:rPr/>
              <w:t>​</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Adjusted costs applicable to revenue</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1,374,692</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73.1%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1,361,657</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70.7%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(13,035)</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3107"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costs applicable to revenue</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2,694</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3,792</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1,098</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29.0% </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Adjusted selling, general, and administrative</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394,013</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20.9%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417,513</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21.7%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23,500</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5.6% </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19,852</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20,989</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1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1,137</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5.4% </w:t>
            </w:r>
          </w:p>
        </w:tc>
      </w:tr>
      <w:tr>
        <w:trPr/>
        <w:tc>
          <w:tcPr>
            <w:tcW w:w="3107"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Other segment items</w:t>
            </w:r>
            <w:r>
              <w:rPr>
                <w:rFonts w:ascii="Arial;Helvetica;sans-serif" w:hAnsi="Arial;Helvetica;sans-serif"/>
                <w:sz w:val="12"/>
              </w:rPr>
              <w:t>(5)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vAlign w:val="center"/>
          </w:tcPr>
          <w:p>
            <w:pPr>
              <w:pStyle w:val="TableContents"/>
              <w:bidi w:val="0"/>
              <w:spacing w:before="0" w:after="0"/>
              <w:ind w:left="0" w:right="0" w:hanging="0"/>
              <w:jc w:val="both"/>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0.0%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w:t>
            </w:r>
          </w:p>
        </w:tc>
        <w:tc>
          <w:tcPr>
            <w:tcW w:w="346" w:type="dxa"/>
            <w:tcBorders/>
            <w:vAlign w:val="center"/>
          </w:tcPr>
          <w:p>
            <w:pPr>
              <w:pStyle w:val="TableContents"/>
              <w:bidi w:val="0"/>
              <w:spacing w:before="0" w:after="0"/>
              <w:ind w:left="0" w:right="0" w:hanging="0"/>
              <w:jc w:val="both"/>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n/a </w:t>
            </w:r>
          </w:p>
        </w:tc>
      </w:tr>
      <w:tr>
        <w:trPr/>
        <w:tc>
          <w:tcPr>
            <w:tcW w:w="310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89,835</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122,020</w:t>
            </w:r>
          </w:p>
        </w:tc>
        <w:tc>
          <w:tcPr>
            <w:tcW w:w="346" w:type="dxa"/>
            <w:tcBorders/>
            <w:shd w:fill="CCEEFF" w:val="clear"/>
            <w:vAlign w:val="center"/>
          </w:tcPr>
          <w:p>
            <w:pPr>
              <w:pStyle w:val="TableContents"/>
              <w:bidi w:val="0"/>
              <w:spacing w:before="0" w:after="0"/>
              <w:ind w:left="0" w:right="0" w:hanging="0"/>
              <w:jc w:val="both"/>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6.3%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(32,185)</w:t>
            </w:r>
          </w:p>
        </w:tc>
        <w:tc>
          <w:tcPr>
            <w:tcW w:w="346" w:type="dxa"/>
            <w:tcBorders/>
            <w:shd w:fill="CCEEFF" w:val="clear"/>
            <w:vAlign w:val="center"/>
          </w:tcPr>
          <w:p>
            <w:pPr>
              <w:pStyle w:val="TableContents"/>
              <w:bidi w:val="0"/>
              <w:spacing w:before="0" w:after="0"/>
              <w:ind w:left="0" w:right="0" w:hanging="0"/>
              <w:jc w:val="both"/>
              <w:rPr/>
            </w:pPr>
            <w:r>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(26.4%)</w:t>
            </w:r>
          </w:p>
        </w:tc>
      </w:tr>
      <w:tr>
        <w:trPr/>
        <w:tc>
          <w:tcPr>
            <w:tcW w:w="310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right"/>
        <w:rPr/>
      </w:pPr>
      <w:r>
        <w:rPr/>
        <w:t>​</w:t>
      </w:r>
    </w:p>
    <w:tbl>
      <w:tblPr>
        <w:tblW w:w="8732" w:type="dxa"/>
        <w:jc w:val="left"/>
        <w:tblInd w:w="0" w:type="dxa"/>
        <w:tblLayout w:type="fixed"/>
        <w:tblCellMar>
          <w:top w:w="0" w:type="dxa"/>
          <w:left w:w="0" w:type="dxa"/>
          <w:bottom w:w="0" w:type="dxa"/>
          <w:right w:w="0" w:type="dxa"/>
        </w:tblCellMar>
      </w:tblPr>
      <w:tblGrid>
        <w:gridCol w:w="271"/>
        <w:gridCol w:w="846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84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revenue consists of segment revenue that is eliminated in our consolidated statements of operations.</w:t>
            </w:r>
          </w:p>
        </w:tc>
      </w:tr>
    </w:tbl>
    <w:tbl>
      <w:tblPr>
        <w:tblW w:w="8237" w:type="dxa"/>
        <w:jc w:val="left"/>
        <w:tblInd w:w="0" w:type="dxa"/>
        <w:tblLayout w:type="fixed"/>
        <w:tblCellMar>
          <w:top w:w="0" w:type="dxa"/>
          <w:left w:w="0" w:type="dxa"/>
          <w:bottom w:w="0" w:type="dxa"/>
          <w:right w:w="0" w:type="dxa"/>
        </w:tblCellMar>
      </w:tblPr>
      <w:tblGrid>
        <w:gridCol w:w="271"/>
        <w:gridCol w:w="796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79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costs applicable to revenue excludes SBC expense and intersegment costs applicable to revenue.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costs applicable to revenue consist of segment costs applicable to revenue that are eliminated in our consolidated statements of operations.</w:t>
            </w:r>
          </w:p>
        </w:tc>
      </w:tr>
    </w:tbl>
    <w:tbl>
      <w:tblPr>
        <w:tblW w:w="8852" w:type="dxa"/>
        <w:jc w:val="left"/>
        <w:tblInd w:w="0" w:type="dxa"/>
        <w:tblLayout w:type="fixed"/>
        <w:tblCellMar>
          <w:top w:w="0" w:type="dxa"/>
          <w:left w:w="0" w:type="dxa"/>
          <w:bottom w:w="0" w:type="dxa"/>
          <w:right w:w="0" w:type="dxa"/>
        </w:tblCellMar>
      </w:tblPr>
      <w:tblGrid>
        <w:gridCol w:w="271"/>
        <w:gridCol w:w="858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85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selling, general, and administrative expenses exclude SBC expense and intersegment operating expenses.</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(i) intersegment operating expenses, which are eliminated in our consolidated statements of operations, and (ii) other expense, net excluding loss and/or impairment on investments in equity securities.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 xml:space="preserve">Good Sam Services and Plans Segment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the “Revenue and Gross Profit” section above for a discussion of impacts to revenue for Good Sam Services and Plans. Adjusted costs applicable to segment revenues reflected reduced costs for the roadside assistance programs, partially offset by increased production costs relating to increased publishing partner revenue. The adjusted selling, general, and administrative expenses increased primarily from higher advertising and legal fees. The Good Sam Services and Plans Segment Adjusted EBITDA slight decrease was driven primarily by additional adjusted selling, general, and administrative expenses, partially offset by the increase in external revenue discussed above and the decrease in adjusted costs applicable to revenue. Intersegment revenue and intersegment costs applicable to revenue did not have a significant impact on the decrease in Segment Adjusted EBITDA.</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RV and Outdoor Retail Segment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primarily from the higher average cost per total vehicle of 9.3%, partially offset by the 7.5% lower total unit sales, as discussed above. Adjusted selling, general, and administrative expense decreased primarily due to $27.0 million of reduced employee cash compensation expense excluding commissions, and $4.9 million of reduced commissions, partially offset by $4.2 million of increased outside service provider fees related primarily to software expenses and related maintenance expenses, $1.9 million of increased rent expense, and $1.7 million of increased advertising expenses. The RV and Outdoor Retail Segment Adjusted EBITDA decreased from the decreases in revenue, and increased adjusted costs applicable to segment revenue discussed above, partially offset by reduced adjusted selling, general, and administrative expense and reduced floor plan interest expense. Intersegment revenue and intersegment costs applicable to revenue did not have a significant impact on the decrease in Segment Adjusted EBITDA.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b/>
          <w:sz w:val="20"/>
        </w:rPr>
      </w:pPr>
      <w:bookmarkStart w:id="2015" w:name="_4762504b_168d_4274_ab80_9ad8183c39d3"/>
      <w:bookmarkEnd w:id="2015"/>
      <w:r>
        <w:rPr>
          <w:rFonts w:ascii="Arial;Helvetica;sans-serif" w:hAnsi="Arial;Helvetica;sans-serif"/>
          <w:b/>
          <w:sz w:val="20"/>
        </w:rPr>
        <w:t xml:space="preserve">Results of Operations </w:t>
      </w:r>
    </w:p>
    <w:p>
      <w:pPr>
        <w:pStyle w:val="TextBody"/>
        <w:bidi w:val="0"/>
        <w:spacing w:before="0" w:after="120"/>
        <w:ind w:left="0" w:right="0" w:hanging="0"/>
        <w:jc w:val="both"/>
        <w:rPr>
          <w:rFonts w:ascii="Arial;Helvetica;sans-serif" w:hAnsi="Arial;Helvetica;sans-serif"/>
          <w:b/>
          <w:i/>
          <w:sz w:val="20"/>
        </w:rPr>
      </w:pPr>
      <w:r>
        <w:rPr>
          <w:rFonts w:ascii="Arial;Helvetica;sans-serif" w:hAnsi="Arial;Helvetica;sans-serif"/>
          <w:b/>
          <w:i/>
          <w:sz w:val="20"/>
        </w:rPr>
        <w:t>Six Months Ended June 30, 2026 Compared to Six Months Ended June 30, 2025</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Unless otherwise indicated, all financial comparisons in this section of Results of Operations compare our financial results for the six months ended June 30, 2026 to our financial results from the six months ended June 30, 2025. The following table sets forth information comparing the components of net income for the six months ended June 30, 2026 and 2025:</w:t>
      </w:r>
    </w:p>
    <w:tbl>
      <w:tblPr>
        <w:tblW w:w="10205" w:type="dxa"/>
        <w:jc w:val="left"/>
        <w:tblInd w:w="0" w:type="dxa"/>
        <w:tblLayout w:type="fixed"/>
        <w:tblCellMar>
          <w:top w:w="0" w:type="dxa"/>
          <w:left w:w="0" w:type="dxa"/>
          <w:bottom w:w="0" w:type="dxa"/>
          <w:right w:w="0" w:type="dxa"/>
        </w:tblCellMar>
      </w:tblPr>
      <w:tblGrid>
        <w:gridCol w:w="2898"/>
        <w:gridCol w:w="346"/>
        <w:gridCol w:w="196"/>
        <w:gridCol w:w="826"/>
        <w:gridCol w:w="346"/>
        <w:gridCol w:w="766"/>
        <w:gridCol w:w="346"/>
        <w:gridCol w:w="196"/>
        <w:gridCol w:w="826"/>
        <w:gridCol w:w="346"/>
        <w:gridCol w:w="766"/>
        <w:gridCol w:w="346"/>
        <w:gridCol w:w="196"/>
        <w:gridCol w:w="771"/>
        <w:gridCol w:w="346"/>
        <w:gridCol w:w="688"/>
      </w:tblGrid>
      <w:tr>
        <w:trPr/>
        <w:tc>
          <w:tcPr>
            <w:tcW w:w="2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840230" cy="175260"/>
                      <wp:effectExtent l="0" t="0" r="0" b="0"/>
                      <wp:wrapNone/>
                      <wp:docPr id="386" name="Frame386"/>
                      <a:graphic xmlns:a="http://schemas.openxmlformats.org/drawingml/2006/main">
                        <a:graphicData uri="http://schemas.microsoft.com/office/word/2010/wordprocessingShape">
                          <wps:wsp>
                            <wps:cNvSpPr txBox="1"/>
                            <wps:spPr>
                              <a:xfrm>
                                <a:off x="0" y="0"/>
                                <a:ext cx="18402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4460" cy="175260"/>
                      <wp:effectExtent l="0" t="0" r="0" b="0"/>
                      <wp:wrapNone/>
                      <wp:docPr id="388" name="Frame3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24510" cy="175260"/>
                      <wp:effectExtent l="0" t="0" r="0" b="0"/>
                      <wp:wrapNone/>
                      <wp:docPr id="389" name="Frame3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86410" cy="175260"/>
                      <wp:effectExtent l="0" t="0" r="0" b="0"/>
                      <wp:wrapNone/>
                      <wp:docPr id="391" name="Frame3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4460" cy="175260"/>
                      <wp:effectExtent l="0" t="0" r="0" b="0"/>
                      <wp:wrapNone/>
                      <wp:docPr id="393" name="Frame3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24510" cy="175260"/>
                      <wp:effectExtent l="0" t="0" r="0" b="0"/>
                      <wp:wrapNone/>
                      <wp:docPr id="394" name="Frame39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86410" cy="175260"/>
                      <wp:effectExtent l="0" t="0" r="0" b="0"/>
                      <wp:wrapNone/>
                      <wp:docPr id="396" name="Frame3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24460" cy="175260"/>
                      <wp:effectExtent l="0" t="0" r="0" b="0"/>
                      <wp:wrapNone/>
                      <wp:docPr id="398" name="Frame3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89585" cy="175260"/>
                      <wp:effectExtent l="0" t="0" r="0" b="0"/>
                      <wp:wrapNone/>
                      <wp:docPr id="399" name="Frame39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36880" cy="175260"/>
                      <wp:effectExtent l="0" t="0" r="0" b="0"/>
                      <wp:wrapNone/>
                      <wp:docPr id="401" name="Frame40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9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61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Six Months Ended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both"/>
              <w:rPr/>
            </w:pPr>
            <w:r>
              <w:rPr/>
              <w:t>​</w:t>
            </w:r>
          </w:p>
        </w:tc>
      </w:tr>
      <w:tr>
        <w:trPr/>
        <w:tc>
          <w:tcPr>
            <w:tcW w:w="289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2026</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June 30, 2025</w:t>
            </w:r>
          </w:p>
        </w:tc>
        <w:tc>
          <w:tcPr>
            <w:tcW w:w="346" w:type="dxa"/>
            <w:tcBorders/>
            <w:vAlign w:val="center"/>
          </w:tcPr>
          <w:p>
            <w:pPr>
              <w:pStyle w:val="TableContents"/>
              <w:bidi w:val="0"/>
              <w:spacing w:before="0" w:after="0"/>
              <w:ind w:left="0" w:right="0" w:hanging="0"/>
              <w:jc w:val="both"/>
              <w:rPr/>
            </w:pPr>
            <w:r>
              <w:rPr/>
              <w:t>​</w:t>
            </w:r>
          </w:p>
        </w:tc>
        <w:tc>
          <w:tcPr>
            <w:tcW w:w="2001" w:type="dxa"/>
            <w:gridSpan w:val="4"/>
            <w:tcBorders/>
            <w:vAlign w:val="center"/>
          </w:tcPr>
          <w:p>
            <w:pPr>
              <w:pStyle w:val="TableContents"/>
              <w:bidi w:val="0"/>
              <w:spacing w:before="0" w:after="0"/>
              <w:ind w:left="0" w:right="0" w:hanging="0"/>
              <w:jc w:val="center"/>
              <w:rPr/>
            </w:pPr>
            <w:r>
              <w:rPr/>
              <w:t>​</w:t>
            </w:r>
          </w:p>
        </w:tc>
      </w:tr>
      <w:tr>
        <w:trPr/>
        <w:tc>
          <w:tcPr>
            <w:tcW w:w="289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200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 (Unfavorable)</w:t>
            </w:r>
          </w:p>
        </w:tc>
      </w:tr>
      <w:tr>
        <w:trPr/>
        <w:tc>
          <w:tcPr>
            <w:tcW w:w="289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346" w:type="dxa"/>
            <w:tcBorders/>
            <w:vAlign w:val="center"/>
          </w:tcPr>
          <w:p>
            <w:pPr>
              <w:pStyle w:val="TableContents"/>
              <w:bidi w:val="0"/>
              <w:spacing w:before="0" w:after="0"/>
              <w:ind w:left="0" w:right="0" w:hanging="0"/>
              <w:jc w:val="both"/>
              <w:rPr/>
            </w:pPr>
            <w:r>
              <w:rPr/>
              <w:t>  ​ ​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both"/>
              <w:rPr/>
            </w:pPr>
            <w:r>
              <w:rPr/>
              <w:t>​</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103,087</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100,421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1,456,741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1,536,538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(79,797)</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984,102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994,622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(10,520)</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375,983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387,882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(11,899)</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347,777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349,865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(2,088)</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20,954</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20,144</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810</w:t>
            </w:r>
          </w:p>
        </w:tc>
        <w:tc>
          <w:tcPr>
            <w:tcW w:w="346" w:type="dxa"/>
            <w:tcBorders/>
            <w:vAlign w:val="center"/>
          </w:tcPr>
          <w:p>
            <w:pPr>
              <w:pStyle w:val="TableContents"/>
              <w:bidi w:val="0"/>
              <w:spacing w:before="0" w:after="0"/>
              <w:ind w:left="0" w:right="0" w:hanging="0"/>
              <w:jc w:val="both"/>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3,185,557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3,289,051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(103,494)</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3,288,644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3,389,472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(100,828)</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r>
      <w:tr>
        <w:trPr/>
        <w:tc>
          <w:tcPr>
            <w:tcW w:w="2898" w:type="dxa"/>
            <w:tcBorders/>
            <w:shd w:fill="CCEEFF" w:val="clear"/>
            <w:vAlign w:val="center"/>
          </w:tcPr>
          <w:p>
            <w:pPr>
              <w:pStyle w:val="TableContents"/>
              <w:bidi w:val="0"/>
              <w:spacing w:before="0" w:after="0"/>
              <w:ind w:left="0" w:right="0" w:hanging="0"/>
              <w:jc w:val="both"/>
              <w:rPr/>
            </w:pPr>
            <w:r>
              <w:rPr/>
              <w: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289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 (exclusive of depreciation and amortization shown separately below):</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63,292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60,753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2,539</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166,842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211,306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(44,464)</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166,923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195,422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(28,499)</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178,503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186,731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(8,228)</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347,777</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349,865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(2,088)</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18,380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17,806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574</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878,425</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961,130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(82,705)</w:t>
            </w:r>
          </w:p>
        </w:tc>
        <w:tc>
          <w:tcPr>
            <w:tcW w:w="346" w:type="dxa"/>
            <w:tcBorders/>
            <w:vAlign w:val="center"/>
          </w:tcPr>
          <w:p>
            <w:pPr>
              <w:pStyle w:val="TableContents"/>
              <w:bidi w:val="0"/>
              <w:spacing w:before="0" w:after="0"/>
              <w:ind w:left="0" w:right="0" w:hanging="0"/>
              <w:jc w:val="both"/>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profit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941,717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1,021,883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(80,166)</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w:t>
            </w:r>
          </w:p>
        </w:tc>
      </w:tr>
      <w:tr>
        <w:trPr/>
        <w:tc>
          <w:tcPr>
            <w:tcW w:w="2898"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 expenses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769,164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824,934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55,770</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47,352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45,963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(1,389)</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(12,479)</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lease termination and/or remeasurement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(152.3%)</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on sale or disposal of assets</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(1,887)</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1,249</w:t>
            </w:r>
          </w:p>
        </w:tc>
        <w:tc>
          <w:tcPr>
            <w:tcW w:w="346" w:type="dxa"/>
            <w:tcBorders/>
            <w:vAlign w:val="center"/>
          </w:tcPr>
          <w:p>
            <w:pPr>
              <w:pStyle w:val="TableContents"/>
              <w:bidi w:val="0"/>
              <w:spacing w:before="0" w:after="0"/>
              <w:ind w:left="0" w:right="0" w:hanging="0"/>
              <w:jc w:val="both"/>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195.8%</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827,784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870,772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42,988</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113,933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151,111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(37,178)</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(41,671)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(39,295)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(2,376)</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(53,761)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(61,367)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7,606</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(2,758)</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2,596</w:t>
            </w:r>
          </w:p>
        </w:tc>
        <w:tc>
          <w:tcPr>
            <w:tcW w:w="346" w:type="dxa"/>
            <w:tcBorders/>
            <w:vAlign w:val="center"/>
          </w:tcPr>
          <w:p>
            <w:pPr>
              <w:pStyle w:val="TableContents"/>
              <w:bidi w:val="0"/>
              <w:spacing w:before="0" w:after="0"/>
              <w:ind w:left="0" w:right="0" w:hanging="0"/>
              <w:jc w:val="both"/>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94.1%</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(95,594)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(103,420)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7,826</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before income taxes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18,339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47,691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(29,352)</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(61.5%)</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13,563</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91.3%</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17,052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32,841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(15,789)</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(48.1%)</w:t>
            </w:r>
          </w:p>
        </w:tc>
      </w:tr>
      <w:tr>
        <w:trPr/>
        <w:tc>
          <w:tcPr>
            <w:tcW w:w="289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income attributable to non-controlling interests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(14,905)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8,311</w:t>
            </w:r>
          </w:p>
        </w:tc>
        <w:tc>
          <w:tcPr>
            <w:tcW w:w="346" w:type="dxa"/>
            <w:tcBorders/>
            <w:shd w:fill="CCEEFF" w:val="clear"/>
            <w:vAlign w:val="center"/>
          </w:tcPr>
          <w:p>
            <w:pPr>
              <w:pStyle w:val="TableContents"/>
              <w:bidi w:val="0"/>
              <w:spacing w:before="0" w:after="0"/>
              <w:ind w:left="0" w:right="0" w:hanging="0"/>
              <w:jc w:val="both"/>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55.8%</w:t>
            </w:r>
          </w:p>
        </w:tc>
      </w:tr>
      <w:tr>
        <w:trPr/>
        <w:tc>
          <w:tcPr>
            <w:tcW w:w="289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10,458</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17,936</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(7,478)</w:t>
            </w:r>
          </w:p>
        </w:tc>
        <w:tc>
          <w:tcPr>
            <w:tcW w:w="346" w:type="dxa"/>
            <w:tcBorders/>
            <w:vAlign w:val="center"/>
          </w:tcPr>
          <w:p>
            <w:pPr>
              <w:pStyle w:val="TableContents"/>
              <w:bidi w:val="0"/>
              <w:spacing w:before="0" w:after="0"/>
              <w:ind w:left="0" w:right="0" w:hanging="0"/>
              <w:jc w:val="both"/>
              <w:rPr/>
            </w:pPr>
            <w:r>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w:t>
            </w:r>
          </w:p>
        </w:tc>
      </w:tr>
      <w:tr>
        <w:trPr/>
        <w:tc>
          <w:tcPr>
            <w:tcW w:w="289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7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88"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16"/>
        </w:rPr>
      </w:pPr>
      <w:r>
        <w:rPr>
          <w:rFonts w:ascii="Arial;Helvetica;sans-serif" w:hAnsi="Arial;Helvetica;sans-serif"/>
          <w:b/>
          <w:sz w:val="16"/>
        </w:rPr>
        <w:t>Supplemental Data</w:t>
      </w:r>
    </w:p>
    <w:tbl>
      <w:tblPr>
        <w:tblW w:w="10205" w:type="dxa"/>
        <w:jc w:val="left"/>
        <w:tblInd w:w="0" w:type="dxa"/>
        <w:tblLayout w:type="fixed"/>
        <w:tblCellMar>
          <w:top w:w="0" w:type="dxa"/>
          <w:left w:w="0" w:type="dxa"/>
          <w:bottom w:w="0" w:type="dxa"/>
          <w:right w:w="0" w:type="dxa"/>
        </w:tblCellMar>
      </w:tblPr>
      <w:tblGrid>
        <w:gridCol w:w="4222"/>
        <w:gridCol w:w="346"/>
        <w:gridCol w:w="211"/>
        <w:gridCol w:w="961"/>
        <w:gridCol w:w="346"/>
        <w:gridCol w:w="211"/>
        <w:gridCol w:w="961"/>
        <w:gridCol w:w="346"/>
        <w:gridCol w:w="211"/>
        <w:gridCol w:w="790"/>
        <w:gridCol w:w="376"/>
        <w:gridCol w:w="346"/>
        <w:gridCol w:w="109"/>
        <w:gridCol w:w="769"/>
      </w:tblGrid>
      <w:tr>
        <w:trPr/>
        <w:tc>
          <w:tcPr>
            <w:tcW w:w="4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680970" cy="175260"/>
                      <wp:effectExtent l="0" t="0" r="0" b="0"/>
                      <wp:wrapNone/>
                      <wp:docPr id="402" name="Frame402"/>
                      <a:graphic xmlns:a="http://schemas.openxmlformats.org/drawingml/2006/main">
                        <a:graphicData uri="http://schemas.microsoft.com/office/word/2010/wordprocessingShape">
                          <wps:wsp>
                            <wps:cNvSpPr txBox="1"/>
                            <wps:spPr>
                              <a:xfrm>
                                <a:off x="0" y="0"/>
                                <a:ext cx="26809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10235" cy="175260"/>
                      <wp:effectExtent l="0" t="0" r="0" b="0"/>
                      <wp:wrapNone/>
                      <wp:docPr id="405" name="Frame40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10235" cy="175260"/>
                      <wp:effectExtent l="0" t="0" r="0" b="0"/>
                      <wp:wrapNone/>
                      <wp:docPr id="408" name="Frame40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01650" cy="175260"/>
                      <wp:effectExtent l="0" t="0" r="0" b="0"/>
                      <wp:wrapNone/>
                      <wp:docPr id="411" name="Frame411"/>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38760" cy="175260"/>
                      <wp:effectExtent l="0" t="0" r="0" b="0"/>
                      <wp:wrapNone/>
                      <wp:docPr id="412" name="Frame41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88315" cy="175260"/>
                      <wp:effectExtent l="0" t="0" r="0" b="0"/>
                      <wp:wrapNone/>
                      <wp:docPr id="415" name="Frame415"/>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2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346" w:type="dxa"/>
            <w:tcBorders/>
            <w:vAlign w:val="center"/>
          </w:tcPr>
          <w:p>
            <w:pPr>
              <w:pStyle w:val="TableContents"/>
              <w:bidi w:val="0"/>
              <w:spacing w:before="0" w:after="0"/>
              <w:ind w:left="0" w:right="0" w:hanging="0"/>
              <w:jc w:val="both"/>
              <w:rPr/>
            </w:pPr>
            <w:r>
              <w:rPr/>
              <w:t>​</w:t>
            </w:r>
          </w:p>
        </w:tc>
        <w:tc>
          <w:tcPr>
            <w:tcW w:w="100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7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w:t>
            </w:r>
          </w:p>
        </w:tc>
      </w:tr>
      <w:tr>
        <w:trPr/>
        <w:tc>
          <w:tcPr>
            <w:tcW w:w="422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(decrease)</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Unit sales</w:t>
            </w:r>
          </w:p>
        </w:tc>
        <w:tc>
          <w:tcPr>
            <w:tcW w:w="346" w:type="dxa"/>
            <w:tcBorders/>
            <w:shd w:fill="CCEEFF" w:val="clear"/>
            <w:vAlign w:val="center"/>
          </w:tcPr>
          <w:p>
            <w:pPr>
              <w:pStyle w:val="TableContents"/>
              <w:bidi w:val="0"/>
              <w:spacing w:before="0" w:after="0"/>
              <w:ind w:left="0" w:right="0" w:hanging="0"/>
              <w:jc w:val="both"/>
              <w:rPr/>
            </w:pPr>
            <w:r>
              <w:rPr/>
              <w:t>  ​ ​ ​</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both"/>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both"/>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37,530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43,422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(5,892)</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33,346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32,845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1.5% </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70,876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76,267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(5,391)</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r>
      <w:tr>
        <w:trPr/>
        <w:tc>
          <w:tcPr>
            <w:tcW w:w="422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Average selling price</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38,815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35,386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3,429</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9.7% </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29,512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30,282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422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Same store unit sales</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35,492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40,966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(5,474)</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31,803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31,227</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576</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1.8% </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67,295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72,193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(4,898)</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r>
      <w:tr>
        <w:trPr/>
        <w:tc>
          <w:tcPr>
            <w:tcW w:w="422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Same store revenue</w:t>
            </w:r>
            <w:r>
              <w:rPr>
                <w:rFonts w:ascii="Arial;Helvetica;sans-serif" w:hAnsi="Arial;Helvetica;sans-serif"/>
                <w:sz w:val="15"/>
              </w:rPr>
              <w:t>(1)</w:t>
            </w:r>
            <w:r>
              <w:rPr>
                <w:rFonts w:ascii="Arial;Helvetica;sans-serif" w:hAnsi="Arial;Helvetica;sans-serif"/>
                <w:sz w:val="20"/>
              </w:rPr>
              <w:t xml:space="preserve">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1,378,246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1,440,199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(61,953)</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938,535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938,171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0.0% </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Products, service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307,885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313,154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(5,269)</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332,915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333,009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2,957,581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3,024,533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(66,952)</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r>
      <w:tr>
        <w:trPr/>
        <w:tc>
          <w:tcPr>
            <w:tcW w:w="422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Average gross profit per unit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5,950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w:t>
            </w:r>
          </w:p>
        </w:tc>
      </w:tr>
      <w:tr>
        <w:trPr/>
        <w:tc>
          <w:tcPr>
            <w:tcW w:w="422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Finance and insurance, net per vehicle unit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7.0% </w:t>
            </w:r>
          </w:p>
        </w:tc>
      </w:tr>
      <w:tr>
        <w:trPr/>
        <w:tc>
          <w:tcPr>
            <w:tcW w:w="4222"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Total vehicle front-end yield</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9,616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9,920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r>
      <w:tr>
        <w:trPr/>
        <w:tc>
          <w:tcPr>
            <w:tcW w:w="422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Gross margin</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90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Products, service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unch</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Club</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 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gross margin</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data</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22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Finance and insurance gross profit as a % of total vehicle revenue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43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r>
      <w:tr>
        <w:trPr/>
        <w:tc>
          <w:tcPr>
            <w:tcW w:w="422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Same store locations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n/a</w:t>
            </w:r>
          </w:p>
        </w:tc>
      </w:tr>
    </w:tbl>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unch – unchanged</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bps – basis points</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n/a – not applicable</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same store revenue and units calculations for a given period include only those stores that were open both at the end of the corresponding period and at the beginning of the preceding fiscal year.</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Front end yield is calculated as gross profit from new vehicles, used vehicles and finance and insurance (net), divided by combined new and used vehicle unit sales.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Revenue and Gross Profit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Good Sam Services and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primarily from increased sales of the Good Sam branded extended vehicle warranty program and new publishing partnerships.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gross profit and gross margin increased primarily due to the increase in revenue from the higher margin Good Sam branded extended vehicle warranty programs and reduced roadside assistance claims costs, and gross profit was also favorably impacted by the new publishing partnerships discussed above.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RV and Outdoor Retail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New vehicles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New vehicles revenue decreased primarily due to a 13.6% decrease in new vehicles unit sales, partially offset by a 9.7% increase in the average selling price per new vehicle sold. On a same store basis, new vehicles revenue decreased 4.3% to $1.4 billion resulting from a 13.4% decrease in new vehicles units sold, partially offset by a 10.5% increase in the average price per vehicle sold.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vehicles gross profit decreased primarily due to a 13.6% decrease in new vehicles unit sales and the 230 basis point decrease in new vehicles gross margin. The new vehicles gross margin decrease was primarily driven by a 12.6% increase in the average cost per new vehicle sold, partially offset by the 9.7% increase in the average selling price per new vehicle sold. The increases in average selling price and average cost of new vehicles were largely driven by a mix shift toward higher cost motorized vehicles and fifth wheels and away from lower cost travel trailers. See “Industry Trends” above for a discussion of the impact of economic conditions and consumer sentiment on the demand for new vehicles.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Used vehicles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revenue decreased primarily due to a 2.5% decrease in the average selling price per used vehicle sold, mainly from the mix shift away from higher priced motorized units toward lower-priced towables, partially offset by a 1.5% increase in used vehicles unit sales. On a same store basis, used vehicles revenue of $938.5 million was relatively unchanged from the prior year resulting from an increase in used vehicles unit sales of 1.8% offset by 1.8% decrease in average sales price per used vehicle sold.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Used vehicles gross profit decreased primarily due to a 2.5% decrease in the average selling price per used vehicle sold and a 0.7% increase in the average cost per used vehicle sold, partially offset by a 1.5% increase in used vehicles unit sales. The used vehicles gross margin decrease was primarily driven by the 2.5% decrease in the average sales price per used vehicle sold.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Products, service and other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revenue decreased primarily due to lower warranty work and overall decline in vehicle unit sales. On a same store basis, products, service and other revenue decreased 1.7% to $307.9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gross profit and gross margin decreased primarily due to the lower revenue discussed above. Products, service and other gross margin decreased 66 basis points to 47.5%, driven by the lower mix of higher margin service and collision revenue and increased labor rates.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Finance and insurance, net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decrease was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driven by fewer contracts sold on new vehicles, resulting from a 13.6% decrease in new vehicle unit sales, partially offset by a 3.8% increase in total vehicle average selling price, as certain finance and insurance, net offerings correlate with the selling price of vehicles. Finance and insurance, net revenue as a percentage of new and used vehicle revenue was 14.2%, a 43 basis point increase from the prior year. On a same store basis, finance and insurance, net revenue was unchanged versus the prior year.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Good Sam Club</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Club revenue and gross profit increased mainly due to memberships provided with vehicle sales shifting from three-year, lower-tier memberships to one-year, elite-tier memberships. This aligns with the current marketing strategy and increased annual pricing due to enhanced benefits, including loyalty points. These gains were partially offset by an 11.4% decline in paid members (excluding free basic plan members), as higher prices contributed to lower renewal rates.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Operating Expenses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Selling, 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Selling, general, and administrative expenses decreased primarily due to a $47.2 million decrease in employee cash compensation costs excluding commissions, resulting primarily from headcount reduction during the second half of 2025; a $9.9 million decrease in commissions costs; a $6.6 million decrease in stock-based compensation expense (“SBC”); and a $4.2 million decrease in advertising expenses, partially offset by an $8.2 million increase in outside service provider fees related primarily to software expenses and related maintenance expenses.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Long-lived asset impairment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discussed in Note 5 – Long-Lived Asset Impairment to our condensed consolidated financial statements included in Part I, Item 1 of this Form 10-Q, we recognized $13.1 million and $0.6 million of long-lived asset impairment charges for the six months ended June 30, 2026 and 2025, respectively, relating to decreases in market rental rates or market value of real property for closed locations, or based on the Company’s review of location performance in the normal course of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increase in floor plan interest expense was primarily due to a 14.6% increase in the average floor plan balance partially offset by a 47 basis point decrease in the average floor plan borrowing rate. The average interest rate for the Floor Plan Facility for the six months ended June 30, 2026 and 2025 was 5.93% and 6.40%,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interest expense,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Other interest expense, net decreased primarily due to reduced interest rates and reduced borrowings on our Term Loan Facility and our Real Estate Facilities. The average interest rate for the Term Loan Facility for the six months ended June 30, 2026 and 2025 was 6.32% and 6.92%, respectively. The average interest rate on the M&amp;T Real Estate Facility (as defined in Note 8 – Long-Term Debt to our condensed consolidated financial statements included in Part I, Item 1 of this Form 10-Q) for six months ended June 30, 2026 and 2025 was 6.45% and 6.73%,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Income tax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decrease in income tax expense was primarily due to the exclusion of pre-tax book income attributed to the public holding company, CWH, as CWH continues to be a loss jurisdiction with a full valuation allowance that is excluded from the quarterly income tax expense. See Note 14 ― Income Taxes to our condensed consolidated financial statements included in Part I, Item 1 of this Form 10-Q for further details.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Segment Results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information comparing select components of Segment Adjusted EBITDA for each of our segments for the periods presented:</w:t>
      </w:r>
    </w:p>
    <w:tbl>
      <w:tblPr>
        <w:tblW w:w="10205" w:type="dxa"/>
        <w:jc w:val="left"/>
        <w:tblInd w:w="0" w:type="dxa"/>
        <w:tblLayout w:type="fixed"/>
        <w:tblCellMar>
          <w:top w:w="0" w:type="dxa"/>
          <w:left w:w="0" w:type="dxa"/>
          <w:bottom w:w="0" w:type="dxa"/>
          <w:right w:w="0" w:type="dxa"/>
        </w:tblCellMar>
      </w:tblPr>
      <w:tblGrid>
        <w:gridCol w:w="2642"/>
        <w:gridCol w:w="346"/>
        <w:gridCol w:w="196"/>
        <w:gridCol w:w="826"/>
        <w:gridCol w:w="346"/>
        <w:gridCol w:w="899"/>
        <w:gridCol w:w="346"/>
        <w:gridCol w:w="196"/>
        <w:gridCol w:w="826"/>
        <w:gridCol w:w="346"/>
        <w:gridCol w:w="899"/>
        <w:gridCol w:w="346"/>
        <w:gridCol w:w="196"/>
        <w:gridCol w:w="788"/>
        <w:gridCol w:w="346"/>
        <w:gridCol w:w="661"/>
      </w:tblGrid>
      <w:tr>
        <w:trPr/>
        <w:tc>
          <w:tcPr>
            <w:tcW w:w="264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4460" cy="175260"/>
                      <wp:effectExtent l="0" t="0" r="0" b="0"/>
                      <wp:wrapNone/>
                      <wp:docPr id="417" name="Frame4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24510" cy="175260"/>
                      <wp:effectExtent l="0" t="0" r="0" b="0"/>
                      <wp:wrapNone/>
                      <wp:docPr id="418" name="Frame4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70865" cy="175260"/>
                      <wp:effectExtent l="0" t="0" r="0" b="0"/>
                      <wp:wrapNone/>
                      <wp:docPr id="420" name="Frame42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4460" cy="175260"/>
                      <wp:effectExtent l="0" t="0" r="0" b="0"/>
                      <wp:wrapNone/>
                      <wp:docPr id="422" name="Frame4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24510" cy="175260"/>
                      <wp:effectExtent l="0" t="0" r="0" b="0"/>
                      <wp:wrapNone/>
                      <wp:docPr id="423" name="Frame4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70865" cy="175260"/>
                      <wp:effectExtent l="0" t="0" r="0" b="0"/>
                      <wp:wrapNone/>
                      <wp:docPr id="425" name="Frame42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24460" cy="175260"/>
                      <wp:effectExtent l="0" t="0" r="0" b="0"/>
                      <wp:wrapNone/>
                      <wp:docPr id="427" name="Frame4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00380" cy="175260"/>
                      <wp:effectExtent l="0" t="0" r="0" b="0"/>
                      <wp:wrapNone/>
                      <wp:docPr id="428" name="Frame42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19735" cy="175260"/>
                      <wp:effectExtent l="0" t="0" r="0" b="0"/>
                      <wp:wrapNone/>
                      <wp:docPr id="430" name="Frame43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488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w:t>
            </w:r>
          </w:p>
        </w:tc>
        <w:tc>
          <w:tcPr>
            <w:tcW w:w="346" w:type="dxa"/>
            <w:tcBorders/>
            <w:vAlign w:val="center"/>
          </w:tcPr>
          <w:p>
            <w:pPr>
              <w:pStyle w:val="TableContents"/>
              <w:bidi w:val="0"/>
              <w:spacing w:before="0" w:after="0"/>
              <w:ind w:left="0" w:right="0" w:hanging="0"/>
              <w:jc w:val="both"/>
              <w:rPr/>
            </w:pPr>
            <w:r>
              <w:rPr/>
              <w:t>​</w:t>
            </w:r>
          </w:p>
        </w:tc>
        <w:tc>
          <w:tcPr>
            <w:tcW w:w="1991" w:type="dxa"/>
            <w:gridSpan w:val="4"/>
            <w:tcBorders/>
            <w:vAlign w:val="center"/>
          </w:tcPr>
          <w:p>
            <w:pPr>
              <w:pStyle w:val="TableContents"/>
              <w:bidi w:val="0"/>
              <w:spacing w:before="0" w:after="0"/>
              <w:ind w:left="0" w:right="0" w:hanging="0"/>
              <w:jc w:val="center"/>
              <w:rPr/>
            </w:pPr>
            <w:r>
              <w:rPr/>
              <w:t>​</w:t>
            </w:r>
          </w:p>
        </w:tc>
      </w:tr>
      <w:tr>
        <w:trPr/>
        <w:tc>
          <w:tcPr>
            <w:tcW w:w="264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6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w:t>
            </w:r>
          </w:p>
        </w:tc>
        <w:tc>
          <w:tcPr>
            <w:tcW w:w="226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w:t>
            </w:r>
          </w:p>
        </w:tc>
        <w:tc>
          <w:tcPr>
            <w:tcW w:w="1991"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Favorable/</w:t>
            </w:r>
          </w:p>
        </w:tc>
      </w:tr>
      <w:tr>
        <w:trPr/>
        <w:tc>
          <w:tcPr>
            <w:tcW w:w="264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9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(Unfavorable)</w:t>
            </w:r>
          </w:p>
        </w:tc>
      </w:tr>
      <w:tr>
        <w:trPr/>
        <w:tc>
          <w:tcPr>
            <w:tcW w:w="2642"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both"/>
              <w:rPr/>
            </w:pPr>
            <w:r>
              <w:rPr/>
              <w:t>  ​ ​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both"/>
              <w:rPr/>
            </w:pPr>
            <w:r>
              <w:rPr/>
              <w:t>  ​ ​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346" w:type="dxa"/>
            <w:tcBorders/>
            <w:vAlign w:val="center"/>
          </w:tcPr>
          <w:p>
            <w:pPr>
              <w:pStyle w:val="TableContents"/>
              <w:bidi w:val="0"/>
              <w:spacing w:before="0" w:after="0"/>
              <w:ind w:left="0" w:right="0" w:hanging="0"/>
              <w:jc w:val="both"/>
              <w:rPr/>
            </w:pPr>
            <w:r>
              <w:rPr/>
              <w:t>  ​ ​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both"/>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2642"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both"/>
              <w:rPr/>
            </w:pPr>
            <w:r>
              <w:rPr/>
              <w:t>​</w:t>
            </w:r>
          </w:p>
        </w:tc>
      </w:tr>
      <w:tr>
        <w:trPr/>
        <w:tc>
          <w:tcPr>
            <w:tcW w:w="264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r>
        <w:trPr/>
        <w:tc>
          <w:tcPr>
            <w:tcW w:w="264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103,087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100,421</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2.7% </w:t>
            </w:r>
          </w:p>
        </w:tc>
      </w:tr>
      <w:tr>
        <w:trPr/>
        <w:tc>
          <w:tcPr>
            <w:tcW w:w="264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Intersegment revenue</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1,019</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896</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0.9%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w:t>
            </w:r>
          </w:p>
        </w:tc>
        <w:tc>
          <w:tcPr>
            <w:tcW w:w="346" w:type="dxa"/>
            <w:tcBorders/>
            <w:vAlign w:val="center"/>
          </w:tcPr>
          <w:p>
            <w:pPr>
              <w:pStyle w:val="TableContents"/>
              <w:bidi w:val="0"/>
              <w:spacing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13.7% </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104,106</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101,317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2,789</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2.8% </w:t>
            </w:r>
          </w:p>
        </w:tc>
      </w:tr>
      <w:tr>
        <w:trPr/>
        <w:tc>
          <w:tcPr>
            <w:tcW w:w="2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both"/>
              <w:rPr/>
            </w:pPr>
            <w:r>
              <w:rPr/>
              <w:t>​</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Adjusted costs applicable to revenue</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39,701</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38.1%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39,613</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39.1%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2642"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Intersegment costs applicable to revenue</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672</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0.6%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0.6%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Adjusted selling, general and administrative</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16,741</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16.1%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14,809</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14.6%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(1,932)</w:t>
            </w:r>
          </w:p>
        </w:tc>
        <w:tc>
          <w:tcPr>
            <w:tcW w:w="346" w:type="dxa"/>
            <w:tcBorders/>
            <w:vAlign w:val="center"/>
          </w:tcPr>
          <w:p>
            <w:pPr>
              <w:pStyle w:val="TableContents"/>
              <w:bidi w:val="0"/>
              <w:spacing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46,992</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45.1%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46,268</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45.7%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724</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1.6% </w:t>
            </w:r>
          </w:p>
        </w:tc>
      </w:tr>
      <w:tr>
        <w:trPr/>
        <w:tc>
          <w:tcPr>
            <w:tcW w:w="2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both"/>
              <w:rPr/>
            </w:pPr>
            <w:r>
              <w:rPr/>
              <w:t>​</w:t>
            </w:r>
          </w:p>
        </w:tc>
      </w:tr>
      <w:tr>
        <w:trPr/>
        <w:tc>
          <w:tcPr>
            <w:tcW w:w="26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3,185,557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99.9%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3,289,051</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99.8%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(103,494)</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Intersegment revenue</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2,920</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6,660</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(3,740)</w:t>
            </w:r>
          </w:p>
        </w:tc>
        <w:tc>
          <w:tcPr>
            <w:tcW w:w="346" w:type="dxa"/>
            <w:tcBorders/>
            <w:vAlign w:val="center"/>
          </w:tcPr>
          <w:p>
            <w:pPr>
              <w:pStyle w:val="TableContents"/>
              <w:bidi w:val="0"/>
              <w:spacing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(56.2%)</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3,188,477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3,295,711</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(107,234)</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r>
      <w:tr>
        <w:trPr/>
        <w:tc>
          <w:tcPr>
            <w:tcW w:w="2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both"/>
              <w:rPr/>
            </w:pPr>
            <w:r>
              <w:rPr/>
              <w:t>​</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Adjusted costs applicable to revenue</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2,306,966</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72.4%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2,327,751</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70.6%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20,785</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0.9% </w:t>
            </w:r>
          </w:p>
        </w:tc>
      </w:tr>
      <w:tr>
        <w:trPr/>
        <w:tc>
          <w:tcPr>
            <w:tcW w:w="2642"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Intersegment costs applicable to revenue</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4,741</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6,417</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1,676</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26.1% </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Adjusted selling, general and administrative</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736,935</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23.1%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787,245</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23.9%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50,310</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6.4% </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Floor plan interest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41,671</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1.3%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39,295</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8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(2,376)</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2642"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Other segment items</w:t>
            </w:r>
            <w:r>
              <w:rPr>
                <w:rFonts w:ascii="Arial;Helvetica;sans-serif" w:hAnsi="Arial;Helvetica;sans-serif"/>
                <w:sz w:val="12"/>
              </w:rPr>
              <w:t>(5)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vAlign w:val="center"/>
          </w:tcPr>
          <w:p>
            <w:pPr>
              <w:pStyle w:val="TableContents"/>
              <w:bidi w:val="0"/>
              <w:spacing w:before="0" w:after="0"/>
              <w:ind w:left="0" w:right="0" w:hanging="0"/>
              <w:jc w:val="both"/>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216</w:t>
            </w:r>
          </w:p>
        </w:tc>
        <w:tc>
          <w:tcPr>
            <w:tcW w:w="346" w:type="dxa"/>
            <w:tcBorders/>
            <w:vAlign w:val="center"/>
          </w:tcPr>
          <w:p>
            <w:pPr>
              <w:pStyle w:val="TableContents"/>
              <w:bidi w:val="0"/>
              <w:spacing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n/a </w:t>
            </w:r>
          </w:p>
        </w:tc>
      </w:tr>
      <w:tr>
        <w:trPr/>
        <w:tc>
          <w:tcPr>
            <w:tcW w:w="26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98,400</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135,023</w:t>
            </w:r>
          </w:p>
        </w:tc>
        <w:tc>
          <w:tcPr>
            <w:tcW w:w="346" w:type="dxa"/>
            <w:tcBorders/>
            <w:shd w:fill="CCEEFF" w:val="clear"/>
            <w:vAlign w:val="center"/>
          </w:tcPr>
          <w:p>
            <w:pPr>
              <w:pStyle w:val="TableContents"/>
              <w:bidi w:val="0"/>
              <w:spacing w:before="0" w:after="0"/>
              <w:ind w:left="0" w:right="0" w:hanging="0"/>
              <w:jc w:val="both"/>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4.1%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(36,623)</w:t>
            </w:r>
          </w:p>
        </w:tc>
        <w:tc>
          <w:tcPr>
            <w:tcW w:w="346" w:type="dxa"/>
            <w:tcBorders/>
            <w:shd w:fill="CCEEFF" w:val="clear"/>
            <w:vAlign w:val="center"/>
          </w:tcPr>
          <w:p>
            <w:pPr>
              <w:pStyle w:val="TableContents"/>
              <w:bidi w:val="0"/>
              <w:spacing w:before="0" w:after="0"/>
              <w:ind w:left="0" w:right="0" w:hanging="0"/>
              <w:jc w:val="both"/>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(27.1%)</w:t>
            </w:r>
          </w:p>
        </w:tc>
      </w:tr>
      <w:tr>
        <w:trPr/>
        <w:tc>
          <w:tcPr>
            <w:tcW w:w="264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8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both"/>
              <w:rPr/>
            </w:pPr>
            <w:r>
              <w:rPr/>
              <w:t>​</w:t>
            </w:r>
          </w:p>
        </w:tc>
      </w:tr>
    </w:tbl>
    <w:tbl>
      <w:tblPr>
        <w:tblW w:w="8732" w:type="dxa"/>
        <w:jc w:val="left"/>
        <w:tblInd w:w="0" w:type="dxa"/>
        <w:tblLayout w:type="fixed"/>
        <w:tblCellMar>
          <w:top w:w="0" w:type="dxa"/>
          <w:left w:w="0" w:type="dxa"/>
          <w:bottom w:w="0" w:type="dxa"/>
          <w:right w:w="0" w:type="dxa"/>
        </w:tblCellMar>
      </w:tblPr>
      <w:tblGrid>
        <w:gridCol w:w="271"/>
        <w:gridCol w:w="846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84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revenue consists of segment revenue that is eliminated in our consolidated statements of operations.</w:t>
            </w:r>
          </w:p>
        </w:tc>
      </w:tr>
    </w:tbl>
    <w:tbl>
      <w:tblPr>
        <w:tblW w:w="8237" w:type="dxa"/>
        <w:jc w:val="left"/>
        <w:tblInd w:w="0" w:type="dxa"/>
        <w:tblLayout w:type="fixed"/>
        <w:tblCellMar>
          <w:top w:w="0" w:type="dxa"/>
          <w:left w:w="0" w:type="dxa"/>
          <w:bottom w:w="0" w:type="dxa"/>
          <w:right w:w="0" w:type="dxa"/>
        </w:tblCellMar>
      </w:tblPr>
      <w:tblGrid>
        <w:gridCol w:w="271"/>
        <w:gridCol w:w="796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79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costs applicable to revenue excludes SBC expense and intersegment costs applicable to revenue.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costs applicable to revenue consist of segment costs applicable to revenue that are eliminated in our consolidated statements of operations.</w:t>
            </w:r>
          </w:p>
        </w:tc>
      </w:tr>
    </w:tbl>
    <w:tbl>
      <w:tblPr>
        <w:tblW w:w="8852" w:type="dxa"/>
        <w:jc w:val="left"/>
        <w:tblInd w:w="0" w:type="dxa"/>
        <w:tblLayout w:type="fixed"/>
        <w:tblCellMar>
          <w:top w:w="0" w:type="dxa"/>
          <w:left w:w="0" w:type="dxa"/>
          <w:bottom w:w="0" w:type="dxa"/>
          <w:right w:w="0" w:type="dxa"/>
        </w:tblCellMar>
      </w:tblPr>
      <w:tblGrid>
        <w:gridCol w:w="271"/>
        <w:gridCol w:w="858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85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selling, general, and administrative expenses exclude SBC expense and intersegment operating expenses.</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(i) intersegment operating expenses, which are eliminated in our consolidated statements of operations, and (ii) other expense, net excluding loss and/or impairment on investments in equity securities.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Good Sam Services and Plans Segment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the “Revenue and Gross Profit” section above for a discussion of impacts to revenue for Good Sam Services and Plans. Adjusted costs applicable to segment revenues were relatively unchanged. The adjusted selling, general, and administrative expenses increased primarily from higher advertising and legal fees. The Good Sam Services and Plans Segment Adjusted EBITDA increase was driven primarily by the increase in external revenue discussed above, partially offset by additional adjusted selling, general, and administrative expenses. Intersegment revenue and intersegment costs applicable to revenue did not have a significant impact on the decrease in Segment Adjusted EBITDA.</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RV and Outdoor Retail Segment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the “Revenue and Gross Profit” section above for a discussion of impacts to revenue for RV and Outdoor Retail and “Floor plan interest expense” section above for a discussion of the increase in floor plan interest expense. Adjusted costs applicable to segment revenue decreased from (i) the 7.1% lower total unit sales, partially offset by the higher average cost per total vehicle of 6.7%, and (ii) lower products, service and other costs applicable to revenue primarily from the same drivers of the decrease in revenue discussed above. Adjusted selling, general, and administrative expense decreased primarily due to $46.1 million of reduced employee cash compensation expense excluding commissions, $9.9 million decrease in commission costs,  and $4.7 million lower advertising fees, partially offset by a $7.6 million increase in outside service provider fees related primarily to software expenses and related maintenance expenses. The RV and Outdoor Retail Segment Adjusted EBITDA decreased from the decrease in revenue and the increased floor plan interest expense, partially offset by reduced adjusted selling, general, and administrative expense and reduced adjusted costs applicable to segment revenue. Intersegment revenue and intersegment costs applicable to revenue did not have a significant impact on the decrease in Segment Adjusted EBITDA.</w:t>
      </w:r>
    </w:p>
    <w:p>
      <w:pPr>
        <w:pStyle w:val="TextBody"/>
        <w:bidi w:val="0"/>
        <w:spacing w:before="0" w:after="240"/>
        <w:ind w:left="0" w:right="0" w:hanging="0"/>
        <w:jc w:val="left"/>
        <w:rPr>
          <w:rFonts w:ascii="Arial;Helvetica;sans-serif" w:hAnsi="Arial;Helvetica;sans-serif"/>
          <w:b/>
          <w:sz w:val="20"/>
        </w:rPr>
      </w:pPr>
      <w:bookmarkStart w:id="2016" w:name="_5c3de5b5_338b_4a98_9af9_e4b5251a4a98"/>
      <w:bookmarkEnd w:id="2016"/>
      <w:r>
        <w:rPr>
          <w:rFonts w:ascii="Arial;Helvetica;sans-serif" w:hAnsi="Arial;Helvetica;sans-serif"/>
          <w:b/>
          <w:sz w:val="20"/>
        </w:rPr>
        <w:t>Non-GAAP Financial Measures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Income Attributable to Camping World Holdings, Inc. – Basic; Adjusted Net Income Attributable to Camping World Holdings, Inc. – Diluted; Adjusted Earnings Per Share – Basic; Adjusted Earnings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Non-GAAP Financial Measures that we use are not necessarily comparable to similarly titled measures used by other companies due to different methods of calculation.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EBITDA, Adjusted EBITDA, and Adjusted EBITDA Margin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“EBITDA” as net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gains and losses on lease termination and/or remeasurement, gains and losses on sale or disposal of assets, net, SBC,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Segment Adjusted EBITDA to consolidated Adjusted EBITDA:</w:t>
      </w:r>
    </w:p>
    <w:tbl>
      <w:tblPr>
        <w:tblW w:w="8949" w:type="dxa"/>
        <w:jc w:val="left"/>
        <w:tblInd w:w="0" w:type="dxa"/>
        <w:tblLayout w:type="fixed"/>
        <w:tblCellMar>
          <w:top w:w="0" w:type="dxa"/>
          <w:left w:w="0" w:type="dxa"/>
          <w:bottom w:w="0" w:type="dxa"/>
          <w:right w:w="0" w:type="dxa"/>
        </w:tblCellMar>
      </w:tblPr>
      <w:tblGrid>
        <w:gridCol w:w="4351"/>
        <w:gridCol w:w="346"/>
        <w:gridCol w:w="206"/>
        <w:gridCol w:w="726"/>
        <w:gridCol w:w="114"/>
        <w:gridCol w:w="206"/>
        <w:gridCol w:w="726"/>
        <w:gridCol w:w="346"/>
        <w:gridCol w:w="196"/>
        <w:gridCol w:w="691"/>
        <w:gridCol w:w="109"/>
        <w:gridCol w:w="196"/>
        <w:gridCol w:w="736"/>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762885" cy="175260"/>
                      <wp:effectExtent l="0" t="0" r="0" b="0"/>
                      <wp:wrapNone/>
                      <wp:docPr id="431" name="Frame431"/>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0810" cy="175260"/>
                      <wp:effectExtent l="0" t="0" r="0" b="0"/>
                      <wp:wrapNone/>
                      <wp:docPr id="433" name="Frame4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61010" cy="175260"/>
                      <wp:effectExtent l="0" t="0" r="0" b="0"/>
                      <wp:wrapNone/>
                      <wp:docPr id="434" name="Frame43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2390" cy="175260"/>
                      <wp:effectExtent l="0" t="0" r="0" b="0"/>
                      <wp:wrapNone/>
                      <wp:docPr id="435" name="Frame435"/>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0810" cy="175260"/>
                      <wp:effectExtent l="0" t="0" r="0" b="0"/>
                      <wp:wrapNone/>
                      <wp:docPr id="436" name="Frame4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61010" cy="175260"/>
                      <wp:effectExtent l="0" t="0" r="0" b="0"/>
                      <wp:wrapNone/>
                      <wp:docPr id="437" name="Frame437"/>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24460" cy="175260"/>
                      <wp:effectExtent l="0" t="0" r="0" b="0"/>
                      <wp:wrapNone/>
                      <wp:docPr id="439" name="Frame4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38785" cy="175260"/>
                      <wp:effectExtent l="0" t="0" r="0" b="0"/>
                      <wp:wrapNone/>
                      <wp:docPr id="440" name="Frame4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24460" cy="175260"/>
                      <wp:effectExtent l="0" t="0" r="0" b="0"/>
                      <wp:wrapNone/>
                      <wp:docPr id="442" name="Frame4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67360" cy="175260"/>
                      <wp:effectExtent l="0" t="0" r="0" b="0"/>
                      <wp:wrapNone/>
                      <wp:docPr id="443" name="Frame4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211" w:type="dxa"/>
            <w:gridSpan w:val="8"/>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3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Six Months Ended June 30,</w:t>
            </w:r>
          </w:p>
        </w:tc>
      </w:tr>
      <w:tr>
        <w:trPr/>
        <w:tc>
          <w:tcPr>
            <w:tcW w:w="435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 in thousands)</w:t>
            </w:r>
          </w:p>
        </w:tc>
        <w:tc>
          <w:tcPr>
            <w:tcW w:w="346" w:type="dxa"/>
            <w:tcBorders/>
            <w:vAlign w:val="center"/>
          </w:tcPr>
          <w:p>
            <w:pPr>
              <w:pStyle w:val="TableContents"/>
              <w:bidi w:val="0"/>
              <w:spacing w:before="0" w:after="0"/>
              <w:ind w:left="0" w:right="0" w:hanging="0"/>
              <w:jc w:val="both"/>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114"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46" w:type="dxa"/>
            <w:tcBorders/>
            <w:vAlign w:val="center"/>
          </w:tcPr>
          <w:p>
            <w:pPr>
              <w:pStyle w:val="TableContents"/>
              <w:bidi w:val="0"/>
              <w:spacing w:before="0" w:after="0"/>
              <w:ind w:left="0" w:right="0" w:hanging="0"/>
              <w:jc w:val="both"/>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r>
      <w:tr>
        <w:trPr/>
        <w:tc>
          <w:tcPr>
            <w:tcW w:w="435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 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24,909</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25,158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46,268</w:t>
            </w:r>
          </w:p>
        </w:tc>
      </w:tr>
      <w:tr>
        <w:trPr/>
        <w:tc>
          <w:tcPr>
            <w:tcW w:w="435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Segment Adjusted EBITDA</w:t>
            </w:r>
          </w:p>
        </w:tc>
        <w:tc>
          <w:tcPr>
            <w:tcW w:w="346" w:type="dxa"/>
            <w:tcBorders/>
            <w:vAlign w:val="center"/>
          </w:tcPr>
          <w:p>
            <w:pPr>
              <w:pStyle w:val="TableContents"/>
              <w:bidi w:val="0"/>
              <w:spacing w:before="0" w:after="0"/>
              <w:ind w:left="0" w:right="0" w:hanging="0"/>
              <w:jc w:val="both"/>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89,835</w:t>
            </w:r>
          </w:p>
        </w:tc>
        <w:tc>
          <w:tcPr>
            <w:tcW w:w="114" w:type="dxa"/>
            <w:tcBorders/>
            <w:vAlign w:val="center"/>
          </w:tcPr>
          <w:p>
            <w:pPr>
              <w:pStyle w:val="TableContents"/>
              <w:bidi w:val="0"/>
              <w:spacing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122,020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98,400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135,023</w:t>
            </w:r>
          </w:p>
        </w:tc>
      </w:tr>
      <w:tr>
        <w:trPr/>
        <w:tc>
          <w:tcPr>
            <w:tcW w:w="435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114,744</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147,178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145,392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181,291</w:t>
            </w:r>
          </w:p>
        </w:tc>
      </w:tr>
      <w:tr>
        <w:trPr/>
        <w:tc>
          <w:tcPr>
            <w:tcW w:w="435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Corporate and Other Adjusted EBITDA</w:t>
            </w:r>
          </w:p>
        </w:tc>
        <w:tc>
          <w:tcPr>
            <w:tcW w:w="346" w:type="dxa"/>
            <w:tcBorders/>
            <w:vAlign w:val="center"/>
          </w:tcPr>
          <w:p>
            <w:pPr>
              <w:pStyle w:val="TableContents"/>
              <w:bidi w:val="0"/>
              <w:spacing w:before="0" w:after="0"/>
              <w:ind w:left="0" w:right="0" w:hanging="0"/>
              <w:jc w:val="both"/>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(2,694)</w:t>
            </w:r>
          </w:p>
        </w:tc>
        <w:tc>
          <w:tcPr>
            <w:tcW w:w="114" w:type="dxa"/>
            <w:tcBorders/>
            <w:vAlign w:val="center"/>
          </w:tcPr>
          <w:p>
            <w:pPr>
              <w:pStyle w:val="TableContents"/>
              <w:bidi w:val="0"/>
              <w:spacing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(4,957)</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(5,352)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(7,924)</w:t>
            </w:r>
          </w:p>
        </w:tc>
      </w:tr>
      <w:tr>
        <w:trPr/>
        <w:tc>
          <w:tcPr>
            <w:tcW w:w="435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112,050</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142,221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140,040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173,367</w:t>
            </w:r>
          </w:p>
        </w:tc>
      </w:tr>
      <w:tr>
        <w:trPr/>
        <w:tc>
          <w:tcPr>
            <w:tcW w:w="43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2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120" w:after="240"/>
        <w:ind w:left="0" w:right="0" w:firstLine="720"/>
        <w:jc w:val="both"/>
        <w:rPr>
          <w:rFonts w:ascii="Arial;Helvetica;sans-serif" w:hAnsi="Arial;Helvetica;sans-serif"/>
          <w:sz w:val="20"/>
        </w:rPr>
      </w:pPr>
      <w:r>
        <w:rPr>
          <w:rFonts w:ascii="Arial;Helvetica;sans-serif" w:hAnsi="Arial;Helvetica;sans-serif"/>
          <w:sz w:val="20"/>
        </w:rPr>
        <w:t>The following table reconciles EBITDA, Adjusted EBITDA, and Adjusted EBITDA Margin to the most directly comparable GAAP financial performance measures:</w:t>
      </w:r>
    </w:p>
    <w:tbl>
      <w:tblPr>
        <w:tblW w:w="9613" w:type="dxa"/>
        <w:jc w:val="left"/>
        <w:tblInd w:w="0" w:type="dxa"/>
        <w:tblLayout w:type="fixed"/>
        <w:tblCellMar>
          <w:top w:w="0" w:type="dxa"/>
          <w:left w:w="0" w:type="dxa"/>
          <w:bottom w:w="0" w:type="dxa"/>
          <w:right w:w="0" w:type="dxa"/>
        </w:tblCellMar>
      </w:tblPr>
      <w:tblGrid>
        <w:gridCol w:w="4636"/>
        <w:gridCol w:w="346"/>
        <w:gridCol w:w="196"/>
        <w:gridCol w:w="691"/>
        <w:gridCol w:w="346"/>
        <w:gridCol w:w="196"/>
        <w:gridCol w:w="691"/>
        <w:gridCol w:w="346"/>
        <w:gridCol w:w="196"/>
        <w:gridCol w:w="691"/>
        <w:gridCol w:w="346"/>
        <w:gridCol w:w="196"/>
        <w:gridCol w:w="73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943860" cy="175260"/>
                      <wp:effectExtent l="0" t="0" r="0" b="0"/>
                      <wp:wrapNone/>
                      <wp:docPr id="444" name="Frame444"/>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4460" cy="175260"/>
                      <wp:effectExtent l="0" t="0" r="0" b="0"/>
                      <wp:wrapNone/>
                      <wp:docPr id="446" name="Frame4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38785" cy="175260"/>
                      <wp:effectExtent l="0" t="0" r="0" b="0"/>
                      <wp:wrapNone/>
                      <wp:docPr id="447" name="Frame4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8785" cy="175260"/>
                      <wp:effectExtent l="0" t="0" r="0" b="0"/>
                      <wp:wrapNone/>
                      <wp:docPr id="450" name="Frame4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4460" cy="175260"/>
                      <wp:effectExtent l="0" t="0" r="0" b="0"/>
                      <wp:wrapNone/>
                      <wp:docPr id="452" name="Frame4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38785" cy="175260"/>
                      <wp:effectExtent l="0" t="0" r="0" b="0"/>
                      <wp:wrapNone/>
                      <wp:docPr id="453" name="Frame4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24460" cy="175260"/>
                      <wp:effectExtent l="0" t="0" r="0" b="0"/>
                      <wp:wrapNone/>
                      <wp:docPr id="455" name="Frame4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67360" cy="175260"/>
                      <wp:effectExtent l="0" t="0" r="0" b="0"/>
                      <wp:wrapNone/>
                      <wp:docPr id="456" name="Frame4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Contents"/>
              <w:bidi w:val="0"/>
              <w:spacing w:before="0" w:after="0"/>
              <w:ind w:left="0" w:right="0" w:hanging="0"/>
              <w:jc w:val="both"/>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6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both"/>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EBITDA and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both"/>
              <w:rPr/>
            </w:pPr>
            <w:r>
              <w:rPr/>
              <w:t>​</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43,713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57,523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17,052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32,841</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26,912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53,761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61,367</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23,419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47,352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45,963</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18,321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96,630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130,099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119,452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155,021</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lease termination and/or remeasurement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 net (c)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8,444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15,714</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2,757</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112,050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142,221</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140,040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173,367</w:t>
            </w:r>
          </w:p>
        </w:tc>
      </w:tr>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8740" cy="175260"/>
                      <wp:effectExtent l="0" t="0" r="0" b="0"/>
                      <wp:wrapNone/>
                      <wp:docPr id="457" name="Frame4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9215" cy="175260"/>
                      <wp:effectExtent l="0" t="0" r="0" b="0"/>
                      <wp:wrapNone/>
                      <wp:docPr id="458" name="Frame4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9215" cy="175260"/>
                      <wp:effectExtent l="0" t="0" r="0" b="0"/>
                      <wp:wrapNone/>
                      <wp:docPr id="462" name="Frame4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215" cy="175260"/>
                      <wp:effectExtent l="0" t="0" r="0" b="0"/>
                      <wp:wrapNone/>
                      <wp:docPr id="466"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215" cy="175260"/>
                      <wp:effectExtent l="0" t="0" r="0" b="0"/>
                      <wp:wrapNone/>
                      <wp:docPr id="468" name="Frame4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7790" cy="175260"/>
                      <wp:effectExtent l="0" t="0" r="0" b="0"/>
                      <wp:wrapNone/>
                      <wp:docPr id="469" name="Frame4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9181" w:type="dxa"/>
        <w:jc w:val="left"/>
        <w:tblInd w:w="0" w:type="dxa"/>
        <w:tblLayout w:type="fixed"/>
        <w:tblCellMar>
          <w:top w:w="0" w:type="dxa"/>
          <w:left w:w="0" w:type="dxa"/>
          <w:bottom w:w="0" w:type="dxa"/>
          <w:right w:w="0" w:type="dxa"/>
        </w:tblCellMar>
      </w:tblPr>
      <w:tblGrid>
        <w:gridCol w:w="4636"/>
        <w:gridCol w:w="346"/>
        <w:gridCol w:w="122"/>
        <w:gridCol w:w="674"/>
        <w:gridCol w:w="388"/>
        <w:gridCol w:w="122"/>
        <w:gridCol w:w="674"/>
        <w:gridCol w:w="346"/>
        <w:gridCol w:w="112"/>
        <w:gridCol w:w="622"/>
        <w:gridCol w:w="358"/>
        <w:gridCol w:w="112"/>
        <w:gridCol w:w="669"/>
      </w:tblGrid>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Contents"/>
              <w:bidi w:val="0"/>
              <w:spacing w:before="0" w:after="0"/>
              <w:ind w:left="0" w:right="0" w:hanging="0"/>
              <w:jc w:val="both"/>
              <w:rPr/>
            </w:pPr>
            <w:r>
              <w:rPr/>
              <w:t>​</w:t>
            </w:r>
          </w:p>
        </w:tc>
        <w:tc>
          <w:tcPr>
            <w:tcW w:w="18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6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(as percentage of total revenue)</w:t>
            </w:r>
          </w:p>
        </w:tc>
        <w:tc>
          <w:tcPr>
            <w:tcW w:w="346" w:type="dxa"/>
            <w:tcBorders/>
            <w:vAlign w:val="center"/>
          </w:tcPr>
          <w:p>
            <w:pPr>
              <w:pStyle w:val="TableContents"/>
              <w:bidi w:val="0"/>
              <w:spacing w:before="0" w:after="0"/>
              <w:ind w:left="0" w:right="0" w:hanging="0"/>
              <w:jc w:val="both"/>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88" w:type="dxa"/>
            <w:tcBorders/>
            <w:vAlign w:val="center"/>
          </w:tcPr>
          <w:p>
            <w:pPr>
              <w:pStyle w:val="TableContents"/>
              <w:bidi w:val="0"/>
              <w:spacing w:before="0" w:after="0"/>
              <w:ind w:left="0" w:right="0" w:hanging="0"/>
              <w:jc w:val="both"/>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Contents"/>
              <w:bidi w:val="0"/>
              <w:spacing w:before="0" w:after="0"/>
              <w:ind w:left="0" w:right="0" w:hanging="0"/>
              <w:jc w:val="both"/>
              <w:rPr/>
            </w:pPr>
            <w:r>
              <w:rPr/>
              <w:t>  ​ ​ ​</w:t>
            </w:r>
          </w:p>
        </w:tc>
        <w:tc>
          <w:tcPr>
            <w:tcW w:w="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58" w:type="dxa"/>
            <w:tcBorders/>
            <w:vAlign w:val="center"/>
          </w:tcPr>
          <w:p>
            <w:pPr>
              <w:pStyle w:val="TableContents"/>
              <w:bidi w:val="0"/>
              <w:spacing w:before="0" w:after="0"/>
              <w:ind w:left="0" w:right="0" w:hanging="0"/>
              <w:jc w:val="both"/>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Adjusted EBITDA margin:</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shd w:fill="CCEEFF" w:val="clear"/>
            <w:vAlign w:val="center"/>
          </w:tcPr>
          <w:p>
            <w:pPr>
              <w:pStyle w:val="TableContents"/>
              <w:bidi w:val="0"/>
              <w:spacing w:before="0" w:after="0"/>
              <w:ind w:left="0" w:right="0" w:hanging="0"/>
              <w:jc w:val="both"/>
              <w:rPr/>
            </w:pPr>
            <w:r>
              <w:rPr/>
              <w:t>​</w:t>
            </w:r>
          </w:p>
        </w:tc>
        <w:tc>
          <w:tcPr>
            <w:tcW w:w="674" w:type="dxa"/>
            <w:tcBorders/>
            <w:shd w:fill="CCEEFF" w:val="clear"/>
            <w:vAlign w:val="center"/>
          </w:tcPr>
          <w:p>
            <w:pPr>
              <w:pStyle w:val="TableContents"/>
              <w:bidi w:val="0"/>
              <w:spacing w:before="0" w:after="0"/>
              <w:ind w:left="0" w:right="0" w:hanging="0"/>
              <w:jc w:val="both"/>
              <w:rPr/>
            </w:pPr>
            <w:r>
              <w:rPr/>
              <w:t>​</w:t>
            </w:r>
          </w:p>
        </w:tc>
        <w:tc>
          <w:tcPr>
            <w:tcW w:w="388" w:type="dxa"/>
            <w:tcBorders/>
            <w:shd w:fill="CCEEFF" w:val="clear"/>
            <w:vAlign w:val="center"/>
          </w:tcPr>
          <w:p>
            <w:pPr>
              <w:pStyle w:val="TableContents"/>
              <w:bidi w:val="0"/>
              <w:spacing w:before="0" w:after="0"/>
              <w:ind w:left="0" w:right="0" w:hanging="0"/>
              <w:jc w:val="both"/>
              <w:rPr/>
            </w:pPr>
            <w:r>
              <w:rPr/>
              <w:t>​</w:t>
            </w:r>
          </w:p>
        </w:tc>
        <w:tc>
          <w:tcPr>
            <w:tcW w:w="122" w:type="dxa"/>
            <w:tcBorders/>
            <w:shd w:fill="CCEEFF" w:val="clear"/>
            <w:vAlign w:val="center"/>
          </w:tcPr>
          <w:p>
            <w:pPr>
              <w:pStyle w:val="TableContents"/>
              <w:bidi w:val="0"/>
              <w:spacing w:before="0" w:after="0"/>
              <w:ind w:left="0" w:right="0" w:hanging="0"/>
              <w:jc w:val="both"/>
              <w:rPr/>
            </w:pPr>
            <w:r>
              <w:rPr/>
              <w:t>​</w:t>
            </w:r>
          </w:p>
        </w:tc>
        <w:tc>
          <w:tcPr>
            <w:tcW w:w="674"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12" w:type="dxa"/>
            <w:tcBorders/>
            <w:shd w:fill="CCEEFF" w:val="clear"/>
            <w:vAlign w:val="center"/>
          </w:tcPr>
          <w:p>
            <w:pPr>
              <w:pStyle w:val="TableContents"/>
              <w:bidi w:val="0"/>
              <w:spacing w:before="0" w:after="0"/>
              <w:ind w:left="0" w:right="0" w:hanging="0"/>
              <w:jc w:val="both"/>
              <w:rPr/>
            </w:pPr>
            <w:r>
              <w:rPr/>
              <w:t>​</w:t>
            </w:r>
          </w:p>
        </w:tc>
        <w:tc>
          <w:tcPr>
            <w:tcW w:w="622" w:type="dxa"/>
            <w:tcBorders/>
            <w:shd w:fill="CCEEFF" w:val="clear"/>
            <w:vAlign w:val="center"/>
          </w:tcPr>
          <w:p>
            <w:pPr>
              <w:pStyle w:val="TableContents"/>
              <w:bidi w:val="0"/>
              <w:spacing w:before="0" w:after="0"/>
              <w:ind w:left="0" w:right="0" w:hanging="0"/>
              <w:jc w:val="both"/>
              <w:rPr/>
            </w:pPr>
            <w:r>
              <w:rPr/>
              <w:t>​</w:t>
            </w:r>
          </w:p>
        </w:tc>
        <w:tc>
          <w:tcPr>
            <w:tcW w:w="358" w:type="dxa"/>
            <w:tcBorders/>
            <w:shd w:fill="CCEEFF" w:val="clear"/>
            <w:vAlign w:val="center"/>
          </w:tcPr>
          <w:p>
            <w:pPr>
              <w:pStyle w:val="TableContents"/>
              <w:bidi w:val="0"/>
              <w:spacing w:before="0" w:after="0"/>
              <w:ind w:left="0" w:right="0" w:hanging="0"/>
              <w:jc w:val="both"/>
              <w:rPr/>
            </w:pPr>
            <w:r>
              <w:rPr/>
              <w:t>​</w:t>
            </w:r>
          </w:p>
        </w:tc>
        <w:tc>
          <w:tcPr>
            <w:tcW w:w="112" w:type="dxa"/>
            <w:tcBorders/>
            <w:shd w:fill="CCEEFF" w:val="clear"/>
            <w:vAlign w:val="center"/>
          </w:tcPr>
          <w:p>
            <w:pPr>
              <w:pStyle w:val="TableContents"/>
              <w:bidi w:val="0"/>
              <w:spacing w:before="0" w:after="0"/>
              <w:ind w:left="0" w:right="0" w:hanging="0"/>
              <w:jc w:val="both"/>
              <w:rPr/>
            </w:pPr>
            <w:r>
              <w:rPr/>
              <w:t>​</w:t>
            </w:r>
          </w:p>
        </w:tc>
        <w:tc>
          <w:tcPr>
            <w:tcW w:w="669" w:type="dxa"/>
            <w:tcBorders/>
            <w:shd w:fill="CCEEFF" w:val="clear"/>
            <w:vAlign w:val="center"/>
          </w:tcPr>
          <w:p>
            <w:pPr>
              <w:pStyle w:val="TableContents"/>
              <w:bidi w:val="0"/>
              <w:spacing w:before="0" w:after="0"/>
              <w:ind w:left="0" w:right="0" w:hanging="0"/>
              <w:jc w:val="both"/>
              <w:rPr/>
            </w:pPr>
            <w:r>
              <w:rPr/>
              <w:t>​</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margin</w:t>
            </w:r>
          </w:p>
        </w:tc>
        <w:tc>
          <w:tcPr>
            <w:tcW w:w="346" w:type="dxa"/>
            <w:tcBorders/>
            <w:vAlign w:val="center"/>
          </w:tcPr>
          <w:p>
            <w:pPr>
              <w:pStyle w:val="TableContents"/>
              <w:bidi w:val="0"/>
              <w:spacing w:before="0" w:after="0"/>
              <w:ind w:left="0" w:right="0" w:hanging="0"/>
              <w:jc w:val="both"/>
              <w:rPr/>
            </w:pPr>
            <w:r>
              <w:rPr/>
              <w:t>​</w:t>
            </w:r>
          </w:p>
        </w:tc>
        <w:tc>
          <w:tcPr>
            <w:tcW w:w="122" w:type="dxa"/>
            <w:tcBorders/>
            <w:vAlign w:val="center"/>
          </w:tcPr>
          <w:p>
            <w:pPr>
              <w:pStyle w:val="TableContents"/>
              <w:bidi w:val="0"/>
              <w:spacing w:before="0" w:after="0"/>
              <w:ind w:left="0" w:right="0" w:hanging="0"/>
              <w:jc w:val="both"/>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8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tc>
        <w:tc>
          <w:tcPr>
            <w:tcW w:w="34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2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58"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6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shd w:fill="CCEEFF" w:val="clear"/>
            <w:vAlign w:val="center"/>
          </w:tcPr>
          <w:p>
            <w:pPr>
              <w:pStyle w:val="TableContents"/>
              <w:bidi w:val="0"/>
              <w:spacing w:before="0" w:after="0"/>
              <w:ind w:left="0" w:right="0" w:hanging="0"/>
              <w:jc w:val="both"/>
              <w:rPr/>
            </w:pPr>
            <w:r>
              <w:rPr/>
              <w:t>​</w:t>
            </w:r>
          </w:p>
        </w:tc>
        <w:tc>
          <w:tcPr>
            <w:tcW w:w="6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88"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6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2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58"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6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0"/>
              <w:ind w:left="0" w:right="0" w:hanging="0"/>
              <w:jc w:val="both"/>
              <w:rPr/>
            </w:pPr>
            <w:r>
              <w:rPr/>
              <w:t>​</w:t>
            </w:r>
          </w:p>
        </w:tc>
        <w:tc>
          <w:tcPr>
            <w:tcW w:w="122" w:type="dxa"/>
            <w:tcBorders/>
            <w:vAlign w:val="center"/>
          </w:tcPr>
          <w:p>
            <w:pPr>
              <w:pStyle w:val="TableContents"/>
              <w:bidi w:val="0"/>
              <w:spacing w:before="0" w:after="0"/>
              <w:ind w:left="0" w:right="0" w:hanging="0"/>
              <w:jc w:val="both"/>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8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4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2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58"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6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88" w:type="dxa"/>
            <w:tcBorders/>
            <w:shd w:fill="CCEEFF" w:val="clear"/>
            <w:vAlign w:val="center"/>
          </w:tcPr>
          <w:p>
            <w:pPr>
              <w:pStyle w:val="TableContents"/>
              <w:bidi w:val="0"/>
              <w:spacing w:before="0" w:after="0"/>
              <w:ind w:left="0" w:right="0" w:hanging="0"/>
              <w:jc w:val="right"/>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6" w:type="dxa"/>
            <w:tcBorders/>
            <w:shd w:fill="CCEEFF" w:val="clear"/>
            <w:vAlign w:val="center"/>
          </w:tcPr>
          <w:p>
            <w:pPr>
              <w:pStyle w:val="TableContents"/>
              <w:bidi w:val="0"/>
              <w:spacing w:before="0" w:after="0"/>
              <w:ind w:left="0" w:right="0" w:hanging="0"/>
              <w:jc w:val="righ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58" w:type="dxa"/>
            <w:tcBorders/>
            <w:shd w:fill="CCEEFF" w:val="clear"/>
            <w:vAlign w:val="center"/>
          </w:tcPr>
          <w:p>
            <w:pPr>
              <w:pStyle w:val="TableContents"/>
              <w:bidi w:val="0"/>
              <w:spacing w:before="0" w:after="0"/>
              <w:ind w:left="0" w:right="0" w:hanging="0"/>
              <w:jc w:val="righ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 margin</w:t>
            </w:r>
          </w:p>
        </w:tc>
        <w:tc>
          <w:tcPr>
            <w:tcW w:w="346" w:type="dxa"/>
            <w:tcBorders/>
            <w:vAlign w:val="center"/>
          </w:tcPr>
          <w:p>
            <w:pPr>
              <w:pStyle w:val="TableContents"/>
              <w:bidi w:val="0"/>
              <w:spacing w:before="0" w:after="0"/>
              <w:ind w:left="0" w:right="0" w:hanging="0"/>
              <w:jc w:val="both"/>
              <w:rPr/>
            </w:pPr>
            <w:r>
              <w:rPr/>
              <w:t>​</w:t>
            </w:r>
          </w:p>
        </w:tc>
        <w:tc>
          <w:tcPr>
            <w:tcW w:w="122" w:type="dxa"/>
            <w:tcBorders/>
            <w:vAlign w:val="center"/>
          </w:tcPr>
          <w:p>
            <w:pPr>
              <w:pStyle w:val="TableContents"/>
              <w:bidi w:val="0"/>
              <w:spacing w:before="0" w:after="0"/>
              <w:ind w:left="0" w:right="0" w:hanging="0"/>
              <w:jc w:val="both"/>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c>
          <w:tcPr>
            <w:tcW w:w="38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4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2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c>
          <w:tcPr>
            <w:tcW w:w="358"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6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shd w:fill="CCEEFF" w:val="clear"/>
            <w:vAlign w:val="center"/>
          </w:tcPr>
          <w:p>
            <w:pPr>
              <w:pStyle w:val="TableContents"/>
              <w:bidi w:val="0"/>
              <w:spacing w:before="0" w:after="0"/>
              <w:ind w:left="0" w:right="0" w:hanging="0"/>
              <w:jc w:val="both"/>
              <w:rPr/>
            </w:pPr>
            <w:r>
              <w:rPr/>
              <w:t>​</w:t>
            </w:r>
          </w:p>
        </w:tc>
        <w:tc>
          <w:tcPr>
            <w:tcW w:w="6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88"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2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58"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6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lease termination and/or remeasurement (b)</w:t>
            </w:r>
          </w:p>
        </w:tc>
        <w:tc>
          <w:tcPr>
            <w:tcW w:w="346" w:type="dxa"/>
            <w:tcBorders/>
            <w:vAlign w:val="center"/>
          </w:tcPr>
          <w:p>
            <w:pPr>
              <w:pStyle w:val="TableContents"/>
              <w:bidi w:val="0"/>
              <w:spacing w:before="0" w:after="0"/>
              <w:ind w:left="0" w:right="0" w:hanging="0"/>
              <w:jc w:val="both"/>
              <w:rPr/>
            </w:pPr>
            <w:r>
              <w:rPr/>
              <w:t>​</w:t>
            </w:r>
          </w:p>
        </w:tc>
        <w:tc>
          <w:tcPr>
            <w:tcW w:w="122" w:type="dxa"/>
            <w:tcBorders/>
            <w:vAlign w:val="center"/>
          </w:tcPr>
          <w:p>
            <w:pPr>
              <w:pStyle w:val="TableContents"/>
              <w:bidi w:val="0"/>
              <w:spacing w:before="0" w:after="0"/>
              <w:ind w:left="0" w:right="0" w:hanging="0"/>
              <w:jc w:val="both"/>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8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2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58"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6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 net (c)</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shd w:fill="CCEEFF" w:val="clear"/>
            <w:vAlign w:val="center"/>
          </w:tcPr>
          <w:p>
            <w:pPr>
              <w:pStyle w:val="TableContents"/>
              <w:bidi w:val="0"/>
              <w:spacing w:before="0" w:after="0"/>
              <w:ind w:left="0" w:right="0" w:hanging="0"/>
              <w:jc w:val="both"/>
              <w:rPr/>
            </w:pPr>
            <w:r>
              <w:rPr/>
              <w:t>​</w:t>
            </w:r>
          </w:p>
        </w:tc>
        <w:tc>
          <w:tcPr>
            <w:tcW w:w="6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88"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6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2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58"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66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(d)</w:t>
            </w:r>
          </w:p>
        </w:tc>
        <w:tc>
          <w:tcPr>
            <w:tcW w:w="346" w:type="dxa"/>
            <w:tcBorders/>
            <w:vAlign w:val="center"/>
          </w:tcPr>
          <w:p>
            <w:pPr>
              <w:pStyle w:val="TableContents"/>
              <w:bidi w:val="0"/>
              <w:spacing w:before="0" w:after="0"/>
              <w:ind w:left="0" w:right="0" w:hanging="0"/>
              <w:jc w:val="both"/>
              <w:rPr/>
            </w:pPr>
            <w:r>
              <w:rPr/>
              <w:t>​</w:t>
            </w:r>
          </w:p>
        </w:tc>
        <w:tc>
          <w:tcPr>
            <w:tcW w:w="122" w:type="dxa"/>
            <w:tcBorders/>
            <w:vAlign w:val="center"/>
          </w:tcPr>
          <w:p>
            <w:pPr>
              <w:pStyle w:val="TableContents"/>
              <w:bidi w:val="0"/>
              <w:spacing w:before="0" w:after="0"/>
              <w:ind w:left="0" w:right="0" w:hanging="0"/>
              <w:jc w:val="both"/>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8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6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34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2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c>
          <w:tcPr>
            <w:tcW w:w="358"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right"/>
              <w:rPr/>
            </w:pPr>
            <w:r>
              <w:rPr/>
              <w:t>​</w:t>
            </w:r>
          </w:p>
        </w:tc>
        <w:tc>
          <w:tcPr>
            <w:tcW w:w="66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(e)</w:t>
            </w:r>
          </w:p>
        </w:tc>
        <w:tc>
          <w:tcPr>
            <w:tcW w:w="346" w:type="dxa"/>
            <w:tcBorders/>
            <w:shd w:fill="CCEEFF" w:val="clear"/>
            <w:vAlign w:val="center"/>
          </w:tcPr>
          <w:p>
            <w:pPr>
              <w:pStyle w:val="TableContents"/>
              <w:bidi w:val="0"/>
              <w:spacing w:before="0" w:after="0"/>
              <w:ind w:left="0" w:right="0" w:hanging="0"/>
              <w:jc w:val="both"/>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right"/>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shd w:fill="CCEEFF" w:val="clear"/>
            <w:vAlign w:val="center"/>
          </w:tcPr>
          <w:p>
            <w:pPr>
              <w:pStyle w:val="TableContents"/>
              <w:bidi w:val="0"/>
              <w:spacing w:before="0" w:after="0"/>
              <w:ind w:left="0" w:right="0" w:hanging="0"/>
              <w:jc w:val="righ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58" w:type="dxa"/>
            <w:tcBorders/>
            <w:shd w:fill="CCEEFF" w:val="clear"/>
            <w:vAlign w:val="center"/>
          </w:tcPr>
          <w:p>
            <w:pPr>
              <w:pStyle w:val="TableContents"/>
              <w:bidi w:val="0"/>
              <w:spacing w:before="0" w:after="0"/>
              <w:ind w:left="0" w:right="0" w:hanging="0"/>
              <w:jc w:val="righ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 margin</w:t>
            </w:r>
          </w:p>
        </w:tc>
        <w:tc>
          <w:tcPr>
            <w:tcW w:w="346" w:type="dxa"/>
            <w:tcBorders/>
            <w:vAlign w:val="center"/>
          </w:tcPr>
          <w:p>
            <w:pPr>
              <w:pStyle w:val="TableContents"/>
              <w:bidi w:val="0"/>
              <w:spacing w:before="0" w:after="0"/>
              <w:ind w:left="0" w:right="0" w:hanging="0"/>
              <w:jc w:val="both"/>
              <w:rPr/>
            </w:pPr>
            <w:r>
              <w:rPr/>
              <w:t>​</w:t>
            </w:r>
          </w:p>
        </w:tc>
        <w:tc>
          <w:tcPr>
            <w:tcW w:w="122"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w:t>
            </w:r>
          </w:p>
        </w:tc>
        <w:tc>
          <w:tcPr>
            <w:tcW w:w="388" w:type="dxa"/>
            <w:tcBorders/>
            <w:vAlign w:val="center"/>
          </w:tcPr>
          <w:p>
            <w:pPr>
              <w:pStyle w:val="TableContents"/>
              <w:bidi w:val="0"/>
              <w:spacing w:before="0" w:after="0"/>
              <w:ind w:left="0" w:right="0" w:hanging="0"/>
              <w:jc w:val="right"/>
              <w:rPr/>
            </w:pPr>
            <w:r>
              <w:rPr/>
              <w:t>​</w:t>
            </w:r>
          </w:p>
        </w:tc>
        <w:tc>
          <w:tcPr>
            <w:tcW w:w="1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c>
          <w:tcPr>
            <w:tcW w:w="346" w:type="dxa"/>
            <w:tcBorders/>
            <w:vAlign w:val="center"/>
          </w:tcPr>
          <w:p>
            <w:pPr>
              <w:pStyle w:val="TableContents"/>
              <w:bidi w:val="0"/>
              <w:spacing w:before="0" w:after="0"/>
              <w:ind w:left="0" w:right="0" w:hanging="0"/>
              <w:jc w:val="right"/>
              <w:rPr/>
            </w:pPr>
            <w:r>
              <w:rPr/>
              <w:t>​</w:t>
            </w:r>
          </w:p>
        </w:tc>
        <w:tc>
          <w:tcPr>
            <w:tcW w:w="1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2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w:t>
            </w:r>
          </w:p>
        </w:tc>
        <w:tc>
          <w:tcPr>
            <w:tcW w:w="358" w:type="dxa"/>
            <w:tcBorders/>
            <w:vAlign w:val="center"/>
          </w:tcPr>
          <w:p>
            <w:pPr>
              <w:pStyle w:val="TableContents"/>
              <w:bidi w:val="0"/>
              <w:spacing w:before="0" w:after="0"/>
              <w:ind w:left="0" w:right="0" w:hanging="0"/>
              <w:jc w:val="right"/>
              <w:rPr/>
            </w:pPr>
            <w:r>
              <w:rPr/>
              <w:t>​</w:t>
            </w:r>
          </w:p>
        </w:tc>
        <w:tc>
          <w:tcPr>
            <w:tcW w:w="1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6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5.1%</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long-lived asset impairment charges related to the RV and Outdoor Retail segment. See Note 5 –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77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the (gain) loss on termination of operating leases resulting from lease termination fees and the derecognition of the operating lease assets and liabilities. </w:t>
            </w:r>
          </w:p>
        </w:tc>
      </w:tr>
    </w:tbl>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an adjustment to eliminate the gains and losses on disposals and sales of various assets.</w:t>
            </w:r>
          </w:p>
        </w:tc>
      </w:tr>
    </w:tbl>
    <w:tbl>
      <w:tblPr>
        <w:tblW w:w="7371" w:type="dxa"/>
        <w:jc w:val="left"/>
        <w:tblInd w:w="0" w:type="dxa"/>
        <w:tblLayout w:type="fixed"/>
        <w:tblCellMar>
          <w:top w:w="28" w:type="dxa"/>
          <w:left w:w="28" w:type="dxa"/>
          <w:bottom w:w="28" w:type="dxa"/>
          <w:right w:w="28" w:type="dxa"/>
        </w:tblCellMar>
      </w:tblPr>
      <w:tblGrid>
        <w:gridCol w:w="124"/>
        <w:gridCol w:w="31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693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0"/>
                <w:sz w:val="16"/>
              </w:rPr>
              <w:t>Represents SBC expense relating to employees, directors, and consultants of the Company.</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977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Represents losses and/or impairment on investments in equity securities and interest income relating to any notes receivables with those investments. </w:t>
            </w:r>
          </w:p>
        </w:tc>
      </w:tr>
    </w:tbl>
    <w:p>
      <w:pPr>
        <w:pStyle w:val="TextBody"/>
        <w:bidi w:val="0"/>
        <w:spacing w:before="0" w:after="80"/>
        <w:ind w:left="420" w:right="0" w:hanging="0"/>
        <w:jc w:val="both"/>
        <w:rPr>
          <w:spacing w:val="-3"/>
        </w:rPr>
      </w:pPr>
      <w:r>
        <w:rPr>
          <w:spacing w:val="-3"/>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Adjusted Net Income Attributable to Camping World Holdings, Inc. and Adjusted Earnings Per Share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We define “Adjusted Net Income Attributable to Camping World Holdings, Inc. – Basic” as net income attributable to Camping World Holdings, Inc. adjusted for the impact of certain noncash and other items that we do not consider in our evaluation of ongoing operating performance. These items include, among other things, long-lived asset impairment, (gain) loss on lease termination and/or remeasurement, (gain) loss on sale or disposal of assets, net, SBC, loss and/or impairment on investments in equity securities, other unusual or one-time items, the income tax benefit (expense) effect of these adjustments, income tax expense impact from significant change in valuation allowance against deferred tax assets, and the effect of net loss attributable to non-controlling interests from these adjustments.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Net Income Attributable to Camping World Holdings, Inc. – Diluted” as Adjusted Net Income Attributable to Camping World Holdings, Inc. – Basic adjusted for the reallocation of net income attributable to non-controlling interests from stock options, performance stock units (“PSU”), and restricted stock units (“RSU”), if dilutive, or the assumed redemption, if dilutive, of all outstanding common units in CWGS, LLC for shares of newly-issued Class A common stock of Camping World Holdings, Inc.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Earnings Per Share – Basic” as Adjusted Net Income Attributable to Camping World Holdings, Inc. - Basic divided by the weighted-average shares of Class A common stock outstanding. We define “Adjusted Earnings Per Share – Diluted” as Adjusted Net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Income Attributable to Camping World Holdings, Inc. – Basic, Adjusted Net Income Attributable to Camping World Holdings, Inc. – Diluted, Adjusted Earnings Per Share – Basic, and Adjusted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Adjusted Net Income Attributable to Camping World Holdings, Inc. – Basic, Adjusted Net Income Attributable to Camping World Holdings, Inc. – Diluted, Adjusted Earnings Per Share – Basic, and Adjusted Earnings Per Share – Diluted to the most directly comparable GAAP financial performance measure:</w:t>
      </w:r>
    </w:p>
    <w:tbl>
      <w:tblPr>
        <w:tblW w:w="10205" w:type="dxa"/>
        <w:jc w:val="left"/>
        <w:tblInd w:w="0" w:type="dxa"/>
        <w:tblLayout w:type="fixed"/>
        <w:tblCellMar>
          <w:top w:w="0" w:type="dxa"/>
          <w:left w:w="0" w:type="dxa"/>
          <w:bottom w:w="0" w:type="dxa"/>
          <w:right w:w="0" w:type="dxa"/>
        </w:tblCellMar>
      </w:tblPr>
      <w:tblGrid>
        <w:gridCol w:w="5459"/>
        <w:gridCol w:w="346"/>
        <w:gridCol w:w="196"/>
        <w:gridCol w:w="613"/>
        <w:gridCol w:w="346"/>
        <w:gridCol w:w="196"/>
        <w:gridCol w:w="613"/>
        <w:gridCol w:w="346"/>
        <w:gridCol w:w="196"/>
        <w:gridCol w:w="613"/>
        <w:gridCol w:w="346"/>
        <w:gridCol w:w="196"/>
        <w:gridCol w:w="739"/>
      </w:tblGrid>
      <w:tr>
        <w:trPr/>
        <w:tc>
          <w:tcPr>
            <w:tcW w:w="54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732915" cy="175260"/>
                      <wp:effectExtent l="0" t="0" r="0" b="0"/>
                      <wp:wrapNone/>
                      <wp:docPr id="470" name="Frame470"/>
                      <a:graphic xmlns:a="http://schemas.openxmlformats.org/drawingml/2006/main">
                        <a:graphicData uri="http://schemas.microsoft.com/office/word/2010/wordprocessingShape">
                          <wps:wsp>
                            <wps:cNvSpPr txBox="1"/>
                            <wps:spPr>
                              <a:xfrm>
                                <a:off x="0" y="0"/>
                                <a:ext cx="173291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09855" cy="175260"/>
                      <wp:effectExtent l="0" t="0" r="0" b="0"/>
                      <wp:wrapNone/>
                      <wp:docPr id="471" name="Frame471"/>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2230" cy="175260"/>
                      <wp:effectExtent l="0" t="0" r="0" b="0"/>
                      <wp:wrapNone/>
                      <wp:docPr id="472" name="Frame472"/>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94310" cy="175260"/>
                      <wp:effectExtent l="0" t="0" r="0" b="0"/>
                      <wp:wrapNone/>
                      <wp:docPr id="473" name="Frame473"/>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09855" cy="175260"/>
                      <wp:effectExtent l="0" t="0" r="0" b="0"/>
                      <wp:wrapNone/>
                      <wp:docPr id="474" name="Frame47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2230" cy="175260"/>
                      <wp:effectExtent l="0" t="0" r="0" b="0"/>
                      <wp:wrapNone/>
                      <wp:docPr id="475" name="Frame475"/>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94310" cy="175260"/>
                      <wp:effectExtent l="0" t="0" r="0" b="0"/>
                      <wp:wrapNone/>
                      <wp:docPr id="476" name="Frame47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09855" cy="175260"/>
                      <wp:effectExtent l="0" t="0" r="0" b="0"/>
                      <wp:wrapNone/>
                      <wp:docPr id="477" name="Frame477"/>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2230" cy="175260"/>
                      <wp:effectExtent l="0" t="0" r="0" b="0"/>
                      <wp:wrapNone/>
                      <wp:docPr id="478" name="Frame478"/>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6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94310" cy="175260"/>
                      <wp:effectExtent l="0" t="0" r="0" b="0"/>
                      <wp:wrapNone/>
                      <wp:docPr id="479" name="Frame479"/>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09855" cy="175260"/>
                      <wp:effectExtent l="0" t="0" r="0" b="0"/>
                      <wp:wrapNone/>
                      <wp:docPr id="480" name="Frame480"/>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2230" cy="175260"/>
                      <wp:effectExtent l="0" t="0" r="0" b="0"/>
                      <wp:wrapNone/>
                      <wp:docPr id="481" name="Frame481"/>
                      <a:graphic xmlns:a="http://schemas.openxmlformats.org/drawingml/2006/main">
                        <a:graphicData uri="http://schemas.microsoft.com/office/word/2010/wordprocessingShape">
                          <wps:wsp>
                            <wps:cNvSpPr txBox="1"/>
                            <wps:spPr>
                              <a:xfrm>
                                <a:off x="0" y="0"/>
                                <a:ext cx="622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73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34315" cy="175260"/>
                      <wp:effectExtent l="0" t="0" r="0" b="0"/>
                      <wp:wrapNone/>
                      <wp:docPr id="482" name="Frame48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r>
      <w:tr>
        <w:trPr/>
        <w:tc>
          <w:tcPr>
            <w:tcW w:w="5459" w:type="dxa"/>
            <w:tcBorders/>
            <w:vAlign w:val="center"/>
          </w:tcPr>
          <w:p>
            <w:pPr>
              <w:pStyle w:val="TableHeading"/>
              <w:bidi w:val="0"/>
              <w:spacing w:before="0" w:after="0"/>
              <w:ind w:left="0" w:right="0" w:hanging="0"/>
              <w:jc w:val="both"/>
              <w:rPr/>
            </w:pPr>
            <w:r>
              <w:rPr/>
              <w:t>​</w:t>
            </w:r>
          </w:p>
        </w:tc>
        <w:tc>
          <w:tcPr>
            <w:tcW w:w="346" w:type="dxa"/>
            <w:tcBorders/>
            <w:vAlign w:val="center"/>
          </w:tcPr>
          <w:p>
            <w:pPr>
              <w:pStyle w:val="TableHeading"/>
              <w:bidi w:val="0"/>
              <w:spacing w:before="0" w:after="0"/>
              <w:ind w:left="0" w:right="0" w:hanging="0"/>
              <w:jc w:val="both"/>
              <w:rPr/>
            </w:pPr>
            <w:r>
              <w:rPr/>
              <w:t>​</w:t>
            </w:r>
          </w:p>
        </w:tc>
        <w:tc>
          <w:tcPr>
            <w:tcW w:w="1964"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Heading"/>
              <w:bidi w:val="0"/>
              <w:spacing w:before="0" w:after="0"/>
              <w:ind w:left="0" w:right="0" w:hanging="0"/>
              <w:jc w:val="both"/>
              <w:rPr/>
            </w:pPr>
            <w:r>
              <w:rPr/>
              <w:t>​</w:t>
            </w:r>
          </w:p>
        </w:tc>
        <w:tc>
          <w:tcPr>
            <w:tcW w:w="2090"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5459"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val="false"/>
                <w:sz w:val="13"/>
              </w:rPr>
            </w:pPr>
            <w:r>
              <w:rPr>
                <w:rFonts w:ascii="Arial;Helvetica;sans-serif" w:hAnsi="Arial;Helvetica;sans-serif"/>
                <w:b w:val="false"/>
                <w:sz w:val="13"/>
              </w:rPr>
              <w:t>(In thousands except per share amounts)</w:t>
            </w:r>
          </w:p>
        </w:tc>
        <w:tc>
          <w:tcPr>
            <w:tcW w:w="346" w:type="dxa"/>
            <w:tcBorders/>
            <w:vAlign w:val="center"/>
          </w:tcPr>
          <w:p>
            <w:pPr>
              <w:pStyle w:val="TableHeading"/>
              <w:bidi w:val="0"/>
              <w:spacing w:before="0" w:after="0"/>
              <w:ind w:left="0" w:right="0" w:hanging="0"/>
              <w:jc w:val="both"/>
              <w:rPr/>
            </w:pPr>
            <w:r>
              <w:rPr/>
              <w:t>  ​ ​ ​</w:t>
            </w:r>
          </w:p>
        </w:tc>
        <w:tc>
          <w:tcPr>
            <w:tcW w:w="80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Heading"/>
              <w:bidi w:val="0"/>
              <w:spacing w:before="0" w:after="0"/>
              <w:ind w:left="0" w:right="0" w:hanging="0"/>
              <w:jc w:val="both"/>
              <w:rPr/>
            </w:pPr>
            <w:r>
              <w:rPr/>
              <w:t>  ​ ​ ​</w:t>
            </w:r>
          </w:p>
        </w:tc>
        <w:tc>
          <w:tcPr>
            <w:tcW w:w="80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Heading"/>
              <w:bidi w:val="0"/>
              <w:spacing w:before="0" w:after="0"/>
              <w:ind w:left="0" w:right="0" w:hanging="0"/>
              <w:jc w:val="both"/>
              <w:rPr/>
            </w:pPr>
            <w:r>
              <w:rPr/>
              <w:t>  ​ ​ ​</w:t>
            </w:r>
          </w:p>
        </w:tc>
        <w:tc>
          <w:tcPr>
            <w:tcW w:w="80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Heading"/>
              <w:bidi w:val="0"/>
              <w:spacing w:before="0" w:after="0"/>
              <w:ind w:left="0" w:right="0" w:hanging="0"/>
              <w:jc w:val="both"/>
              <w:rPr/>
            </w:pPr>
            <w:r>
              <w:rPr/>
              <w:t>  ​ ​ ​</w:t>
            </w:r>
          </w:p>
        </w:tc>
        <w:tc>
          <w:tcPr>
            <w:tcW w:w="935"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39" w:type="dxa"/>
            <w:tcBorders/>
            <w:shd w:fill="CCEEFF" w:val="clear"/>
            <w:vAlign w:val="center"/>
          </w:tcPr>
          <w:p>
            <w:pPr>
              <w:pStyle w:val="TableContents"/>
              <w:bidi w:val="0"/>
              <w:spacing w:before="0" w:after="0"/>
              <w:ind w:left="0" w:right="0" w:hanging="0"/>
              <w:jc w:val="both"/>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income attributable to Camping World Holdings, Inc.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26,860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30,216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17,936</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basic calculation:</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lease termination and/or remeasurement (c):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 for above adjustment (b)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(Gain) loss on sale or disposal of assets (d):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benefit for above adjustment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4,384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8,444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15,714</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(2,404)</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(f):</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2,757</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(421)</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 to net income attributable to non-controlling interests resulting from the above adjustments (g)</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(5,939)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(7,139)</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income attributable to Camping World Holdings, Inc. – basic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36,338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35,768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23,107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26,337</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attributable to non-controlling interests from the dilutive effect of stock options, PSUs, and RSUs (h)</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attributable to non-controlling interests from the dilutive effect of stock options, PSUs and RSUs (i)</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attributable to non-controlling interests from the dilutive redemption of common units in CWGS, LLC (h)</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22,043</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attributable to non-controlling interests from the dilutive redemption of common units in CWGS, LLC (i)</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(5,637)</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income attributable to Camping World Holdings, Inc. – diluted</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36,449</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35,800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23,164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42,743</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Class A common shares outstanding – basic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63,668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62,610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63,573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62,571</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redemption of common units in CWGS, LLC for shares of Class A common stock (j)</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liability-classified awards (j)</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PSUs and RSUs (j)</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weighted average Class A common shares outstanding – diluted</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64,175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62,747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64,166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102,661</w:t>
            </w:r>
          </w:p>
        </w:tc>
      </w:tr>
      <w:tr>
        <w:trPr/>
        <w:tc>
          <w:tcPr>
            <w:tcW w:w="545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per share - basic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per share - diluted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r>
      <w:tr>
        <w:trPr/>
        <w:tc>
          <w:tcPr>
            <w:tcW w:w="545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Anti-dilutive amounts (k):</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income attributable to non-controlling interests from the anti-dilutive redemption of common units in CWGS, LLC (h)</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22,681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31,983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14,470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income attributable to non-controlling interests from the anti-dilutive redemption of common units in CWGS, LLC (i)</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459"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r>
      <w:tr>
        <w:trPr/>
        <w:tc>
          <w:tcPr>
            <w:tcW w:w="545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Anti-dilutive redemption of common units in CWGS, LLC for shares of Class A common stock (j)</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8699" w:type="dxa"/>
        <w:jc w:val="left"/>
        <w:tblInd w:w="0" w:type="dxa"/>
        <w:tblLayout w:type="fixed"/>
        <w:tblCellMar>
          <w:top w:w="0" w:type="dxa"/>
          <w:left w:w="0" w:type="dxa"/>
          <w:bottom w:w="0" w:type="dxa"/>
          <w:right w:w="0" w:type="dxa"/>
        </w:tblCellMar>
      </w:tblPr>
      <w:tblGrid>
        <w:gridCol w:w="4156"/>
        <w:gridCol w:w="346"/>
        <w:gridCol w:w="245"/>
        <w:gridCol w:w="527"/>
        <w:gridCol w:w="433"/>
        <w:gridCol w:w="245"/>
        <w:gridCol w:w="527"/>
        <w:gridCol w:w="346"/>
        <w:gridCol w:w="218"/>
        <w:gridCol w:w="468"/>
        <w:gridCol w:w="385"/>
        <w:gridCol w:w="218"/>
        <w:gridCol w:w="585"/>
      </w:tblGrid>
      <w:tr>
        <w:trPr/>
        <w:tc>
          <w:tcPr>
            <w:tcW w:w="415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19530" cy="175260"/>
                      <wp:effectExtent l="0" t="0" r="0" b="0"/>
                      <wp:wrapNone/>
                      <wp:docPr id="483" name="Frame483"/>
                      <a:graphic xmlns:a="http://schemas.openxmlformats.org/drawingml/2006/main">
                        <a:graphicData uri="http://schemas.microsoft.com/office/word/2010/wordprocessingShape">
                          <wps:wsp>
                            <wps:cNvSpPr txBox="1"/>
                            <wps:spPr>
                              <a:xfrm>
                                <a:off x="0" y="0"/>
                                <a:ext cx="131953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09855" cy="175260"/>
                      <wp:effectExtent l="0" t="0" r="0" b="0"/>
                      <wp:wrapNone/>
                      <wp:docPr id="484" name="Frame48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24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7470" cy="175260"/>
                      <wp:effectExtent l="0" t="0" r="0" b="0"/>
                      <wp:wrapNone/>
                      <wp:docPr id="485" name="Frame48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52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67005" cy="175260"/>
                      <wp:effectExtent l="0" t="0" r="0" b="0"/>
                      <wp:wrapNone/>
                      <wp:docPr id="486" name="Frame48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43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7160" cy="175260"/>
                      <wp:effectExtent l="0" t="0" r="0" b="0"/>
                      <wp:wrapNone/>
                      <wp:docPr id="487" name="Frame48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24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77470" cy="175260"/>
                      <wp:effectExtent l="0" t="0" r="0" b="0"/>
                      <wp:wrapNone/>
                      <wp:docPr id="488" name="Frame488"/>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52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67005" cy="175260"/>
                      <wp:effectExtent l="0" t="0" r="0" b="0"/>
                      <wp:wrapNone/>
                      <wp:docPr id="489" name="Frame48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09855" cy="175260"/>
                      <wp:effectExtent l="0" t="0" r="0" b="0"/>
                      <wp:wrapNone/>
                      <wp:docPr id="490" name="Frame490"/>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9215" cy="175260"/>
                      <wp:effectExtent l="0" t="0" r="0" b="0"/>
                      <wp:wrapNone/>
                      <wp:docPr id="491"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46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48590" cy="175260"/>
                      <wp:effectExtent l="0" t="0" r="0" b="0"/>
                      <wp:wrapNone/>
                      <wp:docPr id="492" name="Frame49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3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21920" cy="175260"/>
                      <wp:effectExtent l="0" t="0" r="0" b="0"/>
                      <wp:wrapNone/>
                      <wp:docPr id="493" name="Frame49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c>
          <w:tcPr>
            <w:tcW w:w="5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85420" cy="175260"/>
                      <wp:effectExtent l="0" t="0" r="0" b="0"/>
                      <wp:wrapNone/>
                      <wp:docPr id="495" name="Frame49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Heading"/>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w:t>
                            </w:r>
                          </w:p>
                        </w:txbxContent>
                      </v:textbox>
                      <w10:wrap type="none"/>
                    </v:rect>
                  </w:pict>
                </mc:Fallback>
              </mc:AlternateContent>
            </w:r>
          </w:p>
        </w:tc>
      </w:tr>
      <w:tr>
        <w:trPr/>
        <w:tc>
          <w:tcPr>
            <w:tcW w:w="4156" w:type="dxa"/>
            <w:tcBorders/>
            <w:vAlign w:val="center"/>
          </w:tcPr>
          <w:p>
            <w:pPr>
              <w:pStyle w:val="TableHeading"/>
              <w:bidi w:val="0"/>
              <w:spacing w:before="0" w:after="0"/>
              <w:ind w:left="0" w:right="0" w:hanging="0"/>
              <w:jc w:val="both"/>
              <w:rPr/>
            </w:pPr>
            <w:r>
              <w:rPr/>
              <w:t>​</w:t>
            </w:r>
          </w:p>
        </w:tc>
        <w:tc>
          <w:tcPr>
            <w:tcW w:w="346" w:type="dxa"/>
            <w:tcBorders/>
            <w:vAlign w:val="center"/>
          </w:tcPr>
          <w:p>
            <w:pPr>
              <w:pStyle w:val="TableHeading"/>
              <w:bidi w:val="0"/>
              <w:spacing w:before="0" w:after="0"/>
              <w:ind w:left="0" w:right="0" w:hanging="0"/>
              <w:jc w:val="both"/>
              <w:rPr/>
            </w:pPr>
            <w:r>
              <w:rPr/>
              <w:t>​</w:t>
            </w:r>
          </w:p>
        </w:tc>
        <w:tc>
          <w:tcPr>
            <w:tcW w:w="1977"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346" w:type="dxa"/>
            <w:tcBorders/>
            <w:vAlign w:val="center"/>
          </w:tcPr>
          <w:p>
            <w:pPr>
              <w:pStyle w:val="TableHeading"/>
              <w:bidi w:val="0"/>
              <w:spacing w:before="0" w:after="0"/>
              <w:ind w:left="0" w:right="0" w:hanging="0"/>
              <w:jc w:val="both"/>
              <w:rPr/>
            </w:pPr>
            <w:r>
              <w:rPr/>
              <w:t>​</w:t>
            </w:r>
          </w:p>
        </w:tc>
        <w:tc>
          <w:tcPr>
            <w:tcW w:w="1874"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156"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val="false"/>
                <w:sz w:val="13"/>
              </w:rPr>
            </w:pPr>
            <w:r>
              <w:rPr>
                <w:rFonts w:ascii="Arial;Helvetica;sans-serif" w:hAnsi="Arial;Helvetica;sans-serif"/>
                <w:b w:val="false"/>
                <w:sz w:val="13"/>
              </w:rPr>
              <w:t>(In thousands except per share amounts)</w:t>
            </w:r>
          </w:p>
        </w:tc>
        <w:tc>
          <w:tcPr>
            <w:tcW w:w="346" w:type="dxa"/>
            <w:tcBorders/>
            <w:vAlign w:val="center"/>
          </w:tcPr>
          <w:p>
            <w:pPr>
              <w:pStyle w:val="TableHeading"/>
              <w:bidi w:val="0"/>
              <w:spacing w:before="0" w:after="0"/>
              <w:ind w:left="0" w:right="0" w:hanging="0"/>
              <w:jc w:val="both"/>
              <w:rPr/>
            </w:pPr>
            <w:r>
              <w:rPr/>
              <w:t>  ​ ​ ​</w:t>
            </w:r>
          </w:p>
        </w:tc>
        <w:tc>
          <w:tcPr>
            <w:tcW w:w="772"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433" w:type="dxa"/>
            <w:tcBorders/>
            <w:vAlign w:val="center"/>
          </w:tcPr>
          <w:p>
            <w:pPr>
              <w:pStyle w:val="TableHeading"/>
              <w:bidi w:val="0"/>
              <w:spacing w:before="0" w:after="0"/>
              <w:ind w:left="0" w:right="0" w:hanging="0"/>
              <w:jc w:val="both"/>
              <w:rPr/>
            </w:pPr>
            <w:r>
              <w:rPr/>
              <w:t>  ​ ​ ​</w:t>
            </w:r>
          </w:p>
        </w:tc>
        <w:tc>
          <w:tcPr>
            <w:tcW w:w="772"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346" w:type="dxa"/>
            <w:tcBorders/>
            <w:vAlign w:val="center"/>
          </w:tcPr>
          <w:p>
            <w:pPr>
              <w:pStyle w:val="TableHeading"/>
              <w:bidi w:val="0"/>
              <w:spacing w:before="0" w:after="0"/>
              <w:ind w:left="0" w:right="0" w:hanging="0"/>
              <w:jc w:val="both"/>
              <w:rPr/>
            </w:pPr>
            <w:r>
              <w:rPr/>
              <w:t>  ​ ​ ​</w:t>
            </w:r>
          </w:p>
        </w:tc>
        <w:tc>
          <w:tcPr>
            <w:tcW w:w="686"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85" w:type="dxa"/>
            <w:tcBorders/>
            <w:vAlign w:val="center"/>
          </w:tcPr>
          <w:p>
            <w:pPr>
              <w:pStyle w:val="TableHeading"/>
              <w:bidi w:val="0"/>
              <w:spacing w:before="0" w:after="0"/>
              <w:ind w:left="0" w:right="0" w:hanging="0"/>
              <w:jc w:val="both"/>
              <w:rPr/>
            </w:pPr>
            <w:r>
              <w:rPr/>
              <w:t>  ​ ​ ​</w:t>
            </w:r>
          </w:p>
        </w:tc>
        <w:tc>
          <w:tcPr>
            <w:tcW w:w="803"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156"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Reconciliation of per share amounts:</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527" w:type="dxa"/>
            <w:tcBorders/>
            <w:vAlign w:val="center"/>
          </w:tcPr>
          <w:p>
            <w:pPr>
              <w:pStyle w:val="TableContents"/>
              <w:bidi w:val="0"/>
              <w:spacing w:before="0" w:after="0"/>
              <w:ind w:left="0" w:right="0" w:hanging="0"/>
              <w:jc w:val="right"/>
              <w:rPr/>
            </w:pPr>
            <w:r>
              <w:rPr/>
              <w:t>​</w:t>
            </w:r>
          </w:p>
        </w:tc>
        <w:tc>
          <w:tcPr>
            <w:tcW w:w="433"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right"/>
              <w:rPr/>
            </w:pPr>
            <w:r>
              <w:rPr/>
              <w:t>​</w:t>
            </w:r>
          </w:p>
        </w:tc>
        <w:tc>
          <w:tcPr>
            <w:tcW w:w="5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per share of Class A common stock — basic</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433"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85"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0.29</w:t>
            </w:r>
          </w:p>
        </w:tc>
      </w:tr>
      <w:tr>
        <w:trPr/>
        <w:tc>
          <w:tcPr>
            <w:tcW w:w="415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(l)</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0.15</w:t>
            </w:r>
          </w:p>
        </w:tc>
        <w:tc>
          <w:tcPr>
            <w:tcW w:w="433" w:type="dxa"/>
            <w:tcBorders/>
            <w:vAlign w:val="center"/>
          </w:tcPr>
          <w:p>
            <w:pPr>
              <w:pStyle w:val="TableContents"/>
              <w:bidi w:val="0"/>
              <w:spacing w:before="0" w:after="0"/>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0.09</w:t>
            </w:r>
          </w:p>
        </w:tc>
        <w:tc>
          <w:tcPr>
            <w:tcW w:w="346"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0.20</w:t>
            </w:r>
          </w:p>
        </w:tc>
        <w:tc>
          <w:tcPr>
            <w:tcW w:w="385"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0.13</w:t>
            </w:r>
          </w:p>
        </w:tc>
      </w:tr>
      <w:tr>
        <w:trPr/>
        <w:tc>
          <w:tcPr>
            <w:tcW w:w="415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per share - basic</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433"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0.36</w:t>
            </w:r>
          </w:p>
        </w:tc>
        <w:tc>
          <w:tcPr>
            <w:tcW w:w="385"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r>
      <w:tr>
        <w:trPr/>
        <w:tc>
          <w:tcPr>
            <w:tcW w:w="41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527" w:type="dxa"/>
            <w:tcBorders/>
            <w:vAlign w:val="center"/>
          </w:tcPr>
          <w:p>
            <w:pPr>
              <w:pStyle w:val="TableContents"/>
              <w:bidi w:val="0"/>
              <w:spacing w:before="0" w:after="0"/>
              <w:ind w:left="0" w:right="0" w:hanging="0"/>
              <w:jc w:val="right"/>
              <w:rPr/>
            </w:pPr>
            <w:r>
              <w:rPr/>
              <w:t>​</w:t>
            </w:r>
          </w:p>
        </w:tc>
        <w:tc>
          <w:tcPr>
            <w:tcW w:w="433"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right"/>
              <w:rPr/>
            </w:pPr>
            <w:r>
              <w:rPr/>
              <w:t>​</w:t>
            </w:r>
          </w:p>
        </w:tc>
        <w:tc>
          <w:tcPr>
            <w:tcW w:w="5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Earnings per share of Class A common stock — diluted</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0.42</w:t>
            </w:r>
          </w:p>
        </w:tc>
        <w:tc>
          <w:tcPr>
            <w:tcW w:w="433"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0.48</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c>
          <w:tcPr>
            <w:tcW w:w="385"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0.28</w:t>
            </w:r>
          </w:p>
        </w:tc>
      </w:tr>
      <w:tr>
        <w:trPr/>
        <w:tc>
          <w:tcPr>
            <w:tcW w:w="415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(l)</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0.15</w:t>
            </w:r>
          </w:p>
        </w:tc>
        <w:tc>
          <w:tcPr>
            <w:tcW w:w="433" w:type="dxa"/>
            <w:tcBorders/>
            <w:vAlign w:val="center"/>
          </w:tcPr>
          <w:p>
            <w:pPr>
              <w:pStyle w:val="TableContents"/>
              <w:bidi w:val="0"/>
              <w:spacing w:before="0" w:after="0"/>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0.09</w:t>
            </w:r>
          </w:p>
        </w:tc>
        <w:tc>
          <w:tcPr>
            <w:tcW w:w="346"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0.20</w:t>
            </w:r>
          </w:p>
        </w:tc>
        <w:tc>
          <w:tcPr>
            <w:tcW w:w="385"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0.14</w:t>
            </w:r>
          </w:p>
        </w:tc>
      </w:tr>
      <w:tr>
        <w:trPr/>
        <w:tc>
          <w:tcPr>
            <w:tcW w:w="415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earnings per share - diluted</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433"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0.36</w:t>
            </w:r>
          </w:p>
        </w:tc>
        <w:tc>
          <w:tcPr>
            <w:tcW w:w="385"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585"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0.42</w:t>
            </w:r>
          </w:p>
        </w:tc>
      </w:tr>
    </w:tbl>
    <w:p>
      <w:pPr>
        <w:pStyle w:val="TextBody"/>
        <w:bidi w:val="0"/>
        <w:spacing w:before="0" w:after="12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long-lived asset impairment charges related to the RV and Outdoor Retail segment. See Note 5 –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81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current and deferred income tax expense or benefit effect of the above adjustments. For the three and six months ended June 30, 2026, the income tax impact for many of the adjustments related to the public holding company, CWH, which had a full valuation allowance against its net deferred tax assets, for which no income tax benefit or expense could be recognized. This assumption uses a blended statutory tax rate of 25.0% for the adjustments for the 2026 and 2025 periods, which represent the estimated tax rates that would apply had the above adjustments been included in the determination of our non-GAAP metric.</w:t>
            </w:r>
          </w:p>
        </w:tc>
      </w:tr>
    </w:tbl>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977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the (gain) loss on termination of operating leases resulting from lease termination fees and the derecognition of the operating lease assets and liabilities. </w:t>
            </w:r>
          </w:p>
        </w:tc>
      </w:tr>
    </w:tbl>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an adjustment to eliminate the gains and losses on disposals and sales of various assets.</w:t>
            </w:r>
          </w:p>
        </w:tc>
      </w:tr>
    </w:tbl>
    <w:tbl>
      <w:tblPr>
        <w:tblW w:w="7371" w:type="dxa"/>
        <w:jc w:val="left"/>
        <w:tblInd w:w="0" w:type="dxa"/>
        <w:tblLayout w:type="fixed"/>
        <w:tblCellMar>
          <w:top w:w="28" w:type="dxa"/>
          <w:left w:w="28" w:type="dxa"/>
          <w:bottom w:w="28" w:type="dxa"/>
          <w:right w:w="28" w:type="dxa"/>
        </w:tblCellMar>
      </w:tblPr>
      <w:tblGrid>
        <w:gridCol w:w="124"/>
        <w:gridCol w:w="31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693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Represents SBC expense relating to employees, directors, and consultants of the Company.</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(f)</w:t>
            </w:r>
          </w:p>
        </w:tc>
        <w:tc>
          <w:tcPr>
            <w:tcW w:w="981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losses and/or impairment on investments in equity securities and interest income relating to any notes receivables with those investments. </w:t>
            </w:r>
          </w:p>
        </w:tc>
      </w:tr>
    </w:tbl>
    <w:tbl>
      <w:tblPr>
        <w:tblW w:w="10205" w:type="dxa"/>
        <w:jc w:val="left"/>
        <w:tblInd w:w="0" w:type="dxa"/>
        <w:tblLayout w:type="fixed"/>
        <w:tblCellMar>
          <w:top w:w="28" w:type="dxa"/>
          <w:left w:w="28" w:type="dxa"/>
          <w:bottom w:w="28" w:type="dxa"/>
          <w:right w:w="28" w:type="dxa"/>
        </w:tblCellMar>
      </w:tblPr>
      <w:tblGrid>
        <w:gridCol w:w="124"/>
        <w:gridCol w:w="273"/>
        <w:gridCol w:w="9808"/>
      </w:tblGrid>
      <w:tr>
        <w:trPr/>
        <w:tc>
          <w:tcPr>
            <w:tcW w:w="124" w:type="dxa"/>
            <w:tcBorders/>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(g)</w:t>
            </w:r>
          </w:p>
        </w:tc>
        <w:tc>
          <w:tcPr>
            <w:tcW w:w="9808"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Represents the adjustment to net income attributable to non-controlling interests resulting from the above adjustments that impact the net</w:t>
            </w:r>
            <w:r>
              <w:rPr>
                <w:caps w:val="false"/>
                <w:smallCaps w:val="false"/>
              </w:rPr>
              <w:t xml:space="preserve"> </w:t>
            </w:r>
            <w:r>
              <w:rPr>
                <w:rFonts w:ascii="Arial;Helvetica;sans-serif" w:hAnsi="Arial;Helvetica;sans-serif"/>
                <w:b w:val="false"/>
                <w:i w:val="false"/>
                <w:caps w:val="false"/>
                <w:smallCaps w:val="false"/>
                <w:sz w:val="16"/>
              </w:rPr>
              <w:t xml:space="preserve">income of CWGS, LLC. This adjustment uses the non-controlling interest’s weighted average ownership of CWGS, LLC of 38.5% and 38.9% for the three months ended June 30, 2026 and 2025, respectively, and 38.6% and 38.9% for the six months ended June 30, 2026 and 2025, respectively. </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(h)</w:t>
            </w:r>
          </w:p>
        </w:tc>
        <w:tc>
          <w:tcPr>
            <w:tcW w:w="979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reallocation of net income attributable to non-controlling interests from the impact of the assumed change in ownership of CWGS, LLC from stock options, restricted stock units,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09"/>
        <w:gridCol w:w="9872"/>
      </w:tblGrid>
      <w:tr>
        <w:trPr/>
        <w:tc>
          <w:tcPr>
            <w:tcW w:w="124" w:type="dxa"/>
            <w:tcBorders/>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(i)</w:t>
            </w:r>
          </w:p>
        </w:tc>
        <w:tc>
          <w:tcPr>
            <w:tcW w:w="98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income tax expense effect of the above adjustment for reallocation of net income attributable to non-controlling interests. For the three and six months ended June 30, 2026, the income tax impact of this reallocation adjustment related to the public holding company, CWH, which had a full valuation allowance against its net deferred tax assets, for which no income tax benefit or expense could be recognized. This assumption uses a blended statutory tax rate of 25.0% for the adjustments for the 2026 and 2025 periods.</w:t>
            </w:r>
          </w:p>
        </w:tc>
      </w:tr>
    </w:tbl>
    <w:tbl>
      <w:tblPr>
        <w:tblW w:w="10205" w:type="dxa"/>
        <w:jc w:val="left"/>
        <w:tblInd w:w="0" w:type="dxa"/>
        <w:tblLayout w:type="fixed"/>
        <w:tblCellMar>
          <w:top w:w="28" w:type="dxa"/>
          <w:left w:w="28" w:type="dxa"/>
          <w:bottom w:w="28" w:type="dxa"/>
          <w:right w:w="28"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(j)</w:t>
            </w:r>
          </w:p>
        </w:tc>
        <w:tc>
          <w:tcPr>
            <w:tcW w:w="982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impact to the denominator for stock options, liability-classified awards, PSUs, RSUs,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(k)</w:t>
            </w:r>
          </w:p>
        </w:tc>
        <w:tc>
          <w:tcPr>
            <w:tcW w:w="981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below amounts have not been considered in our adjusted earnings per share – diluted amounts as the effect of these items is anti-dilutive. Additionally, 750,000 PSUs granted in January 2025 and 77,500 PSUs granted during the three months ended June 30, 2026 were excluded from the calculation of our adjusted earnings per share –  diluted, since they represent contingently issuable shares for which all of the necessary conditions had not been satisfied (see Note 17 — Stock-Based Compensation Plans to our condensed consolidated financial statements included in Part I, Item 1 of this Form 10-Q).</w:t>
            </w:r>
            <w:r>
              <w:rPr>
                <w:caps w:val="false"/>
                <w:smallCaps w:val="false"/>
              </w:rPr>
              <w:t xml:space="preserve"> </w:t>
            </w:r>
            <w:r>
              <w:rPr>
                <w:rFonts w:ascii="Arial;Helvetica;sans-serif" w:hAnsi="Arial;Helvetica;sans-serif"/>
                <w:b w:val="false"/>
                <w:i w:val="false"/>
                <w:caps w:val="false"/>
                <w:smallCaps w:val="false"/>
                <w:sz w:val="16"/>
              </w:rPr>
              <w:t>These PSU quantities are based on target levels of performance and exclude minimum payouts, which are not contingently issuable shares.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(l)</w:t>
            </w:r>
          </w:p>
        </w:tc>
        <w:tc>
          <w:tcPr>
            <w:tcW w:w="89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per share impact of the Non-GAAP adjustments to net income detailed above (see (a) through (g) above).</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SG&amp;A Excluding SBC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SG&amp;A Excluding SBC to the most directly comparable GAAP financial performance measure:</w:t>
      </w:r>
    </w:p>
    <w:tbl>
      <w:tblPr>
        <w:tblW w:w="6525" w:type="dxa"/>
        <w:jc w:val="left"/>
        <w:tblInd w:w="0" w:type="dxa"/>
        <w:tblLayout w:type="fixed"/>
        <w:tblCellMar>
          <w:top w:w="0" w:type="dxa"/>
          <w:left w:w="0" w:type="dxa"/>
          <w:bottom w:w="0" w:type="dxa"/>
          <w:right w:w="0" w:type="dxa"/>
        </w:tblCellMar>
      </w:tblPr>
      <w:tblGrid>
        <w:gridCol w:w="2371"/>
        <w:gridCol w:w="109"/>
        <w:gridCol w:w="206"/>
        <w:gridCol w:w="726"/>
        <w:gridCol w:w="114"/>
        <w:gridCol w:w="206"/>
        <w:gridCol w:w="726"/>
        <w:gridCol w:w="109"/>
        <w:gridCol w:w="196"/>
        <w:gridCol w:w="691"/>
        <w:gridCol w:w="109"/>
        <w:gridCol w:w="196"/>
        <w:gridCol w:w="76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505585" cy="175260"/>
                      <wp:effectExtent l="0" t="0" r="0" b="0"/>
                      <wp:wrapNone/>
                      <wp:docPr id="496" name="Frame496"/>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0810" cy="175260"/>
                      <wp:effectExtent l="0" t="0" r="0" b="0"/>
                      <wp:wrapNone/>
                      <wp:docPr id="498" name="Frame4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61010" cy="175260"/>
                      <wp:effectExtent l="0" t="0" r="0" b="0"/>
                      <wp:wrapNone/>
                      <wp:docPr id="499" name="Frame49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72390" cy="175260"/>
                      <wp:effectExtent l="0" t="0" r="0" b="0"/>
                      <wp:wrapNone/>
                      <wp:docPr id="500" name="Frame500"/>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0810" cy="175260"/>
                      <wp:effectExtent l="0" t="0" r="0" b="0"/>
                      <wp:wrapNone/>
                      <wp:docPr id="501" name="Frame50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61010" cy="175260"/>
                      <wp:effectExtent l="0" t="0" r="0" b="0"/>
                      <wp:wrapNone/>
                      <wp:docPr id="502" name="Frame502"/>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24460" cy="175260"/>
                      <wp:effectExtent l="0" t="0" r="0" b="0"/>
                      <wp:wrapNone/>
                      <wp:docPr id="504" name="Frame5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38785" cy="175260"/>
                      <wp:effectExtent l="0" t="0" r="0" b="0"/>
                      <wp:wrapNone/>
                      <wp:docPr id="505" name="Frame5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24460" cy="175260"/>
                      <wp:effectExtent l="0" t="0" r="0" b="0"/>
                      <wp:wrapNone/>
                      <wp:docPr id="507" name="Frame5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86410" cy="175260"/>
                      <wp:effectExtent l="0" t="0" r="0" b="0"/>
                      <wp:wrapNone/>
                      <wp:docPr id="508" name="Frame50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June 30,</w:t>
            </w:r>
          </w:p>
        </w:tc>
        <w:tc>
          <w:tcPr>
            <w:tcW w:w="109" w:type="dxa"/>
            <w:tcBorders/>
            <w:vAlign w:val="center"/>
          </w:tcPr>
          <w:p>
            <w:pPr>
              <w:pStyle w:val="TableContents"/>
              <w:bidi w:val="0"/>
              <w:spacing w:before="0" w:after="0"/>
              <w:ind w:left="0" w:right="0" w:hanging="0"/>
              <w:jc w:val="both"/>
              <w:rPr/>
            </w:pPr>
            <w:r>
              <w:rPr/>
              <w:t>​</w:t>
            </w:r>
          </w:p>
        </w:tc>
        <w:tc>
          <w:tcPr>
            <w:tcW w:w="1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09" w:type="dxa"/>
            <w:tcBorders/>
            <w:vAlign w:val="center"/>
          </w:tcPr>
          <w:p>
            <w:pPr>
              <w:pStyle w:val="TableContents"/>
              <w:bidi w:val="0"/>
              <w:spacing w:before="0" w:after="0"/>
              <w:ind w:left="0" w:right="0" w:hanging="0"/>
              <w:jc w:val="both"/>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114" w:type="dxa"/>
            <w:tcBorders/>
            <w:vAlign w:val="center"/>
          </w:tcPr>
          <w:p>
            <w:pPr>
              <w:pStyle w:val="TableContents"/>
              <w:bidi w:val="0"/>
              <w:spacing w:before="0" w:after="0"/>
              <w:ind w:left="0" w:right="0" w:hanging="0"/>
              <w:jc w:val="both"/>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c>
          <w:tcPr>
            <w:tcW w:w="109" w:type="dxa"/>
            <w:tcBorders/>
            <w:vAlign w:val="center"/>
          </w:tcPr>
          <w:p>
            <w:pPr>
              <w:pStyle w:val="TableContents"/>
              <w:bidi w:val="0"/>
              <w:spacing w:before="0" w:after="0"/>
              <w:ind w:left="0" w:right="0" w:hanging="0"/>
              <w:jc w:val="both"/>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109" w:type="dxa"/>
            <w:tcBorders/>
            <w:vAlign w:val="center"/>
          </w:tcPr>
          <w:p>
            <w:pPr>
              <w:pStyle w:val="TableContents"/>
              <w:bidi w:val="0"/>
              <w:spacing w:before="0" w:after="0"/>
              <w:ind w:left="0" w:right="0" w:hanging="0"/>
              <w:jc w:val="both"/>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SG&amp;A Excluding SBC:</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w:t>
            </w:r>
          </w:p>
        </w:tc>
        <w:tc>
          <w:tcPr>
            <w:tcW w:w="109"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410,860</w:t>
            </w:r>
          </w:p>
        </w:tc>
        <w:tc>
          <w:tcPr>
            <w:tcW w:w="11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437,489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769,164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824,934</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 SG&amp;A</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(4,254)</w:t>
            </w:r>
          </w:p>
        </w:tc>
        <w:tc>
          <w:tcPr>
            <w:tcW w:w="114" w:type="dxa"/>
            <w:tcBorders/>
            <w:shd w:fill="CCEEFF" w:val="clear"/>
            <w:vAlign w:val="center"/>
          </w:tcPr>
          <w:p>
            <w:pPr>
              <w:pStyle w:val="TableContents"/>
              <w:bidi w:val="0"/>
              <w:spacing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(8,344)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(8,898)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(15,489)</w:t>
            </w:r>
          </w:p>
        </w:tc>
      </w:tr>
      <w:tr>
        <w:trPr/>
        <w:tc>
          <w:tcPr>
            <w:tcW w:w="23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 Excluding SBC</w:t>
            </w:r>
          </w:p>
        </w:tc>
        <w:tc>
          <w:tcPr>
            <w:tcW w:w="109" w:type="dxa"/>
            <w:tcBorders/>
            <w:vAlign w:val="center"/>
          </w:tcPr>
          <w:p>
            <w:pPr>
              <w:pStyle w:val="TableContents"/>
              <w:bidi w:val="0"/>
              <w:spacing w:before="0" w:after="0"/>
              <w:ind w:left="0" w:right="0" w:hanging="0"/>
              <w:jc w:val="both"/>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406,606</w:t>
            </w:r>
          </w:p>
        </w:tc>
        <w:tc>
          <w:tcPr>
            <w:tcW w:w="114" w:type="dxa"/>
            <w:tcBorders/>
            <w:vAlign w:val="center"/>
          </w:tcPr>
          <w:p>
            <w:pPr>
              <w:pStyle w:val="TableContents"/>
              <w:bidi w:val="0"/>
              <w:spacing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429,145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760,266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809,445</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As a percentage of gross profit</w:t>
            </w:r>
          </w:p>
        </w:tc>
        <w:tc>
          <w:tcPr>
            <w:tcW w:w="109"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75.5%</w:t>
            </w:r>
          </w:p>
        </w:tc>
        <w:tc>
          <w:tcPr>
            <w:tcW w:w="114" w:type="dxa"/>
            <w:tcBorders/>
            <w:shd w:fill="CCEEFF" w:val="clear"/>
            <w:vAlign w:val="center"/>
          </w:tcPr>
          <w:p>
            <w:pPr>
              <w:pStyle w:val="TableContents"/>
              <w:bidi w:val="0"/>
              <w:spacing w:before="0" w:after="0"/>
              <w:ind w:left="0" w:right="0" w:hanging="0"/>
              <w:jc w:val="both"/>
              <w:rPr/>
            </w:pPr>
            <w:r>
              <w:rPr/>
              <w:t>​</w:t>
            </w:r>
          </w:p>
        </w:tc>
        <w:tc>
          <w:tcPr>
            <w:tcW w:w="206" w:type="dxa"/>
            <w:tcBorders/>
            <w:shd w:fill="CCEEFF" w:val="clear"/>
            <w:vAlign w:val="center"/>
          </w:tcPr>
          <w:p>
            <w:pPr>
              <w:pStyle w:val="TableContents"/>
              <w:bidi w:val="0"/>
              <w:spacing w:before="0" w:after="0"/>
              <w:ind w:left="0" w:right="0" w:hanging="0"/>
              <w:jc w:val="both"/>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72.5%</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80.7%</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79.2%</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2017" w:name="_57ddacee_9c57_4575_bcc8_46c949c76848"/>
      <w:bookmarkEnd w:id="2017"/>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additional liquidity needs are expected to include public company costs; payment of cash dividends, if any; any exercise of the redemption right by the Continuing Equity Owners from time to time (should we elect to redeem common units for a cash payment); payments under the Tax Receivable Agreement to the extent that tax benefits underlying the Tax Receivable Agreement are realizable;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may be significant if the tax benefits underlying the Tax Receivable Agreement are realizable.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14 — Income Taxes to our condensed consolidated financial statements included in Part I, Item 1 of this Form 10-Q.</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Dividends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historically paid a quarterly cash dividend to holders of Class A common stock. In February 2026, following consideration of forecasted tax distributions, the reduced availability of excess tax distributions to fund 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If we determine to reinstate our regular quarterly cash dividend, 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See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Arial;Helvetica;sans-serif" w:hAnsi="Arial;Helvetica;sans-serif"/>
          <w:sz w:val="20"/>
        </w:rPr>
        <w:t>Dividend Policy” included in Part II, Item 5 of our Annual Report and “Risk Factors ─ Risks Relating to Ownership of Our Class A Common Stock ─ Our ability and intention to pay dividends on our Class A common stock, if any,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Acquisitions and Capital Expenditures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six months ended June 30, 2026, the RV and Outdoor Retail segment purchased real property for an aggregate purchase price of $1.4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Over the twelve months ended June 30, 2026, our store location count decreased by one store location. During that period, we consolidated five store locations to improve overall cost efficiency of the remaining store locations, closed one location, re-opened one location, and opened four new locations. Over the next twelve months, our expansion of existing and new dealerships through construction and acquisition is expected to cost between $22.5 million and $45.9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Tax Receivable Agreement Liability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paid $1.4 million under the Tax Receivable Agreement during the six months ended June 30, 2026. While we cannot currently rely on future taxable income to support realizability of our deferred tax assets and related payments due under the Tax Receivable Agreement, it may be possible that payments could be due under the Tax Receivable Agreement for the 2026 tax year. As of June 30, 2026, we did not have a Tax Receivable Agreement liability balance recorded on our condensed consolidated balance sheet.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14 — Income Taxes to our condensed consolidated financial statements included in Part I, Item 1 of this Form 10-Q for additional information.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Cash Requirements or Commitments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Substantially all of our new RV inventory and, at times, certain of our used RV inventory is financed under our Floor Plan Facility (defined in Note 4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Cash requirements relating to the Supplier Agreement, operating and finance lease obligations, and service and marketing sponsorship agreements have not materially changed since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Sources of Liquidity and Capital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required payments for our obligations under the Tax Receivable Agreement to the extent that tax benefits underlying the Tax Receivable Agreement are realizable, and additional expenses we expect to incur for at least the next twelve months.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December 31, 2025, and June 30, 2025, we had working capital of $444.8 million, $435.1 million, and $524.9 million, respectively, including $224.1 million, $215.0 million, and $118.1 million, respectively, of cash and cash equivalents. Within current liabilities, which are deducted from current assets to calculate our working capital, we had deferred revenues of $88.3 million, $90.5 million, and $94.0 million as of June 30, 2026, December 31, 2025, and June 30, 2025, respectively. Deferred revenues primarily consists of cash collected for roadside assistance contracts and club memberships in advance of services to be provided, which is deferred and recognized as revenue over the life of the contract or membership, our Good Sam Club loyalty points liability, and deferred revenues for the annual campground guide.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was $22.2 million as of June 30, 2026, all of which could have been withdrawn while remaining in compliance with the financial covenants of the Floor Plan Facility. Cash may be transferred from the FLAIR offset account to cash and cash equivalents at our discretion.</w:t>
      </w:r>
    </w:p>
    <w:p>
      <w:pPr>
        <w:pStyle w:val="TextBody"/>
        <w:bidi w:val="0"/>
        <w:spacing w:before="0" w:after="180"/>
        <w:ind w:left="0" w:right="0" w:hanging="0"/>
        <w:jc w:val="left"/>
        <w:rPr>
          <w:rFonts w:ascii="Arial;Helvetica;sans-serif" w:hAnsi="Arial;Helvetica;sans-serif"/>
          <w:b/>
          <w:i/>
          <w:sz w:val="20"/>
        </w:rPr>
      </w:pPr>
      <w:r>
        <w:rPr>
          <w:rFonts w:ascii="Arial;Helvetica;sans-serif" w:hAnsi="Arial;Helvetica;sans-serif"/>
          <w:b/>
          <w:i/>
          <w:sz w:val="20"/>
        </w:rPr>
        <w:t>Seasonality</w:t>
      </w:r>
    </w:p>
    <w:p>
      <w:pPr>
        <w:pStyle w:val="TextBody"/>
        <w:bidi w:val="0"/>
        <w:spacing w:lineRule="atLeast" w:line="220" w:before="0" w:after="180"/>
        <w:ind w:left="0" w:right="0" w:firstLine="720"/>
        <w:jc w:val="both"/>
        <w:rPr>
          <w:rFonts w:ascii="Arial;Helvetica;sans-serif" w:hAnsi="Arial;Helvetica;sans-serif"/>
          <w:sz w:val="20"/>
        </w:rPr>
      </w:pPr>
      <w:r>
        <w:rPr>
          <w:rFonts w:ascii="Arial;Helvetica;sans-serif" w:hAnsi="Arial;Helvetica;sans-serif"/>
          <w:sz w:val="20"/>
        </w:rPr>
        <w:t xml:space="preserve">We have experienced, and expect to continue to experience, variability in revenue, net income, and cash flows as a result of annual seasonality in our business (see Note 1 — Summary of Significant Accounting Policies — Seasonality to our condensed consolidated financial statements included in Part I, Item 1 of this Form 10-Q).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shows summary cash flow information:</w:t>
      </w:r>
    </w:p>
    <w:p>
      <w:pPr>
        <w:pStyle w:val="TextBody"/>
        <w:bidi w:val="0"/>
        <w:spacing w:before="0" w:after="0"/>
        <w:ind w:left="0" w:right="0" w:firstLine="720"/>
        <w:jc w:val="both"/>
        <w:rPr/>
      </w:pPr>
      <w:r>
        <w:rPr/>
        <w:t>​</w:t>
      </w:r>
    </w:p>
    <w:tbl>
      <w:tblPr>
        <w:tblW w:w="6817" w:type="dxa"/>
        <w:jc w:val="left"/>
        <w:tblInd w:w="0" w:type="dxa"/>
        <w:tblLayout w:type="fixed"/>
        <w:tblCellMar>
          <w:top w:w="0" w:type="dxa"/>
          <w:left w:w="0" w:type="dxa"/>
          <w:bottom w:w="0" w:type="dxa"/>
          <w:right w:w="0" w:type="dxa"/>
        </w:tblCellMar>
      </w:tblPr>
      <w:tblGrid>
        <w:gridCol w:w="4066"/>
        <w:gridCol w:w="346"/>
        <w:gridCol w:w="196"/>
        <w:gridCol w:w="811"/>
        <w:gridCol w:w="346"/>
        <w:gridCol w:w="196"/>
        <w:gridCol w:w="856"/>
      </w:tblGrid>
      <w:tr>
        <w:trPr/>
        <w:tc>
          <w:tcPr>
            <w:tcW w:w="40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510" name="Frame5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14985" cy="175260"/>
                      <wp:effectExtent l="0" t="0" r="0" b="0"/>
                      <wp:wrapNone/>
                      <wp:docPr id="511" name="Frame5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4460" cy="175260"/>
                      <wp:effectExtent l="0" t="0" r="0" b="0"/>
                      <wp:wrapNone/>
                      <wp:docPr id="513" name="Frame5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43560" cy="175260"/>
                      <wp:effectExtent l="0" t="0" r="0" b="0"/>
                      <wp:wrapNone/>
                      <wp:docPr id="514" name="Frame51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06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cash provided by (used in) operating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333,185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(44,595)</w:t>
            </w:r>
          </w:p>
        </w:tc>
      </w:tr>
      <w:tr>
        <w:trPr/>
        <w:tc>
          <w:tcPr>
            <w:tcW w:w="406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cash used in investing activities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(4,831)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(180,078)</w:t>
            </w:r>
          </w:p>
        </w:tc>
      </w:tr>
      <w:tr>
        <w:trPr/>
        <w:tc>
          <w:tcPr>
            <w:tcW w:w="406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cash provided by financing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(319,328)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134,335</w:t>
            </w:r>
          </w:p>
        </w:tc>
      </w:tr>
      <w:tr>
        <w:trPr/>
        <w:tc>
          <w:tcPr>
            <w:tcW w:w="406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increase (decrease) in cash and cash equivalents</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9,026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(90,338)</w:t>
            </w:r>
          </w:p>
        </w:tc>
      </w:tr>
      <w:tr>
        <w:trPr/>
        <w:tc>
          <w:tcPr>
            <w:tcW w:w="40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56"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Operating activities. </w:t>
      </w:r>
      <w:r>
        <w:rPr>
          <w:rFonts w:ascii="Arial;Helvetica;sans-serif" w:hAnsi="Arial;Helvetica;sans-serif"/>
          <w:sz w:val="20"/>
        </w:rPr>
        <w:t>Our cash flows from operating activities are primarily collections from contracts in transit and customers following the sale of new and used vehicles, as well as from the sale of retail products and services and Good Sam services and plans. Contracts in transit represent amounts due from third-party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Net cash provided by operating activities was $333.2 million in the six months ended June 30, 2026, an increase of $377.8 million from $44.6 million of net cash used in operating activities in the six months ended June 30, 2025. The increase was primarily due to a $427.0 million change in the working capital adjustment for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inventory, and a $12.5 million increase in long-lived asset impairment, partially offset by a $38.4 million change in the working capital adjustment for accounts payable and other accrued expenses, a $9.8 million change in the working capital adjustment for deferred revenues, and a $6.6 million reduction in SBC.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Investing activities. </w:t>
      </w:r>
      <w:r>
        <w:rPr>
          <w:rFonts w:ascii="Arial;Helvetica;sans-serif" w:hAnsi="Arial;Helvetica;sans-serif"/>
          <w:sz w:val="20"/>
        </w:rPr>
        <w:t>Our investment in business activities primarily consists of expanding our operations 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Part I, Item 2 of this Form 10-Q).</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table below summarizes our capital expenditures: </w:t>
      </w:r>
    </w:p>
    <w:p>
      <w:pPr>
        <w:pStyle w:val="TextBody"/>
        <w:bidi w:val="0"/>
        <w:spacing w:before="0" w:after="0"/>
        <w:ind w:left="0" w:right="0" w:firstLine="720"/>
        <w:jc w:val="both"/>
        <w:rPr/>
      </w:pPr>
      <w:r>
        <w:rPr/>
        <w:t>​</w:t>
      </w:r>
    </w:p>
    <w:tbl>
      <w:tblPr>
        <w:tblW w:w="5677" w:type="dxa"/>
        <w:jc w:val="left"/>
        <w:tblInd w:w="0" w:type="dxa"/>
        <w:tblLayout w:type="fixed"/>
        <w:tblCellMar>
          <w:top w:w="0" w:type="dxa"/>
          <w:left w:w="0" w:type="dxa"/>
          <w:bottom w:w="0" w:type="dxa"/>
          <w:right w:w="0" w:type="dxa"/>
        </w:tblCellMar>
      </w:tblPr>
      <w:tblGrid>
        <w:gridCol w:w="3346"/>
        <w:gridCol w:w="346"/>
        <w:gridCol w:w="196"/>
        <w:gridCol w:w="601"/>
        <w:gridCol w:w="346"/>
        <w:gridCol w:w="196"/>
        <w:gridCol w:w="646"/>
      </w:tblGrid>
      <w:tr>
        <w:trPr/>
        <w:tc>
          <w:tcPr>
            <w:tcW w:w="33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24460" cy="175260"/>
                      <wp:effectExtent l="0" t="0" r="0" b="0"/>
                      <wp:wrapNone/>
                      <wp:docPr id="516" name="Frame5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81635" cy="175260"/>
                      <wp:effectExtent l="0" t="0" r="0" b="0"/>
                      <wp:wrapNone/>
                      <wp:docPr id="517" name="Frame5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4460" cy="175260"/>
                      <wp:effectExtent l="0" t="0" r="0" b="0"/>
                      <wp:wrapNone/>
                      <wp:docPr id="519" name="Frame5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10210" cy="175260"/>
                      <wp:effectExtent l="0" t="0" r="0" b="0"/>
                      <wp:wrapNone/>
                      <wp:docPr id="520" name="Frame52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Six Months Ended June 30, </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IT hardware and software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24,181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10,305</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Greenfield and acquired dealership locations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4,614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8,277</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Existing store locations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35,407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30,891</w:t>
            </w:r>
          </w:p>
        </w:tc>
      </w:tr>
      <w:tr>
        <w:trPr/>
        <w:tc>
          <w:tcPr>
            <w:tcW w:w="334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Corporate and other</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w:t>
            </w:r>
          </w:p>
        </w:tc>
      </w:tr>
      <w:tr>
        <w:trPr/>
        <w:tc>
          <w:tcPr>
            <w:tcW w:w="334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capital expenditures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64,211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49,696</w:t>
            </w:r>
          </w:p>
        </w:tc>
      </w:tr>
      <w:tr>
        <w:trPr/>
        <w:tc>
          <w:tcPr>
            <w:tcW w:w="33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4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capital expenditures consist primarily of investing in information technology, hardware, and software, acquired and greenfield retail and RV dealership locations, and existing retail locations. The expected minimum capital expenditures relating to new dealerships and real estate purchases through June 30, 2027 are discussed above. As of June 30, 2026, we had entered into contracts for construction, including remodels, new buildings, or other projects for an aggregate future capital expenditures commitment of $15.5 million. There were no other material commitments for capital expenditures as of June 30,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used in investing activities was $4.8 million for the six months ended June 30, 2026. The $4.8 million of cash used in investing activities was primarily comprised of $64.2 million of capital expenditures primarily related to retail locations and property and equipment related to IT hardware and software, and $7.1 million for the acquisition of RV dealerships, net of cash acquired, partially offset by </w:t>
      </w:r>
      <w:r>
        <w:rPr>
          <w:rFonts w:ascii="Arial;Helvetica;sans-serif" w:hAnsi="Arial;Helvetica;sans-serif"/>
          <w:sz w:val="20"/>
          <w:shd w:fill="FFFFFF" w:val="clear"/>
        </w:rPr>
        <w:t>$67.6 million of proceeds from the sale or disposal of real property.</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cash used in investing activities was $180.1 million for the six months ended June 30, 2025. The $180.1 million of cash used in investing activities was primarily comprised of $81.2 million for the acquisition of RV dealerships, net of cash acquired and the $11.0 million of deposits paid in 2024 for these 2025 acquisitions, $72.4 million for the purchase of real property, and $49.7 million of capital expenditures primarily related to retail locations, partially offset by $10.3 million of proceeds from a business divestiture and $9.8 million of proceeds from the sale of real property.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Financing activities. </w:t>
      </w:r>
      <w:r>
        <w:rPr>
          <w:rFonts w:ascii="Arial;Helvetica;sans-serif" w:hAnsi="Arial;Helvetica;sans-serif"/>
          <w:sz w:val="20"/>
        </w:rPr>
        <w:t>Our financing activities primarily consist of proceeds from the issuance of debt, the repayment of principal, cash dividends to holders of Class A common stock, and cash distributions to holders of CWGS, LLC common units</w:t>
      </w:r>
      <w:r>
        <w:rPr>
          <w:rFonts w:ascii="Arial;Helvetica;sans-serif" w:hAnsi="Arial;Helvetica;sans-serif"/>
          <w:b/>
          <w:sz w:val="20"/>
        </w:rPr>
        <w:t>.</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val="false"/>
          <w:caps w:val="false"/>
          <w:smallCaps w:val="false"/>
          <w:sz w:val="20"/>
        </w:rPr>
        <w:t>Our net cash used in financing activities was $319.3 million for the six months</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ended</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June 30, 2026. The $319.3 million of cash used in financing activities was primarily due</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to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$245.2 million of net payments on borrowings under the Floor Plan Facility, and payments totaling $68.8 million on long-term debt.</w:t>
      </w:r>
    </w:p>
    <w:p>
      <w:pPr>
        <w:pStyle w:val="TextBody"/>
        <w:bidi w:val="0"/>
        <w:spacing w:before="0" w:after="240"/>
        <w:ind w:left="0" w:right="0" w:firstLine="72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 xml:space="preserve">Our net cash provided by financing activities was $134.3 million for the six months ended June 30, 2025. The $134.3 million of cash provided by financing activities was primarily due to $168.1 million of net proceeds on borrowings under the Floor Plan Facility, partially offset by $15.7 million of dividends paid on Class A common stock, $12.5 million of payments on long-term debt, and $3.6 million for finance lease payments.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Summary of Credit Facilities, Other Long-Term Debt, and Finance Lease Arrangements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June 30, 2026,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current portion, and remaining available borrowings under our credit facilities, other long-term debt and finance lease arrangements (see definitions and further details in Note 4 – Inventories and Floor Plan Payables, Note 8 – Long-Term Debt, and Note 9 – Lease Obligations to our condensed consolidated financial statements included in Part I, Item 1 of this Form 10-Q) as of June 30, 2026:</w:t>
      </w:r>
    </w:p>
    <w:tbl>
      <w:tblPr>
        <w:tblW w:w="7720" w:type="dxa"/>
        <w:jc w:val="left"/>
        <w:tblInd w:w="0" w:type="dxa"/>
        <w:tblLayout w:type="fixed"/>
        <w:tblCellMar>
          <w:top w:w="0" w:type="dxa"/>
          <w:left w:w="0" w:type="dxa"/>
          <w:bottom w:w="0" w:type="dxa"/>
          <w:right w:w="0" w:type="dxa"/>
        </w:tblCellMar>
      </w:tblPr>
      <w:tblGrid>
        <w:gridCol w:w="2926"/>
        <w:gridCol w:w="346"/>
        <w:gridCol w:w="211"/>
        <w:gridCol w:w="961"/>
        <w:gridCol w:w="346"/>
        <w:gridCol w:w="211"/>
        <w:gridCol w:w="961"/>
        <w:gridCol w:w="346"/>
        <w:gridCol w:w="213"/>
        <w:gridCol w:w="808"/>
        <w:gridCol w:w="3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858010" cy="175260"/>
                      <wp:effectExtent l="0" t="0" r="0" b="0"/>
                      <wp:wrapNone/>
                      <wp:docPr id="521" name="Frame52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10235" cy="175260"/>
                      <wp:effectExtent l="0" t="0" r="0" b="0"/>
                      <wp:wrapNone/>
                      <wp:docPr id="524" name="Frame52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10235" cy="175260"/>
                      <wp:effectExtent l="0" t="0" r="0" b="0"/>
                      <wp:wrapNone/>
                      <wp:docPr id="527" name="Frame52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5255" cy="175260"/>
                      <wp:effectExtent l="0" t="0" r="0" b="0"/>
                      <wp:wrapNone/>
                      <wp:docPr id="529" name="Frame52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13080" cy="175260"/>
                      <wp:effectExtent l="0" t="0" r="0" b="0"/>
                      <wp:wrapNone/>
                      <wp:docPr id="530" name="Frame53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48285" cy="175260"/>
                      <wp:effectExtent l="0" t="0" r="0" b="0"/>
                      <wp:wrapNone/>
                      <wp:docPr id="531" name="Frame53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1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17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Current</w:t>
            </w:r>
          </w:p>
        </w:tc>
        <w:tc>
          <w:tcPr>
            <w:tcW w:w="346" w:type="dxa"/>
            <w:tcBorders/>
            <w:vAlign w:val="center"/>
          </w:tcPr>
          <w:p>
            <w:pPr>
              <w:pStyle w:val="TableContents"/>
              <w:bidi w:val="0"/>
              <w:spacing w:before="0" w:after="1"/>
              <w:ind w:left="0" w:right="0" w:hanging="0"/>
              <w:jc w:val="both"/>
              <w:rPr/>
            </w:pPr>
            <w:r>
              <w:rPr/>
              <w:t>​</w:t>
            </w:r>
          </w:p>
        </w:tc>
        <w:tc>
          <w:tcPr>
            <w:tcW w:w="102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Remaining</w:t>
            </w:r>
          </w:p>
        </w:tc>
        <w:tc>
          <w:tcPr>
            <w:tcW w:w="391" w:type="dxa"/>
            <w:tcBorders/>
            <w:vAlign w:val="center"/>
          </w:tcPr>
          <w:p>
            <w:pPr>
              <w:pStyle w:val="TableContents"/>
              <w:bidi w:val="0"/>
              <w:spacing w:before="0" w:after="1"/>
              <w:ind w:left="0" w:right="0" w:hanging="0"/>
              <w:jc w:val="both"/>
              <w:rPr/>
            </w:pPr>
            <w:r>
              <w:rPr/>
              <w:t>​</w:t>
            </w:r>
          </w:p>
        </w:tc>
      </w:tr>
      <w:tr>
        <w:trPr/>
        <w:tc>
          <w:tcPr>
            <w:tcW w:w="2926" w:type="dxa"/>
            <w:tcBorders>
              <w:bottom w:val="single" w:sz="2" w:space="0" w:color="000000"/>
            </w:tcBorders>
            <w:tcMar>
              <w:bottom w:w="28" w:type="dxa"/>
            </w:tcM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 in thousands)</w:t>
            </w:r>
          </w:p>
        </w:tc>
        <w:tc>
          <w:tcPr>
            <w:tcW w:w="346" w:type="dxa"/>
            <w:tcBorders/>
            <w:vAlign w:val="center"/>
          </w:tcPr>
          <w:p>
            <w:pPr>
              <w:pStyle w:val="TableContents"/>
              <w:bidi w:val="0"/>
              <w:spacing w:before="0" w:after="1"/>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Outstanding</w:t>
            </w:r>
          </w:p>
        </w:tc>
        <w:tc>
          <w:tcPr>
            <w:tcW w:w="346" w:type="dxa"/>
            <w:tcBorders/>
            <w:vAlign w:val="center"/>
          </w:tcPr>
          <w:p>
            <w:pPr>
              <w:pStyle w:val="TableContents"/>
              <w:bidi w:val="0"/>
              <w:spacing w:before="0" w:after="1"/>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Portion</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Available</w:t>
            </w:r>
          </w:p>
        </w:tc>
        <w:tc>
          <w:tcPr>
            <w:tcW w:w="391" w:type="dxa"/>
            <w:tcBorders/>
            <w:vAlign w:val="center"/>
          </w:tcPr>
          <w:p>
            <w:pPr>
              <w:pStyle w:val="TableContents"/>
              <w:bidi w:val="0"/>
              <w:spacing w:before="0" w:after="1"/>
              <w:ind w:left="0" w:right="0" w:hanging="0"/>
              <w:jc w:val="center"/>
              <w:rPr/>
            </w:pPr>
            <w:r>
              <w:rPr/>
              <w:t>  ​ ​ ​</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Floor Plan Facility: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both"/>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Notes payable - floor plan</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1,324,184</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1,324,184</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715,216</w:t>
            </w:r>
          </w:p>
        </w:tc>
        <w:tc>
          <w:tcPr>
            <w:tcW w:w="391"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Revolving line of credit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both"/>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70,000</w:t>
            </w:r>
          </w:p>
        </w:tc>
        <w:tc>
          <w:tcPr>
            <w:tcW w:w="391" w:type="dxa"/>
            <w:tcBorders/>
            <w:shd w:fill="CCEEFF" w:val="cle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Senior Secured Credit Facilities: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Term Loan Facility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1,286,597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Revolving Credit Facility</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22,750</w:t>
            </w:r>
          </w:p>
        </w:tc>
        <w:tc>
          <w:tcPr>
            <w:tcW w:w="391"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(3)</w:t>
            </w:r>
            <w:r>
              <w:rPr>
                <w:rFonts w:ascii="Arial;Helvetica;sans-serif" w:hAnsi="Arial;Helvetica;sans-serif"/>
                <w:sz w:val="20"/>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Real Estate Facilities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111,281</w:t>
            </w:r>
          </w:p>
        </w:tc>
        <w:tc>
          <w:tcPr>
            <w:tcW w:w="346"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(4)</w:t>
            </w:r>
            <w:r>
              <w:rPr>
                <w:rFonts w:ascii="Arial;Helvetica;sans-serif" w:hAnsi="Arial;Helvetica;sans-serif"/>
                <w:sz w:val="20"/>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10,732</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57,390</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Other long-term debt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3,045</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Finance lease obligations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133,039</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8,920</w:t>
            </w:r>
          </w:p>
        </w:tc>
        <w:tc>
          <w:tcPr>
            <w:tcW w:w="346" w:type="dxa"/>
            <w:tcBorders/>
            <w:vAlign w:val="center"/>
          </w:tcPr>
          <w:p>
            <w:pPr>
              <w:pStyle w:val="TableContents"/>
              <w:bidi w:val="0"/>
              <w:spacing w:before="0" w:after="1"/>
              <w:ind w:left="0" w:right="0" w:hanging="0"/>
              <w:jc w:val="center"/>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2,862,518</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1,360,896</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865,356</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808" w:type="dxa"/>
            <w:tcBorders/>
            <w:vAlign w:val="center"/>
          </w:tcPr>
          <w:p>
            <w:pPr>
              <w:pStyle w:val="TableContents"/>
              <w:bidi w:val="0"/>
              <w:spacing w:before="0" w:after="1"/>
              <w:ind w:left="0" w:right="0" w:hanging="0"/>
              <w:jc w:val="both"/>
              <w:rPr/>
            </w:pPr>
            <w:r>
              <w:rPr/>
              <w:t>​</w:t>
            </w:r>
          </w:p>
        </w:tc>
        <w:tc>
          <w:tcPr>
            <w:tcW w:w="391" w:type="dxa"/>
            <w:tcBorders/>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(1)</w:t>
            </w:r>
          </w:p>
        </w:tc>
        <w:tc>
          <w:tcPr>
            <w:tcW w:w="9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8 — Long-Term Debt) has not been repaid, refinanced, or defeased and the maturity has not been extended by at least 180 days after February 18, 2030.  </w:t>
            </w:r>
          </w:p>
        </w:tc>
      </w:tr>
    </w:tbl>
    <w:tbl>
      <w:tblPr>
        <w:tblW w:w="9332" w:type="dxa"/>
        <w:jc w:val="left"/>
        <w:tblInd w:w="0" w:type="dxa"/>
        <w:tblLayout w:type="fixed"/>
        <w:tblCellMar>
          <w:top w:w="0" w:type="dxa"/>
          <w:left w:w="0" w:type="dxa"/>
          <w:bottom w:w="0" w:type="dxa"/>
          <w:right w:w="0" w:type="dxa"/>
        </w:tblCellMar>
      </w:tblPr>
      <w:tblGrid>
        <w:gridCol w:w="301"/>
        <w:gridCol w:w="9031"/>
      </w:tblGrid>
      <w:tr>
        <w:trPr/>
        <w:tc>
          <w:tcPr>
            <w:tcW w:w="301"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(2)</w:t>
            </w:r>
          </w:p>
        </w:tc>
        <w:tc>
          <w:tcPr>
            <w:tcW w:w="9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line of credit borrowings are subject to a borrowing base calculation but were not limited as of June 30, 2026.</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(3)</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are over a 35%, or $22.8 million, threshold (Note 8 – Long-Term Debt to our condensed consolidated financial statements included in Part I, Item 1 of this Form 10-Q). The otherwise remaining available borrowings of $60.1 million were reduced by $37.3 million to $22.8 million in light of this financial covenant as of June 30, 2026.</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(4)</w:t>
            </w:r>
          </w:p>
        </w:tc>
        <w:tc>
          <w:tcPr>
            <w:tcW w:w="99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and 2025, the applicable interest rate for the floor plan notes payable under the Floor Plan Facility was 5.89% and 6.49%, respectively. As of June 30, 2026 and 2025, the average interest rate for the Term Loan Facility was 6.26% and 6.94%, respectively. Our combined floor plan interest expense and other interest expense, net decreased $5.2 million for the six months ended June 30, 2026 compared to the six months ended June 30, 2025 primarily as a result of reduced interest rates for our Term Loan Facility, our Floor Plan Facility and our Real Estate Facilities, and reduced borrowings on our Real Estate Facilities, partially offset by increased average borrowings on the Floor Plan Facility.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Sale/Leaseback Arrangements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In the first six months of 2026 and 2025, we entered into sale-leaseback transactions for three properties and one property, respectively, each associated with store locations in the RV and Outdoor Retail segment, and received consideration of $11.0 million and $3.5 million of cash, respectively. We recorded a $0.6 million loss for the six months ended June 30, 2026 that was included in loss (gain) on sale or disposal of assets in the condensed consolidated statements of operations. No gain or loss was recorded for the six months ended June 30, 2025. In 2026, we entered into a 19-year lease agreement as the lessee with the buyer for two of the properties, and a 12.5-year lease agreement as the lessee with the buyer for one of the properties. In 2025, we entered into a 19-year lease agreement as the lessee with the buyer of the property.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Deferred revenue consists of our sales for products not yet recognized as revenue at the end of a given period. Our deferred revenue as of June 30, 2026 was $139.0 million.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Critical Accounting Policies and Estimates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has been no material change in our critical accounting policies and estimates from those previously reported and disclosed in our Annual Report.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 — Summary of Significant Accounting Policies to our condensed consolidated financial statements in Part I, Item 1 of this Form 10-Q.</w:t>
      </w:r>
    </w:p>
    <w:p>
      <w:pPr>
        <w:pStyle w:val="TextBody"/>
        <w:bidi w:val="0"/>
        <w:spacing w:before="0" w:after="240"/>
        <w:ind w:left="0" w:right="0" w:hanging="0"/>
        <w:jc w:val="both"/>
        <w:rPr>
          <w:rFonts w:ascii="Arial;Helvetica;sans-serif" w:hAnsi="Arial;Helvetica;sans-serif"/>
          <w:b/>
          <w:sz w:val="20"/>
        </w:rPr>
      </w:pPr>
      <w:bookmarkStart w:id="2018" w:name="Item3QuantitativeandQualitativeDisclosur"/>
      <w:bookmarkStart w:id="2019" w:name="_9c7c3355_d61e_46ee_8fa4_11b467bd510c"/>
      <w:bookmarkEnd w:id="2018"/>
      <w:bookmarkEnd w:id="2019"/>
      <w:r>
        <w:rPr>
          <w:rFonts w:ascii="Arial;Helvetica;sans-serif" w:hAnsi="Arial;Helvetica;sans-serif"/>
          <w:b/>
          <w:sz w:val="20"/>
        </w:rPr>
        <w:t>Item 3. Quantitative and Qualitative Disclosures About Market Risk</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For a discussion of the Company’s quantitative and qualitative disclosures about market risks, see Item 7A. Quantitative and Qualitative Disclosures About Market Risk, in our Annual Report. As of June 30, 2026, there have been no material changes in this information.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Arial;Helvetica;sans-serif" w:hAnsi="Arial;Helvetica;sans-serif"/>
          <w:b/>
          <w:sz w:val="20"/>
        </w:rPr>
      </w:pPr>
      <w:bookmarkStart w:id="2020" w:name="Item4ControlsAndProcedures"/>
      <w:bookmarkStart w:id="2021" w:name="_68bbccd3_8bcf_400b_bc30_57ed457d01ab"/>
      <w:bookmarkEnd w:id="2020"/>
      <w:bookmarkEnd w:id="2021"/>
      <w:r>
        <w:rPr>
          <w:rFonts w:ascii="Arial;Helvetica;sans-serif" w:hAnsi="Arial;Helvetica;sans-serif"/>
          <w:b/>
          <w:sz w:val="20"/>
        </w:rPr>
        <w:t>Item 4. Controls and Procedures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Limitations on Effectiveness of Controls and Procedures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Evaluation of Disclosure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effective at the reasonable assurance level as of June 30, 2026.</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Changes in Internal Control over Financial Reporting</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During the fiscal quarter ended June 30, 2026, we completed the implementation of a cloud-based subscription management software platform (“Subscription Platform”), which replaced our legacy subscription management system where transactions were processed and recorded for certain of our membership-based programs, such as Good Sam Club, Good Sam Roadside Assistance, and Good Sam TravelAssist. The Subscription Platform is intended to provide us with enhanced transactional processing and management tools, as compared with our legacy system, and is intended to enhance internal control over financial reporting. In connection with the Subscription Platform implementation, we have updated and will continue to update our internal control over financial reporting, as necessary, to accommodate modifications to our business processes and accounting procedures. Additionally, the Subscription Platform implementation did not have an adverse effect, nor do we expect it will have an adverse effect, on our internal control over financial reporting.</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There were no other changes in our internal control over financial reporting (as defined in Rules 13a-15(f) and 15d-15(f) under the Exchange Act) identified in connection with the evaluation of our internal control performed during the fiscal quarter ended June 30, 2026, that has materially affected, or is reasonably likely to materially affect, our internal control over financial reporting.</w:t>
      </w:r>
    </w:p>
    <w:p>
      <w:pPr>
        <w:pStyle w:val="TextBody"/>
        <w:bidi w:val="0"/>
        <w:spacing w:before="0" w:after="120"/>
        <w:ind w:left="0" w:right="0" w:firstLine="720"/>
        <w:jc w:val="both"/>
        <w:rPr/>
      </w:pPr>
      <w:r>
        <w:rPr/>
        <w:t>​</w:t>
      </w:r>
    </w:p>
    <w:p>
      <w:pPr>
        <w:pStyle w:val="TextBody"/>
        <w:bidi w:val="0"/>
        <w:spacing w:before="0" w:after="240"/>
        <w:ind w:left="0" w:right="0" w:hanging="0"/>
        <w:jc w:val="center"/>
        <w:rPr>
          <w:rFonts w:ascii="Arial;Helvetica;sans-serif" w:hAnsi="Arial;Helvetica;sans-serif"/>
          <w:b/>
          <w:sz w:val="20"/>
        </w:rPr>
      </w:pPr>
      <w:bookmarkStart w:id="2022" w:name="PartIIOtherInformation_137709"/>
      <w:bookmarkStart w:id="2023" w:name="_50b73b98_63a8_467b_8acf_ae7bfe47ba8d"/>
      <w:bookmarkEnd w:id="2022"/>
      <w:bookmarkEnd w:id="2023"/>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2024" w:name="Item1LegalProceedings_968537"/>
      <w:bookmarkEnd w:id="2024"/>
      <w:r>
        <w:rPr>
          <w:rFonts w:ascii="Arial;Helvetica;sans-serif" w:hAnsi="Arial;Helvetica;sans-serif"/>
          <w:b/>
          <w:sz w:val="20"/>
        </w:rPr>
        <w:t>Item 1.  Legal Proceedings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11 — Commitments and Contingencies to our condensed consolidated financial statements in Part I, Item 1 of this Form 10-Q for information on legal proceedings that constitute material contingencies for financial reporting purposes that could have a material effect on our financial condition or results of operations.  </w:t>
      </w:r>
    </w:p>
    <w:p>
      <w:pPr>
        <w:pStyle w:val="TextBody"/>
        <w:bidi w:val="0"/>
        <w:spacing w:before="0" w:after="240"/>
        <w:ind w:left="0" w:right="0" w:hanging="0"/>
        <w:jc w:val="both"/>
        <w:rPr>
          <w:rFonts w:ascii="Arial;Helvetica;sans-serif" w:hAnsi="Arial;Helvetica;sans-serif"/>
          <w:b/>
          <w:sz w:val="20"/>
        </w:rPr>
      </w:pPr>
      <w:bookmarkStart w:id="2025" w:name="Item1ARiskFactors_106835"/>
      <w:bookmarkStart w:id="2026" w:name="_7a26a510_066b_484c_ae9b_c252e1ccdca6"/>
      <w:bookmarkEnd w:id="2025"/>
      <w:bookmarkEnd w:id="2026"/>
      <w:r>
        <w:rPr>
          <w:rFonts w:ascii="Arial;Helvetica;sans-serif" w:hAnsi="Arial;Helvetica;sans-serif"/>
          <w:b/>
          <w:sz w:val="20"/>
        </w:rPr>
        <w:t>Item 1A. Risk Factors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material changes to our risk factors as previously disclosed in Item 1A of Part I of our Annual Report other than as described below.</w:t>
      </w:r>
    </w:p>
    <w:p>
      <w:pPr>
        <w:pStyle w:val="TextBody"/>
        <w:bidi w:val="0"/>
        <w:spacing w:before="0" w:after="240"/>
        <w:ind w:left="0" w:right="0" w:firstLine="720"/>
        <w:jc w:val="both"/>
        <w:rPr>
          <w:rFonts w:ascii="Arial;Helvetica;sans-serif" w:hAnsi="Arial;Helvetica;sans-serif"/>
          <w:b/>
          <w:i/>
          <w:sz w:val="20"/>
        </w:rPr>
      </w:pPr>
      <w:r>
        <w:rPr>
          <w:rFonts w:ascii="Arial;Helvetica;sans-serif" w:hAnsi="Arial;Helvetica;sans-serif"/>
          <w:b/>
          <w:i/>
          <w:sz w:val="20"/>
        </w:rPr>
        <w:t>Our business model is impacted by general economic conditions in our markets, including inflation and interest rates, as well as the health of the RV industry, geopolitical conflicts, and ongoing economic and financial uncertainties could cause a decline in consumer spending that could adversely affect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a business that relies on consumer discretionary spending, we have in the past and may in the future be adversely affected if our customers reduce, delay or forego their purchases of our services, protection plans and products as a result of:</w:t>
      </w:r>
    </w:p>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job losses, lower income levels or other population and employment trends;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bankruptcies;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consumer debt and interest rates;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reduced access to credit;</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energy and fuel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relative or perceived cost, availability and comfort of RV use versus other modes of travel, such as air travel and rail;</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falling home prices;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lower consumer confidence or discretionary consumer spending;</w:t>
            </w:r>
          </w:p>
        </w:tc>
      </w:tr>
    </w:tbl>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inflation rates;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or changes in tax policies and tax rates;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or changes in import/export policies, including tariffs;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due to national or international security concerns; or</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general economic conditions, including deflation and recessions.</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also rely on our store locations to attract and retain customers and to build our customer database. If we close store locations, are unable to open new store locations, including greenfield locations and acquisitions, on the timelines we anticipate or at all due to general economic conditions or otherwise, or experience declines in customer transactions in our existing store locations due to general economic conditions or otherwise, our ability to maintain and grow our customer database and our Active Customers will be limited, which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political conditions, including new and changing laws or tariffs, regulations, executive orders and enforcement priorities, may create uncertainty about how such laws and regulations will be interpreted and applied and, consequently, may create market uncertainty. This may adversely impact customer demand, increase our costs and adversely impact our business.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Decreases in Active Customers, average spend per customer, or retention and renewal rates for our Good Sam services and plans has, at times, negatively affected and could in the future negatively affect our financial performance, and a prolonged period of depressed consumer spending could have a material adverse effect on our business. For instance, our Active Customers declined in 2025. In prior years and to some extent in 2025, promotional activities and decreased demand for consumer products affected our profitability and margins, and this negative impact could return or worsen in future periods. In addition, adverse economic conditions may result in an increase in our operating expenses due to, among other things, higher costs of labor, energy, equipment and facilities, as well as higher tariffs. Due to fluctuations in the U.S. economy, our sales, operating and financial results for a particular period are difficult to predict, making it difficult to forecast results for future periods. Additionally, we are subject to economic fluctuations in local markets that may not reflect the economic conditions of the U.S. economy. Any of the foregoing factors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the success of our recurring Good Sam services and plans, as well as our RV and outdoor retail business, depends, in part, on our customers’ use of certain RV websites and/or the purchase of services, protection plans, products and resources through participating merchants, as well as the health of the RV industry generally.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during recent periods we have faced, and may continue to face, increased competition from other businesses with similar product and service offerings. For example, our competitors have listed RVs at or below cost. As a result, we responded and may need to further respond by establishing pricing, marketing and other programs or by seeking out additional strategic alliances or acquisitions that may be less favorable to us than we could otherwise establish or obtain in more favorable economic environments. Such programs have adversely impacted our gross margin, operating margin and selling, general and administrative expenses. In addition, declines in the national economy could cause partners and/or advertising customers who participate in our programs to go out of business. Should the number of partners and/or advertising customers entering bankruptcy rise, it is likely that the number of uncollectible accounts would also rise. These factors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February 2026, the United States and Israel launched coordinated military strikes against Iran, which retaliated with missile attacks across the region. Although we do not have material operations in the Middle East, the ongoing conflict and any further escalation, has and could continue to lead to significant disruption of global energy supplies and increases in global energy prices, which could reduce consumer demand for RVs and apply downward pressure on average selling prices, particularly given the seasonal nature of our business and our reliance on discretionary consumer spending during peak spring and summer selling months. The conflict could also heighten inflationary pressures on our input costs and supply chain, adversely affect global supply chains, energy markets, commodity prices, currency exchange rates, interest rates, financial markets and overall macroeconomic conditions, increase our borrowing costs under our variable-rate credit facilities, reduce the availability or increase the cost of debt financing, and adversely impact consumer spending patterns in markets in which we operate. While the impacts of the conflict between the United States, Israel and Iran may have an adverse effect on our business, financial condition and results of operations, we are unable to predict the extent or nature of these impacts at this time.</w:t>
      </w:r>
    </w:p>
    <w:p>
      <w:pPr>
        <w:pStyle w:val="TextBody"/>
        <w:bidi w:val="0"/>
        <w:spacing w:before="0" w:after="240"/>
        <w:ind w:left="0" w:right="0" w:firstLine="720"/>
        <w:jc w:val="both"/>
        <w:rPr>
          <w:rFonts w:ascii="Arial;Helvetica;sans-serif" w:hAnsi="Arial;Helvetica;sans-serif"/>
          <w:b/>
          <w:i/>
          <w:sz w:val="20"/>
        </w:rPr>
      </w:pPr>
      <w:r>
        <w:rPr>
          <w:rFonts w:ascii="Arial;Helvetica;sans-serif" w:hAnsi="Arial;Helvetica;sans-serif"/>
          <w:b/>
          <w:i/>
          <w:sz w:val="20"/>
        </w:rPr>
        <w:t>We have been named in litigation, which has resulted in substantial costs and may result in reputational harm and divert management’s attention and resources.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face legal risks in our business, including claims from disputes with our employees and our former employees and claims associated with general commercial disputes, product liability and other matters. Risks associated with legal liability often are difficult to assess or quantify and their existence and magnitude can remain unknown for significant periods of time.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have been named in the past, are currently named and may be named in the future as defendants of class action lawsuits, including wage and hour class action litigation. We have been and currently are subject to securities class action litigation and may be subject to similar or other litigation in the future. For information regarding these lawsuits, refer to Note 11, Commitments and Contingencies – Litigation of our condensed consolidated financial statements included in Part I, Item 1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results of any current or future legal proceedings cannot be predicted with certainty. Regardless of their subject matter or merits, such legal proceedings have resulted in and are likely to continue to result in significant cost to us, which may not be covered by insurance, may divert the attention of management or may otherwise have an adverse effect on our business, financial condition and results of operations. Negative publicity or negative outcomes from litigation, whether or not resulting in a substantial cost, could materially damage our reputation, could limit our operations and could have a material adverse effect on our business, financial condition, results of operations, and the price of our Class A common stock. In addition, such legal proceedings may make it more difficult to finance our operations.</w:t>
      </w:r>
    </w:p>
    <w:p>
      <w:pPr>
        <w:pStyle w:val="TextBody"/>
        <w:bidi w:val="0"/>
        <w:spacing w:before="0" w:after="240"/>
        <w:ind w:left="0" w:right="0" w:hanging="0"/>
        <w:jc w:val="both"/>
        <w:rPr>
          <w:rFonts w:ascii="Arial;Helvetica;sans-serif" w:hAnsi="Arial;Helvetica;sans-serif"/>
          <w:b/>
          <w:sz w:val="20"/>
        </w:rPr>
      </w:pPr>
      <w:bookmarkStart w:id="2027" w:name="Item2UnregisteredSalesofEquitySecurities"/>
      <w:bookmarkStart w:id="2028" w:name="_4726564a_f1f4_44f3_825a_c3238bcb75c2"/>
      <w:bookmarkEnd w:id="2027"/>
      <w:bookmarkEnd w:id="2028"/>
      <w:r>
        <w:rPr>
          <w:rFonts w:ascii="Arial;Helvetica;sans-serif" w:hAnsi="Arial;Helvetica;sans-serif"/>
          <w:b/>
          <w:sz w:val="20"/>
        </w:rPr>
        <w:t>Item 2.  Unregistered Sales of Equity Securities and Use of Proceeds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Since we are a holding company, our ability to pay cash dividends on our Class A common stock, if any,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Facility. See “Dividend Policy” included in Part II, Item 5 of our Annual Report and “Risk Factors ─ Risks Relating to Ownership of Our Class A Common Stock ─ Our ability and intention to pay dividends on our Class A common stock, if any,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left"/>
        <w:rPr>
          <w:rFonts w:ascii="Arial;Helvetica;sans-serif" w:hAnsi="Arial;Helvetica;sans-serif"/>
          <w:b/>
          <w:sz w:val="20"/>
        </w:rPr>
      </w:pPr>
      <w:bookmarkStart w:id="2029" w:name="Item3DefaultsUponSeniorSecurities_185005"/>
      <w:bookmarkStart w:id="2030" w:name="_2695dba7_8d5f_4fbe_9be4_381cd743593c"/>
      <w:bookmarkEnd w:id="2029"/>
      <w:bookmarkEnd w:id="2030"/>
      <w:r>
        <w:rPr>
          <w:rFonts w:ascii="Arial;Helvetica;sans-serif" w:hAnsi="Arial;Helvetica;sans-serif"/>
          <w:b/>
          <w:sz w:val="20"/>
        </w:rPr>
        <w:t>Item 3.  Defaults Upon Senior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2031" w:name="Item4MineSafetyDisclosures_195268"/>
      <w:bookmarkStart w:id="2032" w:name="_f4ff28ea_cab0_422c_a43e_64bf8d21413c"/>
      <w:bookmarkEnd w:id="2031"/>
      <w:bookmarkEnd w:id="2032"/>
      <w:r>
        <w:rPr>
          <w:rFonts w:ascii="Arial;Helvetica;sans-serif" w:hAnsi="Arial;Helvetica;sans-serif"/>
          <w:b/>
          <w:sz w:val="20"/>
        </w:rPr>
        <w:t>Item 4.  Mine Safety Disclosures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033" w:name="Item5OtherInformation_609822"/>
      <w:bookmarkStart w:id="2034" w:name="_c5210cc2_441f_4481_8d34_99d27d99d3a4"/>
      <w:bookmarkEnd w:id="2033"/>
      <w:bookmarkEnd w:id="2034"/>
      <w:r>
        <w:rPr>
          <w:rFonts w:ascii="Arial;Helvetica;sans-serif" w:hAnsi="Arial;Helvetica;sans-serif"/>
          <w:b/>
          <w:sz w:val="20"/>
        </w:rPr>
        <w:t>Item 5.  Other Information</w:t>
      </w:r>
    </w:p>
    <w:tbl>
      <w:tblPr>
        <w:tblW w:w="6032" w:type="dxa"/>
        <w:jc w:val="left"/>
        <w:tblInd w:w="0" w:type="dxa"/>
        <w:tblLayout w:type="fixed"/>
        <w:tblCellMar>
          <w:top w:w="0" w:type="dxa"/>
          <w:left w:w="0" w:type="dxa"/>
          <w:bottom w:w="0" w:type="dxa"/>
          <w:right w:w="0" w:type="dxa"/>
        </w:tblCellMar>
      </w:tblPr>
      <w:tblGrid>
        <w:gridCol w:w="346"/>
        <w:gridCol w:w="568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56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Disclosure in lieu of reporting on a Current Report on Form 8-K. </w:t>
            </w:r>
          </w:p>
        </w:tc>
      </w:tr>
    </w:tbl>
    <w:p>
      <w:pPr>
        <w:pStyle w:val="TextBody"/>
        <w:bidi w:val="0"/>
        <w:spacing w:before="0" w:after="240"/>
        <w:ind w:left="720" w:right="0" w:hanging="0"/>
        <w:jc w:val="both"/>
        <w:rPr>
          <w:rFonts w:ascii="Arial;Helvetica;sans-serif" w:hAnsi="Arial;Helvetica;sans-serif"/>
          <w:spacing w:val="-3"/>
          <w:sz w:val="20"/>
        </w:rPr>
      </w:pPr>
      <w:r>
        <w:rPr>
          <w:rFonts w:ascii="Arial;Helvetica;sans-serif" w:hAnsi="Arial;Helvetica;sans-serif"/>
          <w:spacing w:val="-3"/>
          <w:sz w:val="20"/>
        </w:rPr>
        <w:t xml:space="preserve">On July 29, 2026, Lindsey Christen, the Company’s Chief Administrative and Legal Officer and Secretary, notified the Company of her intent to resign as the Company’s Chief Administrative and Legal Officer and Secretary, effective September 1, 2026 (the “Transition Date”). </w:t>
      </w:r>
    </w:p>
    <w:p>
      <w:pPr>
        <w:pStyle w:val="TextBody"/>
        <w:bidi w:val="0"/>
        <w:spacing w:before="0" w:after="240"/>
        <w:ind w:left="720" w:right="0" w:hanging="0"/>
        <w:jc w:val="both"/>
        <w:rPr>
          <w:rFonts w:ascii="Arial;Helvetica;sans-serif" w:hAnsi="Arial;Helvetica;sans-serif"/>
          <w:spacing w:val="-3"/>
          <w:sz w:val="20"/>
        </w:rPr>
      </w:pPr>
      <w:r>
        <w:rPr>
          <w:rFonts w:ascii="Arial;Helvetica;sans-serif" w:hAnsi="Arial;Helvetica;sans-serif"/>
          <w:spacing w:val="-3"/>
          <w:sz w:val="20"/>
        </w:rPr>
        <w:t xml:space="preserve">On the same date, Ms. Christen and the Company entered into an employment transition and release agreement (the “Transition Agreement”), pursuant to which Ms. Christen agreed to provide transitional services to the Company as a non-executive employee through February 28, 2027 (or such other date as Ms. Christen’s employment with the Company terminates, the “Transition Period”) in order to help facilitate the transition of her role and responsibilities. During the Transition Period, Ms. Christen will (i) continue to receive her base salary at the current annual rate of $700,000 (“Transition Pay”), (ii) receive a prorated annual bonus for 2026 equal to $392,671.23, payable within thirty (30) days of the Transition Date, and (iii) have her restricted stock unit awards continue to vest through December 31, 2026 in accordance with their terms. </w:t>
      </w:r>
    </w:p>
    <w:p>
      <w:pPr>
        <w:pStyle w:val="TextBody"/>
        <w:bidi w:val="0"/>
        <w:spacing w:before="0" w:after="240"/>
        <w:ind w:left="720" w:right="0" w:hanging="0"/>
        <w:jc w:val="both"/>
        <w:rPr>
          <w:rFonts w:ascii="Arial;Helvetica;sans-serif" w:hAnsi="Arial;Helvetica;sans-serif"/>
          <w:spacing w:val="-3"/>
          <w:sz w:val="20"/>
        </w:rPr>
      </w:pPr>
      <w:r>
        <w:rPr>
          <w:rFonts w:ascii="Arial;Helvetica;sans-serif" w:hAnsi="Arial;Helvetica;sans-serif"/>
          <w:spacing w:val="-3"/>
          <w:sz w:val="20"/>
        </w:rPr>
        <w:t>Upon the expiration of the Transition Period for any reason other than Ms. Christen’s voluntary resignation or termination by the Company for cause, Ms. Christen will be eligible to receive a cash payment equal to $350,000, payable in a lump sum within thirty (30) days. If Ms. Christen’s Last Day of Service occurs prior to February 28, 2027 due to her termination by the Company without Cause, Ms. Christen will be eligible to receive an amount equal to the remaining unpaid Transition Pay that would have been payable through the remainder of the Transition Period, which shall be paid in a lump sum within thirty (30) days.</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Material changes to the procedures by which security holders may recommend nominees to the board of directors.</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tbl>
      <w:tblPr>
        <w:tblW w:w="4127" w:type="dxa"/>
        <w:jc w:val="left"/>
        <w:tblInd w:w="0" w:type="dxa"/>
        <w:tblLayout w:type="fixed"/>
        <w:tblCellMar>
          <w:top w:w="0" w:type="dxa"/>
          <w:left w:w="0" w:type="dxa"/>
          <w:bottom w:w="0" w:type="dxa"/>
          <w:right w:w="0" w:type="dxa"/>
        </w:tblCellMar>
      </w:tblPr>
      <w:tblGrid>
        <w:gridCol w:w="346"/>
        <w:gridCol w:w="378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37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Insider trading arrangements and policies.</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035" w:name="Item6Exhibits_966381"/>
      <w:bookmarkStart w:id="2036" w:name="_6e6a1210_cbd4_448a_bd5b_a6816bc65eeb"/>
      <w:bookmarkEnd w:id="2035"/>
      <w:bookmarkEnd w:id="2036"/>
      <w:r>
        <w:rPr>
          <w:rFonts w:ascii="Arial;Helvetica;sans-serif" w:hAnsi="Arial;Helvetica;sans-serif"/>
          <w:b/>
          <w:sz w:val="20"/>
        </w:rPr>
        <w:t>Item 6.  Exhibits</w:t>
      </w:r>
    </w:p>
    <w:p>
      <w:pPr>
        <w:pStyle w:val="TextBody"/>
        <w:bidi w:val="0"/>
        <w:spacing w:before="0" w:after="0"/>
        <w:ind w:left="0" w:right="0" w:hanging="0"/>
        <w:jc w:val="center"/>
        <w:rPr>
          <w:rFonts w:ascii="Arial;Helvetica;sans-serif" w:hAnsi="Arial;Helvetica;sans-serif"/>
          <w:b/>
          <w:sz w:val="20"/>
        </w:rPr>
      </w:pPr>
      <w:bookmarkStart w:id="2037" w:name="ExhibitIndex_112921"/>
      <w:bookmarkEnd w:id="2037"/>
      <w:r>
        <w:rPr>
          <w:rFonts w:ascii="Arial;Helvetica;sans-serif" w:hAnsi="Arial;Helvetica;sans-serif"/>
          <w:b/>
          <w:sz w:val="20"/>
        </w:rPr>
        <w:t>Exhibits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1"/>
        <w:gridCol w:w="226"/>
        <w:gridCol w:w="4510"/>
        <w:gridCol w:w="226"/>
        <w:gridCol w:w="540"/>
        <w:gridCol w:w="226"/>
        <w:gridCol w:w="809"/>
        <w:gridCol w:w="226"/>
        <w:gridCol w:w="661"/>
        <w:gridCol w:w="226"/>
        <w:gridCol w:w="614"/>
        <w:gridCol w:w="226"/>
        <w:gridCol w:w="964"/>
      </w:tblGrid>
      <w:tr>
        <w:trPr/>
        <w:tc>
          <w:tcPr>
            <w:tcW w:w="751"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0"/>
              <w:ind w:left="0" w:right="0" w:hanging="0"/>
              <w:jc w:val="both"/>
              <w:rPr/>
            </w:pPr>
            <w:r>
              <w:rPr/>
              <w:t>​</w:t>
            </w:r>
          </w:p>
        </w:tc>
        <w:tc>
          <w:tcPr>
            <w:tcW w:w="4510"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492" w:type="dxa"/>
            <w:gridSpan w:val="9"/>
            <w:tcBorders/>
            <w:vAlign w:val="center"/>
          </w:tcPr>
          <w:p>
            <w:pPr>
              <w:pStyle w:val="TableHeading"/>
              <w:bidi w:val="0"/>
              <w:spacing w:before="0" w:after="283"/>
              <w:ind w:left="0" w:right="0" w:hanging="0"/>
              <w:rPr>
                <w:sz w:val="4"/>
                <w:szCs w:val="4"/>
              </w:rPr>
            </w:pPr>
            <w:r>
              <w:rPr>
                <w:sz w:val="4"/>
                <w:szCs w:val="4"/>
              </w:rPr>
            </w:r>
          </w:p>
        </w:tc>
      </w:tr>
      <w:tr>
        <w:trPr/>
        <w:tc>
          <w:tcPr>
            <w:tcW w:w="751"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510" w:type="dxa"/>
            <w:tcBorders/>
            <w:vAlign w:val="center"/>
          </w:tcPr>
          <w:p>
            <w:pPr>
              <w:pStyle w:val="TableHeading"/>
              <w:bidi w:val="0"/>
              <w:spacing w:before="0" w:after="0"/>
              <w:ind w:left="0" w:right="0" w:hanging="0"/>
              <w:jc w:val="center"/>
              <w:rPr/>
            </w:pPr>
            <w:r>
              <w:rPr/>
              <w:t>​</w:t>
            </w:r>
          </w:p>
        </w:tc>
        <w:tc>
          <w:tcPr>
            <w:tcW w:w="226" w:type="dxa"/>
            <w:tcBorders/>
            <w:vAlign w:val="center"/>
          </w:tcPr>
          <w:p>
            <w:pPr>
              <w:pStyle w:val="TableHeading"/>
              <w:bidi w:val="0"/>
              <w:spacing w:before="0" w:after="0"/>
              <w:ind w:left="0" w:right="0" w:hanging="0"/>
              <w:jc w:val="both"/>
              <w:rPr/>
            </w:pPr>
            <w:r>
              <w:rPr/>
              <w:t>​</w:t>
            </w:r>
          </w:p>
        </w:tc>
        <w:tc>
          <w:tcPr>
            <w:tcW w:w="330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51"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510"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40"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809"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61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26" w:type="dxa"/>
            <w:tcBorders/>
            <w:vAlign w:val="center"/>
          </w:tcPr>
          <w:p>
            <w:pPr>
              <w:pStyle w:val="TableHeading"/>
              <w:bidi w:val="0"/>
              <w:spacing w:before="0" w:after="0"/>
              <w:ind w:left="0" w:right="0" w:hanging="0"/>
              <w:jc w:val="both"/>
              <w:rPr/>
            </w:pPr>
            <w:r>
              <w:rPr/>
              <w:t>  ​</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both"/>
              <w:rPr/>
            </w:pPr>
            <w:r>
              <w:rPr/>
              <w:t>​</w:t>
            </w:r>
          </w:p>
        </w:tc>
        <w:tc>
          <w:tcPr>
            <w:tcW w:w="4510"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Camping World Holdings, Inc.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10-Q</w:t>
            </w:r>
          </w:p>
        </w:tc>
        <w:tc>
          <w:tcPr>
            <w:tcW w:w="226" w:type="dxa"/>
            <w:tcBorders/>
            <w:vAlign w:val="center"/>
          </w:tcPr>
          <w:p>
            <w:pPr>
              <w:pStyle w:val="TableContents"/>
              <w:bidi w:val="0"/>
              <w:spacing w:before="0" w:after="0"/>
              <w:ind w:left="0" w:right="0" w:hanging="0"/>
              <w:jc w:val="center"/>
              <w:rPr/>
            </w:pPr>
            <w:r>
              <w:rPr/>
              <w:t>​</w:t>
            </w:r>
          </w:p>
        </w:tc>
        <w:tc>
          <w:tcPr>
            <w:tcW w:w="809"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center"/>
              <w:rPr/>
            </w:pPr>
            <w:r>
              <w:rPr/>
              <w:t>​</w:t>
            </w:r>
          </w:p>
        </w:tc>
        <w:tc>
          <w:tcPr>
            <w:tcW w:w="614"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11/10/16</w:t>
            </w:r>
          </w:p>
        </w:tc>
        <w:tc>
          <w:tcPr>
            <w:tcW w:w="226" w:type="dxa"/>
            <w:tcBorders/>
            <w:vAlign w:val="center"/>
          </w:tcPr>
          <w:p>
            <w:pPr>
              <w:pStyle w:val="TableContents"/>
              <w:bidi w:val="0"/>
              <w:spacing w:before="0" w:after="0"/>
              <w:ind w:left="0" w:right="0" w:hanging="0"/>
              <w:jc w:val="center"/>
              <w:rPr/>
            </w:pPr>
            <w:r>
              <w:rPr/>
              <w:t>​</w:t>
            </w:r>
          </w:p>
        </w:tc>
        <w:tc>
          <w:tcPr>
            <w:tcW w:w="96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Certificate of Amendment to Amended and Restated Certificate of Incorporation of Camping World Holdings, Inc., dated May 16, 2025</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5/19/25</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3.3</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Amended and Restated Bylaws of Camping World Holdings, Inc.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10-Q</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5/1/25</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4.1</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sz w:val="20"/>
                </w:rPr>
                <w:t>Specimen Stock Certificate evidencing the shares of Class A common stock</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333-211977</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9/13/16</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w:anchor="cwh-20260630xex10d1.htm">
              <w:r>
                <w:rPr>
                  <w:rStyle w:val="InternetLink"/>
                  <w:rFonts w:ascii="Arial;Helvetica;sans-serif" w:hAnsi="Arial;Helvetica;sans-serif"/>
                  <w:b w:val="false"/>
                  <w:i w:val="false"/>
                  <w:caps w:val="false"/>
                  <w:smallCaps w:val="false"/>
                  <w:sz w:val="20"/>
                </w:rPr>
                <w:t>Amendment to Employment Agreement and Release, effective as of May 18, 2026, by and between Marcus A. Lemonis,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10.2</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sz w:val="20"/>
                </w:rPr>
                <w:t>Second Amended and Restated Employment Agreement, effective as of January 1, 2026, by and between Thomas E. Kirn,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10.3</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7">
              <w:r>
                <w:rPr>
                  <w:rStyle w:val="InternetLink"/>
                  <w:rFonts w:ascii="Arial;Helvetica;sans-serif" w:hAnsi="Arial;Helvetica;sans-serif"/>
                  <w:b w:val="false"/>
                  <w:i w:val="false"/>
                  <w:caps w:val="false"/>
                  <w:smallCaps w:val="false"/>
                  <w:sz w:val="20"/>
                </w:rPr>
                <w:t>Second Amended and Restated Employment Agreement, effective as of January 1, 2026, by and between Lindsey J. Christen,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10.2</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10.4</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8">
              <w:r>
                <w:rPr>
                  <w:rStyle w:val="InternetLink"/>
                  <w:rFonts w:ascii="Arial;Helvetica;sans-serif" w:hAnsi="Arial;Helvetica;sans-serif"/>
                  <w:b w:val="false"/>
                  <w:i w:val="false"/>
                  <w:caps w:val="false"/>
                  <w:smallCaps w:val="false"/>
                  <w:sz w:val="20"/>
                </w:rPr>
                <w:t>Form of Performance Stock Unit Award Grant Notice and Performance Stock Unit Award Agreement</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10.3</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10.5</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w:anchor="cwh-20260630xex10d5.htm">
              <w:r>
                <w:rPr>
                  <w:rStyle w:val="InternetLink"/>
                  <w:rFonts w:ascii="Arial;Helvetica;sans-serif" w:hAnsi="Arial;Helvetica;sans-serif"/>
                  <w:b w:val="false"/>
                  <w:i w:val="false"/>
                  <w:caps w:val="false"/>
                  <w:smallCaps w:val="false"/>
                  <w:sz w:val="20"/>
                </w:rPr>
                <w:t>Employment Transition and Release Agreement, effective as of July 29, 2026, by and between Lindsey J. Christen,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4"/>
        <w:gridCol w:w="226"/>
        <w:gridCol w:w="4654"/>
        <w:gridCol w:w="226"/>
        <w:gridCol w:w="526"/>
        <w:gridCol w:w="226"/>
        <w:gridCol w:w="706"/>
        <w:gridCol w:w="226"/>
        <w:gridCol w:w="661"/>
        <w:gridCol w:w="226"/>
        <w:gridCol w:w="556"/>
        <w:gridCol w:w="226"/>
        <w:gridCol w:w="962"/>
      </w:tblGrid>
      <w:tr>
        <w:trPr/>
        <w:tc>
          <w:tcPr>
            <w:tcW w:w="784"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0"/>
              <w:ind w:left="0" w:right="0" w:hanging="0"/>
              <w:jc w:val="both"/>
              <w:rPr/>
            </w:pPr>
            <w:r>
              <w:rPr/>
              <w:t>​</w:t>
            </w:r>
          </w:p>
        </w:tc>
        <w:tc>
          <w:tcPr>
            <w:tcW w:w="4654"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315" w:type="dxa"/>
            <w:gridSpan w:val="9"/>
            <w:tcBorders/>
            <w:vAlign w:val="center"/>
          </w:tcPr>
          <w:p>
            <w:pPr>
              <w:pStyle w:val="TableHeading"/>
              <w:bidi w:val="0"/>
              <w:spacing w:before="0" w:after="283"/>
              <w:ind w:left="0" w:right="0" w:hanging="0"/>
              <w:rPr>
                <w:sz w:val="4"/>
                <w:szCs w:val="4"/>
              </w:rPr>
            </w:pPr>
            <w:r>
              <w:rPr>
                <w:sz w:val="4"/>
                <w:szCs w:val="4"/>
              </w:rPr>
            </w:r>
          </w:p>
        </w:tc>
      </w:tr>
      <w:tr>
        <w:trPr/>
        <w:tc>
          <w:tcPr>
            <w:tcW w:w="784"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654" w:type="dxa"/>
            <w:tcBorders/>
            <w:vAlign w:val="center"/>
          </w:tcPr>
          <w:p>
            <w:pPr>
              <w:pStyle w:val="TableHeading"/>
              <w:bidi w:val="0"/>
              <w:spacing w:before="0" w:after="0"/>
              <w:ind w:left="0" w:right="0" w:hanging="0"/>
              <w:jc w:val="center"/>
              <w:rPr/>
            </w:pPr>
            <w:r>
              <w:rPr/>
              <w:t>​</w:t>
            </w:r>
          </w:p>
        </w:tc>
        <w:tc>
          <w:tcPr>
            <w:tcW w:w="226" w:type="dxa"/>
            <w:tcBorders/>
            <w:vAlign w:val="center"/>
          </w:tcPr>
          <w:p>
            <w:pPr>
              <w:pStyle w:val="TableHeading"/>
              <w:bidi w:val="0"/>
              <w:spacing w:before="0" w:after="0"/>
              <w:ind w:left="0" w:right="0" w:hanging="0"/>
              <w:jc w:val="both"/>
              <w:rPr/>
            </w:pPr>
            <w:r>
              <w:rPr/>
              <w:t>​</w:t>
            </w:r>
          </w:p>
        </w:tc>
        <w:tc>
          <w:tcPr>
            <w:tcW w:w="312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84"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654"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7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55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26" w:type="dxa"/>
            <w:tcBorders/>
            <w:vAlign w:val="center"/>
          </w:tcPr>
          <w:p>
            <w:pPr>
              <w:pStyle w:val="TableHeading"/>
              <w:bidi w:val="0"/>
              <w:spacing w:before="0" w:after="0"/>
              <w:ind w:left="0" w:right="0" w:hanging="0"/>
              <w:jc w:val="both"/>
              <w:rPr/>
            </w:pPr>
            <w:r>
              <w:rPr/>
              <w:t>  ​</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31.1</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630xex31d1.htm">
              <w:r>
                <w:rPr>
                  <w:rStyle w:val="InternetLink"/>
                  <w:rFonts w:ascii="Arial;Helvetica;sans-serif" w:hAnsi="Arial;Helvetica;sans-serif"/>
                  <w:b w:val="false"/>
                  <w:i w:val="false"/>
                  <w:caps w:val="false"/>
                  <w:smallCaps w:val="false"/>
                  <w:sz w:val="20"/>
                </w:rPr>
                <w:t>Rule 13a-14(a) / 15d-14(a) Certification of Chief Executive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31.2</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630xex31d2.htm">
              <w:r>
                <w:rPr>
                  <w:rStyle w:val="InternetLink"/>
                  <w:rFonts w:ascii="Arial;Helvetica;sans-serif" w:hAnsi="Arial;Helvetica;sans-serif"/>
                  <w:b w:val="false"/>
                  <w:i w:val="false"/>
                  <w:caps w:val="false"/>
                  <w:smallCaps w:val="false"/>
                  <w:sz w:val="20"/>
                </w:rPr>
                <w:t>Rule 13a-14(a) / 15d-14(a) Certification of Chief Financial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32.1</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630xex32d1.htm">
              <w:r>
                <w:rPr>
                  <w:rStyle w:val="InternetLink"/>
                  <w:rFonts w:ascii="Arial;Helvetica;sans-serif" w:hAnsi="Arial;Helvetica;sans-serif"/>
                  <w:b w:val="false"/>
                  <w:i w:val="false"/>
                  <w:caps w:val="false"/>
                  <w:smallCaps w:val="false"/>
                  <w:sz w:val="20"/>
                </w:rPr>
                <w:t>Section 1350 Certification of Chief Executive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32.2</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630xex32d2.htm">
              <w:r>
                <w:rPr>
                  <w:rStyle w:val="InternetLink"/>
                  <w:rFonts w:ascii="Arial;Helvetica;sans-serif" w:hAnsi="Arial;Helvetica;sans-serif"/>
                  <w:b w:val="false"/>
                  <w:i w:val="false"/>
                  <w:caps w:val="false"/>
                  <w:smallCaps w:val="false"/>
                  <w:sz w:val="20"/>
                </w:rPr>
                <w:t>Section 1350 Certification of Chief Financial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101.INS</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101.SCH</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101.CAL</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101.DEF</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Extension Definition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101.LAB</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Label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101.PRE</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104</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Filed herewith</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Furnished herewith</w:t>
      </w:r>
    </w:p>
    <w:p>
      <w:pPr>
        <w:pStyle w:val="TextBody"/>
        <w:pBdr/>
        <w:bidi w:val="0"/>
        <w:spacing w:before="0" w:after="0"/>
        <w:ind w:left="0" w:right="0" w:hanging="360"/>
        <w:jc w:val="both"/>
        <w:rPr>
          <w:rFonts w:ascii="Arial;Helvetica;sans-serif" w:hAnsi="Arial;Helvetica;sans-serif"/>
          <w:sz w:val="16"/>
        </w:rPr>
      </w:pPr>
      <w:r>
        <w:rPr>
          <w:rFonts w:ascii="Arial;Helvetica;sans-serif" w:hAnsi="Arial;Helvetica;sans-serif"/>
          <w:sz w:val="16"/>
        </w:rPr>
        <w:t>***  Submitted electronically herewith</w:t>
      </w:r>
    </w:p>
    <w:p>
      <w:pPr>
        <w:pStyle w:val="TextBody"/>
        <w:pBdr/>
        <w:bidi w:val="0"/>
        <w:spacing w:before="0" w:after="0"/>
        <w:ind w:left="0" w:right="0" w:hanging="36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038" w:name="SIGNATURE_621894"/>
      <w:bookmarkStart w:id="2039" w:name="_b6ce515d_0126_4273_b2a9_3bea164680cd"/>
      <w:bookmarkEnd w:id="2038"/>
      <w:bookmarkEnd w:id="2039"/>
      <w:r>
        <w:rPr>
          <w:rFonts w:ascii="Arial;Helvetica;sans-serif" w:hAnsi="Arial;Helvetica;san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5912" w:type="dxa"/>
        <w:jc w:val="left"/>
        <w:tblInd w:w="0" w:type="dxa"/>
        <w:tblLayout w:type="fixed"/>
        <w:tblCellMar>
          <w:top w:w="0" w:type="dxa"/>
          <w:left w:w="0" w:type="dxa"/>
          <w:bottom w:w="0" w:type="dxa"/>
          <w:right w:w="0" w:type="dxa"/>
        </w:tblCellMar>
      </w:tblPr>
      <w:tblGrid>
        <w:gridCol w:w="963"/>
        <w:gridCol w:w="852"/>
        <w:gridCol w:w="406"/>
        <w:gridCol w:w="3691"/>
      </w:tblGrid>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c>
          <w:tcPr>
            <w:tcW w:w="4097"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b/>
                <w:sz w:val="20"/>
              </w:rPr>
              <w:t>Camping World Holdings, Inc</w:t>
            </w:r>
            <w:r>
              <w:rPr>
                <w:rFonts w:ascii="Arial;Helvetica;sans-serif" w:hAnsi="Arial;Helvetica;sans-serif"/>
                <w:sz w:val="20"/>
              </w:rPr>
              <w:t>.</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815"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Date: July 30, 2026</w:t>
            </w:r>
          </w:p>
        </w:tc>
        <w:tc>
          <w:tcPr>
            <w:tcW w:w="4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 Thomas E. Kirn</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Thomas E. Kirn</w:t>
            </w:r>
          </w:p>
        </w:tc>
      </w:tr>
      <w:tr>
        <w:trPr/>
        <w:tc>
          <w:tcPr>
            <w:tcW w:w="963" w:type="dxa"/>
            <w:tcBorders/>
            <w:vAlign w:val="center"/>
          </w:tcPr>
          <w:p>
            <w:pPr>
              <w:pStyle w:val="TableContents"/>
              <w:bidi w:val="0"/>
              <w:spacing w:before="0" w:after="0"/>
              <w:ind w:left="0" w:right="0" w:hanging="0"/>
              <w:jc w:val="both"/>
              <w:rPr/>
            </w:pPr>
            <w:r>
              <w:rPr/>
              <w:t>​</w:t>
            </w:r>
          </w:p>
        </w:tc>
        <w:tc>
          <w:tcPr>
            <w:tcW w:w="852"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Chief Financial Officer </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0"/>
        <w:ind w:left="0" w:right="0" w:hanging="0"/>
        <w:jc w:val="right"/>
        <w:rPr>
          <w:rFonts w:ascii="Times New Roman;Times;serif" w:hAnsi="Times New Roman;Times;serif"/>
          <w:b/>
          <w:sz w:val="22"/>
        </w:rPr>
      </w:pPr>
      <w:bookmarkStart w:id="2040" w:name="cwh-20260630xex10d1.htm"/>
      <w:bookmarkStart w:id="2041" w:name="kscwh20260630xex10d1"/>
      <w:bookmarkEnd w:id="2040"/>
      <w:bookmarkEnd w:id="2041"/>
      <w:r>
        <w:rPr>
          <w:rFonts w:ascii="Times New Roman;Times;serif" w:hAnsi="Times New Roman;Times;serif"/>
          <w:b/>
          <w:sz w:val="22"/>
        </w:rPr>
        <w:t>Exhibit 10.1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AMENDMENT TO EMPLOYMENT AGREEMENT AND RELEASE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THIS AMENDMENT TO EMPLOYMENT AGREEMENT AND RELEASE (hereinafter this “Amendment”) is entered into effective as of May 18, 2026 (the “Effective Date”), among Marcus Lemonis ( “Employee”), Camping World Holdings, Inc., a Delaware corporation (“Camping World”), and CWGS Enterprises, LLC, a Delaware limited liability company (the “Partnership” and, together with Camping World and any of the affiliates of Camping World and the Partnership as may employ Employee from time to time, and any successor(s) thereto, the “Company”). Capitalized terms not otherwise defined herein shall have their respective meanings set forth in the Second Amended and Restated Employment Agreement, by and between Marcus Lemonis, Camping World Holdings, Inc. and CWGS Enterprises, LLC, dated as of December 7, 2025 and effective as of January 1, 2026 (the “Employment Agreement”).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RECITALS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Employee is employed as the Company’s Co-Founder and Special Advisor pursuant to the Employment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Company and Employee desire to amend the Employment Agreement on the terms set forth in this Amendment to provide Employee with certain consideration in exchange for a release of claims and the extension of certain restrictive covenants.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for good and valuable consideration, the receipt and sufficiency of which is hereby acknowledged, the parties agree as follows: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Amendment to Section 4.02 of Employment Agreement</w:t>
      </w:r>
      <w:r>
        <w:rPr>
          <w:rFonts w:ascii="Times New Roman;Times;serif" w:hAnsi="Times New Roman;Times;serif"/>
          <w:sz w:val="22"/>
        </w:rPr>
        <w:t>.  Section 4.02 of the Employment Agreement is hereby deleted and replaced with “[Reserved.].” Employee acknowledges that he shall not be entitled to any bonus compensation for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Amendment to Section 6.01 of Employment Agreement</w:t>
      </w:r>
      <w:r>
        <w:rPr>
          <w:rFonts w:ascii="Times New Roman;Times;serif" w:hAnsi="Times New Roman;Times;serif"/>
          <w:sz w:val="22"/>
        </w:rPr>
        <w:t>.  In consideration of the Company’s agreement to make the Amendment Payments (as defined below), the definition of “Non-Compete Period” in the Employment Agreement shall be amended to be “during the Term and for twenty-four months after the termination of Employee’s employment for any reason (the “Non-Compete Period”).”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Amendments to Section 7 of Employment Agreement</w:t>
      </w:r>
      <w:r>
        <w:rPr>
          <w:rFonts w:ascii="Times New Roman;Times;serif" w:hAnsi="Times New Roman;Times;serif"/>
          <w:sz w:val="22"/>
        </w:rPr>
        <w: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3.01</w:t>
      </w:r>
      <w:r>
        <w:rPr>
          <w:rFonts w:ascii="Times New Roman;Times;serif" w:hAnsi="Times New Roman;Times;serif"/>
          <w:sz w:val="22"/>
        </w:rPr>
        <w:t>Section 7.06(b) of the Employment Agreement is hereby deleted and replaced with “[Reserved.].”</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3.02</w:t>
      </w:r>
      <w:r>
        <w:rPr>
          <w:rFonts w:ascii="Times New Roman;Times;serif" w:hAnsi="Times New Roman;Times;serif"/>
          <w:sz w:val="22"/>
        </w:rPr>
        <w:t>Section 7.06(c) of the Employment Agreement are hereby amended to read as follows:</w:t>
      </w:r>
    </w:p>
    <w:p>
      <w:pPr>
        <w:pStyle w:val="TextBody"/>
        <w:bidi w:val="0"/>
        <w:spacing w:before="0" w:after="0"/>
        <w:ind w:left="0" w:right="0" w:firstLine="720"/>
        <w:jc w:val="both"/>
        <w:rPr/>
      </w:pPr>
      <w:r>
        <w:rPr/>
        <w:t>​</w:t>
      </w:r>
    </w:p>
    <w:p>
      <w:pPr>
        <w:pStyle w:val="TextBody"/>
        <w:bidi w:val="0"/>
        <w:spacing w:before="0" w:after="100"/>
        <w:ind w:left="720" w:right="720" w:hanging="0"/>
        <w:jc w:val="left"/>
        <w:rPr/>
      </w:pPr>
      <w:r>
        <w:rPr>
          <w:caps w:val="false"/>
          <w:smallCaps w:val="false"/>
        </w:rPr>
        <w: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Termination Without Cause or Resignation for Good Reason</w:t>
      </w:r>
      <w:r>
        <w:rPr>
          <w:rFonts w:ascii="Times New Roman;Times;serif" w:hAnsi="Times New Roman;Times;serif"/>
          <w:sz w:val="22"/>
        </w:rPr>
        <w:t>. If Employee’s employment is terminated pursuant to Section 7.01(e) or (f), subject to Employee’s continued compliance with the applicable Restrictive Covenants and provided that Employee shall have executed and delivered to the Company the Company’s standard form of release of claims (a “Release”) and the Release Effective Date (as defined below) shall have occurred within the time period set forth in Section 8.06(e), in addition to the Accrued Obligations, Employee shall be entitled to receive: (i) the vesting of any equity awards that are tied in whole or in part to performance shall be governed by the terms of the applicable award agreement; (ii) payment by the Company for COBRA benefits for a period of eighteen (18) months following termination for Employee and any dependents covered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both"/>
        <w:rPr>
          <w:rFonts w:ascii="Times New Roman;Times;serif" w:hAnsi="Times New Roman;Times;serif"/>
          <w:sz w:val="22"/>
        </w:rPr>
      </w:pPr>
      <w:r>
        <w:rPr>
          <w:rFonts w:ascii="Times New Roman;Times;serif" w:hAnsi="Times New Roman;Times;serif"/>
          <w:sz w:val="22"/>
        </w:rPr>
        <w:t>immediately prior to termination; and (iii) if such termination occurs during fiscal year 2026, continued payment of Employee’s Base Salary for the remaining portion of fiscal year 2026 following the date of termination, paid at the same times and in the same manner as Employee’s Base Salary had been paid to Employee prior to the termination of his employment hereunder (or, if accelerated payment is permitted under Section 409A, as determined by the Company in its sole discretion, in a lump sum within seventy-five (75) days following such termination of Employee’s employment but in all events prior to December 31,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3.03</w:t>
      </w:r>
      <w:r>
        <w:rPr>
          <w:rFonts w:ascii="Times New Roman;Times;serif" w:hAnsi="Times New Roman;Times;serif"/>
          <w:sz w:val="22"/>
        </w:rPr>
        <w:t>Clause (a) of Section 7.04 of the Employment Agreement is hereby amended to remove the words “or Annual Bonus.”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Amendment Payments</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4.01</w:t>
      </w:r>
      <w:r>
        <w:rPr>
          <w:rFonts w:ascii="Times New Roman;Times;serif" w:hAnsi="Times New Roman;Times;serif"/>
          <w:sz w:val="22"/>
        </w:rPr>
        <w:t>Subject to Employee’s continued compliance with this Amendment and the Employment Agreement as amended by this Amendment, the Company shall provide Employee with the following payments and benefits (the “Amendment Payments”) in satisfaction of the Company’s obligations under clauses (ii) and (vi) of Section 7.06(c) of the Employment Agreement: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On the later of (i) May 15, 2026, or (2) the second business day occurring after the Effective Date, the Company shall grant to Employee a number of vested shares of the Company’s Class A common stock with a fair market value, as determined by the closing stock price of one share of the Company’s Class A common stock on the date of issuance, equal to $2,250,000 less a withholding of a net number of vested shares of Class A common stock having a then current fair market value not exceeding the amount necessary to satisfy the applicable required tax withholding obligation based on the maximum statutory withholding rates for Employee’s applicable jurisdictions for federal, state, local and foreign income tax and payroll tax purposes; plus,</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 amount in cash equal to $3,750,000 less deductions for applicable federal, state and local income and employment taxes, representing the “Severance Amount” as defined in the Employment Agreement, which Severance Amount shall be paid within fifteen (15) days following the Effective Date. As used herein, the “Severance Amount” is equal to the sum of (a) Employee’s Base Salary as in effect on the Effective Date for one year ($1,500,000) and (b) the Annual Bonus applicable to 2026 ($2,250,000).</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4.02</w:t>
      </w:r>
      <w:r>
        <w:rPr>
          <w:rFonts w:ascii="Times New Roman;Times;serif" w:hAnsi="Times New Roman;Times;serif"/>
          <w:sz w:val="22"/>
        </w:rPr>
        <w:t xml:space="preserve">In addition to all other rights and remedies available to the Company under law or in equity, Employee agrees that the Company shall be entitled to withhold all Amendment Payments if, at any time prior to or during the period for which Employee is receiving such benefits, Employee breaches this Amendment or the Employment Agreement as amended by this Amendment. </w:t>
      </w:r>
      <w:r>
        <w:rPr>
          <w:rFonts w:ascii="Times New Roman;Times;serif" w:hAnsi="Times New Roman;Times;serif"/>
          <w:b/>
          <w:sz w:val="22"/>
        </w:rPr>
        <w:t xml:space="preserve">Further, if Employee breaches </w:t>
      </w:r>
      <w:r>
        <w:rPr>
          <w:rFonts w:ascii="Times New Roman;Times;serif" w:hAnsi="Times New Roman;Times;serif"/>
          <w:sz w:val="22"/>
        </w:rPr>
        <w:t>this Amendment or the Employment Agreement</w:t>
      </w:r>
      <w:r>
        <w:rPr>
          <w:rFonts w:ascii="Times New Roman;Times;serif" w:hAnsi="Times New Roman;Times;serif"/>
          <w:sz w:val="20"/>
        </w:rPr>
        <w:t xml:space="preserve"> </w:t>
      </w:r>
      <w:r>
        <w:rPr>
          <w:rFonts w:ascii="Times New Roman;Times;serif" w:hAnsi="Times New Roman;Times;serif"/>
          <w:b/>
          <w:sz w:val="22"/>
        </w:rPr>
        <w:t xml:space="preserve">after receipt of the Amendment Payments or any other severance payments under Section 7.06(c) of the Employment Agreement, as amended by this Amendment,, Employee agrees that Company shall be entitled to recover the Amendment Payments (including any shares issued to Employee in connection therewith or the proceeds of the sale of such shares if Employee has sold them), less an amount of $1,000, and that in such instance, all of Employee’s obligations under </w:t>
      </w:r>
      <w:r>
        <w:rPr>
          <w:rFonts w:ascii="Times New Roman;Times;serif" w:hAnsi="Times New Roman;Times;serif"/>
          <w:sz w:val="22"/>
        </w:rPr>
        <w:t xml:space="preserve">this Amendment or the Employment Agreement </w:t>
      </w:r>
      <w:r>
        <w:rPr>
          <w:rFonts w:ascii="Times New Roman;Times;serif" w:hAnsi="Times New Roman;Times;serif"/>
          <w:b/>
          <w:sz w:val="22"/>
        </w:rPr>
        <w:t>will remain in full force and effect.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4.03</w:t>
      </w:r>
      <w:r>
        <w:rPr>
          <w:rFonts w:ascii="Times New Roman;Times;serif" w:hAnsi="Times New Roman;Times;serif"/>
          <w:sz w:val="22"/>
        </w:rPr>
        <w:t>Except as set forth in this Section 4, or the Employment Agreement as amended by this Amendment, Employee is not owed wages, commissions, bonuses or other compensation, as of the Effective Date.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5. </w:t>
      </w:r>
      <w:r>
        <w:rPr>
          <w:rFonts w:ascii="Times New Roman;Times;serif" w:hAnsi="Times New Roman;Times;serif"/>
          <w:sz w:val="22"/>
          <w:u w:val="single"/>
        </w:rPr>
        <w:t>Release</w:t>
      </w:r>
      <w:r>
        <w:rPr>
          <w:rFonts w:ascii="Times New Roman;Times;serif" w:hAnsi="Times New Roman;Times;serif"/>
          <w:sz w:val="22"/>
        </w:rPr>
        <w:t>.</w:t>
      </w:r>
    </w:p>
    <w:p>
      <w:pPr>
        <w:pStyle w:val="TextBody"/>
        <w:bidi w:val="0"/>
        <w:spacing w:before="0" w:after="0"/>
        <w:ind w:left="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5.01</w:t>
      </w:r>
      <w:r>
        <w:rPr>
          <w:rFonts w:ascii="Times New Roman;Times;serif" w:hAnsi="Times New Roman;Times;serif"/>
          <w:sz w:val="22"/>
        </w:rPr>
        <w:t>For the good and valuable consideration set forth herein, the receipt and sufficiency of which is hereby acknowledged, and in consideration of the foregoing recitals and provisions above, which by this reference are incorporated herein, and the Company’s agreement to make the Amendment Payments, Employee, on behalf of Employee and Employee’s executors, heirs, administrators, representatives and assigns, hereby fully and forever releases and discharges the Company, its subsidiaries and affiliates (together, the “Company Group”), and its and their members, shareholders, officers, directors, agents, employees, assigns, managers, partners, and board members (collectively, the “Releasees”) from any and all claims, demands, actions, causes of action, judgments and liabilities of any kind or nature whatsoever in law, equity or otherwise, whether known or unknown, suspected or unsuspected, which Employee has or may have had against the Releasees based on any events or circumstances arising or occurring on or prior to the date of Employee’s signature hereon, arising directly or indirectly out of, relating to, or in any other way involving in any manner whatsoever Employee’s employment by or service to the Company or the termination thereof, Employee’s ownership of Company securities or otherwise, including but not limited to the following: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Any claim by Employee that the Company Group discriminated against Employee on the basis of race, sex, religion, age, national origin or handicap in violation of any state or federal law, including Title VII of the Civil Rights Act of 1964, as amended, the Family Medical Leave Act, the Americans with Disabilities Act, as amended, or similar state or local laws.</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Any claim under federal, state, or local law regarding health benefits, retirement benefits or life insurance benefits.</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c. </w:t>
      </w:r>
      <w:r>
        <w:rPr>
          <w:rFonts w:ascii="Times New Roman;Times;serif" w:hAnsi="Times New Roman;Times;serif"/>
          <w:sz w:val="22"/>
        </w:rPr>
        <w:t>Any claim in tort that the Company Group negligently, intentionally, maliciously, or wantonly caused damage to Employee.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d. </w:t>
      </w:r>
      <w:r>
        <w:rPr>
          <w:rFonts w:ascii="Times New Roman;Times;serif" w:hAnsi="Times New Roman;Times;serif"/>
          <w:sz w:val="22"/>
        </w:rPr>
        <w:t>Any claim under federal, state, or local law the Company Group inflicted emotional distress either intentionally or negligently on Employee.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 </w:t>
      </w:r>
      <w:r>
        <w:rPr>
          <w:rFonts w:ascii="Times New Roman;Times;serif" w:hAnsi="Times New Roman;Times;serif"/>
          <w:sz w:val="22"/>
        </w:rPr>
        <w:t>Any claim under federal, state, or local law against the Company Group sounding in contract, oral or written, express or implied, or any other agreement or promise.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f. </w:t>
      </w:r>
      <w:r>
        <w:rPr>
          <w:rFonts w:ascii="Times New Roman;Times;serif" w:hAnsi="Times New Roman;Times;serif"/>
          <w:sz w:val="22"/>
        </w:rPr>
        <w:t>Any claim that the Company Group owes any sort of compensation, bonus, or money to Employee.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5.02 </w:t>
      </w:r>
      <w:r>
        <w:rPr>
          <w:rFonts w:ascii="Times New Roman;Times;serif" w:hAnsi="Times New Roman;Times;serif"/>
          <w:sz w:val="22"/>
        </w:rPr>
        <w:t>Notwithstanding anything in this Amendment to the contrary, Employee does not waive any rights Employee may have (i) under COBRA; (ii) to Employee’s vested accrued employee benefits under the Company’s health, welfare, or retirement benefit plans; (iii) to benefits and/or the right to seek benefits under applicable workers’ compensation and/or unemployment compensation statutes; (iv) to pursue claims which by law cannot be waived and/or which may arise after the execution of this Amendment; (v) to his rights, if any, to indemnification or advancement from the Company as an officer, whether pursuant to any agreement or by operation of law; (vi) to enforce this Amendment or the Employment Agreement as amended by this Amendment; (vii) to bring to the attention of the Equal Employment Opportunity Commission or any other federal, state or local government agency claims of discrimination, or from participating in an investigation or proceeding conducted by the Equal Employment Opportunity Commission or any other federal, state or local government agency; provided, however, that Employee does release Employee’s right to secure any damages for alleged discriminatory treatment; and/or (viii) to communicate or cooperate with any government agency. Employee expressly consents that this release of claims shall be given full force and effect according to each and all of its express terms and provisions, including those relating to unknown and unsuspected claims (notwithstanding any state or local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statute that expressly limits the effectiveness of a release of unknown, unsuspected and unanticipated claims), if any, as well as those relating to any other claims hereinabove mentioned or implied. Employee acknowledges that he may hereafter discover claims or facts in addition to or different than those which he now knows or believes to exist with respect to the subject matter of the release set forth above and which, if known or suspected at the time of entering into this Amendment, may have materially affected this Amendment and his decision to enter into it. Employee acknowledges and agrees that this waiver is an essential and material term of this Amendment and that without such waiver the Company would not have agreed to the terms of this Amendment.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5.03</w:t>
      </w:r>
      <w:r>
        <w:rPr>
          <w:rFonts w:ascii="Times New Roman;Times;serif" w:hAnsi="Times New Roman;Times;serif"/>
          <w:sz w:val="22"/>
        </w:rPr>
        <w:t>Employee further represents, and warrants that Employee has not filed any suit, claims, or charges with any court or governmental agency, and agrees, represents, and warrants that Employee will not file any suit, claims or charges with any court or governmental agency, in any jurisdiction, relating to or arising out of Employee’s employment with the Company. Employee represents that the Employee has no lawsuits, claims, or actions pending in the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Employee confirms that the Employee has no knowledge of any wrongdoing involving improper or false claims against any governmental agency, or any other wrongdoing that involves Employee or any other present or former Company employees, including violations of the applicable laws.</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5.04</w:t>
      </w:r>
      <w:r>
        <w:rPr>
          <w:rFonts w:ascii="Times New Roman;Times;serif" w:hAnsi="Times New Roman;Times;serif"/>
          <w:sz w:val="22"/>
        </w:rPr>
        <w:t>Employee warrants that Employee has not assigned or transferred to any third party any right or claim described in the general release given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6. </w:t>
      </w:r>
      <w:r>
        <w:rPr>
          <w:rFonts w:ascii="Times New Roman;Times;serif" w:hAnsi="Times New Roman;Times;serif"/>
          <w:sz w:val="22"/>
          <w:u w:val="single"/>
        </w:rPr>
        <w:t>Rights of Non-Parties</w:t>
      </w:r>
      <w:r>
        <w:rPr>
          <w:rFonts w:ascii="Times New Roman;Times;serif" w:hAnsi="Times New Roman;Times;serif"/>
          <w:sz w:val="22"/>
        </w:rPr>
        <w:t>. All persons or entities against whom claims are released or waived by this Amendment are either party to or intended beneficiaries of this Amendment and shall have the same right and ability to enforce the release or waiver provided by this Amendment as though a party and signatory hereto.</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7. </w:t>
      </w:r>
      <w:r>
        <w:rPr>
          <w:rFonts w:ascii="Times New Roman;Times;serif" w:hAnsi="Times New Roman;Times;serif"/>
          <w:sz w:val="22"/>
          <w:u w:val="single"/>
        </w:rPr>
        <w:t>Miscellaneous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7.01</w:t>
      </w:r>
      <w:r>
        <w:rPr>
          <w:rFonts w:ascii="Times New Roman;Times;serif" w:hAnsi="Times New Roman;Times;serif"/>
          <w:sz w:val="22"/>
          <w:u w:val="single"/>
        </w:rPr>
        <w:t>Governing Law</w:t>
      </w:r>
      <w:r>
        <w:rPr>
          <w:rFonts w:ascii="Times New Roman;Times;serif" w:hAnsi="Times New Roman;Times;serif"/>
          <w:sz w:val="22"/>
        </w:rPr>
        <w:t>.  This Amendment is made under and shall be governed by and construed in accordance with the laws of the State of Delaware.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7.02</w:t>
      </w:r>
      <w:r>
        <w:rPr>
          <w:rFonts w:ascii="Times New Roman;Times;serif" w:hAnsi="Times New Roman;Times;serif"/>
          <w:sz w:val="22"/>
          <w:u w:val="single"/>
        </w:rPr>
        <w:t>Prior Agreements</w:t>
      </w:r>
      <w:r>
        <w:rPr>
          <w:rFonts w:ascii="Times New Roman;Times;serif" w:hAnsi="Times New Roman;Times;serif"/>
          <w:sz w:val="22"/>
        </w:rPr>
        <w:t>.  This Amendment, together with the Employment Agreement and the other agreements referenced herein and therein, contain the entire agreement of the parties relating to the subject matter hereof and supersedes all prior agreements and understandings with respect to such subject matter (including, without limitation, the Employment Agreement), and the parties hereto have made no agreement, representations or warranties relating to the subject matter hereof or thereof which are not set forth herein. Except as amended by this Amendment, all other provisions of the Employment Agreement shall remain in full force and effect for the remainder of the Term (as defined in the Employment Agreement) pursuant to the terms thereof.</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7.03</w:t>
      </w:r>
      <w:r>
        <w:rPr>
          <w:rFonts w:ascii="Times New Roman;Times;serif" w:hAnsi="Times New Roman;Times;serif"/>
          <w:sz w:val="22"/>
          <w:u w:val="single"/>
        </w:rPr>
        <w:t>Withholding Taxes</w:t>
      </w:r>
      <w:r>
        <w:rPr>
          <w:rFonts w:ascii="Times New Roman;Times;serif" w:hAnsi="Times New Roman;Times;serif"/>
          <w:sz w:val="22"/>
        </w:rPr>
        <w:t>.  The Company may withhold from any benefits payable under this Amendment all federal, state, city or other taxes as shall be required pursuant to any law or governmental regulation or ruling.</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7.04</w:t>
      </w:r>
      <w:r>
        <w:rPr>
          <w:rFonts w:ascii="Times New Roman;Times;serif" w:hAnsi="Times New Roman;Times;serif"/>
          <w:sz w:val="22"/>
          <w:u w:val="single"/>
        </w:rPr>
        <w:t>Amendments</w:t>
      </w:r>
      <w:r>
        <w:rPr>
          <w:rFonts w:ascii="Times New Roman;Times;serif" w:hAnsi="Times New Roman;Times;serif"/>
          <w:sz w:val="22"/>
        </w:rPr>
        <w:t>. No amendments or modifications of this Amendment shall be deemed effective unless made in writing and signed by the parties 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7.05</w:t>
      </w:r>
      <w:r>
        <w:rPr>
          <w:rFonts w:ascii="Times New Roman;Times;serif" w:hAnsi="Times New Roman;Times;serif"/>
          <w:sz w:val="22"/>
          <w:u w:val="single"/>
        </w:rPr>
        <w:t>No Waiver</w:t>
      </w:r>
      <w:r>
        <w:rPr>
          <w:rFonts w:ascii="Times New Roman;Times;serif" w:hAnsi="Times New Roman;Times;serif"/>
          <w:sz w:val="22"/>
        </w:rPr>
        <w:t>. No term or condition of this Amendment shall be deemed to have been waived, nor shall there by an estoppel to enforce any provisions of this Amendment ,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7.06</w:t>
      </w:r>
      <w:r>
        <w:rPr>
          <w:rFonts w:ascii="Times New Roman;Times;serif" w:hAnsi="Times New Roman;Times;serif"/>
          <w:sz w:val="22"/>
          <w:u w:val="single"/>
        </w:rPr>
        <w:t>Severability</w:t>
      </w:r>
      <w:r>
        <w:rPr>
          <w:rFonts w:ascii="Times New Roman;Times;serif" w:hAnsi="Times New Roman;Times;serif"/>
          <w:sz w:val="22"/>
        </w:rPr>
        <w:t>. To the extent any provision of this Amendment shall be invalid or unenforceable, it shall be considered deleted herefrom and the remainder of such provision and of this Amendment shall be unaffected and shall continue in full force and effect. In furtherance and not in limitation of the foregoing, should the duration or geographical extent of, or business activities covered by, any provision of this Amendment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Amendment be given the construction which renders its provisions valid and enforceable to the maximum extent (not exceeding its express terms) possible under applicable law.</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7.07</w:t>
      </w:r>
      <w:r>
        <w:rPr>
          <w:rFonts w:ascii="Times New Roman;Times;serif" w:hAnsi="Times New Roman;Times;serif"/>
          <w:sz w:val="22"/>
          <w:u w:val="single"/>
        </w:rPr>
        <w:t>Assignment</w:t>
      </w:r>
      <w:r>
        <w:rPr>
          <w:rFonts w:ascii="Times New Roman;Times;serif" w:hAnsi="Times New Roman;Times;serif"/>
          <w:sz w:val="22"/>
        </w:rPr>
        <w:t>. This Amendment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Amendment including this Section 7.</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7.08</w:t>
      </w:r>
      <w:r>
        <w:rPr>
          <w:rFonts w:ascii="Times New Roman;Times;serif" w:hAnsi="Times New Roman;Times;serif"/>
          <w:sz w:val="22"/>
          <w:u w:val="single"/>
        </w:rPr>
        <w:t>Injunctive Relief</w:t>
      </w:r>
      <w:r>
        <w:rPr>
          <w:rFonts w:ascii="Times New Roman;Times;serif" w:hAnsi="Times New Roman;Times;serif"/>
          <w:sz w:val="22"/>
        </w:rPr>
        <w:t>. Employee agrees that it would be difficult to compensate the Company fully for damages for any violation of the provisions of this Amendment, including without limitation the provisions of Section 3. Accordingly, Employee specifically agrees that the Company shall be entitled to temporary and permanent injunctive relief to enforce the provisions of this Amendment and that such relief may be granted without the necessity of proving actual damages. This provision with respect to injunctive relief shall not, however, diminish the right of the Company to claim and recover damages in addition to injunctive relief.</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7.09 </w:t>
      </w:r>
      <w:r>
        <w:rPr>
          <w:rFonts w:ascii="Times New Roman;Times;serif" w:hAnsi="Times New Roman;Times;serif"/>
          <w:sz w:val="22"/>
          <w:u w:val="single"/>
        </w:rPr>
        <w:t>Other Agreements</w:t>
      </w:r>
      <w:r>
        <w:rPr>
          <w:rFonts w:ascii="Times New Roman;Times;serif" w:hAnsi="Times New Roman;Times;serif"/>
          <w:sz w:val="22"/>
        </w:rPr>
        <w:t>. Sections 8.06 (“Section 409A”), 8.07 (“280G Parachute Payments”), 8.08 (“Compensation Recovery Policy”), 8.12 (“Attorneys’ Fees and Costs”), 8.13 (“No Mitigation Obligation”), 8.14 (“Notices”), and 8.15 “Notice of Immunity”) of the Employment Agreement shall apply to this Amendment as if set forth herein.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41414"/>
          <w:sz w:val="22"/>
        </w:rPr>
        <w:t>7.10</w:t>
      </w:r>
      <w:r>
        <w:rPr>
          <w:rFonts w:ascii="Times New Roman;Times;serif" w:hAnsi="Times New Roman;Times;serif"/>
          <w:color w:val="141414"/>
          <w:sz w:val="22"/>
          <w:u w:val="single"/>
        </w:rPr>
        <w:t>Survival</w:t>
      </w:r>
      <w:r>
        <w:rPr>
          <w:rFonts w:ascii="Times New Roman;Times;serif" w:hAnsi="Times New Roman;Times;serif"/>
          <w:color w:val="141414"/>
          <w:sz w:val="22"/>
        </w:rPr>
        <w:t xml:space="preserve">. The rights and obligations of the parties under the provisions of this Agreement shall survive, and remain binding and enforceable, notwithstanding the expiration of the Term, the termination of this Agreement, the termination of </w:t>
      </w:r>
      <w:r>
        <w:rPr>
          <w:rFonts w:ascii="Times New Roman;Times;serif" w:hAnsi="Times New Roman;Times;serif"/>
          <w:sz w:val="22"/>
        </w:rPr>
        <w:t>Employee’</w:t>
      </w:r>
      <w:r>
        <w:rPr>
          <w:rFonts w:ascii="Times New Roman;Times;serif" w:hAnsi="Times New Roman;Times;serif"/>
          <w:color w:val="141414"/>
          <w:sz w:val="22"/>
        </w:rPr>
        <w:t xml:space="preserve">s employment hereunder or any settlement of the financial rights and obligations arising from </w:t>
      </w:r>
      <w:r>
        <w:rPr>
          <w:rFonts w:ascii="Times New Roman;Times;serif" w:hAnsi="Times New Roman;Times;serif"/>
          <w:sz w:val="22"/>
        </w:rPr>
        <w:t>Employee</w:t>
      </w:r>
      <w:r>
        <w:rPr>
          <w:rFonts w:ascii="Times New Roman;Times;serif" w:hAnsi="Times New Roman;Times;serif"/>
          <w:color w:val="141414"/>
          <w:sz w:val="20"/>
        </w:rPr>
        <w:t>’</w:t>
      </w:r>
      <w:r>
        <w:rPr>
          <w:rFonts w:ascii="Times New Roman;Times;serif" w:hAnsi="Times New Roman;Times;serif"/>
          <w:color w:val="141414"/>
          <w:sz w:val="22"/>
        </w:rPr>
        <w:t>s employment hereunder, to the extent necessary to preserve the intended benefits of such provisions.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7.11 </w:t>
      </w:r>
      <w:r>
        <w:rPr>
          <w:rFonts w:ascii="Times New Roman;Times;serif" w:hAnsi="Times New Roman;Times;serif"/>
          <w:sz w:val="22"/>
          <w:u w:val="single"/>
        </w:rPr>
        <w:t>Voluntary Execution</w:t>
      </w:r>
      <w:r>
        <w:rPr>
          <w:rFonts w:ascii="Times New Roman;Times;serif" w:hAnsi="Times New Roman;Times;serif"/>
          <w:sz w:val="22"/>
        </w:rPr>
        <w:t>. Employee hereby represents that Employee has read and understands the contents of this Amendment, that no representations other than those contained herein have been made to induce Employee or to influence Employee to execute this Amendment, but that Employee executes this Amendment knowingly and voluntarily, after having received independent legal counsel of Employee’s own choosing, if Employee so chooses.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Follows]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4"/>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have executed this Agreement as of the date set forth in the first paragraph.</w:t>
      </w:r>
    </w:p>
    <w:p>
      <w:pPr>
        <w:pStyle w:val="TextBody"/>
        <w:bidi w:val="0"/>
        <w:spacing w:before="0" w:after="0"/>
        <w:ind w:left="0" w:right="0" w:hanging="0"/>
        <w:jc w:val="center"/>
        <w:rPr/>
      </w:pPr>
      <w:r>
        <w:rPr/>
        <w:t>​</w:t>
      </w:r>
    </w:p>
    <w:tbl>
      <w:tblPr>
        <w:tblW w:w="4219" w:type="dxa"/>
        <w:jc w:val="left"/>
        <w:tblInd w:w="0" w:type="dxa"/>
        <w:tblLayout w:type="fixed"/>
        <w:tblCellMar>
          <w:top w:w="0" w:type="dxa"/>
          <w:left w:w="0" w:type="dxa"/>
          <w:bottom w:w="0" w:type="dxa"/>
          <w:right w:w="0" w:type="dxa"/>
        </w:tblCellMar>
      </w:tblPr>
      <w:tblGrid>
        <w:gridCol w:w="124"/>
        <w:gridCol w:w="660"/>
        <w:gridCol w:w="3435"/>
      </w:tblGrid>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CAMPING WORLD HOLDINGS, INC.</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Matt Wagner</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3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 Wagner</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CWGS ENTERPRISES, LLC</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Matt Wagner</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3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 Wagner</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EMPLOYEE</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Marcus A. Lemonis</w:t>
            </w:r>
          </w:p>
        </w:tc>
      </w:tr>
      <w:tr>
        <w:trPr/>
        <w:tc>
          <w:tcPr>
            <w:tcW w:w="124"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3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Marcus A. Lemonis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i/>
          <w:sz w:val="22"/>
        </w:rPr>
      </w:pPr>
      <w:bookmarkStart w:id="2042" w:name="cwh-20260630xex10d5.htm"/>
      <w:bookmarkStart w:id="2043" w:name="kscwh20260630xex10d5"/>
      <w:bookmarkEnd w:id="2042"/>
      <w:bookmarkEnd w:id="2043"/>
      <w:r>
        <w:rPr>
          <w:rFonts w:ascii="Times New Roman;Times;serif" w:hAnsi="Times New Roman;Times;serif"/>
          <w:b/>
          <w:i/>
          <w:sz w:val="22"/>
        </w:rPr>
        <w:t>Exhibit 10.5</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EMPLOYMENT TRANSITION AND RELEASE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Employment Transition and Release Agreement (the “</w:t>
      </w:r>
      <w:r>
        <w:rPr>
          <w:rFonts w:ascii="Times New Roman;Times;serif" w:hAnsi="Times New Roman;Times;serif"/>
          <w:b/>
          <w:i/>
          <w:sz w:val="22"/>
        </w:rPr>
        <w:t>Agreement</w:t>
      </w:r>
      <w:r>
        <w:rPr>
          <w:rFonts w:ascii="Times New Roman;Times;serif" w:hAnsi="Times New Roman;Times;serif"/>
          <w:sz w:val="20"/>
        </w:rPr>
        <w:t>”</w:t>
      </w:r>
      <w:r>
        <w:rPr>
          <w:rFonts w:ascii="Times New Roman;Times;serif" w:hAnsi="Times New Roman;Times;serif"/>
          <w:sz w:val="22"/>
        </w:rPr>
        <w:t>) is entered into by and between Lindsey Christen (“</w:t>
      </w:r>
      <w:r>
        <w:rPr>
          <w:rFonts w:ascii="Times New Roman;Times;serif" w:hAnsi="Times New Roman;Times;serif"/>
          <w:b/>
          <w:i/>
          <w:sz w:val="22"/>
        </w:rPr>
        <w:t>Employee</w:t>
      </w:r>
      <w:r>
        <w:rPr>
          <w:rFonts w:ascii="Times New Roman;Times;serif" w:hAnsi="Times New Roman;Times;serif"/>
          <w:sz w:val="20"/>
        </w:rPr>
        <w:t>”</w:t>
      </w:r>
      <w:r>
        <w:rPr>
          <w:rFonts w:ascii="Times New Roman;Times;serif" w:hAnsi="Times New Roman;Times;serif"/>
          <w:sz w:val="22"/>
        </w:rPr>
        <w:t>), Camping World Holdings, Inc., a Delaware corporation (“</w:t>
      </w:r>
      <w:r>
        <w:rPr>
          <w:rFonts w:ascii="Times New Roman;Times;serif" w:hAnsi="Times New Roman;Times;serif"/>
          <w:b/>
          <w:i/>
          <w:sz w:val="22"/>
        </w:rPr>
        <w:t>Camping World</w:t>
      </w:r>
      <w:r>
        <w:rPr>
          <w:rFonts w:ascii="Times New Roman;Times;serif" w:hAnsi="Times New Roman;Times;serif"/>
          <w:sz w:val="20"/>
        </w:rPr>
        <w:t>”</w:t>
      </w:r>
      <w:r>
        <w:rPr>
          <w:rFonts w:ascii="Times New Roman;Times;serif" w:hAnsi="Times New Roman;Times;serif"/>
          <w:sz w:val="22"/>
        </w:rPr>
        <w:t>) and CWGS Enterprises, LLC, a Delaware limited liability company (the “</w:t>
      </w:r>
      <w:r>
        <w:rPr>
          <w:rFonts w:ascii="Times New Roman;Times;serif" w:hAnsi="Times New Roman;Times;serif"/>
          <w:b/>
          <w:i/>
          <w:sz w:val="22"/>
        </w:rPr>
        <w:t>Partnership</w:t>
      </w:r>
      <w:r>
        <w:rPr>
          <w:rFonts w:ascii="Times New Roman;Times;serif" w:hAnsi="Times New Roman;Times;serif"/>
          <w:sz w:val="20"/>
        </w:rPr>
        <w:t xml:space="preserve">” </w:t>
      </w:r>
      <w:r>
        <w:rPr>
          <w:rFonts w:ascii="Times New Roman;Times;serif" w:hAnsi="Times New Roman;Times;serif"/>
          <w:sz w:val="22"/>
        </w:rPr>
        <w:t>and, together with Camping World and any of the Affiliates of Camping World and the Partnership as may employ Employee from time to time, and any successor(s) thereto, the “</w:t>
      </w:r>
      <w:r>
        <w:rPr>
          <w:rFonts w:ascii="Times New Roman;Times;serif" w:hAnsi="Times New Roman;Times;serif"/>
          <w:b/>
          <w:i/>
          <w:sz w:val="22"/>
        </w:rPr>
        <w:t>Company</w:t>
      </w:r>
      <w:r>
        <w:rPr>
          <w:rFonts w:ascii="Times New Roman;Times;serif" w:hAnsi="Times New Roman;Times;serif"/>
          <w:sz w:val="20"/>
        </w:rPr>
        <w:t>”</w:t>
      </w:r>
      <w:r>
        <w:rPr>
          <w:rFonts w:ascii="Times New Roman;Times;serif" w:hAnsi="Times New Roman;Times;serif"/>
          <w:sz w:val="22"/>
        </w:rPr>
        <w:t>), effective as of the Effective Date (as defined below).</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WHEREAS, Employee is a party to that certain Second Amended and Restated Employment Agreement, effective as of January 1, 2026, with the Company (the “</w:t>
      </w:r>
      <w:r>
        <w:rPr>
          <w:rFonts w:ascii="Times New Roman;Times;serif" w:hAnsi="Times New Roman;Times;serif"/>
          <w:b/>
          <w:i/>
          <w:sz w:val="22"/>
        </w:rPr>
        <w:t>Employment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WHEREAS, Employee shall cease serving as the Company’s Chief Administrative and Legal Officer and Secretary as of September 1, 2026 (the “</w:t>
      </w:r>
      <w:r>
        <w:rPr>
          <w:rFonts w:ascii="Times New Roman;Times;serif" w:hAnsi="Times New Roman;Times;serif"/>
          <w:b/>
          <w:i/>
          <w:sz w:val="22"/>
        </w:rPr>
        <w:t>Transition Date</w:t>
      </w:r>
      <w:r>
        <w:rPr>
          <w:rFonts w:ascii="Times New Roman;Times;serif" w:hAnsi="Times New Roman;Times;serif"/>
          <w:sz w:val="20"/>
        </w:rPr>
        <w:t>”</w:t>
      </w:r>
      <w:r>
        <w:rPr>
          <w:rFonts w:ascii="Times New Roman;Times;serif" w:hAnsi="Times New Roman;Times;serif"/>
          <w:sz w:val="22"/>
        </w:rPr>
        <w:t>); and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the Company desires to continue to employ Employee, and Employee desires to continue employment with the Company, as a non-executive employee during the Transition Period (as defined below), on the terms and conditions set forth herein.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foregoing, and for other good and valuable consideration, the adequacy of which is hereby acknowledged by the parties hereto, Employee and the Company hereby agree as follows:</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Effective Date; Transition Period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Employee and the Company agree that Employee will cease holding any and all positions as an officer, director or designee of the Company or any of its subsidiaries, affiliates or other entities in which it holds a direct or indirect equity interest as of the Transition Date; provided, however, Employee shall remain a non-executive employee of the Company commencing on the Transition Date through February 28, 2027, which date may be extended upon mutual agreement of Employee and the Company (or such earlier date on which Employee’s employment with the Company terminates for any reason, the date of Employee’s termination of employment, the “</w:t>
      </w:r>
      <w:r>
        <w:rPr>
          <w:rFonts w:ascii="Times New Roman;Times;serif" w:hAnsi="Times New Roman;Times;serif"/>
          <w:b/>
          <w:i/>
          <w:sz w:val="22"/>
        </w:rPr>
        <w:t>Last Day of Service</w:t>
      </w:r>
      <w:r>
        <w:rPr>
          <w:rFonts w:ascii="Times New Roman;Times;serif" w:hAnsi="Times New Roman;Times;serif"/>
          <w:sz w:val="20"/>
        </w:rPr>
        <w:t>”</w:t>
      </w:r>
      <w:r>
        <w:rPr>
          <w:rFonts w:ascii="Times New Roman;Times;serif" w:hAnsi="Times New Roman;Times;serif"/>
          <w:sz w:val="22"/>
        </w:rPr>
        <w:t>). The “</w:t>
      </w:r>
      <w:r>
        <w:rPr>
          <w:rFonts w:ascii="Times New Roman;Times;serif" w:hAnsi="Times New Roman;Times;serif"/>
          <w:b/>
          <w:i/>
          <w:sz w:val="22"/>
        </w:rPr>
        <w:t>Transition Period</w:t>
      </w:r>
      <w:r>
        <w:rPr>
          <w:rFonts w:ascii="Times New Roman;Times;serif" w:hAnsi="Times New Roman;Times;serif"/>
          <w:sz w:val="20"/>
        </w:rPr>
        <w:t xml:space="preserve">” </w:t>
      </w:r>
      <w:r>
        <w:rPr>
          <w:rFonts w:ascii="Times New Roman;Times;serif" w:hAnsi="Times New Roman;Times;serif"/>
          <w:sz w:val="22"/>
        </w:rPr>
        <w:t>shall be the period between the Transition Date and the Last Day of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and Employee acknowledge that Employee’s employment during the Transition Period shall be at-will, as defined under applicable law, and that Employee’s employment with the Company may be terminated by either party at any time for any or no reason, with or without notice.  If Employee’s employment terminates for any reason during the Transition Period, Employee shall not be entitled to any payments, benefits, damages, awards or compensation other than as required by applicable law or other than as provided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During the Transition Period, Employee shall (i) continue to advise the Company as an employee advisor, and (ii) perform other transition-related duties, including using Employee’s reasonable efforts to advance the interests of the Company and facilitate the transition of her responsibilities in whatever reasonable capacity may be requested by the Company’s Chief Executive Officer or Board of Directors.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The Company shall indemnify Employee with respect to matters relating to Employee’s services as an officer of the Company, or any of its affiliates, occurring during the course and scope of Employee’s employment with the Company, including during the Transition Period, to the extent and pursuant to the applicable provisions in Delaware law and that certain Indemnification Agreement dated February 23, 2023 and attached hereto as Exhibit A (the “Indemnification Agreement”); provided, that nothing in this Agreement shall limit, reduce, or otherwise adversely affect rights of Employee under the Indemnification Agreement, and all agreements and obligations of the Company contained within such Indemnification Agreement shall continue during the Transition Period notwithstanding that Employee will not be serving as an officer or director of the Company or any of its affiliates during such period, and, in accordance with Section 10 of the Indemnification Agreement, shall continue thereafter so long as Employee shall be subject to any Proceeding (as defined in the Indemnification Agreement) (or any proceeding commenced under Section 7 of such Indemnification Agreement) by reason of her Corporate Status (as defined in the Indemnification Agreement), whether or not she is acting or serving in any such capacity at the time any liability or expense is incurred for which indemnification can be provided thereunder, and shall be binding upon and inure to the benefit of and be enforceable by the parties thereto and their respective successors (including any direct or indirect successor by purchase, merger, consolidation or otherwise to all or substantially all of the business or assets of the Company), assigns, spouses, heirs, executors and personal and legal representatives. The foregoing indemnity is contractual and will survive any adverse amendment to or repeal of this Agreement or termination of this Agreement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Compensation Matters</w:t>
      </w:r>
      <w:r>
        <w:rPr>
          <w:rFonts w:ascii="Times New Roman;Times;serif" w:hAnsi="Times New Roman;Times;serif"/>
          <w:sz w:val="22"/>
        </w:rPr>
        <w:t>. As compensation for the services to be rendered by the Employee to the Company during the Transition Period, Employee shall be paid the following compensation and benefits during the Transition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Company shall continue to pay to Employee her base salary at the rate in effect as of the Effective Date ($700,000 per year), payable in accordance with the Company’s pay practices (the “</w:t>
      </w:r>
      <w:r>
        <w:rPr>
          <w:rFonts w:ascii="Times New Roman;Times;serif" w:hAnsi="Times New Roman;Times;serif"/>
          <w:b/>
          <w:i/>
          <w:sz w:val="22"/>
        </w:rPr>
        <w:t>Transition Pay</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 prorated annual bonus for 2026 equal to $392,671.23 representing Employee’s minimum annual bonus for 2026 ($525,000), multiplied by a fraction, (1) the numerator of which shall be the number of days Employee was employed during 2026 through September 30, 2026 and (2) the denominator of which shall be three hundred sixty-five (365), which payment shall be made within thirty (30) days of the Transition Date (the “</w:t>
      </w:r>
      <w:r>
        <w:rPr>
          <w:rFonts w:ascii="Times New Roman;Times;serif" w:hAnsi="Times New Roman;Times;serif"/>
          <w:b/>
          <w:i/>
          <w:sz w:val="22"/>
        </w:rPr>
        <w:t>Prorated Bonus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Employee shall be entitled to continue to participate in benefits under the Company’s benefit plans and arrangements, subject to and on a basis consistent with the terms, conditions, and overall administration of such plans and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shall continue to be entitled to paid time off and/or vacation in accordance with Company policy;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The Company agrees to continue to reimburse all reasonable business expenses incurred by Employee consistent with the Company’s policies regarding reimbursement in the performance of Employee’s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Employee shall continue to receive a Company owned vehicle selected by the Company after consultation with Employee suitable for Employee’s position for her business and personal use, as mutually agreed by Employee. The Company shall pay the property taxes, insurance and any license fees or tags for such vehicles; and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Employee’s awards of restricted stock unit (“</w:t>
      </w:r>
      <w:r>
        <w:rPr>
          <w:rFonts w:ascii="Times New Roman;Times;serif" w:hAnsi="Times New Roman;Times;serif"/>
          <w:b/>
          <w:i/>
          <w:sz w:val="22"/>
        </w:rPr>
        <w:t>RSUs</w:t>
      </w:r>
      <w:r>
        <w:rPr>
          <w:rFonts w:ascii="Times New Roman;Times;serif" w:hAnsi="Times New Roman;Times;serif"/>
          <w:sz w:val="20"/>
        </w:rPr>
        <w:t>”</w:t>
      </w:r>
      <w:r>
        <w:rPr>
          <w:rFonts w:ascii="Times New Roman;Times;serif" w:hAnsi="Times New Roman;Times;serif"/>
          <w:sz w:val="22"/>
        </w:rPr>
        <w:t>) which are outstanding as of the Transition Date and scheduled to vest prior to December 31, 2026 shall continue to vest during the Transition Period in accordance with the terms of the applicable award agreements and the Camping World Holdings, Inc. 2016 Incentive Award Plan, as amended from time to time (the “</w:t>
      </w:r>
      <w:r>
        <w:rPr>
          <w:rFonts w:ascii="Times New Roman;Times;serif" w:hAnsi="Times New Roman;Times;serif"/>
          <w:b/>
          <w:i/>
          <w:sz w:val="22"/>
        </w:rPr>
        <w:t>2016 Plan</w:t>
      </w:r>
      <w:r>
        <w:rPr>
          <w:rFonts w:ascii="Times New Roman;Times;serif" w:hAnsi="Times New Roman;Times;serif"/>
          <w:sz w:val="20"/>
        </w:rPr>
        <w:t>”</w:t>
      </w:r>
      <w:r>
        <w:rPr>
          <w:rFonts w:ascii="Times New Roman;Times;serif" w:hAnsi="Times New Roman;Times;serif"/>
          <w:sz w:val="22"/>
        </w:rPr>
        <w:t>) and, notwithstanding anything to the contrary in the 2016 Plan or the applicable award agreements, Employee’s other outstanding unvested restricted stock units which are not scheduled to vest prior to December 31, 2026 and outstanding unvested performance-based restricted stock units will be forfeited for no consideration as of the Transition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Last Day of Service</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On or within fifteen (15) days following the Last Day of Service for any reason, the Company will pay to Employee (1) her earned but unpaid Transition Pay and any accrued but unpaid vacation or paid time off through the Last Day of Service and (2) reimbursement of any business expenses incurred in the ordinary course of business through the Last Day of Service that have not yet been reimbursed in accordance with Company policies in effect from time to time. Employee’s entitlement to health benefits from the Company, and eligibility to participate in the Company’s health benefit plans, shall cease on the last day of the calendar month during which the Last Day of Service occurs, except to the extent Employee elects to and is eligible to receive continued healthcare coverage pursuant to the provisions of the Consolidated Omnibus Budget Reconciliation Act of 1985, as amended, for herself and any covered dependents. Employee’s entitlement to other benefits from the Company, and eligibility to participate in the Company’s other benefit plans and programs, shall cease on the Last Day of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Upon the occurrence of the Last Day of Service prior to February 28, 2027 due to Employee’s termination by the Company without Cause, Employee will be eligible to receive an amount equal to the remaining unpaid Transition Pay that would have been payable through the remainder of the Transition Period, which shall be paid in a lump sum within thirty (30) days of such Last Day of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Upon the occurrence of the Last Day of Service for any reason other than Employee’s voluntary resignation or termination by the Company for Cause (as defined in the Employment Agreement), Employee will be eligible to receive a cash payment equal to $350,000, payable in a lump sum within thirty (30) days of the Last Day of Service (the “</w:t>
      </w:r>
      <w:r>
        <w:rPr>
          <w:rFonts w:ascii="Times New Roman;Times;serif" w:hAnsi="Times New Roman;Times;serif"/>
          <w:b/>
          <w:i/>
          <w:sz w:val="22"/>
        </w:rPr>
        <w:t>Last Day of Service Payment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acknowledges and agrees that: (i) Employee has no right to any severance benefits or other termination pay under the Employment Agreement or any other plan, program or agreement currently maintained by the Company or any of its subsidiaries, and (ii) Employee understands and agrees that her entitlement to the Transition Pay, Prorated Bonus and Last Day of Service Payment (the “</w:t>
      </w:r>
      <w:r>
        <w:rPr>
          <w:rFonts w:ascii="Times New Roman;Times;serif" w:hAnsi="Times New Roman;Times;serif"/>
          <w:b/>
          <w:i/>
          <w:sz w:val="22"/>
        </w:rPr>
        <w:t>Transition Benefits</w:t>
      </w:r>
      <w:r>
        <w:rPr>
          <w:rFonts w:ascii="Times New Roman;Times;serif" w:hAnsi="Times New Roman;Times;serif"/>
          <w:sz w:val="20"/>
        </w:rPr>
        <w:t>”</w:t>
      </w:r>
      <w:r>
        <w:rPr>
          <w:rFonts w:ascii="Times New Roman;Times;serif" w:hAnsi="Times New Roman;Times;serif"/>
          <w:sz w:val="22"/>
        </w:rPr>
        <w:t>) are subject to (1) the occurrence of the Effective Date within the time period provided in Section 4 below, (2) Employee’s compliance with the terms and conditions of this Agreement and the restrictive covenants included in Sections 5 and 6 of the Employment Agreement, as well as any other applicable restrictive covenant agreements between Employee and the Company or its affiliates (the “</w:t>
      </w:r>
      <w:r>
        <w:rPr>
          <w:rFonts w:ascii="Times New Roman;Times;serif" w:hAnsi="Times New Roman;Times;serif"/>
          <w:b/>
          <w:i/>
          <w:sz w:val="22"/>
        </w:rPr>
        <w:t>Restrictive Covenants</w:t>
      </w:r>
      <w:r>
        <w:rPr>
          <w:rFonts w:ascii="Times New Roman;Times;serif" w:hAnsi="Times New Roman;Times;serif"/>
          <w:sz w:val="20"/>
        </w:rPr>
        <w:t>”</w:t>
      </w:r>
      <w:r>
        <w:rPr>
          <w:rFonts w:ascii="Times New Roman;Times;serif" w:hAnsi="Times New Roman;Times;serif"/>
          <w:sz w:val="22"/>
        </w:rPr>
        <w:t>) and (3) with respect to the Last Day of Service Payment, Employee’s reaffirmation and re-execution of this Agreement (including, for the avoidance of doubt, the Release set forth in Section 4) in the second signature block below within ten (10) days after the Last Day of Service and allowing said reaffirmation to become effective without revocation pursuant to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Other than the payments described in this Agreement, Employee acknowledges that the Company will have timely paid all wages and employee benefits owed to Employee through the Transition Date, including but not limited to, all salary, bonuses, commissions, business expenses,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allowances, vacation pay, leave pay, and other employee benefits as a result of Employee’s employment with the Company and/or conclusion of that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Release of Known and Unknown Claims By Employee</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Employee acknowledges and agrees that: (i) the Transition Benefits constitute adequate consideration for the promises and representations made by Employee in this Agreement (including, without limitation, the Release). In consideration of the agreements and promises set forth herein, including the Company’s agreement to continue to employ Employee during the Transition Period and the Transition Benefits, Employee, on behalf of herself and Employee’s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stockholders, officers, general or limited partners, employees, attorneys, agents and representatives, and the employee benefit plans (including plan sponsors, plan fiduciaries, and insurers) in which Employee is or has been a participant by virtue of her employment with or service to the Company (collectively, the “</w:t>
      </w:r>
      <w:r>
        <w:rPr>
          <w:rFonts w:ascii="Times New Roman;Times;serif" w:hAnsi="Times New Roman;Times;serif"/>
          <w:b/>
          <w:i/>
          <w:sz w:val="22"/>
        </w:rPr>
        <w:t>Company Releasees</w:t>
      </w:r>
      <w:r>
        <w:rPr>
          <w:rFonts w:ascii="Times New Roman;Times;serif" w:hAnsi="Times New Roman;Times;serif"/>
          <w:sz w:val="20"/>
        </w:rPr>
        <w:t>”</w:t>
      </w:r>
      <w:r>
        <w:rPr>
          <w:rFonts w:ascii="Times New Roman;Times;serif" w:hAnsi="Times New Roman;Times;serif"/>
          <w:sz w:val="22"/>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direct or derivative (collectively, “</w:t>
      </w:r>
      <w:r>
        <w:rPr>
          <w:rFonts w:ascii="Times New Roman;Times;serif" w:hAnsi="Times New Roman;Times;serif"/>
          <w:b/>
          <w:i/>
          <w:sz w:val="22"/>
        </w:rPr>
        <w:t>Claims</w:t>
      </w:r>
      <w:r>
        <w:rPr>
          <w:rFonts w:ascii="Times New Roman;Times;serif" w:hAnsi="Times New Roman;Times;serif"/>
          <w:sz w:val="20"/>
        </w:rPr>
        <w:t>”</w:t>
      </w:r>
      <w:r>
        <w:rPr>
          <w:rFonts w:ascii="Times New Roman;Times;serif" w:hAnsi="Times New Roman;Times;serif"/>
          <w:sz w:val="22"/>
        </w:rPr>
        <w:t xml:space="preserve">), which Employee has or may have had against such entities based on any events or circumstances arising or occurring on or prior to the date hereof, arising directly or indirectly out of, relating to, or in any other way involving in any manner whatsoever Employee’s employment by or service to the Company or the termination thereof, Employee’s ownership of Company securities or otherwise, including any and all claims arising under federal, state, or local laws,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Times;serif" w:hAnsi="Times New Roman;Times;serif"/>
          <w:sz w:val="22"/>
          <w:u w:val="single"/>
        </w:rPr>
        <w:t>et seq</w:t>
      </w:r>
      <w:r>
        <w:rPr>
          <w:rFonts w:ascii="Times New Roman;Times;serif" w:hAnsi="Times New Roman;Times;serif"/>
          <w:sz w:val="22"/>
        </w:rPr>
        <w:t xml:space="preserve">.; the Americans with Disabilities Act, as amended, 42 U.S.C. § 12101 </w:t>
      </w:r>
      <w:r>
        <w:rPr>
          <w:rFonts w:ascii="Times New Roman;Times;serif" w:hAnsi="Times New Roman;Times;serif"/>
          <w:sz w:val="22"/>
          <w:u w:val="single"/>
        </w:rPr>
        <w:t>et seq</w:t>
      </w:r>
      <w:r>
        <w:rPr>
          <w:rFonts w:ascii="Times New Roman;Times;serif" w:hAnsi="Times New Roman;Times;serif"/>
          <w:sz w:val="22"/>
        </w:rPr>
        <w:t xml:space="preserve">.; the Rehabilitation Act of 1973, as amended, 29 U.S.C. § 701 </w:t>
      </w:r>
      <w:r>
        <w:rPr>
          <w:rFonts w:ascii="Times New Roman;Times;serif" w:hAnsi="Times New Roman;Times;serif"/>
          <w:sz w:val="22"/>
          <w:u w:val="single"/>
        </w:rPr>
        <w:t>et seq</w:t>
      </w:r>
      <w:r>
        <w:rPr>
          <w:rFonts w:ascii="Times New Roman;Times;serif" w:hAnsi="Times New Roman;Times;serif"/>
          <w:sz w:val="22"/>
        </w:rPr>
        <w:t xml:space="preserve">.; the Civil Rights Act of 1866, and the Civil Rights Act of 1991; 42 U.S.C. § 1981, </w:t>
      </w:r>
      <w:r>
        <w:rPr>
          <w:rFonts w:ascii="Times New Roman;Times;serif" w:hAnsi="Times New Roman;Times;serif"/>
          <w:sz w:val="22"/>
          <w:u w:val="single"/>
        </w:rPr>
        <w:t>et seq</w:t>
      </w:r>
      <w:r>
        <w:rPr>
          <w:rFonts w:ascii="Times New Roman;Times;serif" w:hAnsi="Times New Roman;Times;serif"/>
          <w:sz w:val="22"/>
        </w:rPr>
        <w:t xml:space="preserve">.; the Equal Pay Act, as amended, 29 U.S.C. Section 206(d); regulations of the Office of Federal Contract Compliance, 41 C.F.R. Section 60, </w:t>
      </w:r>
      <w:r>
        <w:rPr>
          <w:rFonts w:ascii="Times New Roman;Times;serif" w:hAnsi="Times New Roman;Times;serif"/>
          <w:sz w:val="22"/>
          <w:u w:val="single"/>
        </w:rPr>
        <w:t>et seq</w:t>
      </w:r>
      <w:r>
        <w:rPr>
          <w:rFonts w:ascii="Times New Roman;Times;serif" w:hAnsi="Times New Roman;Times;serif"/>
          <w:sz w:val="22"/>
        </w:rPr>
        <w:t xml:space="preserve">.; the Family and Medical Leave Act, as amended, 29 U.S.C. § 2601 </w:t>
      </w:r>
      <w:r>
        <w:rPr>
          <w:rFonts w:ascii="Times New Roman;Times;serif" w:hAnsi="Times New Roman;Times;serif"/>
          <w:sz w:val="22"/>
          <w:u w:val="single"/>
        </w:rPr>
        <w:t>et seq</w:t>
      </w:r>
      <w:r>
        <w:rPr>
          <w:rFonts w:ascii="Times New Roman;Times;serif" w:hAnsi="Times New Roman;Times;serif"/>
          <w:sz w:val="22"/>
        </w:rPr>
        <w:t xml:space="preserve">.; the Fair Labor Standards Act of 1938, as amended, 29 U.S.C. § 201 </w:t>
      </w:r>
      <w:r>
        <w:rPr>
          <w:rFonts w:ascii="Times New Roman;Times;serif" w:hAnsi="Times New Roman;Times;serif"/>
          <w:sz w:val="22"/>
          <w:u w:val="single"/>
        </w:rPr>
        <w:t>et seq</w:t>
      </w:r>
      <w:r>
        <w:rPr>
          <w:rFonts w:ascii="Times New Roman;Times;serif" w:hAnsi="Times New Roman;Times;serif"/>
          <w:sz w:val="22"/>
        </w:rPr>
        <w:t xml:space="preserve">.; the Employee Retirement Income Security Act, as amended, 29 U.S.C. § 1001 </w:t>
      </w:r>
      <w:r>
        <w:rPr>
          <w:rFonts w:ascii="Times New Roman;Times;serif" w:hAnsi="Times New Roman;Times;serif"/>
          <w:sz w:val="22"/>
          <w:u w:val="single"/>
        </w:rPr>
        <w:t>et seq</w:t>
      </w:r>
      <w:r>
        <w:rPr>
          <w:rFonts w:ascii="Times New Roman;Times;serif" w:hAnsi="Times New Roman;Times;serif"/>
          <w:sz w:val="22"/>
        </w:rPr>
        <w:t xml:space="preserve">.; the California Constitution; the California Fair Employment and Housing Act; California Government Code § 12940, </w:t>
      </w:r>
      <w:r>
        <w:rPr>
          <w:rFonts w:ascii="Times New Roman;Times;serif" w:hAnsi="Times New Roman;Times;serif"/>
          <w:sz w:val="22"/>
          <w:u w:val="single"/>
        </w:rPr>
        <w:t>et seq</w:t>
      </w:r>
      <w:r>
        <w:rPr>
          <w:rFonts w:ascii="Times New Roman;Times;serif" w:hAnsi="Times New Roman;Times;serif"/>
          <w:sz w:val="22"/>
        </w:rPr>
        <w:t xml:space="preserve">.; the California Labor Code; California unfair competition laws (including but not limited to California Business and Professions Code § 17200 </w:t>
      </w:r>
      <w:r>
        <w:rPr>
          <w:rFonts w:ascii="Times New Roman;Times;serif" w:hAnsi="Times New Roman;Times;serif"/>
          <w:sz w:val="22"/>
          <w:u w:val="single"/>
        </w:rPr>
        <w:t>et seq</w:t>
      </w:r>
      <w:r>
        <w:rPr>
          <w:rFonts w:ascii="Times New Roman;Times;serif" w:hAnsi="Times New Roman;Times;serif"/>
          <w:sz w:val="22"/>
        </w:rPr>
        <w:t>.); the California Family Rights Act; the Illinois Human Rights Act, the Illinois Right to Privacy in the Workplace Act, the Illinois Occupational Safety and Health Act, the Illinois Worker Adjustment and Retraining Notification Act, the Illinois One Day Rest in Seven Act, the Illinois Union Employee Health and Benefits Protection Act, the Illinois Employment Contract Act, the Illinois Labor Dispute Act, the Illinois Victims' Economic Security and Safety Act, the Illinois Whistleblower Act, and the Illinois Equal Pay Act. and any other state or local law (statutory, regulatory, or otherwise) that may be legally waived and released, and all including any amendments and their respective implementing regulations of any of the foregoing; however, the identification of specific statutes is for purposes of example only, and the omission of any specific statute or law shall not limit the scope of this general release in any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Notwithstanding the generality of the foregoing, Employee does not release any claim which, by law, may not be released, including the following claims (the “</w:t>
      </w:r>
      <w:r>
        <w:rPr>
          <w:rFonts w:ascii="Times New Roman;Times;serif" w:hAnsi="Times New Roman;Times;serif"/>
          <w:b/>
          <w:i/>
          <w:sz w:val="22"/>
        </w:rPr>
        <w:t>Retained Claims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(i)Claims for unemployment compensation or any state disability insurance benefits pursuant to the terms of applicable state law;</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(ii)Claims for workers’ compensation insurance benefits under the terms of any worker’s compensation insurance policy or fund of the Company or its affiliates and/or pursuant to the terms of applicable state law;</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(iii)Claims pursuant to the terms and conditions of the federal law known as COBRA;</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(iv)Claims for indemnity under the Indemnification Agreement or the bylaws of the Company or its affiliates, as provided for by applicable law or under any applicable insurance policy with respect to Employee’s liability as an employee or officer of the Company or its affiliates;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(v)Claims for Employee’s right to bring to the attention of the Equal Employment Opportunity Commission or any other federal, state or local government agency claims of discrimination, or from participating in an investigation or proceeding conducted by the Equal Employment Opportunity Commission or any other federal, state or local government agency; provided, however, that Employee does release her right to secure any damages for alleged discriminatory treatment;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(vi)Claims based on any right Employee may have to enforce the Company’s or its affiliates’ executory obligations under this Agreement;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(vii)Claims Employee may have to vested or earned compensation and benefits; and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(viii)Employee’s right to communicate or cooperate with any government agency.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EMPLOYEE ACKNOWLEDGES THAT EMPLOYEE HAS BEEN ADVISED OF AND IS FAMILIAR WITH THE PROVISIONS OF CALIFORNIA CIVIL CODE SECTION 1542, WHICH PROVIDES AS FOLLOWS:</w:t>
      </w:r>
    </w:p>
    <w:p>
      <w:pPr>
        <w:pStyle w:val="TextBody"/>
        <w:bidi w:val="0"/>
        <w:spacing w:before="0" w:after="240"/>
        <w:ind w:left="1440" w:right="0" w:hanging="0"/>
        <w:jc w:val="both"/>
        <w:rPr/>
      </w:pPr>
      <w:r>
        <w:rPr/>
        <w:t>“</w:t>
      </w:r>
      <w:r>
        <w:rPr>
          <w:rFonts w:ascii="Times New Roman;Times;serif" w:hAnsi="Times New Roman;Times;serif"/>
          <w:b/>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BEING AWARE OF SAID CODE SECTION, EMPLOYEE HEREBY EXPRESSLY WAIVES ANY RIGHTS EMPLOYEE MAY HAVE THEREUNDER, AS WELL AS UNDER ANY OTHER STATUTES OR COMMON LAW PRINCIPLES OF SIMILAR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Employee understands that this Agreement shall become effective, irrevocable, and binding upon Employee upon her execution of this Agreement. The date on which this Agreement becomes effective and irrevocable is referred to herein as the “</w:t>
      </w:r>
      <w:r>
        <w:rPr>
          <w:rFonts w:ascii="Times New Roman;Times;serif" w:hAnsi="Times New Roman;Times;serif"/>
          <w:b/>
          <w:i/>
          <w:sz w:val="22"/>
        </w:rPr>
        <w:t>Effective Date</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Knowing and Voluntary</w:t>
      </w:r>
      <w:r>
        <w:rPr>
          <w:rFonts w:ascii="Times New Roman;Times;serif" w:hAnsi="Times New Roman;Times;serif"/>
          <w:sz w:val="22"/>
        </w:rPr>
        <w:t>. Employee represents and agrees that, prior to signing this Agreement, Employee has had the opportunity to discuss the terms of this Agreement with legal counsel of her choosing.  Employee further represents and agrees that Employee is entering into this Agreement knowingly and voluntarily.  Employee affirms that no promise was made to cause Employee to enter into this Agreement, other than what is promised in this Agreement.  Employee further confirms that she has not relied upon any other statement or representation by anyone other than what is in this Agreement as a basis for her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Confirmation of Continuing Obligations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Restrictive Covenants</w:t>
      </w:r>
      <w:r>
        <w:rPr>
          <w:rFonts w:ascii="Times New Roman;Times;serif" w:hAnsi="Times New Roman;Times;serif"/>
          <w:sz w:val="22"/>
        </w:rPr>
        <w:t>. Employee hereby expressly reaffirms her obligations under the Restrictive Covenants, and agrees that such obligations shall survive the Last Day of Service to the extent any such obligations survive termination; provided, that, for purposes of the non-competition, non-solicitation and adversarial restrictions Restrictive Covenants, the “Restricted Period” shall expire on the six-month anniversary of the Last Day of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Cooperation</w:t>
      </w:r>
      <w:r>
        <w:rPr>
          <w:rFonts w:ascii="Times New Roman;Times;serif" w:hAnsi="Times New Roman;Times;serif"/>
          <w:sz w:val="22"/>
        </w:rPr>
        <w:t>. Employee agrees that, upon reasonable notice (after taking into account, to the extent reasonably practicable, her other personal and business commitments) and without the necessity of Company obtaining a subpoena or court order, she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Employee’s employment or services as to which she may have relevant information and any other matter for which Employee was responsible or had knowledge of through the Last Day of Service, other than matters in which Employee is an adverse party to the Company. Such cooperation may include, but will not be limited to, providing background information within her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Employee agrees to cooperate with the transition of her job responsibilities following the Last Day of Service and cooperate in providing information on matters on which she was involved while an employee.  To the extent such cooperation occurs subsequent to the Last Day of Service, the Company shall compensate the Employee’s for such cooperation at a daily rate equal to $340.00 per hour.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Return of Property</w:t>
      </w:r>
      <w:r>
        <w:rPr>
          <w:rFonts w:ascii="Times New Roman;Times;serif" w:hAnsi="Times New Roman;Times;serif"/>
          <w:sz w:val="22"/>
        </w:rPr>
        <w:t>. By signing below, Employee represents and warrants that, no later than the Last Day of Service, Employee will return to the Company all lists, books and records of, or in connection with, the Company’s business, and all other property belonging to the Company, including, without limitation, any Company-issued laptop, documents (hard copy or electronic files), it being distinctly understood that all such lists, books and records, and other documents, are the property of the Company, unless otherwise agreed by the Chief Executive Officer of the Company.  Employee further represents and warrants that Employee has not nor will Employee copy or transfer any Company information, nor will Employee maintain any Company confidential information after the Last Day of Service.  Employee’s compliance with this Section 6(c) shall be a condition to Employee’s receipt of the additional benefits described in Sections 2 and 3 above. Notwithstanding the foregoing, Employee may retain documents relating to her compensation and benefits from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Remedy in the Event of Breach</w:t>
      </w:r>
      <w:r>
        <w:rPr>
          <w:rFonts w:ascii="Times New Roman;Times;serif" w:hAnsi="Times New Roman;Times;serif"/>
          <w:sz w:val="22"/>
        </w:rPr>
        <w:t>. The receipt of the Transition Benefits shall be subject to Employee not violating the material provisions of this Agreement or the Restrictive Covenants. In the event Employee breaches the material provisions of this Agreement or the Restrictive Covenants, which breach is not cured by Employee, if capable of cure, within a reasonable period of time following Employee's receipt of written notice from the Company specifying in reasonable detail such breach, in the good faith and reasonable discretion of the Company, in addition to all other rights and remedies available to the Company under law or in equity (provided that damages shall be limited to direct damage sustained), all Transition Benefits to which Employee may otherwise be entitled pursuant to Sections 2 and 3 shall be immediately suspended.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Other Protections</w:t>
      </w:r>
      <w:r>
        <w:rPr>
          <w:rFonts w:ascii="Times New Roman;Times;serif" w:hAnsi="Times New Roman;Times;serif"/>
          <w:sz w:val="22"/>
        </w:rPr>
        <w:t>.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w:t>
      </w:r>
      <w:r>
        <w:rPr>
          <w:rFonts w:ascii="Times New Roman;Times;serif" w:hAnsi="Times New Roman;Times;serif"/>
          <w:sz w:val="22"/>
          <w:u w:val="single"/>
        </w:rPr>
        <w:t>Entire Agreement; Modification</w:t>
      </w:r>
      <w:r>
        <w:rPr>
          <w:rFonts w:ascii="Times New Roman;Times;serif" w:hAnsi="Times New Roman;Times;serif"/>
          <w:sz w:val="22"/>
        </w:rPr>
        <w:t>. This Agreement  and the other agreements referenced herein, constitute the entire agreement of the parties in respect of the subject matter contained herein and therein and supersede all prior or simultaneous representations, discussions, negotiations and agreements, whether written or oral, including, without limitation, the Employment Agreement (other than Sections 5, 6, 8.08 and 8.11 through 8.13 and Section 8.15 thereof, which are hereby incorporated herein by reference and form a part of this Agreement).  This Agreement may be amended or modified only with the written consent of Employee and an authorized representative of the Company.  No oral waiver, amendment or modification will be effective under any circumstances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w:t>
      </w:r>
      <w:r>
        <w:rPr>
          <w:rFonts w:ascii="Times New Roman;Times;serif" w:hAnsi="Times New Roman;Times;serif"/>
          <w:sz w:val="22"/>
          <w:u w:val="single"/>
        </w:rPr>
        <w:t>Survival</w:t>
      </w:r>
      <w:r>
        <w:rPr>
          <w:rFonts w:ascii="Times New Roman;Times;serif" w:hAnsi="Times New Roman;Times;serif"/>
          <w:sz w:val="22"/>
        </w:rPr>
        <w:t>. The covenants, agreements, representations and warranties contained in or made in this Agreement shall survive the Last Day of Service or any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w:t>
      </w:r>
      <w:r>
        <w:rPr>
          <w:rFonts w:ascii="Times New Roman;Times;serif" w:hAnsi="Times New Roman;Times;serif"/>
          <w:sz w:val="22"/>
          <w:u w:val="single"/>
        </w:rPr>
        <w:t>Third-Party Beneficiaries</w:t>
      </w:r>
      <w:r>
        <w:rPr>
          <w:rFonts w:ascii="Times New Roman;Times;serif" w:hAnsi="Times New Roman;Times;serif"/>
          <w:sz w:val="22"/>
        </w:rPr>
        <w:t>. Except as expressly set forth herein, this Agreement does not create, and shall not be construed as creating, any rights enforceable by any person not a party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w:t>
      </w:r>
      <w:r>
        <w:rPr>
          <w:rFonts w:ascii="Times New Roman;Times;serif" w:hAnsi="Times New Roman;Times;serif"/>
          <w:sz w:val="22"/>
          <w:u w:val="single"/>
        </w:rPr>
        <w:t>Waiver</w:t>
      </w:r>
      <w:r>
        <w:rPr>
          <w:rFonts w:ascii="Times New Roman;Times;serif" w:hAnsi="Times New Roman;Times;serif"/>
          <w:sz w:val="22"/>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Notices</w:t>
      </w:r>
      <w:r>
        <w:rPr>
          <w:rFonts w:ascii="Times New Roman;Times;serif" w:hAnsi="Times New Roman;Time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Employee at the address listed on the Company’s personnel records and to the Company at its principal place of business, or such other address as either party may specify in writing.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sz w:val="22"/>
          <w:u w:val="single"/>
        </w:rPr>
        <w:t>Severability</w:t>
      </w:r>
      <w:r>
        <w:rPr>
          <w:rFonts w:ascii="Times New Roman;Times;serif" w:hAnsi="Times New Roman;Times;serif"/>
          <w:sz w:val="22"/>
        </w:rPr>
        <w:t>. In the event any provision of this Agreement is found to be unenforceable by any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sz w:val="22"/>
          <w:u w:val="single"/>
        </w:rPr>
        <w:t>Governing Law and Venue</w:t>
      </w:r>
      <w:r>
        <w:rPr>
          <w:rFonts w:ascii="Times New Roman;Times;serif" w:hAnsi="Times New Roman;Times;serif"/>
          <w:sz w:val="22"/>
        </w:rPr>
        <w:t>. This Agreement will be governed by and construed in accordance with the laws of the United States of America and the State of Delaware applicable to contracts made and to be performed wholly within such State, and without regard to the conflicts of laws principles thereof.  Any suit brought hereon shall be brought in the state or federal courts sitting in Wilmington, Delaware the parties hereby waiving any claim or defense that such forum is not convenient or proper. Each party hereby agrees that any such court shall have in personam jurisdiction over it and consents to service of process in any manner authorized by Delaware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14.</w:t>
      </w:r>
      <w:r>
        <w:rPr>
          <w:rFonts w:ascii="Times New Roman;Times;serif" w:hAnsi="Times New Roman;Times;serif"/>
          <w:sz w:val="22"/>
          <w:u w:val="single"/>
        </w:rPr>
        <w:t>Non-transferability of Interest</w:t>
      </w:r>
      <w:r>
        <w:rPr>
          <w:rFonts w:ascii="Times New Roman;Times;serif" w:hAnsi="Times New Roman;Times;serif"/>
          <w:sz w:val="22"/>
        </w:rPr>
        <w:t>. None of the rights of Employee to receive any form of compensation payable pursuant to this Agreement shall be assignable or transferable except through a testamentary disposition or by the laws of descent and distribution upon the death of Employee. Any attempted assignment, transfer, conveyance, or other disposition (other than as aforesaid) of any interest in the rights of Employee to receive any form of compensation to be made by the Company pursuant to this Agreement shall be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15.</w:t>
      </w:r>
      <w:r>
        <w:rPr>
          <w:rFonts w:ascii="Times New Roman;Times;serif" w:hAnsi="Times New Roman;Times;serif"/>
          <w:sz w:val="22"/>
          <w:u w:val="single"/>
        </w:rPr>
        <w:t>Gender</w:t>
      </w:r>
      <w:r>
        <w:rPr>
          <w:rFonts w:ascii="Times New Roman;Times;serif" w:hAnsi="Times New Roman;Times;serif"/>
          <w:sz w:val="22"/>
        </w:rPr>
        <w:t>.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16.</w:t>
      </w:r>
      <w:r>
        <w:rPr>
          <w:rFonts w:ascii="Times New Roman;Times;serif" w:hAnsi="Times New Roman;Times;serif"/>
          <w:sz w:val="22"/>
          <w:u w:val="single"/>
        </w:rPr>
        <w:t>Counterparts; Facsimile or .pdf Signatures</w:t>
      </w:r>
      <w:r>
        <w:rPr>
          <w:rFonts w:ascii="Times New Roman;Times;serif" w:hAnsi="Times New Roman;Times;serif"/>
          <w:sz w:val="22"/>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17.</w:t>
      </w:r>
      <w:r>
        <w:rPr>
          <w:rFonts w:ascii="Times New Roman;Times;serif" w:hAnsi="Times New Roman;Times;serif"/>
          <w:sz w:val="22"/>
          <w:u w:val="single"/>
        </w:rPr>
        <w:t>Construction</w:t>
      </w:r>
      <w:r>
        <w:rPr>
          <w:rFonts w:ascii="Times New Roman;Times;serif" w:hAnsi="Times New Roman;Times;serif"/>
          <w:sz w:val="22"/>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The headings of the several sections in this Agreement are inserted solely for the convenience of the parties and are not a part of and are not intended to govern, limit or aid in the construction of any term or provision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18.</w:t>
      </w:r>
      <w:r>
        <w:rPr>
          <w:rFonts w:ascii="Times New Roman;Times;serif" w:hAnsi="Times New Roman;Times;serif"/>
          <w:sz w:val="22"/>
          <w:u w:val="single"/>
        </w:rPr>
        <w:t>Withholding and Other Deductions; Right to Seek Independent Advice</w:t>
      </w:r>
      <w:r>
        <w:rPr>
          <w:rFonts w:ascii="Times New Roman;Times;serif" w:hAnsi="Times New Roman;Times;serif"/>
          <w:sz w:val="22"/>
        </w:rPr>
        <w:t>. All compensation payable to Employee hereunder shall be subject to such deductions as the Company is from time to time required to make pursuant to law, governmental regulation or order.  Employee acknowledges and agrees that neither the Company nor the Company’s counsel has provided any legal or tax advice to Employee and that Employee is free to, and is hereby advised to, consult with a legal or tax advisor of her choosing.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19.</w:t>
      </w:r>
      <w:r>
        <w:rPr>
          <w:rFonts w:ascii="Times New Roman;Times;serif" w:hAnsi="Times New Roman;Times;serif"/>
          <w:sz w:val="22"/>
          <w:u w:val="single"/>
        </w:rPr>
        <w:t>Section 409A</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intent of the parties is that payments and benefits under this Agreement comply with, or be exempt from Section 409A of the U.S. Internal Revenue Code of 1986, as amended (the “</w:t>
      </w:r>
      <w:r>
        <w:rPr>
          <w:rFonts w:ascii="Times New Roman;Times;serif" w:hAnsi="Times New Roman;Times;serif"/>
          <w:b/>
          <w:i/>
          <w:sz w:val="22"/>
        </w:rPr>
        <w:t>Code</w:t>
      </w:r>
      <w:r>
        <w:rPr>
          <w:rFonts w:ascii="Times New Roman;Times;serif" w:hAnsi="Times New Roman;Times;serif"/>
          <w:sz w:val="20"/>
        </w:rPr>
        <w:t>”</w:t>
      </w:r>
      <w:r>
        <w:rPr>
          <w:rFonts w:ascii="Times New Roman;Times;serif" w:hAnsi="Times New Roman;Times;serif"/>
          <w:sz w:val="22"/>
        </w:rPr>
        <w:t>), and the final regulations and any guidance promulgated thereunder (“</w:t>
      </w:r>
      <w:r>
        <w:rPr>
          <w:rFonts w:ascii="Times New Roman;Times;serif" w:hAnsi="Times New Roman;Times;serif"/>
          <w:b/>
          <w:i/>
          <w:sz w:val="22"/>
        </w:rPr>
        <w:t>Section 409A</w:t>
      </w:r>
      <w:r>
        <w:rPr>
          <w:rFonts w:ascii="Times New Roman;Times;serif" w:hAnsi="Times New Roman;Times;serif"/>
          <w:sz w:val="20"/>
        </w:rPr>
        <w:t>”</w:t>
      </w:r>
      <w:r>
        <w:rPr>
          <w:rFonts w:ascii="Times New Roman;Times;serif" w:hAnsi="Times New Roman;Times;serif"/>
          <w:sz w:val="22"/>
        </w:rPr>
        <w:t>), and, accordingly, to the maximum extent permitted, this Agreement shall be interpreted to be in compliance with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such intention. To the extent that any provision in this Agreement is ambiguous as to its compliance with or exemption from Section 409A, the provision shall be read in such a manner that no payments payable under this Agreement  shall be subject to an “additional tax” as defined in Section 409A(a)(1)(B) of the Code. To the extent applicable, this Agreement shall be interpreted in accordance with Section 409A and Department of Treasury regulations and other interpretive guidance issued thereunder. Any right to a series of installment payments pursuant to this Agreement is to be treated as a right to a series of separate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Notwithstanding any provision to the contrary in this Agreement, to the extent that the payments or benefits under this Agreement are “nonqualified deferred compensation” subject to Section 409A or are intended to be exempt from Section 409A pursuant to Treasury Regulation Section 1.409A-1(b)(9)(iii), then, to the extent required by Section 409A or to satisfy such exception, no amount shall be payable to Employee unless Employee’s termination of employment constitutes a “separation from service” within the meaning of Section 409A (“</w:t>
      </w:r>
      <w:r>
        <w:rPr>
          <w:rFonts w:ascii="Times New Roman;Times;serif" w:hAnsi="Times New Roman;Times;serif"/>
          <w:b/>
          <w:i/>
          <w:sz w:val="22"/>
        </w:rPr>
        <w:t>Separation from Service</w:t>
      </w:r>
      <w:r>
        <w:rPr>
          <w:rFonts w:ascii="Times New Roman;Times;serif" w:hAnsi="Times New Roman;Times;serif"/>
          <w:sz w:val="20"/>
        </w:rPr>
        <w:t>”</w:t>
      </w:r>
      <w:r>
        <w:rPr>
          <w:rFonts w:ascii="Times New Roman;Times;serif" w:hAnsi="Times New Roman;Times;serif"/>
          <w:sz w:val="22"/>
        </w:rPr>
        <w:t>). If Employee is a “specified employee” (as defined in Section 409A), as determined by the Company in accordance with Section 409A, on the date of Employee’s Separation from Service, to the extent that the payments or benefits under this Agreement are subject to Section 409A and the delayed payment or distribution of all or any portion of such amounts to which Employee is entitled under this Agreement is required in order to avoid a prohibited distribution under Section 409A(a)(2)(B)(i) of the Code, then such portion deferred pursuant to this Section 20(b) shall be paid or distributed to Employee in a lump sum on the earlier of (i) the date that is six (6)-months following Employee’s Separation from Service, (ii) the date of Employee’s death or (iii) the earliest date as is permitted under Section 409A. Any remaining payments due under this Agreement shall be paid as otherwise provided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To the extent that any payments or reimbursements provided to Employee under this Agreement are deemed to constitute compensation to Employee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Employee’s right to such payments or reimbursement of any such expenses shall not be subject to liquidation or exchange for any other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agrees and acknowledges that the Company makes no representations or warranties with respect to the application of Section 409A and other tax consequences to any payments hereunder and, by the acceptance of any such payments, Employee agrees to accept the potential application of Section 409A and the other tax consequences of any payments made hereunder.  In no event whatsoever shall the Company be liable for any taxes, penalties or interest that may be imposed on Employee pursuant to Section 409A or under any other similar provision of state tax law, including but not limited to, damages for failing to comply with Section 409A and/or any other similar provision of state tax law.</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[Signature Page Follows]</w:t>
      </w:r>
    </w:p>
    <w:p>
      <w:pPr>
        <w:pStyle w:val="TextBody"/>
        <w:bidi w:val="0"/>
        <w:spacing w:before="0" w:after="240"/>
        <w:ind w:left="0" w:right="0" w:hanging="0"/>
        <w:jc w:val="center"/>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b/>
          <w:sz w:val="22"/>
        </w:rPr>
      </w:pPr>
      <w:r>
        <w:rPr>
          <w:rFonts w:ascii="Times New Roman;Times;serif" w:hAnsi="Times New Roman;Times;serif"/>
          <w:b/>
          <w:sz w:val="22"/>
        </w:rPr>
        <w:t>PLEASE READ CAREFULLY.  THIS AGREEMENT CONTAINS A RELEASE OF ALL KNOWN AND UNKNOWN CLAIMS.</w:t>
      </w:r>
    </w:p>
    <w:p>
      <w:pPr>
        <w:pStyle w:val="TextBody"/>
        <w:bidi w:val="0"/>
        <w:spacing w:before="0" w:after="240"/>
        <w:ind w:left="0" w:right="0" w:firstLine="720"/>
        <w:jc w:val="both"/>
        <w:rPr>
          <w:rFonts w:ascii="Times New Roman;Times;serif" w:hAnsi="Times New Roman;Times;serif"/>
          <w:b/>
          <w:sz w:val="22"/>
        </w:rPr>
      </w:pPr>
      <w:r>
        <w:rPr>
          <w:rFonts w:ascii="Times New Roman;Times;serif" w:hAnsi="Times New Roman;Times;serif"/>
          <w:b/>
          <w:sz w:val="22"/>
        </w:rPr>
        <w:t>THE UNDERSIGNED AGREE TO THE TERMS OF THIS AGREEMENT AND VOLUNTARILY ENTERS INTO IT WITH THE INTENT TO BE BOUND THEREBY.</w:t>
      </w:r>
    </w:p>
    <w:tbl>
      <w:tblPr>
        <w:tblW w:w="6395" w:type="dxa"/>
        <w:jc w:val="left"/>
        <w:tblInd w:w="0" w:type="dxa"/>
        <w:tblLayout w:type="fixed"/>
        <w:tblCellMar>
          <w:top w:w="0" w:type="dxa"/>
          <w:left w:w="0" w:type="dxa"/>
          <w:bottom w:w="0" w:type="dxa"/>
          <w:right w:w="0" w:type="dxa"/>
        </w:tblCellMar>
      </w:tblPr>
      <w:tblGrid>
        <w:gridCol w:w="671"/>
        <w:gridCol w:w="124"/>
        <w:gridCol w:w="1396"/>
        <w:gridCol w:w="109"/>
        <w:gridCol w:w="1445"/>
        <w:gridCol w:w="2650"/>
      </w:tblGrid>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EMPLOYEE:</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79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Dated: </w:t>
            </w:r>
          </w:p>
        </w:tc>
        <w:tc>
          <w:tcPr>
            <w:tcW w:w="13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July 29, 2026</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Lindsey Christen</w:t>
            </w:r>
          </w:p>
        </w:tc>
      </w:tr>
      <w:tr>
        <w:trPr/>
        <w:tc>
          <w:tcPr>
            <w:tcW w:w="671" w:type="dxa"/>
            <w:tcBorders/>
            <w:vAlign w:val="center"/>
          </w:tcPr>
          <w:p>
            <w:pPr>
              <w:pStyle w:val="TableContents"/>
              <w:bidi w:val="0"/>
              <w:spacing w:lineRule="auto" w:line="304" w:before="0" w:after="160"/>
              <w:ind w:left="0" w:right="0" w:hanging="0"/>
              <w:jc w:val="both"/>
              <w:rPr/>
            </w:pPr>
            <w:r>
              <w:rPr/>
              <w:t>​</w:t>
            </w:r>
          </w:p>
        </w:tc>
        <w:tc>
          <w:tcPr>
            <w:tcW w:w="1520" w:type="dxa"/>
            <w:gridSpan w:val="2"/>
            <w:tcBorders>
              <w:top w:val="single" w:sz="2" w:space="0" w:color="000000"/>
            </w:tcBorders>
            <w:tcMar>
              <w:top w:w="28" w:type="dxa"/>
            </w:tcMar>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Lindsey Christen</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Dated: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July 29, 2026</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304" w:before="0" w:after="160"/>
              <w:ind w:left="0" w:right="0" w:hanging="0"/>
              <w:jc w:val="both"/>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both"/>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CAMPING WORLD HOLDINGS, INC.</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By:</w:t>
            </w:r>
            <w:r>
              <w:rPr>
                <w:rFonts w:ascii="Times New Roman;Times;serif" w:hAnsi="Times New Roman;Times;serif"/>
                <w:spacing w:val="54"/>
                <w:sz w:val="20"/>
              </w:rPr>
              <w:t xml:space="preserv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Matthew D. Wagner</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Print Name:</w:t>
            </w:r>
            <w:r>
              <w:rPr>
                <w:rFonts w:ascii="Times New Roman;Times;serif" w:hAnsi="Times New Roman;Times;serif"/>
                <w:spacing w:val="54"/>
                <w:sz w:val="20"/>
              </w:rPr>
              <w:t xml:space="preserv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Matthew D. Wagner</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Title: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CEO and President</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Date: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July 29, 2026</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4095"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CWGS ENTERPRISES, LLC</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By:</w:t>
            </w:r>
            <w:r>
              <w:rPr>
                <w:rFonts w:ascii="Times New Roman;Times;serif" w:hAnsi="Times New Roman;Times;serif"/>
                <w:spacing w:val="54"/>
                <w:sz w:val="20"/>
              </w:rPr>
              <w:t xml:space="preserv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Matthew D. Wagner</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Print Name:</w:t>
            </w:r>
            <w:r>
              <w:rPr>
                <w:rFonts w:ascii="Times New Roman;Times;serif" w:hAnsi="Times New Roman;Times;serif"/>
                <w:spacing w:val="54"/>
                <w:sz w:val="20"/>
              </w:rPr>
              <w:t xml:space="preserv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Matthew D. Wagner</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1445"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Title: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CEO and President</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Date: </w:t>
            </w:r>
          </w:p>
        </w:tc>
        <w:tc>
          <w:tcPr>
            <w:tcW w:w="265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July 29, 2026</w:t>
            </w:r>
          </w:p>
        </w:tc>
      </w:tr>
      <w:tr>
        <w:trPr/>
        <w:tc>
          <w:tcPr>
            <w:tcW w:w="2191"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1445" w:type="dxa"/>
            <w:tcBorders/>
            <w:vAlign w:val="center"/>
          </w:tcPr>
          <w:p>
            <w:pPr>
              <w:pStyle w:val="TableContents"/>
              <w:bidi w:val="0"/>
              <w:spacing w:lineRule="auto" w:line="304" w:before="0" w:after="160"/>
              <w:ind w:left="0" w:right="0" w:hanging="0"/>
              <w:jc w:val="left"/>
              <w:rPr/>
            </w:pPr>
            <w:r>
              <w:rPr/>
              <w:t>​</w:t>
            </w:r>
          </w:p>
        </w:tc>
        <w:tc>
          <w:tcPr>
            <w:tcW w:w="2650"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b/>
          <w:sz w:val="22"/>
        </w:rPr>
      </w:pPr>
      <w:r>
        <w:rPr>
          <w:rFonts w:ascii="Times New Roman;Times;serif" w:hAnsi="Times New Roman;Times;serif"/>
          <w:b/>
          <w:sz w:val="22"/>
        </w:rPr>
        <w:t>THE EMPLOYEE HEREBY HAS REAFFIRMED AND ACCEPTED  THIS AGREEMENT NO EARLIER THAN THE LAST DAY OF SERVICE, AND VOLUNTARILY ENTERS INTO IT WITH THE INTENT TO BE BOUND THEREBY.</w:t>
      </w:r>
    </w:p>
    <w:p>
      <w:pPr>
        <w:pStyle w:val="TextBody"/>
        <w:bidi w:val="0"/>
        <w:spacing w:before="0" w:after="0"/>
        <w:ind w:left="4320" w:right="0" w:hanging="0"/>
        <w:jc w:val="both"/>
        <w:rPr/>
      </w:pPr>
      <w:r>
        <w:rPr/>
        <w:t>​</w:t>
      </w:r>
    </w:p>
    <w:tbl>
      <w:tblPr>
        <w:tblW w:w="7233" w:type="dxa"/>
        <w:jc w:val="left"/>
        <w:tblInd w:w="0" w:type="dxa"/>
        <w:tblLayout w:type="fixed"/>
        <w:tblCellMar>
          <w:top w:w="0" w:type="dxa"/>
          <w:left w:w="0" w:type="dxa"/>
          <w:bottom w:w="0" w:type="dxa"/>
          <w:right w:w="0" w:type="dxa"/>
        </w:tblCellMar>
      </w:tblPr>
      <w:tblGrid>
        <w:gridCol w:w="2198"/>
        <w:gridCol w:w="408"/>
        <w:gridCol w:w="423"/>
        <w:gridCol w:w="109"/>
        <w:gridCol w:w="3368"/>
        <w:gridCol w:w="727"/>
      </w:tblGrid>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EMPLOYEE:</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2606"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Dated: </w:t>
            </w:r>
          </w:p>
        </w:tc>
        <w:tc>
          <w:tcPr>
            <w:tcW w:w="423"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2198" w:type="dxa"/>
            <w:tcBorders/>
            <w:vAlign w:val="center"/>
          </w:tcPr>
          <w:p>
            <w:pPr>
              <w:pStyle w:val="TableContents"/>
              <w:bidi w:val="0"/>
              <w:spacing w:lineRule="auto" w:line="304" w:before="0" w:after="160"/>
              <w:ind w:left="0" w:right="0" w:hanging="0"/>
              <w:jc w:val="both"/>
              <w:rPr/>
            </w:pPr>
            <w:r>
              <w:rPr/>
              <w:t>​</w:t>
            </w:r>
          </w:p>
        </w:tc>
        <w:tc>
          <w:tcPr>
            <w:tcW w:w="831" w:type="dxa"/>
            <w:gridSpan w:val="2"/>
            <w:tcBorders>
              <w:top w:val="single" w:sz="2" w:space="0" w:color="000000"/>
            </w:tcBorders>
            <w:tcMar>
              <w:top w:w="28" w:type="dxa"/>
            </w:tcMar>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Lindsey Christen</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Dated: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304" w:before="0" w:after="160"/>
              <w:ind w:left="0" w:right="0" w:hanging="0"/>
              <w:jc w:val="both"/>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ACCEPTED AND AGREED:</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CAMPING WORLD HOLDINGS, INC.</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By:</w:t>
            </w:r>
            <w:r>
              <w:rPr>
                <w:rFonts w:ascii="Times New Roman;Times;serif" w:hAnsi="Times New Roman;Times;serif"/>
                <w:spacing w:val="54"/>
                <w:sz w:val="20"/>
              </w:rPr>
              <w:t xml:space="preserv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Print Name:</w:t>
            </w:r>
            <w:r>
              <w:rPr>
                <w:rFonts w:ascii="Times New Roman;Times;serif" w:hAnsi="Times New Roman;Times;serif"/>
                <w:spacing w:val="54"/>
                <w:sz w:val="20"/>
              </w:rPr>
              <w:t xml:space="preserv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Title: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Date: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4095"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CWGS ENTERPRISES, LLC</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4095" w:type="dxa"/>
            <w:gridSpan w:val="2"/>
            <w:tcBorders/>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By:</w:t>
            </w:r>
            <w:r>
              <w:rPr>
                <w:rFonts w:ascii="Times New Roman;Times;serif" w:hAnsi="Times New Roman;Times;serif"/>
                <w:spacing w:val="54"/>
                <w:sz w:val="20"/>
              </w:rPr>
              <w:t xml:space="preserv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Print Name:</w:t>
            </w:r>
            <w:r>
              <w:rPr>
                <w:rFonts w:ascii="Times New Roman;Times;serif" w:hAnsi="Times New Roman;Times;serif"/>
                <w:spacing w:val="54"/>
                <w:sz w:val="20"/>
              </w:rPr>
              <w:t xml:space="preserv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both"/>
              <w:rPr/>
            </w:pPr>
            <w:r>
              <w:rPr/>
              <w:t>​</w:t>
            </w:r>
          </w:p>
        </w:tc>
        <w:tc>
          <w:tcPr>
            <w:tcW w:w="109" w:type="dxa"/>
            <w:tcBorders/>
            <w:vAlign w:val="center"/>
          </w:tcPr>
          <w:p>
            <w:pPr>
              <w:pStyle w:val="TableContents"/>
              <w:bidi w:val="0"/>
              <w:spacing w:lineRule="auto" w:line="304" w:before="0" w:after="160"/>
              <w:ind w:left="0" w:right="0" w:hanging="0"/>
              <w:jc w:val="both"/>
              <w:rPr/>
            </w:pPr>
            <w:r>
              <w:rPr/>
              <w:t>​</w:t>
            </w:r>
          </w:p>
        </w:tc>
        <w:tc>
          <w:tcPr>
            <w:tcW w:w="3368"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Title: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both"/>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Date: </w:t>
            </w:r>
          </w:p>
        </w:tc>
        <w:tc>
          <w:tcPr>
            <w:tcW w:w="727" w:type="dxa"/>
            <w:tcBorders>
              <w:bottom w:val="single" w:sz="2" w:space="0" w:color="000000"/>
            </w:tcBorders>
            <w:tcMar>
              <w:bottom w:w="28" w:type="dxa"/>
            </w:tcMar>
            <w:vAlign w:val="center"/>
          </w:tcPr>
          <w:p>
            <w:pPr>
              <w:pStyle w:val="TableContents"/>
              <w:bidi w:val="0"/>
              <w:spacing w:lineRule="auto" w:line="304" w:before="0" w:after="160"/>
              <w:ind w:left="0" w:right="0" w:hanging="0"/>
              <w:jc w:val="left"/>
              <w:rPr/>
            </w:pPr>
            <w:r>
              <w:rPr/>
              <w:t>​</w:t>
            </w:r>
          </w:p>
        </w:tc>
      </w:tr>
      <w:tr>
        <w:trPr/>
        <w:tc>
          <w:tcPr>
            <w:tcW w:w="3029" w:type="dxa"/>
            <w:gridSpan w:val="3"/>
            <w:tcBorders/>
            <w:vAlign w:val="center"/>
          </w:tcPr>
          <w:p>
            <w:pPr>
              <w:pStyle w:val="TableContents"/>
              <w:bidi w:val="0"/>
              <w:spacing w:lineRule="auto" w:line="304" w:before="0" w:after="160"/>
              <w:ind w:left="0" w:right="0" w:hanging="0"/>
              <w:jc w:val="left"/>
              <w:rPr/>
            </w:pPr>
            <w:r>
              <w:rPr/>
              <w:t>​</w:t>
            </w:r>
          </w:p>
        </w:tc>
        <w:tc>
          <w:tcPr>
            <w:tcW w:w="109" w:type="dxa"/>
            <w:tcBorders/>
            <w:vAlign w:val="center"/>
          </w:tcPr>
          <w:p>
            <w:pPr>
              <w:pStyle w:val="TableContents"/>
              <w:bidi w:val="0"/>
              <w:spacing w:lineRule="auto" w:line="304" w:before="0" w:after="160"/>
              <w:ind w:left="0" w:right="0" w:hanging="0"/>
              <w:jc w:val="left"/>
              <w:rPr/>
            </w:pPr>
            <w:r>
              <w:rPr/>
              <w:t>​</w:t>
            </w:r>
          </w:p>
        </w:tc>
        <w:tc>
          <w:tcPr>
            <w:tcW w:w="3368" w:type="dxa"/>
            <w:tcBorders/>
            <w:vAlign w:val="center"/>
          </w:tcPr>
          <w:p>
            <w:pPr>
              <w:pStyle w:val="TableContents"/>
              <w:bidi w:val="0"/>
              <w:spacing w:lineRule="auto" w:line="304" w:before="0" w:after="160"/>
              <w:ind w:left="0" w:right="0" w:hanging="0"/>
              <w:jc w:val="left"/>
              <w:rPr/>
            </w:pPr>
            <w:r>
              <w:rPr/>
              <w:t>​</w:t>
            </w:r>
          </w:p>
        </w:tc>
        <w:tc>
          <w:tcPr>
            <w:tcW w:w="727" w:type="dxa"/>
            <w:tcBorders>
              <w:top w:val="single" w:sz="2" w:space="0" w:color="000000"/>
            </w:tcBorders>
            <w:tcMar>
              <w:top w:w="28" w:type="dxa"/>
            </w:tcMar>
            <w:vAlign w:val="center"/>
          </w:tcPr>
          <w:p>
            <w:pPr>
              <w:pStyle w:val="TableContents"/>
              <w:bidi w:val="0"/>
              <w:spacing w:lineRule="auto" w:line="304" w:before="0" w:after="16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Arial;Helvetica;sans-serif" w:hAnsi="Arial;Helvetica;sans-serif"/>
          <w:b/>
          <w:sz w:val="20"/>
        </w:rPr>
      </w:pPr>
      <w:bookmarkStart w:id="2044" w:name="cwh-20260630xex31d1.htm"/>
      <w:bookmarkStart w:id="2045" w:name="kscwh20260630xex31d1"/>
      <w:bookmarkEnd w:id="2044"/>
      <w:bookmarkEnd w:id="2045"/>
      <w:r>
        <w:rPr>
          <w:rFonts w:ascii="Arial;Helvetica;sans-serif" w:hAnsi="Arial;Helvetica;sans-serif"/>
          <w:b/>
          <w:sz w:val="20"/>
        </w:rPr>
        <w:t>Exhibit 31.1</w:t>
      </w:r>
      <w:r>
        <w:br w:type="page"/>
      </w:r>
    </w:p>
    <w:p>
      <w:pPr>
        <w:pStyle w:val="TextBody"/>
        <w:bidi w:val="0"/>
        <w:spacing w:lineRule="auto" w:line="285" w:before="0" w:after="0"/>
        <w:ind w:left="0" w:right="0" w:firstLine="72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Matthew D. Wagner,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658" w:type="dxa"/>
        <w:jc w:val="center"/>
        <w:tblInd w:w="0" w:type="dxa"/>
        <w:tblLayout w:type="fixed"/>
        <w:tblCellMar>
          <w:top w:w="0" w:type="dxa"/>
          <w:left w:w="0" w:type="dxa"/>
          <w:bottom w:w="0" w:type="dxa"/>
          <w:right w:w="0" w:type="dxa"/>
        </w:tblCellMar>
      </w:tblPr>
      <w:tblGrid>
        <w:gridCol w:w="1816"/>
        <w:gridCol w:w="406"/>
        <w:gridCol w:w="343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153160" cy="29210"/>
                      <wp:effectExtent l="0" t="0" r="0" b="0"/>
                      <wp:wrapNone/>
                      <wp:docPr id="532" name="Frame532"/>
                      <a:graphic xmlns:a="http://schemas.openxmlformats.org/drawingml/2006/main">
                        <a:graphicData uri="http://schemas.microsoft.com/office/word/2010/wordprocessingShape">
                          <wps:wsp>
                            <wps:cNvSpPr txBox="1"/>
                            <wps:spPr>
                              <a:xfrm>
                                <a:off x="0" y="0"/>
                                <a:ext cx="1153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both"/>
              <w:rPr/>
            </w:pPr>
            <w:r>
              <w:rPr/>
              <w:t>​</w: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82495" cy="29210"/>
                      <wp:effectExtent l="0" t="0" r="0" b="0"/>
                      <wp:wrapNone/>
                      <wp:docPr id="533" name="Frame533"/>
                      <a:graphic xmlns:a="http://schemas.openxmlformats.org/drawingml/2006/main">
                        <a:graphicData uri="http://schemas.microsoft.com/office/word/2010/wordprocessingShape">
                          <wps:wsp>
                            <wps:cNvSpPr txBox="1"/>
                            <wps:spPr>
                              <a:xfrm>
                                <a:off x="0" y="0"/>
                                <a:ext cx="2182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July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Matthew D. Wagner</w:t>
            </w:r>
          </w:p>
        </w:tc>
      </w:tr>
      <w:tr>
        <w:trPr/>
        <w:tc>
          <w:tcPr>
            <w:tcW w:w="18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Matthew D. Wagner</w:t>
            </w:r>
          </w:p>
        </w:tc>
      </w:tr>
      <w:tr>
        <w:trPr/>
        <w:tc>
          <w:tcPr>
            <w:tcW w:w="18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046" w:name="cwh-20260630xex31d2.htm"/>
      <w:bookmarkStart w:id="2047" w:name="kscwh20260630xex31d2"/>
      <w:bookmarkEnd w:id="2046"/>
      <w:bookmarkEnd w:id="2047"/>
      <w:r>
        <w:rPr>
          <w:rFonts w:ascii="Arial;Helvetica;sans-serif" w:hAnsi="Arial;Helvetica;san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Thomas E. Kirn,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810" w:right="0" w:hanging="0"/>
        <w:jc w:val="left"/>
        <w:rPr/>
      </w:pPr>
      <w:r>
        <w:rPr/>
        <w:t>​</w:t>
      </w:r>
    </w:p>
    <w:tbl>
      <w:tblPr>
        <w:tblW w:w="5853" w:type="dxa"/>
        <w:jc w:val="center"/>
        <w:tblInd w:w="0" w:type="dxa"/>
        <w:tblLayout w:type="fixed"/>
        <w:tblCellMar>
          <w:top w:w="0" w:type="dxa"/>
          <w:left w:w="0" w:type="dxa"/>
          <w:bottom w:w="0" w:type="dxa"/>
          <w:right w:w="0" w:type="dxa"/>
        </w:tblCellMar>
      </w:tblPr>
      <w:tblGrid>
        <w:gridCol w:w="1816"/>
        <w:gridCol w:w="406"/>
        <w:gridCol w:w="3631"/>
      </w:tblGrid>
      <w:tr>
        <w:trPr/>
        <w:tc>
          <w:tcPr>
            <w:tcW w:w="181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57810" cy="29210"/>
                      <wp:effectExtent l="0" t="0" r="0" b="0"/>
                      <wp:wrapNone/>
                      <wp:docPr id="534" name="Frame53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305685" cy="29210"/>
                      <wp:effectExtent l="0" t="0" r="0" b="0"/>
                      <wp:wrapNone/>
                      <wp:docPr id="535" name="Frame535"/>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July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3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 and Principal</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048" w:name="cwh-20260630xex32d1.htm"/>
      <w:bookmarkStart w:id="2049" w:name="kscwh20260630xex32d1"/>
      <w:bookmarkEnd w:id="2048"/>
      <w:bookmarkEnd w:id="2049"/>
      <w:r>
        <w:rPr>
          <w:rFonts w:ascii="Arial;Helvetica;sans-serif" w:hAnsi="Arial;Helvetica;sans-serif"/>
          <w:b/>
          <w:sz w:val="20"/>
        </w:rPr>
        <w:t>Exhibit 32.1</w:t>
      </w:r>
      <w:r>
        <w:br w:type="page"/>
      </w:r>
    </w:p>
    <w:p>
      <w:pPr>
        <w:pStyle w:val="TextBody"/>
        <w:bidi w:val="0"/>
        <w:spacing w:lineRule="auto" w:line="285" w:before="0" w:after="0"/>
        <w:ind w:left="180" w:right="0" w:hanging="0"/>
        <w:jc w:val="left"/>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18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June 30, 2026, as filed with the U.S. Securities and Exchange Commission on the date hereof (the “Report”), I, Matthew D. Wagner, President and Chief Executive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left"/>
        <w:rPr/>
      </w:pPr>
      <w:r>
        <w:rPr/>
        <w:t>​</w:t>
      </w:r>
    </w:p>
    <w:tbl>
      <w:tblPr>
        <w:tblW w:w="5658" w:type="dxa"/>
        <w:jc w:val="center"/>
        <w:tblInd w:w="0" w:type="dxa"/>
        <w:tblLayout w:type="fixed"/>
        <w:tblCellMar>
          <w:top w:w="0" w:type="dxa"/>
          <w:left w:w="0" w:type="dxa"/>
          <w:bottom w:w="0" w:type="dxa"/>
          <w:right w:w="0" w:type="dxa"/>
        </w:tblCellMar>
      </w:tblPr>
      <w:tblGrid>
        <w:gridCol w:w="1816"/>
        <w:gridCol w:w="406"/>
        <w:gridCol w:w="3436"/>
      </w:tblGrid>
      <w:tr>
        <w:trPr/>
        <w:tc>
          <w:tcPr>
            <w:tcW w:w="18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July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Matthew D. Wagner</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Matthew D. Wagner</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050" w:name="cwh-20260630xex32d2.htm"/>
      <w:bookmarkStart w:id="2051" w:name="kscwh20260630xex32d2"/>
      <w:bookmarkEnd w:id="2050"/>
      <w:bookmarkEnd w:id="2051"/>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June 30, 2026,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center"/>
        <w:rPr/>
      </w:pPr>
      <w:r>
        <w:rPr/>
        <w:t>​</w:t>
      </w:r>
    </w:p>
    <w:tbl>
      <w:tblPr>
        <w:tblW w:w="5913" w:type="dxa"/>
        <w:jc w:val="center"/>
        <w:tblInd w:w="0" w:type="dxa"/>
        <w:tblLayout w:type="fixed"/>
        <w:tblCellMar>
          <w:top w:w="0" w:type="dxa"/>
          <w:left w:w="0" w:type="dxa"/>
          <w:bottom w:w="0" w:type="dxa"/>
          <w:right w:w="0" w:type="dxa"/>
        </w:tblCellMar>
      </w:tblPr>
      <w:tblGrid>
        <w:gridCol w:w="1816"/>
        <w:gridCol w:w="406"/>
        <w:gridCol w:w="3691"/>
      </w:tblGrid>
      <w:tr>
        <w:trPr/>
        <w:tc>
          <w:tcPr>
            <w:tcW w:w="1816"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July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1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9779/000155837016009958/cwh-20160930ex31ff0a1e6.htm" TargetMode="External"/><Relationship Id="rId3" Type="http://schemas.openxmlformats.org/officeDocument/2006/relationships/hyperlink" Target="https://www.sec.gov/Archives/edgar/data/1669779/000155837025007964/cwh-20250515xex3d1.htm" TargetMode="External"/><Relationship Id="rId4" Type="http://schemas.openxmlformats.org/officeDocument/2006/relationships/hyperlink" Target="https://www.sec.gov/Archives/edgar/data/1669779/000155837025006122/cwh-20250331xex3d2.htm" TargetMode="External"/><Relationship Id="rId5" Type="http://schemas.openxmlformats.org/officeDocument/2006/relationships/hyperlink" Target="http://www.sec.gov/Archives/edgar/data/1669779/000104746916015424/a2229683zex-4_1.htm" TargetMode="External"/><Relationship Id="rId6" Type="http://schemas.openxmlformats.org/officeDocument/2006/relationships/hyperlink" Target="https://www.sec.gov/Archives/edgar/data/1669779/000110465926041752/tm2611557d1_ex10-1.htm" TargetMode="External"/><Relationship Id="rId7" Type="http://schemas.openxmlformats.org/officeDocument/2006/relationships/hyperlink" Target="https://www.sec.gov/Archives/edgar/data/1669779/000110465926041752/tm2611557d1_ex10-2.htm" TargetMode="External"/><Relationship Id="rId8" Type="http://schemas.openxmlformats.org/officeDocument/2006/relationships/hyperlink" Target="https://www.sec.gov/Archives/edgar/data/1669779/000110465926041752/tm2611557d1_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42988</Words>
  <Characters>236452</Characters>
  <CharactersWithSpaces>285011</CharactersWithSpaces>
  <Paragraphs>14681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