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UNITED STATES</w:t>
      </w:r>
    </w:p>
    <w:p>
      <w:pPr>
        <w:spacing w:after="0" w:line="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4"/>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9"/>
          <w:szCs w:val="29"/>
          <w:b w:val="1"/>
          <w:bCs w:val="1"/>
          <w:color w:val="auto"/>
        </w:rPr>
        <w:t>FORM 10-Q</w:t>
      </w:r>
    </w:p>
    <w:p>
      <w:pPr>
        <w:spacing w:after="0" w:line="141" w:lineRule="exact"/>
        <w:rPr>
          <w:sz w:val="24"/>
          <w:szCs w:val="24"/>
          <w:color w:val="auto"/>
        </w:rPr>
      </w:pPr>
    </w:p>
    <w:p>
      <w:pPr>
        <w:ind w:left="3306" w:right="340" w:hanging="3306"/>
        <w:spacing w:after="0" w:line="310" w:lineRule="auto"/>
        <w:tabs>
          <w:tab w:leader="none" w:pos="663"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2025</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8"/>
          <w:szCs w:val="18"/>
          <w:color w:val="auto"/>
        </w:rPr>
        <w:t>or</w:t>
      </w:r>
    </w:p>
    <w:p>
      <w:pPr>
        <w:spacing w:after="0" w:line="90" w:lineRule="exact"/>
        <w:rPr>
          <w:sz w:val="24"/>
          <w:szCs w:val="24"/>
          <w:color w:val="auto"/>
        </w:rPr>
      </w:pPr>
    </w:p>
    <w:p>
      <w:pPr>
        <w:ind w:left="2406" w:right="340" w:hanging="2406"/>
        <w:spacing w:after="0" w:line="310" w:lineRule="auto"/>
        <w:tabs>
          <w:tab w:leader="none" w:pos="664"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 to _______________</w:t>
      </w:r>
    </w:p>
    <w:p>
      <w:pPr>
        <w:spacing w:after="0" w:line="1" w:lineRule="exact"/>
        <w:rPr>
          <w:rFonts w:ascii="MS PGothic" w:cs="MS PGothic" w:eastAsia="MS PGothic" w:hAnsi="MS PGothic"/>
          <w:sz w:val="20"/>
          <w:szCs w:val="20"/>
          <w:color w:val="auto"/>
        </w:rPr>
      </w:pPr>
    </w:p>
    <w:p>
      <w:pPr>
        <w:ind w:left="3646"/>
        <w:spacing w:after="0"/>
        <w:rPr>
          <w:rFonts w:ascii="MS PGothic" w:cs="MS PGothic" w:eastAsia="MS PGothic" w:hAnsi="MS PGothic"/>
          <w:sz w:val="20"/>
          <w:szCs w:val="20"/>
          <w:color w:val="auto"/>
        </w:rPr>
      </w:pPr>
      <w:r>
        <w:rPr>
          <w:rFonts w:ascii="Arial" w:cs="Arial" w:eastAsia="Arial" w:hAnsi="Arial"/>
          <w:sz w:val="18"/>
          <w:szCs w:val="18"/>
          <w:color w:val="auto"/>
        </w:rPr>
        <w:t>Commission file number: 001-37908</w:t>
      </w:r>
    </w:p>
    <w:p>
      <w:pPr>
        <w:spacing w:after="0" w:line="57" w:lineRule="exact"/>
        <w:rPr>
          <w:sz w:val="24"/>
          <w:szCs w:val="24"/>
          <w:color w:val="auto"/>
        </w:rPr>
      </w:pPr>
    </w:p>
    <w:p>
      <w:pPr>
        <w:jc w:val="center"/>
        <w:ind w:right="14"/>
        <w:spacing w:after="0"/>
        <w:rPr>
          <w:sz w:val="20"/>
          <w:szCs w:val="20"/>
          <w:color w:val="auto"/>
        </w:rPr>
      </w:pPr>
      <w:r>
        <w:rPr>
          <w:rFonts w:ascii="Arial" w:cs="Arial" w:eastAsia="Arial" w:hAnsi="Arial"/>
          <w:sz w:val="25"/>
          <w:szCs w:val="25"/>
          <w:b w:val="1"/>
          <w:bCs w:val="1"/>
          <w:color w:val="auto"/>
        </w:rPr>
        <w:t>CAMPING WORLD HOLDINGS, INC.</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0226"/>
          </w:cols>
          <w:pgMar w:left="834" w:top="661" w:right="839" w:bottom="1440" w:gutter="0" w:footer="0" w:header="0"/>
        </w:sectPr>
      </w:pPr>
    </w:p>
    <w:p>
      <w:pPr>
        <w:spacing w:after="0" w:line="79" w:lineRule="exact"/>
        <w:rPr>
          <w:sz w:val="24"/>
          <w:szCs w:val="24"/>
          <w:color w:val="auto"/>
        </w:rPr>
      </w:pPr>
    </w:p>
    <w:p>
      <w:pPr>
        <w:jc w:val="center"/>
        <w:ind w:right="394"/>
        <w:spacing w:after="0"/>
        <w:rPr>
          <w:sz w:val="20"/>
          <w:szCs w:val="20"/>
          <w:color w:val="auto"/>
        </w:rPr>
      </w:pPr>
      <w:r>
        <w:rPr>
          <w:rFonts w:ascii="Arial" w:cs="Arial" w:eastAsia="Arial" w:hAnsi="Arial"/>
          <w:sz w:val="18"/>
          <w:szCs w:val="18"/>
          <w:b w:val="1"/>
          <w:bCs w:val="1"/>
          <w:color w:val="auto"/>
        </w:rPr>
        <w:t>Delaware</w:t>
      </w:r>
    </w:p>
    <w:p>
      <w:pPr>
        <w:spacing w:after="0" w:line="14" w:lineRule="exact"/>
        <w:rPr>
          <w:sz w:val="24"/>
          <w:szCs w:val="24"/>
          <w:color w:val="auto"/>
        </w:rPr>
      </w:pPr>
    </w:p>
    <w:p>
      <w:pPr>
        <w:jc w:val="center"/>
        <w:ind w:right="394"/>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81-1737145</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 Identification No.)</w:t>
      </w:r>
    </w:p>
    <w:p>
      <w:pPr>
        <w:spacing w:after="0" w:line="151" w:lineRule="exact"/>
        <w:rPr>
          <w:sz w:val="24"/>
          <w:szCs w:val="24"/>
          <w:color w:val="auto"/>
        </w:rPr>
      </w:pPr>
    </w:p>
    <w:p>
      <w:pPr>
        <w:sectPr>
          <w:pgSz w:w="11900" w:h="16838" w:orient="portrait"/>
          <w:cols w:equalWidth="0" w:num="2">
            <w:col w:w="5606" w:space="720"/>
            <w:col w:w="3900"/>
          </w:cols>
          <w:pgMar w:left="834" w:top="661" w:right="839" w:bottom="1440" w:gutter="0" w:footer="0" w:header="0"/>
          <w:type w:val="continuous"/>
        </w:sectPr>
      </w:pPr>
    </w:p>
    <w:p>
      <w:pPr>
        <w:jc w:val="center"/>
        <w:ind w:right="-5"/>
        <w:spacing w:after="0"/>
        <w:rPr>
          <w:sz w:val="20"/>
          <w:szCs w:val="20"/>
          <w:color w:val="auto"/>
        </w:rPr>
      </w:pPr>
      <w:r>
        <w:rPr>
          <w:rFonts w:ascii="Arial" w:cs="Arial" w:eastAsia="Arial" w:hAnsi="Arial"/>
          <w:sz w:val="18"/>
          <w:szCs w:val="18"/>
          <w:b w:val="1"/>
          <w:bCs w:val="1"/>
          <w:color w:val="auto"/>
        </w:rPr>
        <w:t>2 Marriott Drive</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Lincolnshire, IL 60069</w:t>
      </w:r>
    </w:p>
    <w:p>
      <w:pPr>
        <w:jc w:val="center"/>
        <w:ind w:right="-5"/>
        <w:spacing w:after="0"/>
        <w:rPr>
          <w:sz w:val="20"/>
          <w:szCs w:val="20"/>
          <w:color w:val="auto"/>
        </w:rPr>
      </w:pPr>
      <w:r>
        <w:rPr>
          <w:rFonts w:ascii="Arial" w:cs="Arial" w:eastAsia="Arial" w:hAnsi="Arial"/>
          <w:sz w:val="18"/>
          <w:szCs w:val="18"/>
          <w:color w:val="auto"/>
        </w:rPr>
        <w:t>(Address of principal executive offices) (Zip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Telephone: (847) 808-3000</w:t>
      </w:r>
    </w:p>
    <w:p>
      <w:pPr>
        <w:spacing w:after="0" w:line="14"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(Registrant’s telephone number, including area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N/A</w:t>
      </w:r>
    </w:p>
    <w:p>
      <w:pPr>
        <w:spacing w:after="0" w:line="14" w:lineRule="exact"/>
        <w:rPr>
          <w:sz w:val="24"/>
          <w:szCs w:val="24"/>
          <w:color w:val="auto"/>
        </w:rPr>
      </w:pPr>
    </w:p>
    <w:p>
      <w:pPr>
        <w:ind w:left="1846"/>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45" w:lineRule="exact"/>
        <w:rPr>
          <w:sz w:val="24"/>
          <w:szCs w:val="24"/>
          <w:color w:val="auto"/>
        </w:rPr>
      </w:pPr>
    </w:p>
    <w:p>
      <w:pPr>
        <w:ind w:left="246"/>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6" w:lineRule="exact"/>
        <w:rPr>
          <w:sz w:val="24"/>
          <w:szCs w:val="24"/>
          <w:color w:val="auto"/>
        </w:rPr>
      </w:pPr>
    </w:p>
    <w:tbl>
      <w:tblPr>
        <w:tblLayout w:type="fixed"/>
        <w:tblInd w:w="376" w:type="dxa"/>
        <w:tblCellMar>
          <w:top w:w="0" w:type="dxa"/>
          <w:left w:w="0" w:type="dxa"/>
          <w:bottom w:w="0" w:type="dxa"/>
          <w:right w:w="0" w:type="dxa"/>
        </w:tblCellMar>
      </w:tblPr>
      <w:tr>
        <w:trPr>
          <w:trHeight w:val="216"/>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177"/>
        </w:trPr>
        <w:tc>
          <w:tcPr>
            <w:tcW w:w="308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Class A Common Stock,</w:t>
            </w:r>
          </w:p>
        </w:tc>
        <w:tc>
          <w:tcPr>
            <w:tcW w:w="19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CWH</w:t>
            </w:r>
          </w:p>
        </w:tc>
        <w:tc>
          <w:tcPr>
            <w:tcW w:w="44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New York Stock Exchange</w:t>
            </w:r>
          </w:p>
        </w:tc>
      </w:tr>
      <w:tr>
        <w:trPr>
          <w:trHeight w:val="22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$0.01 par value per share</w:t>
            </w:r>
          </w:p>
        </w:tc>
        <w:tc>
          <w:tcPr>
            <w:tcW w:w="1960" w:type="dxa"/>
            <w:vAlign w:val="bottom"/>
            <w:tcBorders>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bl>
    <w:p>
      <w:pPr>
        <w:spacing w:after="0" w:line="89"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26"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6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2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2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1160" w:type="dxa"/>
            <w:vAlign w:val="bottom"/>
          </w:tcPr>
          <w:p>
            <w:pPr>
              <w:ind w:left="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2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20" w:type="dxa"/>
            <w:vAlign w:val="bottom"/>
            <w:gridSpan w:val="2"/>
          </w:tcPr>
          <w:p>
            <w:pPr>
              <w:ind w:left="920"/>
              <w:spacing w:after="0" w:line="242" w:lineRule="exact"/>
              <w:rPr>
                <w:sz w:val="20"/>
                <w:szCs w:val="20"/>
                <w:color w:val="auto"/>
              </w:rPr>
            </w:pPr>
            <w:r>
              <w:rPr>
                <w:rFonts w:ascii="Arial" w:cs="Arial" w:eastAsia="Arial" w:hAnsi="Arial"/>
                <w:sz w:val="18"/>
                <w:szCs w:val="18"/>
                <w:color w:val="auto"/>
              </w:rPr>
              <w:t xml:space="preserve">Emerging growth company </w:t>
            </w:r>
            <w:r>
              <w:rPr>
                <w:rFonts w:ascii="Arial Unicode MS" w:cs="Arial Unicode MS" w:eastAsia="Arial Unicode MS" w:hAnsi="Arial Unicode MS"/>
                <w:sz w:val="18"/>
                <w:szCs w:val="18"/>
                <w:color w:val="auto"/>
              </w:rPr>
              <w:t>☐</w:t>
            </w:r>
          </w:p>
        </w:tc>
      </w:tr>
    </w:tbl>
    <w:p>
      <w:pPr>
        <w:spacing w:after="0" w:line="75" w:lineRule="exact"/>
        <w:rPr>
          <w:sz w:val="24"/>
          <w:szCs w:val="24"/>
          <w:color w:val="auto"/>
        </w:rPr>
      </w:pPr>
    </w:p>
    <w:p>
      <w:pPr>
        <w:jc w:val="both"/>
        <w:ind w:left="6" w:firstLine="247"/>
        <w:spacing w:after="0" w:line="24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46"/>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6" w:firstLine="247"/>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ind w:left="6" w:right="140" w:firstLine="247"/>
        <w:spacing w:after="0" w:line="271" w:lineRule="auto"/>
        <w:rPr>
          <w:sz w:val="20"/>
          <w:szCs w:val="20"/>
          <w:color w:val="auto"/>
        </w:rPr>
      </w:pPr>
      <w:r>
        <w:rPr>
          <w:rFonts w:ascii="Arial" w:cs="Arial" w:eastAsia="Arial" w:hAnsi="Arial"/>
          <w:sz w:val="18"/>
          <w:szCs w:val="18"/>
          <w:color w:val="auto"/>
        </w:rPr>
        <w:t>As of July 25, 2025, the registrant had 62,648,648 shares of Class A common stock, 39,466,964 shares of Class B common stock and one share of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443865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Camping World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tcBorders>
              <w:bottom w:val="single" w:sz="8" w:color="0000EE"/>
            </w:tcBorders>
            <w:gridSpan w:val="9"/>
          </w:tcPr>
          <w:p>
            <w:pPr>
              <w:jc w:val="center"/>
              <w:spacing w:after="0"/>
              <w:rPr>
                <w:sz w:val="20"/>
                <w:szCs w:val="20"/>
                <w:color w:val="auto"/>
              </w:rPr>
            </w:pPr>
            <w:r>
              <w:rPr>
                <w:rFonts w:ascii="Arial" w:cs="Arial" w:eastAsia="Arial" w:hAnsi="Arial"/>
                <w:sz w:val="18"/>
                <w:szCs w:val="18"/>
                <w:b w:val="1"/>
                <w:bCs w:val="1"/>
                <w:color w:val="0000EE"/>
                <w:w w:val="99"/>
              </w:rPr>
              <w:t>PART I. FINANCIAL INFORMATION</w:t>
            </w:r>
          </w:p>
        </w:tc>
        <w:tc>
          <w:tcPr>
            <w:tcW w:w="270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Item 1</w:t>
            </w:r>
          </w:p>
        </w:tc>
        <w:tc>
          <w:tcPr>
            <w:tcW w:w="7420" w:type="dxa"/>
            <w:vAlign w:val="bottom"/>
            <w:gridSpan w:val="23"/>
          </w:tcPr>
          <w:p>
            <w:pPr>
              <w:spacing w:after="0"/>
              <w:rPr>
                <w:sz w:val="20"/>
                <w:szCs w:val="20"/>
                <w:color w:val="auto"/>
              </w:rPr>
            </w:pPr>
            <w:r>
              <w:rPr>
                <w:rFonts w:ascii="Arial" w:cs="Arial" w:eastAsia="Arial" w:hAnsi="Arial"/>
                <w:sz w:val="18"/>
                <w:szCs w:val="18"/>
                <w:color w:val="0000EE"/>
              </w:rPr>
              <w:t>Financial Statements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0"/>
              </w:rPr>
              <w:t>Unaudited Condensed Consolidated</w:t>
            </w:r>
          </w:p>
        </w:tc>
        <w:tc>
          <w:tcPr>
            <w:tcW w:w="4780" w:type="dxa"/>
            <w:vAlign w:val="bottom"/>
            <w:gridSpan w:val="12"/>
          </w:tcPr>
          <w:p>
            <w:pPr>
              <w:ind w:left="300"/>
              <w:spacing w:after="0" w:line="182" w:lineRule="exact"/>
              <w:rPr>
                <w:sz w:val="20"/>
                <w:szCs w:val="20"/>
                <w:color w:val="auto"/>
              </w:rPr>
            </w:pPr>
            <w:r>
              <w:rPr>
                <w:rFonts w:ascii="Arial" w:cs="Arial" w:eastAsia="Arial" w:hAnsi="Arial"/>
                <w:sz w:val="18"/>
                <w:szCs w:val="18"/>
                <w:color w:val="0000EE"/>
              </w:rPr>
              <w:t>Balance Sheets – June 30, 2025, December 31, 2024,</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and June 30, 2024</w:t>
            </w:r>
          </w:p>
        </w:tc>
        <w:tc>
          <w:tcPr>
            <w:tcW w:w="5760" w:type="dxa"/>
            <w:vAlign w:val="bottom"/>
            <w:tcBorders>
              <w:top w:val="single" w:sz="8" w:color="0000EE"/>
            </w:tcBorders>
            <w:gridSpan w:val="17"/>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3"/>
          </w:tcPr>
          <w:p>
            <w:pPr>
              <w:spacing w:after="0" w:line="182" w:lineRule="exact"/>
              <w:rPr>
                <w:sz w:val="20"/>
                <w:szCs w:val="20"/>
                <w:color w:val="auto"/>
              </w:rPr>
            </w:pPr>
            <w:r>
              <w:rPr>
                <w:rFonts w:ascii="Arial" w:cs="Arial" w:eastAsia="Arial" w:hAnsi="Arial"/>
                <w:sz w:val="18"/>
                <w:szCs w:val="18"/>
                <w:color w:val="0000EE"/>
              </w:rPr>
              <w:t>Unaudited Condensed Consolidated Statements of Operations – Three and Six Months</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94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Ended June 30, 2025 and 2024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3"/>
          </w:tcPr>
          <w:p>
            <w:pPr>
              <w:spacing w:after="0" w:line="182" w:lineRule="exact"/>
              <w:rPr>
                <w:sz w:val="20"/>
                <w:szCs w:val="20"/>
                <w:color w:val="auto"/>
              </w:rPr>
            </w:pPr>
            <w:r>
              <w:rPr>
                <w:rFonts w:ascii="Arial" w:cs="Arial" w:eastAsia="Arial" w:hAnsi="Arial"/>
                <w:sz w:val="18"/>
                <w:szCs w:val="18"/>
                <w:color w:val="0000EE"/>
              </w:rPr>
              <w:t>Unaudited Condensed Consolidated Statements of Stockholders’ Equity – Three and Six</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4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Months Ended June 30, 2025 and 2024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Unaudited Condensed Consolidated</w:t>
            </w:r>
          </w:p>
        </w:tc>
        <w:tc>
          <w:tcPr>
            <w:tcW w:w="4280" w:type="dxa"/>
            <w:vAlign w:val="bottom"/>
            <w:gridSpan w:val="11"/>
          </w:tcPr>
          <w:p>
            <w:pPr>
              <w:spacing w:after="0" w:line="182" w:lineRule="exact"/>
              <w:rPr>
                <w:sz w:val="20"/>
                <w:szCs w:val="20"/>
                <w:color w:val="auto"/>
              </w:rPr>
            </w:pPr>
            <w:r>
              <w:rPr>
                <w:rFonts w:ascii="Arial" w:cs="Arial" w:eastAsia="Arial" w:hAnsi="Arial"/>
                <w:sz w:val="18"/>
                <w:szCs w:val="18"/>
                <w:color w:val="0000EE"/>
              </w:rPr>
              <w:t>Statements of Cash Flows – Six Months Ended June</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14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30, 2025 and 2024</w:t>
            </w:r>
          </w:p>
        </w:tc>
        <w:tc>
          <w:tcPr>
            <w:tcW w:w="280" w:type="dxa"/>
            <w:vAlign w:val="bottom"/>
            <w:gridSpan w:val="2"/>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6"/>
              </w:rPr>
              <w:t>Notes to Unaudited</w:t>
            </w:r>
          </w:p>
        </w:tc>
        <w:tc>
          <w:tcPr>
            <w:tcW w:w="5920" w:type="dxa"/>
            <w:vAlign w:val="bottom"/>
            <w:gridSpan w:val="18"/>
          </w:tcPr>
          <w:p>
            <w:pPr>
              <w:ind w:left="80"/>
              <w:spacing w:after="0" w:line="182" w:lineRule="exact"/>
              <w:rPr>
                <w:sz w:val="20"/>
                <w:szCs w:val="20"/>
                <w:color w:val="auto"/>
              </w:rPr>
            </w:pPr>
            <w:r>
              <w:rPr>
                <w:rFonts w:ascii="Arial" w:cs="Arial" w:eastAsia="Arial" w:hAnsi="Arial"/>
                <w:sz w:val="18"/>
                <w:szCs w:val="18"/>
                <w:color w:val="0000EE"/>
              </w:rPr>
              <w:t>Condensed Consolidated Financial Statements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2</w:t>
            </w:r>
          </w:p>
        </w:tc>
        <w:tc>
          <w:tcPr>
            <w:tcW w:w="53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w:t>
            </w:r>
          </w:p>
        </w:tc>
        <w:tc>
          <w:tcPr>
            <w:tcW w:w="2080" w:type="dxa"/>
            <w:vAlign w:val="bottom"/>
            <w:gridSpan w:val="6"/>
          </w:tcPr>
          <w:p>
            <w:pPr>
              <w:spacing w:after="0" w:line="182" w:lineRule="exact"/>
              <w:rPr>
                <w:sz w:val="20"/>
                <w:szCs w:val="20"/>
                <w:color w:val="auto"/>
              </w:rPr>
            </w:pPr>
            <w:r>
              <w:rPr>
                <w:rFonts w:ascii="Arial" w:cs="Arial" w:eastAsia="Arial" w:hAnsi="Arial"/>
                <w:sz w:val="18"/>
                <w:szCs w:val="18"/>
                <w:color w:val="0000EE"/>
              </w:rPr>
              <w:t>Results of Operations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8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340" w:type="dxa"/>
            <w:vAlign w:val="bottom"/>
            <w:gridSpan w:val="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4</w:t>
            </w: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Controls and Procedures</w:t>
            </w:r>
          </w:p>
        </w:tc>
        <w:tc>
          <w:tcPr>
            <w:tcW w:w="140" w:type="dxa"/>
            <w:vAlign w:val="bottom"/>
            <w:gridSpan w:val="2"/>
          </w:tcPr>
          <w:p>
            <w:pPr>
              <w:spacing w:after="0"/>
              <w:rPr>
                <w:sz w:val="15"/>
                <w:szCs w:val="15"/>
                <w:color w:val="auto"/>
              </w:rPr>
            </w:pP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Borders>
              <w:bottom w:val="single" w:sz="8" w:color="0000EE"/>
            </w:tcBorders>
            <w:gridSpan w:val="6"/>
          </w:tcPr>
          <w:p>
            <w:pPr>
              <w:jc w:val="center"/>
              <w:spacing w:after="0"/>
              <w:rPr>
                <w:sz w:val="20"/>
                <w:szCs w:val="20"/>
                <w:color w:val="auto"/>
              </w:rPr>
            </w:pPr>
            <w:r>
              <w:rPr>
                <w:rFonts w:ascii="Arial" w:cs="Arial" w:eastAsia="Arial" w:hAnsi="Arial"/>
                <w:sz w:val="18"/>
                <w:szCs w:val="18"/>
                <w:b w:val="1"/>
                <w:bCs w:val="1"/>
                <w:color w:val="0000EE"/>
                <w:w w:val="99"/>
              </w:rPr>
              <w:t>PART II. OTHER INFORMATION</w:t>
            </w:r>
          </w:p>
        </w:tc>
        <w:tc>
          <w:tcPr>
            <w:tcW w:w="28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EE"/>
                <w:w w:val="99"/>
              </w:rPr>
              <w:t>Item 1</w:t>
            </w:r>
          </w:p>
        </w:tc>
        <w:tc>
          <w:tcPr>
            <w:tcW w:w="400" w:type="dxa"/>
            <w:vAlign w:val="bottom"/>
            <w:gridSpan w:val="3"/>
          </w:tcPr>
          <w:p>
            <w:pPr>
              <w:spacing w:after="0"/>
              <w:rPr>
                <w:sz w:val="24"/>
                <w:szCs w:val="24"/>
                <w:color w:val="auto"/>
              </w:rPr>
            </w:pPr>
          </w:p>
        </w:tc>
        <w:tc>
          <w:tcPr>
            <w:tcW w:w="7420" w:type="dxa"/>
            <w:vAlign w:val="bottom"/>
            <w:gridSpan w:val="23"/>
          </w:tcPr>
          <w:p>
            <w:pPr>
              <w:spacing w:after="0"/>
              <w:rPr>
                <w:sz w:val="20"/>
                <w:szCs w:val="20"/>
                <w:color w:val="auto"/>
              </w:rPr>
            </w:pPr>
            <w:r>
              <w:rPr>
                <w:rFonts w:ascii="Arial" w:cs="Arial" w:eastAsia="Arial" w:hAnsi="Arial"/>
                <w:sz w:val="18"/>
                <w:szCs w:val="18"/>
                <w:color w:val="0000EE"/>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4"/>
            <w:vMerge w:val="restart"/>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2300" w:type="dxa"/>
            <w:vAlign w:val="bottom"/>
            <w:gridSpan w:val="6"/>
            <w:vMerge w:val="restart"/>
          </w:tcPr>
          <w:p>
            <w:pPr>
              <w:spacing w:after="0" w:line="20" w:lineRule="exact"/>
              <w:rPr>
                <w:sz w:val="1"/>
                <w:szCs w:val="1"/>
                <w:color w:val="auto"/>
              </w:rPr>
            </w:pPr>
          </w:p>
        </w:tc>
        <w:tc>
          <w:tcPr>
            <w:tcW w:w="2580" w:type="dxa"/>
            <w:vAlign w:val="bottom"/>
            <w:gridSpan w:val="7"/>
            <w:vMerge w:val="restart"/>
          </w:tcPr>
          <w:p>
            <w:pPr>
              <w:spacing w:after="0" w:line="20" w:lineRule="exact"/>
              <w:rPr>
                <w:sz w:val="1"/>
                <w:szCs w:val="1"/>
                <w:color w:val="auto"/>
              </w:rPr>
            </w:pPr>
          </w:p>
        </w:tc>
        <w:tc>
          <w:tcPr>
            <w:tcW w:w="5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57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1A</w:t>
            </w: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0000EE"/>
              </w:rPr>
              <w:t>Risk Factors</w:t>
            </w:r>
          </w:p>
        </w:tc>
        <w:tc>
          <w:tcPr>
            <w:tcW w:w="500" w:type="dxa"/>
            <w:vAlign w:val="bottom"/>
            <w:gridSpan w:val="4"/>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2580" w:type="dxa"/>
            <w:vAlign w:val="bottom"/>
            <w:gridSpan w:val="7"/>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Unregistered</w:t>
            </w:r>
          </w:p>
        </w:tc>
        <w:tc>
          <w:tcPr>
            <w:tcW w:w="6420" w:type="dxa"/>
            <w:vAlign w:val="bottom"/>
            <w:gridSpan w:val="21"/>
          </w:tcPr>
          <w:p>
            <w:pPr>
              <w:ind w:left="80"/>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3</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8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Defaults Upon Senior Securities</w:t>
            </w: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4</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5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Mine Safety Disclosures</w:t>
            </w:r>
          </w:p>
        </w:tc>
        <w:tc>
          <w:tcPr>
            <w:tcW w:w="4880" w:type="dxa"/>
            <w:vAlign w:val="bottom"/>
            <w:gridSpan w:val="1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5</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Other Information</w:t>
            </w:r>
          </w:p>
        </w:tc>
        <w:tc>
          <w:tcPr>
            <w:tcW w:w="5440" w:type="dxa"/>
            <w:vAlign w:val="bottom"/>
            <w:gridSpan w:val="15"/>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6</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Exhibits</w:t>
            </w:r>
          </w:p>
        </w:tc>
        <w:tc>
          <w:tcPr>
            <w:tcW w:w="6020" w:type="dxa"/>
            <w:vAlign w:val="bottom"/>
            <w:gridSpan w:val="20"/>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118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8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As used in this Quarterly Report on Form 10-Q (this “Form 10-Q”), unless the context otherwise requires, references to:</w:t>
      </w:r>
    </w:p>
    <w:p>
      <w:pPr>
        <w:spacing w:after="0" w:line="113" w:lineRule="exact"/>
        <w:rPr>
          <w:sz w:val="20"/>
          <w:szCs w:val="20"/>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p>
      <w:pPr>
        <w:spacing w:after="0" w:line="136" w:lineRule="exact"/>
        <w:rPr>
          <w:rFonts w:ascii="Times New Roman" w:cs="Times New Roman" w:eastAsia="Times New Roman" w:hAnsi="Times New Roman"/>
          <w:sz w:val="18"/>
          <w:szCs w:val="18"/>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"Active Customer" refers to a customer who has transacted with us in any of the eight most recently completed fiscal quarters prior to the date of measurement. Unless otherwise indicated, the date of measurement is June 30, 2025, our most recently completed fiscal quarter.</w:t>
      </w:r>
    </w:p>
    <w:p>
      <w:pPr>
        <w:spacing w:after="0" w:line="149"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“Annual Report” refers to our Annual Report on Form 10-K for the year ended December 31, 2024 filed with the Securities and Exchange Commission (“SEC”) on February 28, 2025.</w:t>
      </w:r>
    </w:p>
    <w:p>
      <w:pPr>
        <w:spacing w:after="0" w:line="113" w:lineRule="exact"/>
        <w:rPr>
          <w:rFonts w:ascii="Times New Roman" w:cs="Times New Roman" w:eastAsia="Times New Roman" w:hAnsi="Times New Roman"/>
          <w:sz w:val="18"/>
          <w:szCs w:val="18"/>
          <w:color w:val="auto"/>
        </w:rPr>
      </w:pPr>
    </w:p>
    <w:p>
      <w:pPr>
        <w:jc w:val="both"/>
        <w:ind w:left="1380" w:right="79" w:hanging="331"/>
        <w:spacing w:after="0" w:line="239"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newly-issued shares of our Class A common stock. Direct exchanges of common units in CWGS, LLC by the Continuing Equity Owners with CWH for Class A common stock are included in the reference to “redemptions” in relation to common units in CWGS, LLC.</w:t>
      </w:r>
    </w:p>
    <w:p>
      <w:pPr>
        <w:spacing w:after="0" w:line="145" w:lineRule="exact"/>
        <w:rPr>
          <w:rFonts w:ascii="Times New Roman" w:cs="Times New Roman" w:eastAsia="Times New Roman" w:hAnsi="Times New Roman"/>
          <w:sz w:val="18"/>
          <w:szCs w:val="18"/>
          <w:color w:val="auto"/>
        </w:rPr>
      </w:pPr>
    </w:p>
    <w:p>
      <w:pPr>
        <w:jc w:val="both"/>
        <w:ind w:left="1380" w:right="79" w:hanging="331"/>
        <w:spacing w:after="0" w:line="24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“Former Profits Unit Holders” refers collectively to Brent L. Moody,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p>
      <w:pPr>
        <w:spacing w:after="0" w:line="150"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“ML Acquisition” refers to ML Acquisition Company, LLC, a Delaware limited liability company that is indirectly controlled by our Chairman and Chief Executive Officer, Marcus A. Lemonis.</w:t>
      </w:r>
    </w:p>
    <w:p>
      <w:pPr>
        <w:spacing w:after="0" w:line="11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“RV” refers to recreational vehicles.</w:t>
      </w:r>
    </w:p>
    <w:p>
      <w:pPr>
        <w:spacing w:after="0" w:line="183" w:lineRule="exact"/>
        <w:rPr>
          <w:rFonts w:ascii="Times New Roman" w:cs="Times New Roman" w:eastAsia="Times New Roman" w:hAnsi="Times New Roman"/>
          <w:sz w:val="18"/>
          <w:szCs w:val="18"/>
          <w:color w:val="auto"/>
        </w:rPr>
      </w:pPr>
    </w:p>
    <w:p>
      <w:pPr>
        <w:ind w:left="1380" w:right="159" w:hanging="331"/>
        <w:spacing w:after="0" w:line="25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“Tax Receivable Agreement” refers to the tax receivable agreement that the Company entered into with CWGS, LLC, each of the Continuing Equity Owners and Crestview Partners II GP, L.P. in connection with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This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Form 10-Q may be forward-looking statements. Statements regarding our future results of operations and financial position, business strategy and plans and objectives of management for future operations, including, among others, statements regarding expected new store location openings and closures, including greenfield locations and acquired locations; sufficiency of our sources of liquidity and capital and potential need for additional financing; our stock repurchase program; future capital expenditures and debt service obligations; refinancing, retirement or exchange of outstanding debt; expectations regarding industry trends and consumer behavior and growth; our product offerings and strategy; inventory management; volatility in sales and potential impact of miscalculating the demand for our products or our product mix; expectations regarding increase of certain expenses in connection with our growth and new or increased tariffs; expectations regarding operational efficiencies gained from exiting certain business endeavors; cost reduction initiatives and expected cost savings; our human capital initiatives; expectations regarding our pending litigation; future effects of new federal legislation, and our plans related to dividend payments, are forward-looking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but not limited to, the following:</w:t>
      </w:r>
    </w:p>
    <w:p>
      <w:pPr>
        <w:spacing w:after="0" w:line="164" w:lineRule="exact"/>
        <w:rPr>
          <w:sz w:val="20"/>
          <w:szCs w:val="20"/>
          <w:color w:val="auto"/>
        </w:rPr>
      </w:pPr>
    </w:p>
    <w:p>
      <w:pPr>
        <w:ind w:left="1040" w:right="11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 our markets, including inflation and interest rates, as well as the health of the RV industry, and ongoing economic and financial uncertainties;</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cost of financing to us and our customers;</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fuel shortages, high prices for fuel, or changes in energy sources;</w:t>
      </w:r>
    </w:p>
    <w:p>
      <w:pPr>
        <w:spacing w:after="0" w:line="197"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well-being, as well as the continued popularity and reputation for quality, of our manufacturers, particularly Thor Industries, Inc. and Forest River, Inc.;</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consumer preferences for our products or our failure to gauge those preferences;</w:t>
      </w:r>
    </w:p>
    <w:p>
      <w:pPr>
        <w:spacing w:after="0" w:line="18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in the market for services, protection plans, products and resources targeting the RV lifestyle or RV enthusiast;</w:t>
      </w:r>
    </w:p>
    <w:p>
      <w:pPr>
        <w:spacing w:after="0" w:line="127"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expansion into new, unfamiliar markets, businesses, or product lines or categories, as well as delays in opening new RV dealership locations, including greenfield locations and acquisitions;</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expenses, difficulties, and delays encountered in connection with acquisitions;</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strength and value of our brands;</w:t>
      </w:r>
    </w:p>
    <w:p>
      <w:pPr>
        <w:spacing w:after="0" w:line="197"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order and manage our inventory to reflect consumer demand in a volatile market and anticipate changing consumer preferences and buying trends;</w:t>
      </w:r>
    </w:p>
    <w:p>
      <w:pPr>
        <w:spacing w:after="0" w:line="11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our same store revenue and whether such revenue will be a meaningful indicator of future performance;</w:t>
      </w:r>
    </w:p>
    <w:p>
      <w:pPr>
        <w:spacing w:after="0" w:line="11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cyclical and seasonal nature of our business;</w:t>
      </w:r>
    </w:p>
    <w:p>
      <w:pPr>
        <w:spacing w:after="0" w:line="197" w:lineRule="exact"/>
        <w:rPr>
          <w:rFonts w:ascii="Times New Roman" w:cs="Times New Roman" w:eastAsia="Times New Roman" w:hAnsi="Times New Roman"/>
          <w:sz w:val="18"/>
          <w:szCs w:val="18"/>
          <w:color w:val="auto"/>
        </w:rPr>
      </w:pPr>
    </w:p>
    <w:p>
      <w:pPr>
        <w:ind w:left="1040" w:right="3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operate and expand our business and to respond to changing business and economic conditions, which depends on the availability of adequate capital;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restrictive covenants imposed by our Senior Secured Credit Facilities and Floor Plan Facility;</w:t>
      </w:r>
    </w:p>
    <w:p>
      <w:pPr>
        <w:spacing w:after="0" w:line="197"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execute and achieve the expected benefits of our cost cutting initiatives and impairment charges incurred in connection with previous restructuring initiatives may be materially higher than expected or anticipated;</w:t>
      </w:r>
    </w:p>
    <w:p>
      <w:pPr>
        <w:spacing w:after="0" w:line="130" w:lineRule="exact"/>
        <w:rPr>
          <w:rFonts w:ascii="Times New Roman" w:cs="Times New Roman" w:eastAsia="Times New Roman" w:hAnsi="Times New Roman"/>
          <w:sz w:val="18"/>
          <w:szCs w:val="18"/>
          <w:color w:val="auto"/>
        </w:rPr>
      </w:pPr>
    </w:p>
    <w:p>
      <w:pPr>
        <w:ind w:left="1040" w:right="9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our fulfillment and distribution centers for our retail and e-commerce businesses, which may be susceptible to a natural disaster or other serious disruption at any such facility;</w:t>
      </w:r>
    </w:p>
    <w:p>
      <w:pPr>
        <w:spacing w:after="0" w:line="113" w:lineRule="exact"/>
        <w:rPr>
          <w:rFonts w:ascii="Times New Roman" w:cs="Times New Roman" w:eastAsia="Times New Roman" w:hAnsi="Times New Roman"/>
          <w:sz w:val="18"/>
          <w:szCs w:val="18"/>
          <w:color w:val="auto"/>
        </w:rPr>
      </w:pPr>
    </w:p>
    <w:p>
      <w:pPr>
        <w:ind w:left="1040" w:right="41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whether or not caused by climate change, unusual weather conditions, epidemic outbreaks, terrorist acts and political events;</w:t>
      </w:r>
    </w:p>
    <w:p>
      <w:pPr>
        <w:spacing w:after="0" w:line="127" w:lineRule="exact"/>
        <w:rPr>
          <w:rFonts w:ascii="Times New Roman" w:cs="Times New Roman" w:eastAsia="Times New Roman" w:hAnsi="Times New Roman"/>
          <w:sz w:val="18"/>
          <w:szCs w:val="18"/>
          <w:color w:val="auto"/>
        </w:rPr>
      </w:pPr>
    </w:p>
    <w:p>
      <w:pPr>
        <w:ind w:left="1040" w:right="23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our relationships with third party providers of services, protection plans, products and resources and a disruption of these relationships or of these providers’ operations;</w:t>
      </w:r>
    </w:p>
    <w:p>
      <w:pPr>
        <w:spacing w:after="0" w:line="113" w:lineRule="exact"/>
        <w:rPr>
          <w:rFonts w:ascii="Times New Roman" w:cs="Times New Roman" w:eastAsia="Times New Roman" w:hAnsi="Times New Roman"/>
          <w:sz w:val="18"/>
          <w:szCs w:val="18"/>
          <w:color w:val="auto"/>
        </w:rPr>
      </w:pPr>
    </w:p>
    <w:p>
      <w:pPr>
        <w:ind w:left="1040" w:right="1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the products that we sell are manufactured abroad and any delays, new or increased tariffs, increased cost or quality control deficiencies in the importation of these products;</w:t>
      </w:r>
    </w:p>
    <w:p>
      <w:pPr>
        <w:spacing w:after="0" w:line="113" w:lineRule="exact"/>
        <w:rPr>
          <w:rFonts w:ascii="Times New Roman" w:cs="Times New Roman" w:eastAsia="Times New Roman" w:hAnsi="Times New Roman"/>
          <w:sz w:val="18"/>
          <w:szCs w:val="18"/>
          <w:color w:val="auto"/>
        </w:rPr>
      </w:pPr>
    </w:p>
    <w:p>
      <w:pPr>
        <w:ind w:left="1040" w:right="219" w:hanging="315"/>
        <w:spacing w:after="0" w:line="300" w:lineRule="auto"/>
        <w:tabs>
          <w:tab w:leader="none" w:pos="10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whether third-party lending institutions and insurance companies will continue to provide financing for RV purchases, insurance and extended service contracts that relate to a portion of our net income;</w:t>
      </w:r>
    </w:p>
    <w:p>
      <w:pPr>
        <w:spacing w:after="0" w:line="104"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retain senior executives and attract and retain other qualified employees;</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associated with leasing substantial amounts of space;</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private brand offerings exposing us to various risks;</w:t>
      </w:r>
    </w:p>
    <w:p>
      <w:pPr>
        <w:spacing w:after="0" w:line="19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whether we incur asset impairment charges for goodwill, intangible assets or other long-lived assets;</w:t>
      </w:r>
    </w:p>
    <w:p>
      <w:pPr>
        <w:spacing w:after="0" w:line="195"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subject to numerous federal, state and local regulations and litigation risk;</w:t>
      </w:r>
    </w:p>
    <w:p>
      <w:pPr>
        <w:spacing w:after="0" w:line="18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a failure in our e-commerce operations, security breaches and cybersecurity risks;</w:t>
      </w:r>
    </w:p>
    <w:p>
      <w:pPr>
        <w:spacing w:after="0" w:line="197" w:lineRule="exact"/>
        <w:rPr>
          <w:rFonts w:ascii="Times New Roman" w:cs="Times New Roman" w:eastAsia="Times New Roman" w:hAnsi="Times New Roman"/>
          <w:sz w:val="18"/>
          <w:szCs w:val="18"/>
          <w:color w:val="auto"/>
        </w:rPr>
      </w:pPr>
    </w:p>
    <w:p>
      <w:pPr>
        <w:ind w:left="1040" w:right="39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maintain or upgrade our information technology systems or our inability to convert to alternate systems in an efficient and timely manner;</w:t>
      </w:r>
    </w:p>
    <w:p>
      <w:pPr>
        <w:spacing w:after="0" w:line="113" w:lineRule="exact"/>
        <w:rPr>
          <w:rFonts w:ascii="Times New Roman" w:cs="Times New Roman" w:eastAsia="Times New Roman" w:hAnsi="Times New Roman"/>
          <w:sz w:val="18"/>
          <w:szCs w:val="18"/>
          <w:color w:val="auto"/>
        </w:rPr>
      </w:pPr>
    </w:p>
    <w:p>
      <w:pPr>
        <w:jc w:val="both"/>
        <w:ind w:left="1040" w:right="87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disruptions or breaches involving our or our third-party providers’ information technology systems or confidential information or our failure to meet increasingly demanding regulatory requirements;</w:t>
      </w:r>
    </w:p>
    <w:p>
      <w:pPr>
        <w:spacing w:after="0" w:line="13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material weaknesses in our internal control over financial reporting;</w:t>
      </w:r>
    </w:p>
    <w:p>
      <w:pPr>
        <w:spacing w:after="0" w:line="197" w:lineRule="exact"/>
        <w:rPr>
          <w:rFonts w:ascii="Times New Roman" w:cs="Times New Roman" w:eastAsia="Times New Roman" w:hAnsi="Times New Roman"/>
          <w:sz w:val="18"/>
          <w:szCs w:val="18"/>
          <w:color w:val="auto"/>
        </w:rPr>
      </w:pPr>
    </w:p>
    <w:p>
      <w:pPr>
        <w:ind w:left="1040" w:right="15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relating to our organizational structure and to ownership of shares of our Class A common stock; and</w:t>
      </w:r>
    </w:p>
    <w:p>
      <w:pPr>
        <w:spacing w:after="0" w:line="113"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set forth under ‘‘Risk Factors’’ in Item 1A of Part I of our Annual Report and in our other filings with the SEC.</w:t>
      </w:r>
    </w:p>
    <w:p>
      <w:pPr>
        <w:spacing w:after="0" w:line="11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These risks may cause our actual results, performance or achievements to differ materially and adversely from those expressed or implied by the forward-looking statements.</w:t>
      </w:r>
    </w:p>
    <w:p>
      <w:pPr>
        <w:spacing w:after="0" w:line="127"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Any forward-looking statements made herein speak only as of the date of this Form 10-Q, and you should not rely on forward-looking statements as predictions of future events. Although we believe that the expectations reflected in the forward-looking statements are reasonable, we cannot guarantee that the future effects, results, performance, or achievements reflected in the forward-looking statements will be achieved or occur. We undertake no obligation to update any of these forward-looking statements for any reason after the date of this Form 10-Q or to conform these statements to actual results or revised expectations.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Item 1. Financial Statements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Camping World Holdings,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Amounts)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3"/>
              <w:spacing w:after="0"/>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73"/>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and cash equivalents</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118,084</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208,422</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Contracts in transit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163,767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61,222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165,033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Accounts receivable, net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137,822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120,412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128,938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2,061,160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1,821,837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2,014,444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57,974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58,045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Assets held for sale</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15,202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2,554,009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2,271,288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2,408,796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910,052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846,760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856,308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Operating lease assets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716,020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739,352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760,143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 net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211,435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215,140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Intangible assets, net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17,602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19,469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21,354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748,561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734,023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731,015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34,168</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37,245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assets</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5,191,847</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4,863,277</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5,005,876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Accounts payable</w:t>
            </w:r>
          </w:p>
        </w:tc>
        <w:tc>
          <w:tcPr>
            <w:tcW w:w="22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283,450</w:t>
            </w:r>
          </w:p>
        </w:tc>
        <w:tc>
          <w:tcPr>
            <w:tcW w:w="300" w:type="dxa"/>
            <w:vAlign w:val="bottom"/>
            <w:gridSpan w:val="2"/>
          </w:tcPr>
          <w:p>
            <w:pPr>
              <w:jc w:val="right"/>
              <w:ind w:right="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145,346</w:t>
            </w:r>
          </w:p>
        </w:tc>
        <w:tc>
          <w:tcPr>
            <w:tcW w:w="30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260,390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liabilities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182,581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118,557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187,120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Deferred revenues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94,041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92,124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99,045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Current portion of operating lease liabilities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65,488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61,993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Current portion of finance lease liabilities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7,044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7,335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Current portion of Tax Receivable Agreement liability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23,023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23,275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24,082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Notes payable – floor plan, net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1,280,102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1,161,713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1,296,352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 current liabilities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79,167</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70,900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80,343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2,029,066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1,680,952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2,029,739</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liabilities, net of current portion</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734,083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764,113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788,613</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3"/>
                <w:szCs w:val="13"/>
                <w:color w:val="auto"/>
              </w:rPr>
              <w:t>Finance lease liabilities, net of current portion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128,598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131,004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134,538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Tax Receivable Agreement liability, net of current portion</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148,672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150,372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137,589</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3"/>
                <w:szCs w:val="13"/>
                <w:color w:val="auto"/>
              </w:rPr>
              <w:t>Revolving line of credit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31,885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1,483,470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1,493,318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1,513,986</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3"/>
                <w:szCs w:val="13"/>
                <w:color w:val="auto"/>
              </w:rPr>
              <w:t>Deferred revenues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63,337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63,642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66,981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88,042</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94,927</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92,140</w:t>
            </w:r>
          </w:p>
        </w:tc>
        <w:tc>
          <w:tcPr>
            <w:tcW w:w="0" w:type="dxa"/>
            <w:vAlign w:val="bottom"/>
          </w:tcPr>
          <w:p>
            <w:pPr>
              <w:spacing w:after="0"/>
              <w:rPr>
                <w:sz w:val="1"/>
                <w:szCs w:val="1"/>
                <w:color w:val="auto"/>
              </w:rPr>
            </w:pPr>
          </w:p>
        </w:tc>
      </w:tr>
      <w:tr>
        <w:trPr>
          <w:trHeight w:val="142"/>
        </w:trPr>
        <w:tc>
          <w:tcPr>
            <w:tcW w:w="5600" w:type="dxa"/>
            <w:vAlign w:val="bottom"/>
            <w:gridSpan w:val="2"/>
          </w:tcPr>
          <w:p>
            <w:pPr>
              <w:spacing w:after="0" w:line="142" w:lineRule="exact"/>
              <w:rPr>
                <w:sz w:val="20"/>
                <w:szCs w:val="20"/>
                <w:color w:val="auto"/>
              </w:rPr>
            </w:pPr>
            <w:r>
              <w:rPr>
                <w:rFonts w:ascii="Arial" w:cs="Arial" w:eastAsia="Arial" w:hAnsi="Arial"/>
                <w:sz w:val="13"/>
                <w:szCs w:val="13"/>
                <w:color w:val="auto"/>
              </w:rPr>
              <w:t>Total liabilities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4,675,268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4,378,328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4,795,471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8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Preferred stock, par value $0.01 per share – 20,000 shares authorized; none issued and</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outstanding</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80" w:type="dxa"/>
            <w:vAlign w:val="bottom"/>
          </w:tcPr>
          <w:p>
            <w:pPr>
              <w:ind w:left="80"/>
              <w:spacing w:after="0" w:line="136" w:lineRule="exact"/>
              <w:rPr>
                <w:sz w:val="20"/>
                <w:szCs w:val="20"/>
                <w:color w:val="auto"/>
              </w:rPr>
            </w:pPr>
            <w:r>
              <w:rPr>
                <w:rFonts w:ascii="Arial" w:cs="Arial" w:eastAsia="Arial" w:hAnsi="Arial"/>
                <w:sz w:val="13"/>
                <w:szCs w:val="13"/>
                <w:color w:val="auto"/>
              </w:rPr>
              <w:t>Class A common stock, par value $0.01 per share – 250,000 shares authorized; 62,649,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62,502 and 49,571 shares issued, respectively, and 62,649, 62,502 and 45,115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outstanding, respectively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80" w:type="dxa"/>
            <w:vAlign w:val="bottom"/>
            <w:shd w:val="clear" w:color="auto" w:fill="CCEEFF"/>
          </w:tcPr>
          <w:p>
            <w:pPr>
              <w:ind w:left="80"/>
              <w:spacing w:after="0" w:line="136" w:lineRule="exact"/>
              <w:rPr>
                <w:sz w:val="20"/>
                <w:szCs w:val="20"/>
                <w:color w:val="auto"/>
              </w:rPr>
            </w:pPr>
            <w:r>
              <w:rPr>
                <w:rFonts w:ascii="Arial" w:cs="Arial" w:eastAsia="Arial" w:hAnsi="Arial"/>
                <w:sz w:val="13"/>
                <w:szCs w:val="13"/>
                <w:color w:val="auto"/>
              </w:rPr>
              <w:t>Class B common stock, par value $0.0001 per share – 75,000 shares authorized; 39,466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shares issued and outstanding</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80" w:type="dxa"/>
            <w:vAlign w:val="bottom"/>
          </w:tcPr>
          <w:p>
            <w:pPr>
              <w:ind w:left="80"/>
              <w:spacing w:after="0" w:line="136" w:lineRule="exact"/>
              <w:rPr>
                <w:sz w:val="20"/>
                <w:szCs w:val="20"/>
                <w:color w:val="auto"/>
              </w:rPr>
            </w:pPr>
            <w:r>
              <w:rPr>
                <w:rFonts w:ascii="Arial" w:cs="Arial" w:eastAsia="Arial" w:hAnsi="Arial"/>
                <w:sz w:val="13"/>
                <w:szCs w:val="13"/>
                <w:color w:val="auto"/>
              </w:rPr>
              <w:t>Class C common stock, par value $0.0001 per share – 0.001 share authorized, issued and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205,383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193,692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133,461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tcPr>
          <w:p>
            <w:pPr>
              <w:ind w:left="80"/>
              <w:spacing w:after="0"/>
              <w:rPr>
                <w:sz w:val="20"/>
                <w:szCs w:val="20"/>
                <w:color w:val="auto"/>
              </w:rPr>
            </w:pPr>
            <w:r>
              <w:rPr>
                <w:rFonts w:ascii="Arial" w:cs="Arial" w:eastAsia="Arial" w:hAnsi="Arial"/>
                <w:sz w:val="13"/>
                <w:szCs w:val="13"/>
                <w:color w:val="auto"/>
              </w:rPr>
              <w:t>Treasury stock, at cost; 4,456 shares at June 30, 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(156,116)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Retained earnings</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134,525</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132,241</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171,817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line="142" w:lineRule="exact"/>
              <w:rPr>
                <w:sz w:val="20"/>
                <w:szCs w:val="20"/>
                <w:color w:val="auto"/>
              </w:rPr>
            </w:pPr>
            <w:r>
              <w:rPr>
                <w:rFonts w:ascii="Arial" w:cs="Arial" w:eastAsia="Arial" w:hAnsi="Arial"/>
                <w:sz w:val="13"/>
                <w:szCs w:val="13"/>
                <w:color w:val="auto"/>
              </w:rPr>
              <w:t>Total stockholders' equity attributable to Camping World Holdings, 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340,538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326,562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149,662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176,041</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158,387</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60,743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color w:val="auto"/>
              </w:rPr>
              <w:t>Total stockholders' equity</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516,579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484,949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210,405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liabilities and stockholders' equity</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5,191,847</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4,863,277</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5,005,876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54,213</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52,548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100,421</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98,229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915,106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847,105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1,536,538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1,503,191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572,271</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480,774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994,622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818,459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222,890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235,947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387,882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413,841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201,198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179,016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349,865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314,470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 Sam Club</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10,270</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1,921,735</w:t>
            </w:r>
          </w:p>
        </w:tc>
        <w:tc>
          <w:tcPr>
            <w:tcW w:w="1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1,753,957</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3,289,051</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3,072,293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tcPr>
          <w:p>
            <w:pPr>
              <w:spacing w:after="0" w:line="155" w:lineRule="exact"/>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1,975,948</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1,806,505</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3,389,472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3,170,522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Costs  applicable  to  revenue  (exclusive  of  depreciation  and  amortization  shown</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separately below):</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21,947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17,192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39,668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788,873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717,650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1,325,232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1,282,689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455,239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389,601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799,200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668,134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116,412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132,933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201,151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234,608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Borders>
              <w:bottom w:val="single" w:sz="8" w:color="CCEEFF"/>
            </w:tcBorders>
          </w:tcPr>
          <w:p>
            <w:pPr>
              <w:ind w:left="20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1,361,746</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1,241,654</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2,327,921</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2,188,091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costs applicable to revenue</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1,383,693</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1,258,846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2,367,589</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2,220,466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437,489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419,676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824,934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791,149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23,419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20,032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45,963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39,322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Long-lived asset impairment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Lease termination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Loss (gain) on sale or disposal of assets</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7,945</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461,986</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452,277</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870,772</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850,452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130,269</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95,382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151,111</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99,604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Other expense: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Floor plan interest expense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(39,295)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Other interest expense, net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(30,836)</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(36,153)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(61,367)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(72,247)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expense, net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other expense</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(54,425)</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(64,033)</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(103,420)</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(128,103)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75,844</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31,349</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47,691</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(28,499)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(18,321)</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(14,850)</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57,523</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23,414</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32,841</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(27,392)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(27,307)</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(13,643)</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(14,905)</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 (loss) attributable to Camping World Holdings, Inc.</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30,216</w:t>
            </w: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9,771</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17,936</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Earnings (loss) per share of Class A common stock:</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Basic</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0.48</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0.22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0.29</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4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Weighted average shares of Class A common stock outstanding: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62,610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45,093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62,571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45,070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62,747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45,244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102,661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45,070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2" w:right="8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8"/>
              </w:rPr>
              <w:t>Additional</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Non-</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7"/>
        </w:trPr>
        <w:tc>
          <w:tcPr>
            <w:tcW w:w="2640" w:type="dxa"/>
            <w:vAlign w:val="bottom"/>
          </w:tcPr>
          <w:p>
            <w:pPr>
              <w:spacing w:after="0"/>
              <w:rPr>
                <w:sz w:val="11"/>
                <w:szCs w:val="11"/>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Class A Common Stock</w:t>
            </w:r>
          </w:p>
        </w:tc>
        <w:tc>
          <w:tcPr>
            <w:tcW w:w="12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9"/>
              </w:rPr>
              <w:t>Class B Common Stock</w:t>
            </w:r>
          </w:p>
        </w:tc>
        <w:tc>
          <w:tcPr>
            <w:tcW w:w="1140" w:type="dxa"/>
            <w:vAlign w:val="bottom"/>
            <w:gridSpan w:val="4"/>
          </w:tcPr>
          <w:p>
            <w:pPr>
              <w:jc w:val="center"/>
              <w:spacing w:after="0"/>
              <w:rPr>
                <w:sz w:val="20"/>
                <w:szCs w:val="20"/>
                <w:color w:val="auto"/>
              </w:rPr>
            </w:pPr>
            <w:r>
              <w:rPr>
                <w:rFonts w:ascii="Arial" w:cs="Arial" w:eastAsia="Arial" w:hAnsi="Arial"/>
                <w:sz w:val="10"/>
                <w:szCs w:val="10"/>
                <w:b w:val="1"/>
                <w:bCs w:val="1"/>
                <w:color w:val="auto"/>
                <w:w w:val="97"/>
              </w:rPr>
              <w:t>Class C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Paid-In</w:t>
            </w:r>
          </w:p>
        </w:tc>
        <w:tc>
          <w:tcPr>
            <w:tcW w:w="1200" w:type="dxa"/>
            <w:vAlign w:val="bottom"/>
            <w:gridSpan w:val="4"/>
          </w:tcPr>
          <w:p>
            <w:pPr>
              <w:jc w:val="center"/>
              <w:spacing w:after="0"/>
              <w:rPr>
                <w:sz w:val="20"/>
                <w:szCs w:val="20"/>
                <w:color w:val="auto"/>
              </w:rPr>
            </w:pPr>
            <w:r>
              <w:rPr>
                <w:rFonts w:ascii="Arial" w:cs="Arial" w:eastAsia="Arial" w:hAnsi="Arial"/>
                <w:sz w:val="10"/>
                <w:szCs w:val="10"/>
                <w:b w:val="1"/>
                <w:bCs w:val="1"/>
                <w:color w:val="auto"/>
                <w:w w:val="96"/>
              </w:rPr>
              <w:t>Treasury Stock</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11"/>
                <w:szCs w:val="11"/>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Controlling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5"/>
        </w:trPr>
        <w:tc>
          <w:tcPr>
            <w:tcW w:w="2640" w:type="dxa"/>
            <w:vAlign w:val="bottom"/>
          </w:tcPr>
          <w:p>
            <w:pPr>
              <w:spacing w:after="0"/>
              <w:rPr>
                <w:sz w:val="10"/>
                <w:szCs w:val="10"/>
                <w:color w:val="auto"/>
              </w:rPr>
            </w:pPr>
          </w:p>
        </w:tc>
        <w:tc>
          <w:tcPr>
            <w:tcW w:w="56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54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Capital</w:t>
            </w: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Interest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66"/>
              <w:spacing w:after="0"/>
              <w:rPr>
                <w:sz w:val="20"/>
                <w:szCs w:val="20"/>
                <w:color w:val="auto"/>
              </w:rPr>
            </w:pPr>
            <w:r>
              <w:rPr>
                <w:rFonts w:ascii="Arial" w:cs="Arial" w:eastAsia="Arial" w:hAnsi="Arial"/>
                <w:sz w:val="10"/>
                <w:szCs w:val="10"/>
                <w:b w:val="1"/>
                <w:bCs w:val="1"/>
                <w:color w:val="auto"/>
              </w:rPr>
              <w:t>Total</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January 1, 2025</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62,502</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193,692</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ind w:left="4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132,241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158,387</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484,949</w:t>
            </w: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4,438</w:t>
            </w:r>
          </w:p>
        </w:tc>
        <w:tc>
          <w:tcPr>
            <w:tcW w:w="8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4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2,832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7,270</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446</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(447)</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(871)</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4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(871)</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(34)</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ind w:left="4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(7,821)</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(7,821)</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(25)</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ind w:left="4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(12,280)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(12,402)</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(24,682)</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March 31, 2025</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62,570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626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197,730</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ind w:left="44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112,140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148,311</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458,811</w:t>
            </w: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Stock-based compensation</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5,158</w:t>
            </w:r>
          </w:p>
        </w:tc>
        <w:tc>
          <w:tcPr>
            <w:tcW w:w="8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4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3,286</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8,444</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98</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226</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(226)</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2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(304)</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4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(304)</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(64)</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ind w:left="4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(7,831)</w:t>
            </w:r>
          </w:p>
        </w:tc>
        <w:tc>
          <w:tcPr>
            <w:tcW w:w="8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(7,831)</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2,573</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ind w:left="4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(2,573)</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Borders>
              <w:bottom w:val="single" w:sz="8" w:color="CCEEFF"/>
            </w:tcBorders>
          </w:tcPr>
          <w:p>
            <w:pPr>
              <w:ind w:left="100"/>
              <w:spacing w:after="0" w:line="122" w:lineRule="exact"/>
              <w:rPr>
                <w:sz w:val="20"/>
                <w:szCs w:val="20"/>
                <w:color w:val="auto"/>
              </w:rPr>
            </w:pPr>
            <w:r>
              <w:rPr>
                <w:rFonts w:ascii="Arial" w:cs="Arial" w:eastAsia="Arial" w:hAnsi="Arial"/>
                <w:sz w:val="11"/>
                <w:szCs w:val="11"/>
                <w:color w:val="auto"/>
              </w:rPr>
              <w:t>Net income</w:t>
            </w:r>
          </w:p>
        </w:tc>
        <w:tc>
          <w:tcPr>
            <w:tcW w:w="5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ind w:left="340"/>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ind w:left="320"/>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ind w:left="440"/>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30,216</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27,307</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57,523</w:t>
            </w:r>
          </w:p>
        </w:tc>
      </w:tr>
      <w:tr>
        <w:trPr>
          <w:trHeight w:val="128"/>
        </w:trPr>
        <w:tc>
          <w:tcPr>
            <w:tcW w:w="2640" w:type="dxa"/>
            <w:vAlign w:val="bottom"/>
            <w:shd w:val="clear" w:color="auto" w:fill="CCEEFF"/>
          </w:tcPr>
          <w:p>
            <w:pPr>
              <w:spacing w:after="0"/>
              <w:rPr>
                <w:sz w:val="20"/>
                <w:szCs w:val="20"/>
                <w:color w:val="auto"/>
              </w:rPr>
            </w:pPr>
            <w:r>
              <w:rPr>
                <w:rFonts w:ascii="Arial" w:cs="Arial" w:eastAsia="Arial" w:hAnsi="Arial"/>
                <w:sz w:val="11"/>
                <w:szCs w:val="11"/>
                <w:color w:val="auto"/>
              </w:rPr>
              <w:t>Balance at June 30, 2025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62,649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39,466</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205,383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134,525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176,041</w:t>
            </w:r>
          </w:p>
        </w:tc>
        <w:tc>
          <w:tcPr>
            <w:tcW w:w="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51"/>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516,579</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760" w:hanging="333"/>
        <w:spacing w:after="0"/>
        <w:tabs>
          <w:tab w:leader="none" w:pos="760" w:val="left"/>
        </w:tabs>
        <w:numPr>
          <w:ilvl w:val="0"/>
          <w:numId w:val="6"/>
        </w:numPr>
        <w:rPr>
          <w:rFonts w:ascii="Arial" w:cs="Arial" w:eastAsia="Arial" w:hAnsi="Arial"/>
          <w:sz w:val="16"/>
          <w:szCs w:val="16"/>
          <w:color w:val="auto"/>
          <w:vertAlign w:val="superscript"/>
        </w:rPr>
      </w:pPr>
      <w:r>
        <w:rPr>
          <w:rFonts w:ascii="Arial" w:cs="Arial" w:eastAsia="Arial" w:hAnsi="Arial"/>
          <w:sz w:val="11"/>
          <w:szCs w:val="11"/>
          <w:color w:val="auto"/>
        </w:rPr>
        <w:t>The Company declared dividends per share of Class A common stock of $0.125 for the three months ended March 31, 2025 and three months ended June 30, 2025, respectively.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Additional</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7"/>
              <w:spacing w:after="0"/>
              <w:rPr>
                <w:sz w:val="20"/>
                <w:szCs w:val="20"/>
                <w:color w:val="auto"/>
              </w:rPr>
            </w:pPr>
            <w:r>
              <w:rPr>
                <w:rFonts w:ascii="Arial" w:cs="Arial" w:eastAsia="Arial" w:hAnsi="Arial"/>
                <w:sz w:val="10"/>
                <w:szCs w:val="10"/>
                <w:b w:val="1"/>
                <w:bCs w:val="1"/>
                <w:color w:val="auto"/>
              </w:rPr>
              <w:t>Non-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2640" w:type="dxa"/>
            <w:vAlign w:val="bottom"/>
          </w:tcPr>
          <w:p>
            <w:pPr>
              <w:spacing w:after="0"/>
              <w:rPr>
                <w:sz w:val="11"/>
                <w:szCs w:val="11"/>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Class A Common Stock</w:t>
            </w:r>
          </w:p>
        </w:tc>
        <w:tc>
          <w:tcPr>
            <w:tcW w:w="12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9"/>
              </w:rPr>
              <w:t>Class B Common Stock</w:t>
            </w:r>
          </w:p>
        </w:tc>
        <w:tc>
          <w:tcPr>
            <w:tcW w:w="1140" w:type="dxa"/>
            <w:vAlign w:val="bottom"/>
            <w:gridSpan w:val="4"/>
          </w:tcPr>
          <w:p>
            <w:pPr>
              <w:jc w:val="center"/>
              <w:spacing w:after="0"/>
              <w:rPr>
                <w:sz w:val="20"/>
                <w:szCs w:val="20"/>
                <w:color w:val="auto"/>
              </w:rPr>
            </w:pPr>
            <w:r>
              <w:rPr>
                <w:rFonts w:ascii="Arial" w:cs="Arial" w:eastAsia="Arial" w:hAnsi="Arial"/>
                <w:sz w:val="10"/>
                <w:szCs w:val="10"/>
                <w:b w:val="1"/>
                <w:bCs w:val="1"/>
                <w:color w:val="auto"/>
                <w:w w:val="99"/>
              </w:rPr>
              <w:t>Class C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Paid-In</w:t>
            </w:r>
          </w:p>
        </w:tc>
        <w:tc>
          <w:tcPr>
            <w:tcW w:w="1200" w:type="dxa"/>
            <w:vAlign w:val="bottom"/>
            <w:gridSpan w:val="4"/>
          </w:tcPr>
          <w:p>
            <w:pPr>
              <w:jc w:val="center"/>
              <w:spacing w:after="0"/>
              <w:rPr>
                <w:sz w:val="20"/>
                <w:szCs w:val="20"/>
                <w:color w:val="auto"/>
              </w:rPr>
            </w:pPr>
            <w:r>
              <w:rPr>
                <w:rFonts w:ascii="Arial" w:cs="Arial" w:eastAsia="Arial" w:hAnsi="Arial"/>
                <w:sz w:val="10"/>
                <w:szCs w:val="10"/>
                <w:b w:val="1"/>
                <w:bCs w:val="1"/>
                <w:color w:val="auto"/>
                <w:w w:val="96"/>
              </w:rPr>
              <w:t>Treasury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86"/>
              <w:spacing w:after="0"/>
              <w:rPr>
                <w:sz w:val="20"/>
                <w:szCs w:val="20"/>
                <w:color w:val="auto"/>
              </w:rPr>
            </w:pPr>
            <w:r>
              <w:rPr>
                <w:rFonts w:ascii="Arial" w:cs="Arial" w:eastAsia="Arial" w:hAnsi="Arial"/>
                <w:sz w:val="10"/>
                <w:szCs w:val="10"/>
                <w:b w:val="1"/>
                <w:bCs w:val="1"/>
                <w:color w:val="auto"/>
                <w:w w:val="99"/>
              </w:rPr>
              <w:t>Retained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7"/>
              <w:spacing w:after="0"/>
              <w:rPr>
                <w:sz w:val="20"/>
                <w:szCs w:val="20"/>
                <w:color w:val="auto"/>
              </w:rPr>
            </w:pPr>
            <w:r>
              <w:rPr>
                <w:rFonts w:ascii="Arial" w:cs="Arial" w:eastAsia="Arial" w:hAnsi="Arial"/>
                <w:sz w:val="10"/>
                <w:szCs w:val="10"/>
                <w:b w:val="1"/>
                <w:bCs w:val="1"/>
                <w:color w:val="auto"/>
                <w:w w:val="97"/>
              </w:rPr>
              <w:t>Controlling</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5"/>
        </w:trPr>
        <w:tc>
          <w:tcPr>
            <w:tcW w:w="2640" w:type="dxa"/>
            <w:vAlign w:val="bottom"/>
          </w:tcPr>
          <w:p>
            <w:pPr>
              <w:spacing w:after="0"/>
              <w:rPr>
                <w:sz w:val="10"/>
                <w:szCs w:val="10"/>
                <w:color w:val="auto"/>
              </w:rPr>
            </w:pPr>
          </w:p>
        </w:tc>
        <w:tc>
          <w:tcPr>
            <w:tcW w:w="50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Capital</w:t>
            </w:r>
          </w:p>
        </w:tc>
        <w:tc>
          <w:tcPr>
            <w:tcW w:w="46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86"/>
              <w:spacing w:after="0"/>
              <w:rPr>
                <w:sz w:val="20"/>
                <w:szCs w:val="20"/>
                <w:color w:val="auto"/>
              </w:rPr>
            </w:pPr>
            <w:r>
              <w:rPr>
                <w:rFonts w:ascii="Arial" w:cs="Arial" w:eastAsia="Arial" w:hAnsi="Arial"/>
                <w:sz w:val="10"/>
                <w:szCs w:val="10"/>
                <w:b w:val="1"/>
                <w:bCs w:val="1"/>
                <w:color w:val="auto"/>
                <w:w w:val="98"/>
              </w:rPr>
              <w:t>Earnings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7"/>
              <w:spacing w:after="0"/>
              <w:rPr>
                <w:sz w:val="20"/>
                <w:szCs w:val="20"/>
                <w:color w:val="auto"/>
              </w:rPr>
            </w:pPr>
            <w:r>
              <w:rPr>
                <w:rFonts w:ascii="Arial" w:cs="Arial" w:eastAsia="Arial" w:hAnsi="Arial"/>
                <w:sz w:val="10"/>
                <w:szCs w:val="10"/>
                <w:b w:val="1"/>
                <w:bCs w:val="1"/>
                <w:color w:val="auto"/>
                <w:w w:val="99"/>
              </w:rPr>
              <w:t>Interest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0"/>
                <w:szCs w:val="10"/>
                <w:b w:val="1"/>
                <w:bCs w:val="1"/>
                <w:color w:val="auto"/>
              </w:rPr>
              <w:t>Total</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January 1, 2024</w:t>
            </w:r>
          </w:p>
        </w:tc>
        <w:tc>
          <w:tcPr>
            <w:tcW w:w="5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131,665</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(4,551)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(159,440)</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195,627</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89,623</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257,975</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Stock-based compensation</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2,751</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2,446</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5,197</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81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options</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(2,234)</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2,595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209</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(658)</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(9,947)</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(9,947)</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(2)</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(22,307)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(28,499)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(50,806)</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March 31, 2024</w:t>
            </w:r>
          </w:p>
        </w:tc>
        <w:tc>
          <w:tcPr>
            <w:tcW w:w="50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132,213</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(4,499)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(157,631)</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167,686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53,410</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196,178</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Stock-based compensation</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2,858</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2,539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5,397</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(1,599)</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1,671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(96)</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(8,848)</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(8,848)</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(2)</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(5,640)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(5,640)</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0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income</w:t>
            </w: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9,771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13,643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23,414</w:t>
            </w:r>
          </w:p>
        </w:tc>
      </w:tr>
      <w:tr>
        <w:trPr>
          <w:trHeight w:val="115"/>
        </w:trPr>
        <w:tc>
          <w:tcPr>
            <w:tcW w:w="264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June 30, 2024</w:t>
            </w:r>
          </w:p>
        </w:tc>
        <w:tc>
          <w:tcPr>
            <w:tcW w:w="50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133,461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(4,456)</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(156,116)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171,817</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60,743</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210,405</w:t>
            </w:r>
          </w:p>
        </w:tc>
      </w:tr>
      <w:tr>
        <w:trPr>
          <w:trHeight w:val="20"/>
        </w:trPr>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740" w:hanging="326"/>
        <w:spacing w:after="0"/>
        <w:tabs>
          <w:tab w:leader="none" w:pos="740" w:val="left"/>
        </w:tabs>
        <w:numPr>
          <w:ilvl w:val="0"/>
          <w:numId w:val="7"/>
        </w:numPr>
        <w:rPr>
          <w:rFonts w:ascii="Arial" w:cs="Arial" w:eastAsia="Arial" w:hAnsi="Arial"/>
          <w:sz w:val="16"/>
          <w:szCs w:val="16"/>
          <w:color w:val="auto"/>
          <w:vertAlign w:val="superscript"/>
        </w:rPr>
      </w:pPr>
      <w:r>
        <w:rPr>
          <w:rFonts w:ascii="Arial" w:cs="Arial" w:eastAsia="Arial" w:hAnsi="Arial"/>
          <w:sz w:val="11"/>
          <w:szCs w:val="11"/>
          <w:color w:val="auto"/>
        </w:rPr>
        <w:t>The Company declared dividends per share of Class A common stock of $0.125 for the three months ended March 31, 2024 and the three months ended June 30, 2024,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6635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2" w:right="7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32,841</w:t>
            </w:r>
          </w:p>
        </w:tc>
        <w:tc>
          <w:tcPr>
            <w:tcW w:w="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(27,392)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5960" w:type="dxa"/>
            <w:vAlign w:val="bottom"/>
          </w:tcPr>
          <w:p>
            <w:pPr>
              <w:spacing w:after="0" w:line="183" w:lineRule="exact"/>
              <w:rPr>
                <w:sz w:val="20"/>
                <w:szCs w:val="20"/>
                <w:color w:val="auto"/>
              </w:rPr>
            </w:pPr>
            <w:r>
              <w:rPr>
                <w:rFonts w:ascii="Arial" w:cs="Arial" w:eastAsia="Arial" w:hAnsi="Arial"/>
                <w:sz w:val="18"/>
                <w:szCs w:val="18"/>
                <w:color w:val="auto"/>
              </w:rPr>
              <w:t>Adjustments to reconcile net income (loss) to net cash (used in) provided</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980" w:type="dxa"/>
            <w:vAlign w:val="bottom"/>
            <w:gridSpan w:val="2"/>
          </w:tcPr>
          <w:p>
            <w:pPr>
              <w:spacing w:after="0"/>
              <w:rPr>
                <w:sz w:val="20"/>
                <w:szCs w:val="20"/>
                <w:color w:val="auto"/>
              </w:rPr>
            </w:pPr>
            <w:r>
              <w:rPr>
                <w:rFonts w:ascii="Arial" w:cs="Arial" w:eastAsia="Arial" w:hAnsi="Arial"/>
                <w:sz w:val="18"/>
                <w:szCs w:val="18"/>
                <w:color w:val="auto"/>
              </w:rPr>
              <w:t>by operating activities: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45,963</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15,714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10,594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(Gain) loss on lease termination</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200"/>
              <w:spacing w:after="0" w:line="202" w:lineRule="exact"/>
              <w:rPr>
                <w:sz w:val="20"/>
                <w:szCs w:val="20"/>
                <w:color w:val="auto"/>
              </w:rPr>
            </w:pPr>
            <w:r>
              <w:rPr>
                <w:rFonts w:ascii="Arial" w:cs="Arial" w:eastAsia="Arial" w:hAnsi="Arial"/>
                <w:sz w:val="18"/>
                <w:szCs w:val="18"/>
                <w:color w:val="auto"/>
              </w:rPr>
              <w:t>Long-lived asset impairment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620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10,411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(Gain) loss on sale or disposal of assets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2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1,117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29,661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200"/>
              <w:spacing w:after="0" w:line="202" w:lineRule="exact"/>
              <w:rPr>
                <w:sz w:val="20"/>
                <w:szCs w:val="20"/>
                <w:color w:val="auto"/>
              </w:rPr>
            </w:pPr>
            <w:r>
              <w:rPr>
                <w:rFonts w:ascii="Arial" w:cs="Arial" w:eastAsia="Arial" w:hAnsi="Arial"/>
                <w:sz w:val="18"/>
                <w:szCs w:val="18"/>
                <w:color w:val="auto"/>
              </w:rPr>
              <w:t>Accretion of original debt issuance discount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1,271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interest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3,705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assets and liabilities, net of acquisitions: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00"/>
              <w:spacing w:after="0" w:line="202" w:lineRule="exact"/>
              <w:rPr>
                <w:sz w:val="20"/>
                <w:szCs w:val="20"/>
                <w:color w:val="auto"/>
              </w:rPr>
            </w:pPr>
            <w:r>
              <w:rPr>
                <w:rFonts w:ascii="Arial" w:cs="Arial" w:eastAsia="Arial" w:hAnsi="Arial"/>
                <w:sz w:val="18"/>
                <w:szCs w:val="18"/>
                <w:color w:val="auto"/>
              </w:rPr>
              <w:t>Receivables and contracts in transit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(124,242)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(171,390)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39,353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ind w:left="30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Accounts payable and other accrued expenses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156,840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121,073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00"/>
              <w:spacing w:after="0" w:line="202" w:lineRule="exact"/>
              <w:rPr>
                <w:sz w:val="20"/>
                <w:szCs w:val="20"/>
                <w:color w:val="auto"/>
              </w:rPr>
            </w:pPr>
            <w:r>
              <w:rPr>
                <w:rFonts w:ascii="Arial" w:cs="Arial" w:eastAsia="Arial" w:hAnsi="Arial"/>
                <w:sz w:val="18"/>
                <w:szCs w:val="18"/>
                <w:color w:val="auto"/>
              </w:rPr>
              <w:t>Payment pursuant to Tax Receivable Agreement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Deferred revenues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1,612</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00"/>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(31,437)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(7,404)</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3,551</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Pr>
          <w:p>
            <w:pPr>
              <w:spacing w:after="0" w:line="196" w:lineRule="exact"/>
              <w:rPr>
                <w:sz w:val="20"/>
                <w:szCs w:val="20"/>
                <w:color w:val="auto"/>
              </w:rPr>
            </w:pPr>
            <w:r>
              <w:rPr>
                <w:rFonts w:ascii="Arial" w:cs="Arial" w:eastAsia="Arial" w:hAnsi="Arial"/>
                <w:sz w:val="18"/>
                <w:szCs w:val="18"/>
                <w:color w:val="auto"/>
              </w:rPr>
              <w:t>Net cash (used in) provided by operating activities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(44,595)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84,341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(49,696)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2,966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real property</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(72,386)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Proceeds from the sale of real property</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9,843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31,195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businesses, net of cash acquired</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(81,154)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(62,323)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Proceeds from divestiture of business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10,349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19,957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intangible assets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Proceeds from sale of intangible assets</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2,595</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(180,078)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(54,931)</w:t>
            </w:r>
          </w:p>
        </w:tc>
        <w:tc>
          <w:tcPr>
            <w:tcW w:w="0" w:type="dxa"/>
            <w:vAlign w:val="bottom"/>
          </w:tcPr>
          <w:p>
            <w:pPr>
              <w:spacing w:after="0"/>
              <w:rPr>
                <w:sz w:val="1"/>
                <w:szCs w:val="1"/>
                <w:color w:val="auto"/>
              </w:rPr>
            </w:pPr>
          </w:p>
        </w:tc>
      </w:tr>
      <w:tr>
        <w:trPr>
          <w:trHeight w:val="868"/>
        </w:trPr>
        <w:tc>
          <w:tcPr>
            <w:tcW w:w="5980" w:type="dxa"/>
            <w:vAlign w:val="bottom"/>
            <w:gridSpan w:val="2"/>
          </w:tcPr>
          <w:p>
            <w:pPr>
              <w:jc w:val="right"/>
              <w:ind w:right="135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56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Proceeds from long-term debt</w:t>
            </w:r>
          </w:p>
        </w:tc>
        <w:tc>
          <w:tcPr>
            <w:tcW w:w="10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55,624</w:t>
            </w: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long-term debt</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(12,537)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(57,351)</w:t>
            </w: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Net proceeds (payments) on notes payable – floor plan, net</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168,108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(19,160)</w:t>
            </w: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on revolving line of credit</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43,000</w:t>
            </w: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Payments on revolving line of credit</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(32,000)</w:t>
            </w: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finance leases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(3,682)</w:t>
            </w: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Payments on sale-leaseback arrangement</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debt issuance costs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w:t>
            </w: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Payments of stock offering costs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on Class A common stock</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(15,652)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(11,274)</w:t>
            </w:r>
          </w:p>
        </w:tc>
      </w:tr>
      <w:tr>
        <w:trPr>
          <w:trHeight w:val="203"/>
        </w:trPr>
        <w:tc>
          <w:tcPr>
            <w:tcW w:w="2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RSU shares withheld for tax</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w:t>
            </w:r>
          </w:p>
        </w:tc>
      </w:tr>
      <w:tr>
        <w:trPr>
          <w:trHeight w:val="203"/>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Distributions to holders of LLC common units</w:t>
            </w: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(18,795)</w:t>
            </w: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134,335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(45,314)</w:t>
            </w:r>
          </w:p>
        </w:tc>
      </w:tr>
      <w:tr>
        <w:trPr>
          <w:trHeight w:val="203"/>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Decrease in cash and cash equivalents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(90,338)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(15,904)</w:t>
            </w:r>
          </w:p>
        </w:tc>
      </w:tr>
      <w:tr>
        <w:trPr>
          <w:trHeight w:val="203"/>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Cash and cash equivalents at beginning of the period</w:t>
            </w:r>
          </w:p>
        </w:tc>
        <w:tc>
          <w:tcPr>
            <w:tcW w:w="9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208,422</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39,647</w:t>
            </w:r>
          </w:p>
        </w:tc>
      </w:tr>
      <w:tr>
        <w:trPr>
          <w:trHeight w:val="196"/>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 at end of the period</w:t>
            </w: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118,084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23,743</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2025</w:t>
      </w:r>
    </w:p>
    <w:p>
      <w:pPr>
        <w:spacing w:after="0" w:line="198" w:lineRule="exact"/>
        <w:rPr>
          <w:sz w:val="20"/>
          <w:szCs w:val="20"/>
          <w:color w:val="auto"/>
        </w:rPr>
      </w:pPr>
    </w:p>
    <w:p>
      <w:pPr>
        <w:ind w:left="60" w:right="4379" w:hanging="10"/>
        <w:spacing w:after="0" w:line="513" w:lineRule="auto"/>
        <w:tabs>
          <w:tab w:leader="none" w:pos="2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include the accounts of Camping World Holdings, Inc. and its subsidiaries, and are presented in accordance with accounting principles generally accepted in the United States (“GAAP”) for interim financial information and pursuant to the rules and regulations of the SEC. Accordingly, these interim financial statements do not include all of the information and footnotes required by GAAP for complete financial statements. In the opinion of management, all adjustments (consisting of normal recurring adjustments) necessary for a fair statement of the results of operations, financial position and cash flows for the periods presented have been reflected. All intercompany accounts and transactions of the Company and its subsidiaries have been eliminated in consolidation.</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as of and for the three and six months ended June 30, 2025 and 2024 are unaudited. The condensed consolidated balance sheet as of December 31, 2024 has been derived from the audited financial statements at that date but does not include all of the disclosures required by GAAP. These interim condensed consolidated financial statements should be read in conjunction with the Company’s Annual Report on Form 10-K for the year ended December 31, 2024 filed with the SEC on February 28, 2025 (“Annual Report”). Operating results for interim periods are not necessarily indicative of the results that may be expected for the full year.</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CWH has sole voting power in and control of the management of CWGS, LLC. As of June 30, 2025, December 31, 2024, and June 30, 2024, CWH owned 61.1%, 61.0%, and 53.0%, respectively, of CWGS, LLC. Accordingly, the Company consolidates the financial results of CWGS, LLC and reports a non-controlling interest in its condensed consolidated financial statements.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Revisions to Prior Period Condensed Consolidated Financial Statements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Subsequent to the issuance of the Company's condensed consolidated financial statements for the three and six months ended June 30, 2024, the Company's management identified prior period misstatements related to the measurement of the realizable portion of the Company’s outside basis difference deferred tax asset in CWGS, LLC, including the associated valuation allowance. As a result, deferred tax assets, net, additional paid-in capital, and income tax benefit (expense) as of and for the years ended December 31, 2023 and 2022 were revised in the Company’s Annual Report. The misstatements impacted the beginning balances of deferred taxes, net, additional paid-in capital, and retained earnings, which have been revised from the amounts previously reported as of March 31, 2024 and June 30, 2024. The Company evaluated the materiality of these errors, both qualitatively and quantitatively, and determined the effect of these revisions was not material to the previously issued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presents the effect of the immaterial misstatements on the Company’s condensed consolidated balance sheet for the period indicated:</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As of June 30, 2024</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ind w:right="91"/>
              <w:spacing w:after="0" w:line="111" w:lineRule="exact"/>
              <w:rPr>
                <w:sz w:val="20"/>
                <w:szCs w:val="20"/>
                <w:color w:val="auto"/>
              </w:rPr>
            </w:pPr>
            <w:r>
              <w:rPr>
                <w:rFonts w:ascii="Arial" w:cs="Arial" w:eastAsia="Arial" w:hAnsi="Arial"/>
                <w:sz w:val="12"/>
                <w:szCs w:val="12"/>
                <w:b w:val="1"/>
                <w:bCs w:val="1"/>
                <w:color w:val="auto"/>
              </w:rPr>
              <w:t>As Previously</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Adjustment</w:t>
            </w:r>
          </w:p>
        </w:tc>
        <w:tc>
          <w:tcPr>
            <w:tcW w:w="160" w:type="dxa"/>
            <w:vAlign w:val="bottom"/>
          </w:tcPr>
          <w:p>
            <w:pPr>
              <w:spacing w:after="0"/>
              <w:rPr>
                <w:sz w:val="9"/>
                <w:szCs w:val="9"/>
                <w:color w:val="auto"/>
              </w:rPr>
            </w:pPr>
          </w:p>
        </w:tc>
        <w:tc>
          <w:tcPr>
            <w:tcW w:w="10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As Revised</w:t>
            </w:r>
          </w:p>
        </w:tc>
        <w:tc>
          <w:tcPr>
            <w:tcW w:w="0" w:type="dxa"/>
            <w:vAlign w:val="bottom"/>
          </w:tcPr>
          <w:p>
            <w:pPr>
              <w:spacing w:after="0"/>
              <w:rPr>
                <w:sz w:val="1"/>
                <w:szCs w:val="1"/>
                <w:color w:val="auto"/>
              </w:rPr>
            </w:pPr>
          </w:p>
        </w:tc>
      </w:tr>
      <w:tr>
        <w:trPr>
          <w:trHeight w:val="153"/>
        </w:trPr>
        <w:tc>
          <w:tcPr>
            <w:tcW w:w="50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3"/>
                <w:szCs w:val="13"/>
                <w:color w:val="auto"/>
              </w:rPr>
            </w:pPr>
          </w:p>
        </w:tc>
        <w:tc>
          <w:tcPr>
            <w:tcW w:w="1020" w:type="dxa"/>
            <w:vAlign w:val="bottom"/>
          </w:tcPr>
          <w:p>
            <w:pPr>
              <w:jc w:val="right"/>
              <w:ind w:right="231"/>
              <w:spacing w:after="0"/>
              <w:rPr>
                <w:sz w:val="20"/>
                <w:szCs w:val="20"/>
                <w:color w:val="auto"/>
              </w:rPr>
            </w:pPr>
            <w:r>
              <w:rPr>
                <w:rFonts w:ascii="Arial" w:cs="Arial" w:eastAsia="Arial" w:hAnsi="Arial"/>
                <w:sz w:val="13"/>
                <w:szCs w:val="13"/>
                <w:b w:val="1"/>
                <w:bCs w:val="1"/>
                <w:color w:val="auto"/>
              </w:rPr>
              <w:t>Reported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Deferred tax assets, net</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150,105</w:t>
            </w: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43,768</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193,873</w:t>
            </w:r>
          </w:p>
        </w:tc>
        <w:tc>
          <w:tcPr>
            <w:tcW w:w="0" w:type="dxa"/>
            <w:vAlign w:val="bottom"/>
          </w:tcPr>
          <w:p>
            <w:pPr>
              <w:spacing w:after="0"/>
              <w:rPr>
                <w:sz w:val="1"/>
                <w:szCs w:val="1"/>
                <w:color w:val="auto"/>
              </w:rPr>
            </w:pPr>
          </w:p>
        </w:tc>
      </w:tr>
      <w:tr>
        <w:trPr>
          <w:trHeight w:val="162"/>
        </w:trPr>
        <w:tc>
          <w:tcPr>
            <w:tcW w:w="5000" w:type="dxa"/>
            <w:vAlign w:val="bottom"/>
            <w:gridSpan w:val="2"/>
          </w:tcPr>
          <w:p>
            <w:pPr>
              <w:ind w:left="20"/>
              <w:spacing w:after="0"/>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4,962,108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5,005,876</w:t>
            </w: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100,076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133,461</w:t>
            </w:r>
          </w:p>
        </w:tc>
        <w:tc>
          <w:tcPr>
            <w:tcW w:w="0" w:type="dxa"/>
            <w:vAlign w:val="bottom"/>
          </w:tcPr>
          <w:p>
            <w:pPr>
              <w:spacing w:after="0"/>
              <w:rPr>
                <w:sz w:val="1"/>
                <w:szCs w:val="1"/>
                <w:color w:val="auto"/>
              </w:rPr>
            </w:pPr>
          </w:p>
        </w:tc>
      </w:tr>
      <w:tr>
        <w:trPr>
          <w:trHeight w:val="162"/>
        </w:trPr>
        <w:tc>
          <w:tcPr>
            <w:tcW w:w="5000" w:type="dxa"/>
            <w:vAlign w:val="bottom"/>
            <w:gridSpan w:val="2"/>
          </w:tcPr>
          <w:p>
            <w:pPr>
              <w:ind w:left="20"/>
              <w:spacing w:after="0"/>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161,434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10,383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171,817</w:t>
            </w: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stockholders' equity attributable to Camping World Holdings, Inc.</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105,894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149,662</w:t>
            </w:r>
          </w:p>
        </w:tc>
        <w:tc>
          <w:tcPr>
            <w:tcW w:w="0" w:type="dxa"/>
            <w:vAlign w:val="bottom"/>
          </w:tcPr>
          <w:p>
            <w:pPr>
              <w:spacing w:after="0"/>
              <w:rPr>
                <w:sz w:val="1"/>
                <w:szCs w:val="1"/>
                <w:color w:val="auto"/>
              </w:rPr>
            </w:pPr>
          </w:p>
        </w:tc>
      </w:tr>
      <w:tr>
        <w:trPr>
          <w:trHeight w:val="162"/>
        </w:trPr>
        <w:tc>
          <w:tcPr>
            <w:tcW w:w="5000" w:type="dxa"/>
            <w:vAlign w:val="bottom"/>
            <w:gridSpan w:val="2"/>
          </w:tcPr>
          <w:p>
            <w:pPr>
              <w:ind w:left="20"/>
              <w:spacing w:after="0"/>
              <w:rPr>
                <w:sz w:val="20"/>
                <w:szCs w:val="20"/>
                <w:color w:val="auto"/>
              </w:rPr>
            </w:pPr>
            <w:r>
              <w:rPr>
                <w:rFonts w:ascii="Arial" w:cs="Arial" w:eastAsia="Arial" w:hAnsi="Arial"/>
                <w:sz w:val="14"/>
                <w:szCs w:val="14"/>
                <w:color w:val="auto"/>
              </w:rPr>
              <w:t>Total stockholders' equity</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166,637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210,405</w:t>
            </w:r>
          </w:p>
        </w:tc>
        <w:tc>
          <w:tcPr>
            <w:tcW w:w="0" w:type="dxa"/>
            <w:vAlign w:val="bottom"/>
          </w:tcPr>
          <w:p>
            <w:pPr>
              <w:spacing w:after="0"/>
              <w:rPr>
                <w:sz w:val="1"/>
                <w:szCs w:val="1"/>
                <w:color w:val="auto"/>
              </w:rPr>
            </w:pPr>
          </w:p>
        </w:tc>
      </w:tr>
      <w:tr>
        <w:trPr>
          <w:trHeight w:val="162"/>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4,962,108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43,768</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5,005,876</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the effect of the immaterial misstatements on the condensed consolidated statements of stockholders’ equity for the periods indicated: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2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20" w:type="dxa"/>
            <w:vAlign w:val="bottom"/>
            <w:gridSpan w:val="8"/>
          </w:tcPr>
          <w:p>
            <w:pPr>
              <w:ind w:left="320"/>
              <w:spacing w:after="0"/>
              <w:rPr>
                <w:sz w:val="20"/>
                <w:szCs w:val="20"/>
                <w:color w:val="auto"/>
              </w:rPr>
            </w:pPr>
            <w:r>
              <w:rPr>
                <w:rFonts w:ascii="Arial" w:cs="Arial" w:eastAsia="Arial" w:hAnsi="Arial"/>
                <w:sz w:val="11"/>
                <w:szCs w:val="11"/>
                <w:b w:val="1"/>
                <w:bCs w:val="1"/>
                <w:color w:val="auto"/>
              </w:rPr>
              <w:t>Additional Paid-In Capital</w:t>
            </w:r>
          </w:p>
        </w:tc>
        <w:tc>
          <w:tcPr>
            <w:tcW w:w="60" w:type="dxa"/>
            <w:vAlign w:val="bottom"/>
          </w:tcPr>
          <w:p>
            <w:pPr>
              <w:spacing w:after="0"/>
              <w:rPr>
                <w:sz w:val="11"/>
                <w:szCs w:val="11"/>
                <w:color w:val="auto"/>
              </w:rPr>
            </w:pPr>
          </w:p>
        </w:tc>
        <w:tc>
          <w:tcPr>
            <w:tcW w:w="1540" w:type="dxa"/>
            <w:vAlign w:val="bottom"/>
            <w:gridSpan w:val="6"/>
          </w:tcPr>
          <w:p>
            <w:pPr>
              <w:ind w:left="500"/>
              <w:spacing w:after="0"/>
              <w:rPr>
                <w:sz w:val="20"/>
                <w:szCs w:val="20"/>
                <w:color w:val="auto"/>
              </w:rPr>
            </w:pPr>
            <w:r>
              <w:rPr>
                <w:rFonts w:ascii="Arial" w:cs="Arial" w:eastAsia="Arial" w:hAnsi="Arial"/>
                <w:sz w:val="11"/>
                <w:szCs w:val="11"/>
                <w:b w:val="1"/>
                <w:bCs w:val="1"/>
                <w:color w:val="auto"/>
              </w:rPr>
              <w:t>Retained Earnings</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40" w:type="dxa"/>
            <w:vAlign w:val="bottom"/>
            <w:gridSpan w:val="7"/>
          </w:tcPr>
          <w:p>
            <w:pPr>
              <w:jc w:val="center"/>
              <w:ind w:right="6"/>
              <w:spacing w:after="0"/>
              <w:rPr>
                <w:sz w:val="20"/>
                <w:szCs w:val="20"/>
                <w:color w:val="auto"/>
              </w:rPr>
            </w:pPr>
            <w:r>
              <w:rPr>
                <w:rFonts w:ascii="Arial" w:cs="Arial" w:eastAsia="Arial" w:hAnsi="Arial"/>
                <w:sz w:val="11"/>
                <w:szCs w:val="11"/>
                <w:b w:val="1"/>
                <w:bCs w:val="1"/>
                <w:color w:val="auto"/>
                <w:w w:val="96"/>
              </w:rPr>
              <w:t>Total Stockholders' Equity</w:t>
            </w:r>
          </w:p>
        </w:tc>
      </w:tr>
      <w:tr>
        <w:trPr>
          <w:trHeight w:val="102"/>
        </w:trPr>
        <w:tc>
          <w:tcPr>
            <w:tcW w:w="2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9"/>
              </w:rPr>
              <w:t>As</w:t>
            </w:r>
          </w:p>
        </w:tc>
        <w:tc>
          <w:tcPr>
            <w:tcW w:w="1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9"/>
              </w:rPr>
              <w:t>As</w:t>
            </w:r>
          </w:p>
        </w:tc>
        <w:tc>
          <w:tcPr>
            <w:tcW w:w="1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9"/>
              </w:rPr>
              <w:t>As</w:t>
            </w:r>
          </w:p>
        </w:tc>
        <w:tc>
          <w:tcPr>
            <w:tcW w:w="1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r>
      <w:tr>
        <w:trPr>
          <w:trHeight w:val="122"/>
        </w:trPr>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Previously</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Previously</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6"/>
              </w:rPr>
              <w:t>Previously</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4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Adjustment</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As Revised</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Adjustment</w:t>
            </w: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As Revised</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Reported</w:t>
            </w:r>
          </w:p>
        </w:tc>
        <w:tc>
          <w:tcPr>
            <w:tcW w:w="7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5"/>
              </w:rPr>
              <w:t>Adjustment</w:t>
            </w:r>
          </w:p>
        </w:tc>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As Revised</w:t>
            </w:r>
          </w:p>
        </w:tc>
      </w:tr>
      <w:tr>
        <w:trPr>
          <w:trHeight w:val="115"/>
        </w:trPr>
        <w:tc>
          <w:tcPr>
            <w:tcW w:w="226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January 1, 2024</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98,280</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33,385</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131,665</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185,244</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10,383</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195,627</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214,207</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43,768</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257,975</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2,751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2,751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5,197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5,197</w:t>
            </w:r>
          </w:p>
        </w:tc>
      </w:tr>
      <w:tr>
        <w:trPr>
          <w:trHeight w:val="121"/>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Exercise of stock options</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(30)</w:t>
            </w:r>
          </w:p>
        </w:tc>
        <w:tc>
          <w:tcPr>
            <w:tcW w:w="1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(30)</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08"/>
        </w:trPr>
        <w:tc>
          <w:tcPr>
            <w:tcW w:w="2420" w:type="dxa"/>
            <w:vAlign w:val="bottom"/>
            <w:gridSpan w:val="2"/>
          </w:tcPr>
          <w:p>
            <w:pPr>
              <w:ind w:left="120"/>
              <w:spacing w:after="0" w:line="109" w:lineRule="exact"/>
              <w:rPr>
                <w:sz w:val="20"/>
                <w:szCs w:val="20"/>
                <w:color w:val="auto"/>
              </w:rPr>
            </w:pPr>
            <w:r>
              <w:rPr>
                <w:rFonts w:ascii="Arial" w:cs="Arial" w:eastAsia="Arial" w:hAnsi="Arial"/>
                <w:sz w:val="11"/>
                <w:szCs w:val="11"/>
                <w:color w:val="auto"/>
              </w:rPr>
              <w:t>Non-controlling   interest   adjustment   for</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capital contribution of proceeds from the</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exercise of stock options</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(22)</w:t>
            </w:r>
          </w:p>
        </w:tc>
        <w:tc>
          <w:tcPr>
            <w:tcW w:w="16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Vesting of restricted stock units</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(2,234)</w:t>
            </w:r>
          </w:p>
        </w:tc>
        <w:tc>
          <w:tcPr>
            <w:tcW w:w="1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(2,234)</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420" w:type="dxa"/>
            <w:vAlign w:val="bottom"/>
            <w:gridSpan w:val="2"/>
          </w:tcPr>
          <w:p>
            <w:pPr>
              <w:ind w:left="120"/>
              <w:spacing w:after="0" w:line="109" w:lineRule="exact"/>
              <w:rPr>
                <w:sz w:val="20"/>
                <w:szCs w:val="20"/>
                <w:color w:val="auto"/>
              </w:rPr>
            </w:pPr>
            <w:r>
              <w:rPr>
                <w:rFonts w:ascii="Arial" w:cs="Arial" w:eastAsia="Arial" w:hAnsi="Arial"/>
                <w:sz w:val="11"/>
                <w:szCs w:val="11"/>
                <w:color w:val="auto"/>
              </w:rPr>
              <w:t>Repurchases of Class A common stock for</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withholding taxes on vested RSUs</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(658)</w:t>
            </w: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(658)</w:t>
            </w:r>
          </w:p>
        </w:tc>
      </w:tr>
      <w:tr>
        <w:trPr>
          <w:trHeight w:val="108"/>
        </w:trPr>
        <w:tc>
          <w:tcPr>
            <w:tcW w:w="2420" w:type="dxa"/>
            <w:vAlign w:val="bottom"/>
            <w:gridSpan w:val="2"/>
            <w:shd w:val="clear" w:color="auto" w:fill="CCEEFF"/>
          </w:tcPr>
          <w:p>
            <w:pPr>
              <w:ind w:left="120"/>
              <w:spacing w:after="0" w:line="109" w:lineRule="exact"/>
              <w:rPr>
                <w:sz w:val="20"/>
                <w:szCs w:val="20"/>
                <w:color w:val="auto"/>
              </w:rPr>
            </w:pPr>
            <w:r>
              <w:rPr>
                <w:rFonts w:ascii="Arial" w:cs="Arial" w:eastAsia="Arial" w:hAnsi="Arial"/>
                <w:sz w:val="11"/>
                <w:szCs w:val="11"/>
                <w:color w:val="auto"/>
              </w:rPr>
              <w:t>Distributions  to  holders  of  LLC  common</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35"/>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units</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(9,947)</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(9,947)</w:t>
            </w:r>
          </w:p>
        </w:tc>
      </w:tr>
      <w:tr>
        <w:trPr>
          <w:trHeight w:val="121"/>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Dividends</w:t>
            </w:r>
          </w:p>
        </w:tc>
        <w:tc>
          <w:tcPr>
            <w:tcW w:w="6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(5,634)</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(5,634)</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(5,634)</w:t>
            </w:r>
          </w:p>
        </w:tc>
        <w:tc>
          <w:tcPr>
            <w:tcW w:w="18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r>
      <w:tr>
        <w:trPr>
          <w:trHeight w:val="122"/>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Non-controlling interest adjustment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(126)</w:t>
            </w:r>
          </w:p>
        </w:tc>
        <w:tc>
          <w:tcPr>
            <w:tcW w:w="1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(126)</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(22,307)</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(22,307)</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(50,806)</w:t>
            </w:r>
          </w:p>
        </w:tc>
        <w:tc>
          <w:tcPr>
            <w:tcW w:w="18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(50,806)</w:t>
            </w:r>
          </w:p>
        </w:tc>
      </w:tr>
      <w:tr>
        <w:trPr>
          <w:trHeight w:val="115"/>
        </w:trPr>
        <w:tc>
          <w:tcPr>
            <w:tcW w:w="242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March 31, 2024</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98,828</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33,385</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132,213</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157,303</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10,383</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167,686</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152,410</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43,768</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196,178</w:t>
            </w:r>
          </w:p>
        </w:tc>
      </w:tr>
      <w:tr>
        <w:trPr>
          <w:trHeight w:val="122"/>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Stock-based compensation</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2,858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2,858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5,397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5,397</w:t>
            </w:r>
          </w:p>
        </w:tc>
      </w:tr>
      <w:tr>
        <w:trPr>
          <w:trHeight w:val="121"/>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Vesting of restricted stock units</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(1,599)</w:t>
            </w:r>
          </w:p>
        </w:tc>
        <w:tc>
          <w:tcPr>
            <w:tcW w:w="1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(1,599)</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420" w:type="dxa"/>
            <w:vAlign w:val="bottom"/>
            <w:gridSpan w:val="2"/>
          </w:tcPr>
          <w:p>
            <w:pPr>
              <w:ind w:left="120"/>
              <w:spacing w:after="0" w:line="109" w:lineRule="exact"/>
              <w:rPr>
                <w:sz w:val="20"/>
                <w:szCs w:val="20"/>
                <w:color w:val="auto"/>
              </w:rPr>
            </w:pPr>
            <w:r>
              <w:rPr>
                <w:rFonts w:ascii="Arial" w:cs="Arial" w:eastAsia="Arial" w:hAnsi="Arial"/>
                <w:sz w:val="11"/>
                <w:szCs w:val="11"/>
                <w:color w:val="auto"/>
              </w:rPr>
              <w:t>Repurchases of Class A common stock for</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35"/>
        </w:trPr>
        <w:tc>
          <w:tcPr>
            <w:tcW w:w="2420" w:type="dxa"/>
            <w:vAlign w:val="bottom"/>
            <w:gridSpan w:val="2"/>
          </w:tcPr>
          <w:p>
            <w:pPr>
              <w:ind w:left="120"/>
              <w:spacing w:after="0"/>
              <w:rPr>
                <w:sz w:val="20"/>
                <w:szCs w:val="20"/>
                <w:color w:val="auto"/>
              </w:rPr>
            </w:pPr>
            <w:r>
              <w:rPr>
                <w:rFonts w:ascii="Arial" w:cs="Arial" w:eastAsia="Arial" w:hAnsi="Arial"/>
                <w:sz w:val="11"/>
                <w:szCs w:val="11"/>
                <w:color w:val="auto"/>
              </w:rPr>
              <w:t>withholding taxes on vested RSUs</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(96)</w:t>
            </w: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(96)</w:t>
            </w:r>
          </w:p>
        </w:tc>
      </w:tr>
      <w:tr>
        <w:trPr>
          <w:trHeight w:val="108"/>
        </w:trPr>
        <w:tc>
          <w:tcPr>
            <w:tcW w:w="2420" w:type="dxa"/>
            <w:vAlign w:val="bottom"/>
            <w:gridSpan w:val="2"/>
            <w:shd w:val="clear" w:color="auto" w:fill="CCEEFF"/>
          </w:tcPr>
          <w:p>
            <w:pPr>
              <w:ind w:left="120"/>
              <w:spacing w:after="0" w:line="109" w:lineRule="exact"/>
              <w:rPr>
                <w:sz w:val="20"/>
                <w:szCs w:val="20"/>
                <w:color w:val="auto"/>
              </w:rPr>
            </w:pPr>
            <w:r>
              <w:rPr>
                <w:rFonts w:ascii="Arial" w:cs="Arial" w:eastAsia="Arial" w:hAnsi="Arial"/>
                <w:sz w:val="11"/>
                <w:szCs w:val="11"/>
                <w:color w:val="auto"/>
              </w:rPr>
              <w:t>Distributions  to  holders  of  LLC  common</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r>
      <w:tr>
        <w:trPr>
          <w:trHeight w:val="135"/>
        </w:trPr>
        <w:tc>
          <w:tcPr>
            <w:tcW w:w="24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units</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(8,848)</w:t>
            </w: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(8,848)</w:t>
            </w:r>
          </w:p>
        </w:tc>
      </w:tr>
      <w:tr>
        <w:trPr>
          <w:trHeight w:val="121"/>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Dividends</w:t>
            </w:r>
          </w:p>
        </w:tc>
        <w:tc>
          <w:tcPr>
            <w:tcW w:w="6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(5,640)</w:t>
            </w: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(5,640)</w:t>
            </w:r>
          </w:p>
        </w:tc>
        <w:tc>
          <w:tcPr>
            <w:tcW w:w="6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(5,640)</w:t>
            </w:r>
          </w:p>
        </w:tc>
        <w:tc>
          <w:tcPr>
            <w:tcW w:w="18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(5,640)</w:t>
            </w:r>
          </w:p>
        </w:tc>
      </w:tr>
      <w:tr>
        <w:trPr>
          <w:trHeight w:val="122"/>
        </w:trPr>
        <w:tc>
          <w:tcPr>
            <w:tcW w:w="2420" w:type="dxa"/>
            <w:vAlign w:val="bottom"/>
            <w:gridSpan w:val="2"/>
            <w:shd w:val="clear" w:color="auto" w:fill="CCEEFF"/>
          </w:tcPr>
          <w:p>
            <w:pPr>
              <w:ind w:left="120"/>
              <w:spacing w:after="0" w:line="122" w:lineRule="exact"/>
              <w:rPr>
                <w:sz w:val="20"/>
                <w:szCs w:val="20"/>
                <w:color w:val="auto"/>
              </w:rPr>
            </w:pPr>
            <w:r>
              <w:rPr>
                <w:rFonts w:ascii="Arial" w:cs="Arial" w:eastAsia="Arial" w:hAnsi="Arial"/>
                <w:sz w:val="11"/>
                <w:szCs w:val="11"/>
                <w:color w:val="auto"/>
              </w:rPr>
              <w:t>Non-controlling interest adjustment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(71)</w:t>
            </w:r>
          </w:p>
        </w:tc>
        <w:tc>
          <w:tcPr>
            <w:tcW w:w="1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(71)</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42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Net income</w:t>
            </w:r>
          </w:p>
        </w:tc>
        <w:tc>
          <w:tcPr>
            <w:tcW w:w="60" w:type="dxa"/>
            <w:vAlign w:val="bottom"/>
          </w:tcPr>
          <w:p>
            <w:pPr>
              <w:spacing w:after="0"/>
              <w:rPr>
                <w:sz w:val="10"/>
                <w:szCs w:val="10"/>
                <w:color w:val="auto"/>
              </w:rPr>
            </w:pPr>
          </w:p>
        </w:tc>
        <w:tc>
          <w:tcPr>
            <w:tcW w:w="6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9,771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9,771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23,414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23,414</w:t>
            </w:r>
          </w:p>
        </w:tc>
      </w:tr>
      <w:tr>
        <w:trPr>
          <w:trHeight w:val="115"/>
        </w:trPr>
        <w:tc>
          <w:tcPr>
            <w:tcW w:w="2420" w:type="dxa"/>
            <w:vAlign w:val="bottom"/>
            <w:tcBorders>
              <w:top w:val="single" w:sz="8" w:color="CCEEFF"/>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June 30, 2024</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100,076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33,385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133,461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161,434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10,383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171,817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166,637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46"/>
              <w:spacing w:after="0" w:line="115" w:lineRule="exact"/>
              <w:rPr>
                <w:sz w:val="20"/>
                <w:szCs w:val="20"/>
                <w:color w:val="auto"/>
              </w:rPr>
            </w:pPr>
            <w:r>
              <w:rPr>
                <w:rFonts w:ascii="Arial" w:cs="Arial" w:eastAsia="Arial" w:hAnsi="Arial"/>
                <w:sz w:val="11"/>
                <w:szCs w:val="11"/>
                <w:color w:val="auto"/>
                <w:w w:val="97"/>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43,768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210,405</w:t>
            </w:r>
          </w:p>
        </w:tc>
      </w:tr>
      <w:tr>
        <w:trPr>
          <w:trHeight w:val="20"/>
        </w:trPr>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has experienced, and expects to continue to experience, variability in revenue, net income, and cash flows as a result of annual seasonality in its business.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spacing w:after="0" w:line="6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generates a disproportionately higher amount of its annual revenue in its second and third fiscal quarters, which include the spring and summer months. The Company incurs additional expenses in the second and third fiscal quarters due to higher sale volumes, increased staffing in its store locations and program costs. If, for any reason, the Company miscalculates the demand for its products or its product mix during the second and third fiscal quarters, its sales in these quarters could decline, resulting in higher labor costs as a percentage of gross profit, lower margins and excess inventory, which could cause the Company’s annual results of operations to suffer and its stock price to decline.</w:t>
      </w:r>
    </w:p>
    <w:p>
      <w:pPr>
        <w:spacing w:after="0" w:line="7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Additionally, selling, general, and administrative (“SG&amp;A”) expenses as a percentage of gross profit tend to be higher in the first and fourth quarters due to the seasonality of the Company’s business.</w:t>
      </w:r>
    </w:p>
    <w:p>
      <w:pPr>
        <w:spacing w:after="0" w:line="4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Due to the Company’s seasonality, the possible adverse impact from other risks associated with its business, including atypical weather, consumer spending levels, changes in the costs of the Company’s products including the impact of tariffs, and general business conditions, is potentially greater if any such risks occur during the Company’s peak sales seasons.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2023-09, Income Taxes (Topic 740): Improvements to Income Tax Disclosures. This ASU requires that public business entities on an annual basis disclose (1) consistent categories and greater disaggregation of information in the rate reconciliation, and (2) income taxes paid disaggregated by jurisdiction. The standard is effective for annual periods beginning after December 15, 2024, with early adoption permitted. The Company adopted the provisions of this ASU as of January 1, 2025, with respect to the annual disclosures beginning with the year ending December 31, 2025, including the presentation of the comparable prior periods. The adoption of this ASU will result in additional annual income tax disclosures and does not otherwise have a material impact on the Company’s condensed consolidated financial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This ASU requires that at each interim and annual reporting period entities present a new tabular disclosure in the notes to the financial statements, presenting disaggregation of the amounts of purchases of inventory, employee compensation, depreciation, intangible asset amortization and depletion. Furthermore, the ASU requires entities to include certain amounts that are already required to be disclosed under GAAP in the same disclosure as other disaggregation requirements and disclose a qualitative description of the amounts remaining in relevant expense captions that are not separately disaggregated quantitatively. Additionally, entities are required to disclose the total amount of selling expenses and, in annual reporting period, an entity’s definition of selling expenses. The standard is effective for fiscal years beginning after December 15, 2026 and interim periods within fiscal years beginning after December 15, 2027, with early adoption permitted. The Company is currently evaluating the impact that the adoption of the provisions of the ASU will have on its condensed consolidated financial statements.</w:t>
      </w:r>
    </w:p>
    <w:p>
      <w:pPr>
        <w:spacing w:after="0" w:line="194" w:lineRule="exact"/>
        <w:rPr>
          <w:sz w:val="20"/>
          <w:szCs w:val="20"/>
          <w:color w:val="auto"/>
        </w:rPr>
      </w:pPr>
    </w:p>
    <w:p>
      <w:pPr>
        <w:ind w:left="60" w:right="7579" w:hanging="10"/>
        <w:spacing w:after="0" w:line="513" w:lineRule="auto"/>
        <w:tabs>
          <w:tab w:leader="none" w:pos="2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Revenue Contract Assets</w:t>
      </w:r>
    </w:p>
    <w:p>
      <w:pPr>
        <w:spacing w:after="0" w:line="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June 30, 2025, December 31, 2024, and June 30, 2024 contract assets of $9.9 million, $10.0 million and $13.0 million, respectively, relating to RV service revenues, were included in accounts receivable in the accompanying condensed consolidated balance sheets.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records deferred revenues when cash payments are received or due in advance of the Company’s performance, net of estimated refunds that are presented separately as a component of accrued liabilities. For the six months ended June 30, 2025, the Company estimates approximately $ 55.6 million of revenues recognized were included in the deferred revenue balance at the beginning of the period. These estimates consider factors including, but not limited to, average service term, cash received for the period, cancellations, contract extensions, and upgrades.</w:t>
      </w:r>
    </w:p>
    <w:p>
      <w:pPr>
        <w:spacing w:after="0" w:line="16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June 30, 2025, the Company had unsatisfied performance obligations primarily relating to plans for its roadside assistance, Good Sam Club memberships, Good Sam Club loyalty program, Coast to Coast memberships, the annual campground guide, and magazine publication revenue streams. The total unsatisfied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performance obligations for these revenue streams at June 30, 2025 and the periods during which the</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expects to recognize the amounts as revenue are presented as follows (in thousands):</w:t>
      </w:r>
    </w:p>
    <w:p>
      <w:pPr>
        <w:spacing w:after="0" w:line="2"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474"/>
              <w:spacing w:after="0"/>
              <w:rPr>
                <w:sz w:val="20"/>
                <w:szCs w:val="20"/>
                <w:color w:val="auto"/>
              </w:rPr>
            </w:pPr>
            <w:r>
              <w:rPr>
                <w:rFonts w:ascii="Arial" w:cs="Arial" w:eastAsia="Arial" w:hAnsi="Arial"/>
                <w:sz w:val="14"/>
                <w:szCs w:val="14"/>
                <w:b w:val="1"/>
                <w:bCs w:val="1"/>
                <w:color w:val="auto"/>
              </w:rPr>
              <w:t>As of</w:t>
            </w:r>
          </w:p>
        </w:tc>
      </w:tr>
      <w:tr>
        <w:trPr>
          <w:trHeight w:val="171"/>
        </w:trPr>
        <w:tc>
          <w:tcPr>
            <w:tcW w:w="6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June 30, 2025</w:t>
            </w: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57,670</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54,704</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23,311</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11,520</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2029</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6,200</w:t>
            </w:r>
          </w:p>
        </w:tc>
      </w:tr>
      <w:tr>
        <w:trPr>
          <w:trHeight w:val="203"/>
        </w:trPr>
        <w:tc>
          <w:tcPr>
            <w:tcW w:w="6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3,973</w:t>
            </w:r>
          </w:p>
        </w:tc>
      </w:tr>
      <w:tr>
        <w:trPr>
          <w:trHeight w:val="196"/>
        </w:trPr>
        <w:tc>
          <w:tcPr>
            <w:tcW w:w="60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157,378</w:t>
            </w:r>
          </w:p>
        </w:tc>
      </w:tr>
      <w:tr>
        <w:trPr>
          <w:trHeight w:val="20"/>
        </w:trPr>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Inventories and Floor Plan Payables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7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r>
      <w:tr>
        <w:trPr>
          <w:trHeight w:val="196"/>
        </w:trPr>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 Sam services and plans</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333</w:t>
            </w: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New RVs</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1,330,965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1,241,533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1,477,510</w:t>
            </w: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Used RVs</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536,665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413,546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349,843</w:t>
            </w:r>
          </w:p>
        </w:tc>
      </w:tr>
      <w:tr>
        <w:trPr>
          <w:trHeight w:val="203"/>
        </w:trPr>
        <w:tc>
          <w:tcPr>
            <w:tcW w:w="37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Products, parts, accessories and other</w:t>
            </w:r>
          </w:p>
        </w:tc>
        <w:tc>
          <w:tcPr>
            <w:tcW w:w="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193,232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166,495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186,758</w:t>
            </w:r>
          </w:p>
        </w:tc>
      </w:tr>
      <w:tr>
        <w:trPr>
          <w:trHeight w:val="196"/>
        </w:trPr>
        <w:tc>
          <w:tcPr>
            <w:tcW w:w="37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2,061,160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1,821,837</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2,014,444</w:t>
            </w:r>
          </w:p>
        </w:tc>
      </w:tr>
      <w:tr>
        <w:trPr>
          <w:trHeight w:val="20"/>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Substantially all of the Company’s new RV inventory and certain of its used RV inventory, included in the RV and Outdoor Retail segment, is financed by a floor plan credit agreement (“Floor Plan Facility”) with a syndication of banks (“Floor Plan Lenders”).</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February 2025, FreedomRoads, LLC entered into an amendment to the Floor Plan Facility, which (a) increased the commitment for floor plan borrowings by $ 300.0 million to $ 2.15 billion, (b) increased the commitment for the letter of credit facility by $ 15.0 million to $45.0 million, and (c) extended the maturity date from September 30, 2026 to the earlier of, if applicable, (i) February 18, 2030 or (ii) March 5, 2028, if the Company’s Term Loan Facility (as defined and discussed in Note 7 — Long-Term Debt) has not been repaid, refinanced, or defeased and the maturity has not been extended by at least 180 days after February 18, 2030.</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June 30, 2025, December 31, 2024, and June 30, 2024, the applicable interest rate for the floor plan notes payable under the Floor Plan Facility was 6.49%, 6.72%, and 7.87%, respectively.</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outstanding balance of the revolving line of credit under the Floor Plan Facility was paid off in November 2024 and there was no balance outstanding as of June 30, 2025 and December 31, 2024. As of June 30, 2024, the applicable interest rate for revolving line of credit borrowings under the Floor Plan Facility was 7.62%. Additionally, under the Floor Plan Facility, the revolving line of credit borrowings are subject to a borrowing base calculation, which did not limit the borrowing capacity at June 30, 2025, December 31, 2024, and June 30, 2024.</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Management has determined that the credit agreement governing the Floor Plan Facility includes subjective acceleration clauses, which could impact debt classification. Management believes that no events have occurred at June 30, 2025 that would trigger a subjective acceleration clause. Additionally, the credit agreement governing the Floor Plan Facility contains certain financial covenants. FreedomRoads, LLC was in compliance with all financial debt covenants at June 30, 2025, December 31, 2024, and June 30, 2024.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Floor Plan Facility as of June 30, 2025 and December 31, 2024, and June 30, 2024 (in thousands):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5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Floor Plan Facility</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Notes payable - floor plan: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c>
          <w:tcPr>
            <w:tcW w:w="2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Less: borrowings, net of FLAIR offset account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(1,280,102)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(1,161,713)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(1,296,352)</w:t>
            </w: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6"/>
                <w:szCs w:val="16"/>
                <w:color w:val="auto"/>
              </w:rPr>
              <w:t>Less: FLAIR offset account</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(79,472)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(199,522)</w:t>
            </w:r>
          </w:p>
        </w:tc>
      </w:tr>
      <w:tr>
        <w:trPr>
          <w:trHeight w:val="196"/>
        </w:trPr>
        <w:tc>
          <w:tcPr>
            <w:tcW w:w="4580" w:type="dxa"/>
            <w:vAlign w:val="bottom"/>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869,859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608,815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354,126</w:t>
            </w:r>
          </w:p>
        </w:tc>
      </w:tr>
      <w:tr>
        <w:trPr>
          <w:trHeight w:val="203"/>
        </w:trPr>
        <w:tc>
          <w:tcPr>
            <w:tcW w:w="4580" w:type="dxa"/>
            <w:vAlign w:val="bottom"/>
            <w:shd w:val="clear" w:color="auto" w:fill="CCEEFF"/>
          </w:tcPr>
          <w:p>
            <w:pPr>
              <w:ind w:left="420"/>
              <w:spacing w:after="0" w:line="202" w:lineRule="exact"/>
              <w:rPr>
                <w:sz w:val="20"/>
                <w:szCs w:val="20"/>
                <w:color w:val="auto"/>
              </w:rPr>
            </w:pPr>
            <w:r>
              <w:rPr>
                <w:rFonts w:ascii="Arial" w:cs="Arial" w:eastAsia="Arial" w:hAnsi="Arial"/>
                <w:sz w:val="16"/>
                <w:szCs w:val="16"/>
                <w:color w:val="auto"/>
              </w:rPr>
              <w:t>Less: short-term payable for sold inventory</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(82,871)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(33,152)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(97,209)</w:t>
            </w:r>
          </w:p>
        </w:tc>
      </w:tr>
      <w:tr>
        <w:trPr>
          <w:trHeight w:val="202"/>
        </w:trPr>
        <w:tc>
          <w:tcPr>
            <w:tcW w:w="4580" w:type="dxa"/>
            <w:vAlign w:val="bottom"/>
            <w:tcBorders>
              <w:bottom w:val="single" w:sz="8" w:color="CCEEFF"/>
            </w:tcBorders>
          </w:tcPr>
          <w:p>
            <w:pPr>
              <w:ind w:left="420"/>
              <w:spacing w:after="0" w:line="202" w:lineRule="exact"/>
              <w:rPr>
                <w:sz w:val="20"/>
                <w:szCs w:val="20"/>
                <w:color w:val="auto"/>
              </w:rPr>
            </w:pPr>
            <w:r>
              <w:rPr>
                <w:rFonts w:ascii="Arial" w:cs="Arial" w:eastAsia="Arial" w:hAnsi="Arial"/>
                <w:sz w:val="16"/>
                <w:szCs w:val="16"/>
                <w:color w:val="auto"/>
              </w:rPr>
              <w:t>Less: purchase commitments</w:t>
            </w:r>
            <w:r>
              <w:rPr>
                <w:rFonts w:ascii="Arial" w:cs="Arial" w:eastAsia="Arial" w:hAnsi="Arial"/>
                <w:sz w:val="23"/>
                <w:szCs w:val="23"/>
                <w:color w:val="auto"/>
                <w:vertAlign w:val="superscript"/>
              </w:rPr>
              <w:t>(3)</w:t>
            </w:r>
          </w:p>
        </w:tc>
        <w:tc>
          <w:tcPr>
            <w:tcW w:w="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(26,884)</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(9,340)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(31,382)</w:t>
            </w:r>
          </w:p>
        </w:tc>
      </w:tr>
      <w:tr>
        <w:trPr>
          <w:trHeight w:val="196"/>
        </w:trPr>
        <w:tc>
          <w:tcPr>
            <w:tcW w:w="458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Unencumbered borrowing capacity</w:t>
            </w: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760,104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566,323</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225,535</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line of credit: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Less: borrowings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(31,885)</w:t>
            </w:r>
          </w:p>
        </w:tc>
      </w:tr>
      <w:tr>
        <w:trPr>
          <w:trHeight w:val="196"/>
        </w:trPr>
        <w:tc>
          <w:tcPr>
            <w:tcW w:w="4580" w:type="dxa"/>
            <w:vAlign w:val="bottom"/>
            <w:tcBorders>
              <w:top w:val="single" w:sz="8" w:color="CCEEFF"/>
              <w:bottom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38,115</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Letters of credit: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45,000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Less: outstanding letters of credit</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(14,300)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(12,300)</w:t>
            </w:r>
          </w:p>
        </w:tc>
      </w:tr>
      <w:tr>
        <w:trPr>
          <w:trHeight w:val="196"/>
        </w:trPr>
        <w:tc>
          <w:tcPr>
            <w:tcW w:w="4580" w:type="dxa"/>
            <w:vAlign w:val="bottom"/>
          </w:tcPr>
          <w:p>
            <w:pPr>
              <w:ind w:left="420"/>
              <w:spacing w:after="0" w:line="196" w:lineRule="exact"/>
              <w:rPr>
                <w:sz w:val="20"/>
                <w:szCs w:val="20"/>
                <w:color w:val="auto"/>
              </w:rPr>
            </w:pPr>
            <w:r>
              <w:rPr>
                <w:rFonts w:ascii="Arial" w:cs="Arial" w:eastAsia="Arial" w:hAnsi="Arial"/>
                <w:sz w:val="18"/>
                <w:szCs w:val="18"/>
                <w:color w:val="auto"/>
              </w:rPr>
              <w:t>Additional letters of credit capacity</w:t>
            </w:r>
          </w:p>
        </w:tc>
        <w:tc>
          <w:tcPr>
            <w:tcW w:w="6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30,700</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15,700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17,700</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380" w:right="79" w:hanging="330"/>
        <w:spacing w:after="0" w:line="263"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Flooring line aggregate interest reduction (“FLAIR”) offset account that allows the Company to transfer cash to the Floor Plan Lenders as an offset to the payables under the Floor Plan Facility. The FLAIR offset account does not reduce the outstanding amount of loans under the Floor Plan Facility for purposes of determining the unencumbered borrowing capacity under the Floor Plan Facility.</w:t>
      </w:r>
    </w:p>
    <w:p>
      <w:pPr>
        <w:spacing w:after="0" w:line="10" w:lineRule="exact"/>
        <w:rPr>
          <w:rFonts w:ascii="Arial" w:cs="Arial" w:eastAsia="Arial" w:hAnsi="Arial"/>
          <w:sz w:val="13"/>
          <w:szCs w:val="13"/>
          <w:color w:val="auto"/>
        </w:rPr>
      </w:pPr>
    </w:p>
    <w:p>
      <w:pPr>
        <w:jc w:val="both"/>
        <w:ind w:left="380" w:right="79" w:hanging="330"/>
        <w:spacing w:after="0" w:line="262"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The short-term payable represents the amount due for sold inventory. A payment for any floor plan units sold is due within three to ten business days of sale. Due to the short-term nature of these payables, the Company reclassifies the amounts from notes payable‒floor plan, net to accounts payable in the condensed consolidated balance sheets. Changes in the vehicle floor plan payable are reported as cash flows from financing activities in the condensed consolidated statements of cash flows.</w:t>
      </w:r>
    </w:p>
    <w:p>
      <w:pPr>
        <w:spacing w:after="0" w:line="12" w:lineRule="exact"/>
        <w:rPr>
          <w:rFonts w:ascii="Arial" w:cs="Arial" w:eastAsia="Arial" w:hAnsi="Arial"/>
          <w:sz w:val="13"/>
          <w:szCs w:val="13"/>
          <w:color w:val="auto"/>
        </w:rPr>
      </w:pPr>
    </w:p>
    <w:p>
      <w:pPr>
        <w:ind w:left="380" w:right="79" w:hanging="330"/>
        <w:spacing w:after="0" w:line="285"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Purchase commitments represent vehicles approved for floor plan financing where the inventory has not yet been received by the Company from the supplier and no floor plan borrowing is outstanding.</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Long-Lived Asset Impairment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During the six months ended June 30, 2025 and the three and six months ended June 30, 2024, the Company had indicators of impairment of the long-lived assets for certain locations. Such indicators primarily included decreases in market rental rates or decreases in the market value of real property for closed locations, and the Company’s review of location performance in the normal course of business. As a result of updating certain assumptions in the long-lived asset impairment analysis for these locations, the Company determined that the fair value of certain long-lived assets was below their carrying value and were impaired.</w:t>
      </w:r>
    </w:p>
    <w:p>
      <w:pPr>
        <w:spacing w:after="0" w:line="71"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long-lived asset impairment charges by type of long-lived asset, all of which relate to the RV and Outdoor Retail segment (in thousands):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75"/>
              <w:spacing w:after="0"/>
              <w:rPr>
                <w:sz w:val="20"/>
                <w:szCs w:val="20"/>
                <w:color w:val="auto"/>
              </w:rPr>
            </w:pPr>
            <w:r>
              <w:rPr>
                <w:rFonts w:ascii="Arial" w:cs="Arial" w:eastAsia="Arial" w:hAnsi="Arial"/>
                <w:sz w:val="13"/>
                <w:szCs w:val="13"/>
                <w:b w:val="1"/>
                <w:bCs w:val="1"/>
                <w:color w:val="auto"/>
              </w:rPr>
              <w:t>Three Months Ended June 30,</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3"/>
                <w:szCs w:val="13"/>
                <w:b w:val="1"/>
                <w:bCs w:val="1"/>
                <w:color w:val="auto"/>
                <w:w w:val="99"/>
              </w:rPr>
              <w:t>Six Months Ended June 30,</w:t>
            </w:r>
          </w:p>
        </w:tc>
      </w:tr>
      <w:tr>
        <w:trPr>
          <w:trHeight w:val="142"/>
        </w:trPr>
        <w:tc>
          <w:tcPr>
            <w:tcW w:w="4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2025</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3"/>
                <w:szCs w:val="13"/>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3"/>
                <w:szCs w:val="13"/>
                <w:b w:val="1"/>
                <w:bCs w:val="1"/>
                <w:color w:val="auto"/>
              </w:rPr>
              <w:t>2024</w:t>
            </w:r>
          </w:p>
        </w:tc>
      </w:tr>
      <w:tr>
        <w:trPr>
          <w:trHeight w:val="155"/>
        </w:trPr>
        <w:tc>
          <w:tcPr>
            <w:tcW w:w="43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Long-lived asset impairment charges by type of long-lived</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03"/>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asset:</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380" w:type="dxa"/>
            <w:vAlign w:val="bottom"/>
          </w:tcPr>
          <w:p>
            <w:pPr>
              <w:ind w:left="120"/>
              <w:spacing w:after="0"/>
              <w:rPr>
                <w:sz w:val="20"/>
                <w:szCs w:val="20"/>
                <w:color w:val="auto"/>
              </w:rPr>
            </w:pPr>
            <w:r>
              <w:rPr>
                <w:rFonts w:ascii="Arial" w:cs="Arial" w:eastAsia="Arial" w:hAnsi="Arial"/>
                <w:sz w:val="16"/>
                <w:szCs w:val="16"/>
                <w:color w:val="auto"/>
              </w:rPr>
              <w:t>Leasehold improvements</w:t>
            </w:r>
          </w:p>
        </w:tc>
        <w:tc>
          <w:tcPr>
            <w:tcW w:w="74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1,195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3,480</w:t>
            </w:r>
          </w:p>
        </w:tc>
      </w:tr>
      <w:tr>
        <w:trPr>
          <w:trHeight w:val="203"/>
        </w:trPr>
        <w:tc>
          <w:tcPr>
            <w:tcW w:w="4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right of use assets</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4,327</w:t>
            </w:r>
          </w:p>
        </w:tc>
      </w:tr>
      <w:tr>
        <w:trPr>
          <w:trHeight w:val="203"/>
        </w:trPr>
        <w:tc>
          <w:tcPr>
            <w:tcW w:w="4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Building and improvements</w:t>
            </w:r>
          </w:p>
        </w:tc>
        <w:tc>
          <w:tcPr>
            <w:tcW w:w="6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2,604</w:t>
            </w:r>
          </w:p>
        </w:tc>
      </w:tr>
      <w:tr>
        <w:trPr>
          <w:trHeight w:val="196"/>
        </w:trPr>
        <w:tc>
          <w:tcPr>
            <w:tcW w:w="4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long-lived asset impairment charges</w:t>
            </w: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08"/>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4,584</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10,411</w:t>
            </w:r>
          </w:p>
        </w:tc>
      </w:tr>
      <w:tr>
        <w:trPr>
          <w:trHeight w:val="20"/>
        </w:trPr>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Assets Held for Sale and Business Divestitures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June 30, 2025, December 31, 2024, and June 30, 2024, five, two, and three RV and Outdoor Retail segment properties, respectively, met the criteria to be classified as held for sale.</w:t>
      </w:r>
    </w:p>
    <w:p>
      <w:pPr>
        <w:spacing w:after="0" w:line="4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presents the components of assets held for sale at June 30, 2025, December 31, 2024, and June 30, 2024 (in thousands):</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39"/>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59"/>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6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 held for sale:</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4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15,202</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1,350</w:t>
            </w:r>
          </w:p>
        </w:tc>
        <w:tc>
          <w:tcPr>
            <w:tcW w:w="42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8,418</w:t>
            </w:r>
          </w:p>
        </w:tc>
      </w:tr>
      <w:tr>
        <w:trPr>
          <w:trHeight w:val="196"/>
        </w:trPr>
        <w:tc>
          <w:tcPr>
            <w:tcW w:w="362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15,202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8,418</w:t>
            </w:r>
          </w:p>
        </w:tc>
      </w:tr>
      <w:tr>
        <w:trPr>
          <w:trHeight w:val="20"/>
        </w:trPr>
        <w:tc>
          <w:tcPr>
            <w:tcW w:w="3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On May 3, 2024, the Company closed on the sale of certain assets of the RV and Outdoor Retail segment’s RV furniture business (“CWDS”) and, in connection with the sale, entered into a supply agreement (“Supplier Agreement”) with the buyer and the sublease of certain properties and equipment to the buyer. The approximately $30.4 million fair value of consideration received from the divestiture was comprised of approximately $ 20.0 million of cash consideration, $9.5 million of an intangible asset for the Supplier Agreement, and $0.9 million of cash consideration as a holdback to be released by the buyer after one year less any offset for expenditures that were indemnified by the Company. The divested net assets of CWDS were comprised primarily of approximately $28.8 million of products, parts, accessories and other inventories, $0.9 million of net intangible assets, $1.2 million of accounts payable assumed and $8.9 million of goodwill allocated from the RV and Outdoor Retail segment based on the relative fair value of CWDS. This divestiture transaction resulted in a loss of $7.1 million and is included in loss (gain) on sale or disposal of assets in the condensed consolidated statements of operations for the three and six months ended June 30, 2024. The Company believes that it gained operational efficiencies by exiting the manufacture of RV furniture and focusing its resources on the sourcing and sale of its RV and aftermarket accessory products. The fair value of the Supplier Agreement intangible asset was estimated as the present value of the estimated benefits that a market participant would receive under the Supplier Agreement, such as favorable pricing and rebates, over the term of the agreement, which is categorized as a Level 3 measurement, as defined in Note 9 – Fair Value Measurements. This Supplier Agreement intangible asset is expected to be amortized over the term of the agreement of approximately 10 years.</w:t>
      </w:r>
    </w:p>
    <w:p>
      <w:pPr>
        <w:spacing w:after="0" w:line="7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Additionally, on June 30, 2025, the Company closed on the sale of certain assets of one RV dealership. The approximately $10.3 million fair value of consideration received from the divestiture was comprised of $4.4 million of cash consideration and $5.9 million paid directly to the Floor Plan Lenders for new vehicles included in the Company’s floor plan. Included in the $4.4 million of cash consideration was $1.0 million for a deposit related to a future purchase of real estate. The divested net assets were comprised primarily of approximately $6.1 million of inventories, net; $0.1 million of property and equipment, net; and $3.4 million of goodwill allocated from the RV and Outdoor Retail segment based on the relative fair value of the dealership. This divestiture transaction resulted in a loss of $0.3 million and is included in loss (gain) on sale or disposal of assets in the condensed consolidated statements of operations for the three and six months ended June 30, 2025. In addition to receiving a return for the assets, the sale allowed the Company to avoid significant brand-specific capital improvements which would have been required to support the dealership on an on-going basis.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099" w:hanging="10"/>
        <w:spacing w:after="0" w:line="485" w:lineRule="auto"/>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ind w:left="60" w:right="79" w:firstLine="648"/>
        <w:spacing w:after="0" w:line="271" w:lineRule="auto"/>
        <w:rPr>
          <w:sz w:val="20"/>
          <w:szCs w:val="20"/>
          <w:color w:val="auto"/>
        </w:rPr>
      </w:pPr>
      <w:r>
        <w:rPr>
          <w:rFonts w:ascii="Arial" w:cs="Arial" w:eastAsia="Arial" w:hAnsi="Arial"/>
          <w:sz w:val="18"/>
          <w:szCs w:val="18"/>
          <w:color w:val="auto"/>
        </w:rPr>
        <w:t>The following table presents a summary of changes in the Company’s goodwill by segment for the six months ended June 30, 2025 and 2024 and six months ended December 31, 2024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Good Sam</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rPr>
              <w:t>Services and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RV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9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Plans</w:t>
            </w:r>
          </w:p>
        </w:tc>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Outdoor Retail</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Consolidated</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2023 (excluding impairment charges)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71,118</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881,941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953,059</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impairment charges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(46,884)</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(194,953)</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(241,837)</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2023</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686,988</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711,222</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Acquisitions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27,131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28,692</w:t>
            </w:r>
          </w:p>
        </w:tc>
      </w:tr>
      <w:tr>
        <w:trPr>
          <w:trHeight w:val="189"/>
        </w:trPr>
        <w:tc>
          <w:tcPr>
            <w:tcW w:w="494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Divestiture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(8,899)</w:t>
            </w:r>
          </w:p>
        </w:tc>
      </w:tr>
      <w:tr>
        <w:trPr>
          <w:trHeight w:val="183"/>
        </w:trPr>
        <w:tc>
          <w:tcPr>
            <w:tcW w:w="4940" w:type="dxa"/>
            <w:vAlign w:val="bottom"/>
          </w:tcPr>
          <w:p>
            <w:pPr>
              <w:spacing w:after="0" w:line="183" w:lineRule="exact"/>
              <w:rPr>
                <w:sz w:val="20"/>
                <w:szCs w:val="20"/>
                <w:color w:val="auto"/>
              </w:rPr>
            </w:pPr>
            <w:r>
              <w:rPr>
                <w:rFonts w:ascii="Arial" w:cs="Arial" w:eastAsia="Arial" w:hAnsi="Arial"/>
                <w:sz w:val="16"/>
                <w:szCs w:val="16"/>
                <w:color w:val="auto"/>
              </w:rPr>
              <w:t>Balance at June 30, 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705,220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731,015</w:t>
            </w: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Acquisitions</w:t>
            </w: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r>
      <w:tr>
        <w:trPr>
          <w:trHeight w:val="182"/>
        </w:trPr>
        <w:tc>
          <w:tcPr>
            <w:tcW w:w="4940" w:type="dxa"/>
            <w:vAlign w:val="bottom"/>
          </w:tcPr>
          <w:p>
            <w:pPr>
              <w:spacing w:after="0" w:line="183" w:lineRule="exact"/>
              <w:rPr>
                <w:sz w:val="20"/>
                <w:szCs w:val="20"/>
                <w:color w:val="auto"/>
              </w:rPr>
            </w:pPr>
            <w:r>
              <w:rPr>
                <w:rFonts w:ascii="Arial" w:cs="Arial" w:eastAsia="Arial" w:hAnsi="Arial"/>
                <w:sz w:val="16"/>
                <w:szCs w:val="16"/>
                <w:color w:val="auto"/>
              </w:rPr>
              <w:t>Balance at December 31, 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708,228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734,023</w:t>
            </w: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Acquisitions</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17,951</w:t>
            </w:r>
          </w:p>
        </w:tc>
      </w:tr>
      <w:tr>
        <w:trPr>
          <w:trHeight w:val="189"/>
        </w:trPr>
        <w:tc>
          <w:tcPr>
            <w:tcW w:w="4940" w:type="dxa"/>
            <w:vAlign w:val="bottom"/>
            <w:tcBorders>
              <w:bottom w:val="single" w:sz="8" w:color="CCEEFF"/>
            </w:tcBorders>
          </w:tcPr>
          <w:p>
            <w:pPr>
              <w:spacing w:after="0" w:line="189" w:lineRule="exact"/>
              <w:rPr>
                <w:sz w:val="20"/>
                <w:szCs w:val="20"/>
                <w:color w:val="auto"/>
              </w:rPr>
            </w:pPr>
            <w:r>
              <w:rPr>
                <w:rFonts w:ascii="Arial" w:cs="Arial" w:eastAsia="Arial" w:hAnsi="Arial"/>
                <w:sz w:val="14"/>
                <w:szCs w:val="14"/>
                <w:color w:val="auto"/>
              </w:rPr>
              <w:t xml:space="preserve">Divestiture </w:t>
            </w:r>
            <w:r>
              <w:rPr>
                <w:rFonts w:ascii="Arial" w:cs="Arial" w:eastAsia="Arial" w:hAnsi="Arial"/>
                <w:sz w:val="21"/>
                <w:szCs w:val="21"/>
                <w:color w:val="auto"/>
                <w:vertAlign w:val="superscript"/>
              </w:rPr>
              <w:t>(2)</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w:t>
            </w:r>
          </w:p>
        </w:tc>
      </w:tr>
      <w:tr>
        <w:trPr>
          <w:trHeight w:val="183"/>
        </w:trPr>
        <w:tc>
          <w:tcPr>
            <w:tcW w:w="49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at June 30, 2025</w:t>
            </w: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25,795</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722,766</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748,561</w:t>
            </w:r>
          </w:p>
        </w:tc>
      </w:tr>
      <w:tr>
        <w:trPr>
          <w:trHeight w:val="20"/>
        </w:trPr>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4"/>
          <w:szCs w:val="14"/>
          <w:color w:val="auto"/>
        </w:rPr>
        <w:t>In May 2024, the Company closed on the sale of CWDS.</w:t>
      </w:r>
    </w:p>
    <w:p>
      <w:pPr>
        <w:spacing w:after="0" w:line="15" w:lineRule="exact"/>
        <w:rPr>
          <w:rFonts w:ascii="Arial" w:cs="Arial" w:eastAsia="Arial" w:hAnsi="Arial"/>
          <w:sz w:val="13"/>
          <w:szCs w:val="13"/>
          <w:color w:val="auto"/>
        </w:rPr>
      </w:pPr>
    </w:p>
    <w:p>
      <w:pPr>
        <w:ind w:left="380" w:hanging="330"/>
        <w:spacing w:after="0"/>
        <w:tabs>
          <w:tab w:leader="none" w:pos="380" w:val="left"/>
        </w:tabs>
        <w:numPr>
          <w:ilvl w:val="0"/>
          <w:numId w:val="12"/>
        </w:numPr>
        <w:rPr>
          <w:rFonts w:ascii="Arial" w:cs="Arial" w:eastAsia="Arial" w:hAnsi="Arial"/>
          <w:sz w:val="13"/>
          <w:szCs w:val="13"/>
          <w:color w:val="auto"/>
        </w:rPr>
      </w:pPr>
      <w:r>
        <w:rPr>
          <w:rFonts w:ascii="Arial" w:cs="Arial" w:eastAsia="Arial" w:hAnsi="Arial"/>
          <w:sz w:val="14"/>
          <w:szCs w:val="14"/>
          <w:color w:val="auto"/>
        </w:rPr>
        <w:t>In June 2025, the Company closed on the sale of a dealership.</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Finite-lived intangible assets and related accumulated amortization consisted of the following at June 30, 2025, December 31, 2024 and June 30, 2024 (in thousands):</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2025</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6"/>
        </w:trPr>
        <w:tc>
          <w:tcPr>
            <w:tcW w:w="558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Net</w:t>
            </w:r>
          </w:p>
        </w:tc>
      </w:tr>
      <w:tr>
        <w:trPr>
          <w:trHeight w:val="183"/>
        </w:trPr>
        <w:tc>
          <w:tcPr>
            <w:tcW w:w="5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5580" w:type="dxa"/>
            <w:vAlign w:val="bottom"/>
          </w:tcPr>
          <w:p>
            <w:pPr>
              <w:ind w:left="220"/>
              <w:spacing w:after="0" w:line="202" w:lineRule="exact"/>
              <w:rPr>
                <w:sz w:val="20"/>
                <w:szCs w:val="20"/>
                <w:color w:val="auto"/>
              </w:rPr>
            </w:pPr>
            <w:r>
              <w:rPr>
                <w:rFonts w:ascii="Arial" w:cs="Arial" w:eastAsia="Arial" w:hAnsi="Arial"/>
                <w:sz w:val="18"/>
                <w:szCs w:val="18"/>
                <w:color w:val="auto"/>
              </w:rPr>
              <w:t>Membership, customer lists and other</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(9,656)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03"/>
        </w:trPr>
        <w:tc>
          <w:tcPr>
            <w:tcW w:w="5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1,682</w:t>
            </w:r>
          </w:p>
        </w:tc>
      </w:tr>
      <w:tr>
        <w:trPr>
          <w:trHeight w:val="203"/>
        </w:trPr>
        <w:tc>
          <w:tcPr>
            <w:tcW w:w="5580" w:type="dxa"/>
            <w:vAlign w:val="bottom"/>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(1,891)</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1,759</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2"/>
        </w:trPr>
        <w:tc>
          <w:tcPr>
            <w:tcW w:w="5580" w:type="dxa"/>
            <w:vAlign w:val="bottom"/>
          </w:tcPr>
          <w:p>
            <w:pPr>
              <w:ind w:left="220"/>
              <w:spacing w:after="0" w:line="202" w:lineRule="exact"/>
              <w:rPr>
                <w:sz w:val="20"/>
                <w:szCs w:val="20"/>
                <w:color w:val="auto"/>
              </w:rPr>
            </w:pPr>
            <w:r>
              <w:rPr>
                <w:rFonts w:ascii="Arial" w:cs="Arial" w:eastAsia="Arial" w:hAnsi="Arial"/>
                <w:sz w:val="18"/>
                <w:szCs w:val="18"/>
                <w:color w:val="auto"/>
              </w:rPr>
              <w:t>Customer lists, domain names and other</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(2,952)</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1,202</w:t>
            </w:r>
          </w:p>
        </w:tc>
      </w:tr>
      <w:tr>
        <w:trPr>
          <w:trHeight w:val="203"/>
        </w:trPr>
        <w:tc>
          <w:tcPr>
            <w:tcW w:w="5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Supplier lists and agreements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(1,039)</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8,461</w:t>
            </w:r>
          </w:p>
        </w:tc>
      </w:tr>
      <w:tr>
        <w:trPr>
          <w:trHeight w:val="203"/>
        </w:trPr>
        <w:tc>
          <w:tcPr>
            <w:tcW w:w="5580" w:type="dxa"/>
            <w:vAlign w:val="bottom"/>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(22,675)</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3,851</w:t>
            </w:r>
          </w:p>
        </w:tc>
      </w:tr>
      <w:tr>
        <w:trPr>
          <w:trHeight w:val="203"/>
        </w:trPr>
        <w:tc>
          <w:tcPr>
            <w:tcW w:w="5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Websites and developed technology</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6,151</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(5,588)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w:t>
            </w:r>
          </w:p>
        </w:tc>
      </w:tr>
      <w:tr>
        <w:trPr>
          <w:trHeight w:val="196"/>
        </w:trPr>
        <w:tc>
          <w:tcPr>
            <w:tcW w:w="55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61,853</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(44,251)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17,602</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45"/>
        </w:trPr>
        <w:tc>
          <w:tcPr>
            <w:tcW w:w="5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December 31, 2024</w:t>
            </w:r>
          </w:p>
        </w:tc>
        <w:tc>
          <w:tcPr>
            <w:tcW w:w="640" w:type="dxa"/>
            <w:vAlign w:val="bottom"/>
            <w:tcBorders>
              <w:bottom w:val="single" w:sz="8" w:color="auto"/>
            </w:tcBorders>
          </w:tcPr>
          <w:p>
            <w:pPr>
              <w:spacing w:after="0"/>
              <w:rPr>
                <w:sz w:val="24"/>
                <w:szCs w:val="24"/>
                <w:color w:val="auto"/>
              </w:rPr>
            </w:pPr>
          </w:p>
        </w:tc>
      </w:tr>
      <w:tr>
        <w:trPr>
          <w:trHeight w:val="146"/>
        </w:trPr>
        <w:tc>
          <w:tcPr>
            <w:tcW w:w="5580" w:type="dxa"/>
            <w:vAlign w:val="bottom"/>
          </w:tcPr>
          <w:p>
            <w:pPr>
              <w:spacing w:after="0"/>
              <w:rPr>
                <w:sz w:val="12"/>
                <w:szCs w:val="12"/>
                <w:color w:val="auto"/>
              </w:rPr>
            </w:pPr>
          </w:p>
        </w:tc>
        <w:tc>
          <w:tcPr>
            <w:tcW w:w="7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Net</w:t>
            </w:r>
          </w:p>
        </w:tc>
      </w:tr>
      <w:tr>
        <w:trPr>
          <w:trHeight w:val="183"/>
        </w:trPr>
        <w:tc>
          <w:tcPr>
            <w:tcW w:w="5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5580" w:type="dxa"/>
            <w:vAlign w:val="bottom"/>
          </w:tcPr>
          <w:p>
            <w:pPr>
              <w:ind w:left="100"/>
              <w:spacing w:after="0" w:line="202" w:lineRule="exact"/>
              <w:rPr>
                <w:sz w:val="20"/>
                <w:szCs w:val="20"/>
                <w:color w:val="auto"/>
              </w:rPr>
            </w:pPr>
            <w:r>
              <w:rPr>
                <w:rFonts w:ascii="Arial" w:cs="Arial" w:eastAsia="Arial" w:hAnsi="Arial"/>
                <w:sz w:val="18"/>
                <w:szCs w:val="18"/>
                <w:color w:val="auto"/>
              </w:rPr>
              <w:t>Membership, customer lists and other</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(9,537)</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r>
      <w:tr>
        <w:trPr>
          <w:trHeight w:val="202"/>
        </w:trPr>
        <w:tc>
          <w:tcPr>
            <w:tcW w:w="5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1,753</w:t>
            </w:r>
          </w:p>
        </w:tc>
      </w:tr>
      <w:tr>
        <w:trPr>
          <w:trHeight w:val="203"/>
        </w:trPr>
        <w:tc>
          <w:tcPr>
            <w:tcW w:w="5580" w:type="dxa"/>
            <w:vAlign w:val="bottom"/>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(1,614)</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2,036</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580" w:type="dxa"/>
            <w:vAlign w:val="bottom"/>
          </w:tcPr>
          <w:p>
            <w:pPr>
              <w:ind w:left="100"/>
              <w:spacing w:after="0" w:line="202" w:lineRule="exact"/>
              <w:rPr>
                <w:sz w:val="20"/>
                <w:szCs w:val="20"/>
                <w:color w:val="auto"/>
              </w:rPr>
            </w:pPr>
            <w:r>
              <w:rPr>
                <w:rFonts w:ascii="Arial" w:cs="Arial" w:eastAsia="Arial" w:hAnsi="Arial"/>
                <w:sz w:val="18"/>
                <w:szCs w:val="18"/>
                <w:color w:val="auto"/>
              </w:rPr>
              <w:t>Customer lists and domain names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(2,752)</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1,402</w:t>
            </w:r>
          </w:p>
        </w:tc>
      </w:tr>
      <w:tr>
        <w:trPr>
          <w:trHeight w:val="203"/>
        </w:trPr>
        <w:tc>
          <w:tcPr>
            <w:tcW w:w="5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Supplier lists and agreements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8,906</w:t>
            </w:r>
          </w:p>
        </w:tc>
      </w:tr>
      <w:tr>
        <w:trPr>
          <w:trHeight w:val="203"/>
        </w:trPr>
        <w:tc>
          <w:tcPr>
            <w:tcW w:w="5580" w:type="dxa"/>
            <w:vAlign w:val="bottom"/>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(22,005)</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4,521</w:t>
            </w:r>
          </w:p>
        </w:tc>
      </w:tr>
      <w:tr>
        <w:trPr>
          <w:trHeight w:val="203"/>
        </w:trPr>
        <w:tc>
          <w:tcPr>
            <w:tcW w:w="5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6,348</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(5,700)</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w:t>
            </w:r>
          </w:p>
        </w:tc>
      </w:tr>
      <w:tr>
        <w:trPr>
          <w:trHeight w:val="196"/>
        </w:trPr>
        <w:tc>
          <w:tcPr>
            <w:tcW w:w="55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62,050</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(42,581)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19,469</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6"/>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52"/>
              <w:spacing w:after="0" w:line="147" w:lineRule="exact"/>
              <w:rPr>
                <w:sz w:val="20"/>
                <w:szCs w:val="20"/>
                <w:color w:val="auto"/>
              </w:rPr>
            </w:pPr>
            <w:r>
              <w:rPr>
                <w:rFonts w:ascii="Arial" w:cs="Arial" w:eastAsia="Arial" w:hAnsi="Arial"/>
                <w:sz w:val="14"/>
                <w:szCs w:val="14"/>
                <w:b w:val="1"/>
                <w:bCs w:val="1"/>
                <w:color w:val="auto"/>
              </w:rPr>
              <w:t>Cost or</w:t>
            </w:r>
          </w:p>
        </w:tc>
        <w:tc>
          <w:tcPr>
            <w:tcW w:w="16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55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Net</w:t>
            </w:r>
          </w:p>
        </w:tc>
      </w:tr>
      <w:tr>
        <w:trPr>
          <w:trHeight w:val="183"/>
        </w:trPr>
        <w:tc>
          <w:tcPr>
            <w:tcW w:w="5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5580" w:type="dxa"/>
            <w:vAlign w:val="bottom"/>
          </w:tcPr>
          <w:p>
            <w:pPr>
              <w:ind w:left="100"/>
              <w:spacing w:after="0" w:line="202" w:lineRule="exact"/>
              <w:rPr>
                <w:sz w:val="20"/>
                <w:szCs w:val="20"/>
                <w:color w:val="auto"/>
              </w:rPr>
            </w:pPr>
            <w:r>
              <w:rPr>
                <w:rFonts w:ascii="Arial" w:cs="Arial" w:eastAsia="Arial" w:hAnsi="Arial"/>
                <w:sz w:val="18"/>
                <w:szCs w:val="18"/>
                <w:color w:val="auto"/>
              </w:rPr>
              <w:t>Membership, customer lists and other</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(9,389)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r>
      <w:tr>
        <w:trPr>
          <w:trHeight w:val="203"/>
        </w:trPr>
        <w:tc>
          <w:tcPr>
            <w:tcW w:w="5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1,824</w:t>
            </w:r>
          </w:p>
        </w:tc>
      </w:tr>
      <w:tr>
        <w:trPr>
          <w:trHeight w:val="203"/>
        </w:trPr>
        <w:tc>
          <w:tcPr>
            <w:tcW w:w="5580" w:type="dxa"/>
            <w:vAlign w:val="bottom"/>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3,650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(1,336)</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2"/>
        </w:trPr>
        <w:tc>
          <w:tcPr>
            <w:tcW w:w="5580" w:type="dxa"/>
            <w:vAlign w:val="bottom"/>
          </w:tcPr>
          <w:p>
            <w:pPr>
              <w:ind w:left="100"/>
              <w:spacing w:after="0" w:line="202" w:lineRule="exact"/>
              <w:rPr>
                <w:sz w:val="20"/>
                <w:szCs w:val="20"/>
                <w:color w:val="auto"/>
              </w:rPr>
            </w:pPr>
            <w:r>
              <w:rPr>
                <w:rFonts w:ascii="Arial" w:cs="Arial" w:eastAsia="Arial" w:hAnsi="Arial"/>
                <w:sz w:val="18"/>
                <w:szCs w:val="18"/>
                <w:color w:val="auto"/>
              </w:rPr>
              <w:t>Customer lists and domain names and other</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4,154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(2,551)</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1,603</w:t>
            </w:r>
          </w:p>
        </w:tc>
      </w:tr>
      <w:tr>
        <w:trPr>
          <w:trHeight w:val="203"/>
        </w:trPr>
        <w:tc>
          <w:tcPr>
            <w:tcW w:w="5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Supplier lists and agreements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9,352</w:t>
            </w:r>
          </w:p>
        </w:tc>
      </w:tr>
      <w:tr>
        <w:trPr>
          <w:trHeight w:val="203"/>
        </w:trPr>
        <w:tc>
          <w:tcPr>
            <w:tcW w:w="5580" w:type="dxa"/>
            <w:vAlign w:val="bottom"/>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26,526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(21,335)</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5,191</w:t>
            </w:r>
          </w:p>
        </w:tc>
      </w:tr>
      <w:tr>
        <w:trPr>
          <w:trHeight w:val="203"/>
        </w:trPr>
        <w:tc>
          <w:tcPr>
            <w:tcW w:w="55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(5,626)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719</w:t>
            </w:r>
          </w:p>
        </w:tc>
      </w:tr>
      <w:tr>
        <w:trPr>
          <w:trHeight w:val="196"/>
        </w:trPr>
        <w:tc>
          <w:tcPr>
            <w:tcW w:w="55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62,047</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(40,693)</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21,354</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Long-Term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Outstanding long-term debt consisted of the following (in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9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r>
      <w:tr>
        <w:trPr>
          <w:trHeight w:val="196"/>
        </w:trPr>
        <w:tc>
          <w:tcPr>
            <w:tcW w:w="290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 xml:space="preserve">Term Loan Facility </w:t>
            </w:r>
            <w:r>
              <w:rPr>
                <w:rFonts w:ascii="Arial" w:cs="Arial" w:eastAsia="Arial" w:hAnsi="Arial"/>
                <w:sz w:val="22"/>
                <w:szCs w:val="22"/>
                <w:color w:val="auto"/>
                <w:vertAlign w:val="superscript"/>
              </w:rPr>
              <w:t>(1)</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1,330,401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1,335,535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1,340,942</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6"/>
                <w:szCs w:val="16"/>
                <w:color w:val="auto"/>
              </w:rPr>
              <w:t xml:space="preserve">Real Estate Facilities </w:t>
            </w:r>
            <w:r>
              <w:rPr>
                <w:rFonts w:ascii="Arial" w:cs="Arial" w:eastAsia="Arial" w:hAnsi="Arial"/>
                <w:sz w:val="23"/>
                <w:szCs w:val="23"/>
                <w:color w:val="auto"/>
                <w:vertAlign w:val="superscript"/>
              </w:rPr>
              <w:t>(2)</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168,332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173,132</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189,039</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Debt</w:t>
            </w:r>
          </w:p>
        </w:tc>
        <w:tc>
          <w:tcPr>
            <w:tcW w:w="10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7,760</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8,087</w:t>
            </w: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Subtotal</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1,506,493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1,516,593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1,538,068</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10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(23,023)</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(23,275)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(24,082)</w:t>
            </w: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1,483,470</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1,493,318</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1,513,986</w:t>
            </w:r>
          </w:p>
        </w:tc>
      </w:tr>
      <w:tr>
        <w:trPr>
          <w:trHeight w:val="20"/>
        </w:trPr>
        <w:tc>
          <w:tcPr>
            <w:tcW w:w="2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80" w:right="79" w:hanging="330"/>
        <w:spacing w:after="0" w:line="214"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Net of $8.3 million, $9.6 million, and $10.8 million of original issue discount at June 30, 2025, December 31, 2024, and June 30, 2024, respectively, and $3.2 million, $3.8 million, and $4.2 million of finance costs at June 30, 2025, December 31, 2024, and June 30, 2024, respectively.</w:t>
      </w:r>
    </w:p>
    <w:p>
      <w:pPr>
        <w:spacing w:after="0" w:line="18"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Net of $2.5 million, $3.1 million, and $3.6 million of finance costs at June 30, 2025, December 31, 2024, and June 30, 2024,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Credit Facilities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June 30, 2025, December 31, 2024, and June 30, 2024, CWGS Group, LLC (the “Borrower”), a wholly-owned subsidiary of CWGS, LLC, was party to a credit agreement (the “Credit Agreement”) for a term loan facility (the “Term Loan Facility”) and a revolving credit facility (the “Revolving Credit Facility” and collectively the “Senior Secured Credit Facilities”).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Senior Secured Credit Facilities as of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4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Senior Secured Credit Facilities: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120"/>
              <w:spacing w:after="0" w:line="202" w:lineRule="exact"/>
              <w:rPr>
                <w:sz w:val="20"/>
                <w:szCs w:val="20"/>
                <w:color w:val="auto"/>
              </w:rPr>
            </w:pPr>
            <w:r>
              <w:rPr>
                <w:rFonts w:ascii="Arial" w:cs="Arial" w:eastAsia="Arial" w:hAnsi="Arial"/>
                <w:sz w:val="18"/>
                <w:szCs w:val="18"/>
                <w:color w:val="auto"/>
              </w:rPr>
              <w:t>Term Loan Facility:</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Principal amount of borrowings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cumulative principal payments</w:t>
            </w:r>
          </w:p>
        </w:tc>
        <w:tc>
          <w:tcPr>
            <w:tcW w:w="2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(58,057)</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(51,049)</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(44,041)</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unamortized original issue discount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(8,329)</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(9,600)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(10,839)</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unamortized finance costs</w:t>
            </w:r>
          </w:p>
        </w:tc>
        <w:tc>
          <w:tcPr>
            <w:tcW w:w="2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(3,213)</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(3,816)</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1,330,401</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1,335,535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1,340,942</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(14,015)</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(14,015)</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Long-term debt, net of current portion</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1,316,386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1,321,520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1,326,927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20"/>
              <w:spacing w:after="0"/>
              <w:rPr>
                <w:sz w:val="20"/>
                <w:szCs w:val="20"/>
                <w:color w:val="auto"/>
              </w:rPr>
            </w:pPr>
            <w:r>
              <w:rPr>
                <w:rFonts w:ascii="Arial" w:cs="Arial" w:eastAsia="Arial" w:hAnsi="Arial"/>
                <w:sz w:val="18"/>
                <w:szCs w:val="18"/>
                <w:color w:val="auto"/>
              </w:rPr>
              <w:t>Revolving Credit Facility:</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commitment</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Less: outstanding letters of credit</w:t>
            </w:r>
          </w:p>
        </w:tc>
        <w:tc>
          <w:tcPr>
            <w:tcW w:w="20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(4,902)</w:t>
            </w: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(4,902)</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total net leverage ratio borrowing limitation</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(37,348)</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(37,348)</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(37,320)</w:t>
            </w:r>
          </w:p>
        </w:tc>
        <w:tc>
          <w:tcPr>
            <w:tcW w:w="0" w:type="dxa"/>
            <w:vAlign w:val="bottom"/>
          </w:tcPr>
          <w:p>
            <w:pPr>
              <w:spacing w:after="0"/>
              <w:rPr>
                <w:sz w:val="1"/>
                <w:szCs w:val="1"/>
                <w:color w:val="auto"/>
              </w:rPr>
            </w:pPr>
          </w:p>
        </w:tc>
      </w:tr>
      <w:tr>
        <w:trPr>
          <w:trHeight w:val="196"/>
        </w:trPr>
        <w:tc>
          <w:tcPr>
            <w:tcW w:w="4820" w:type="dxa"/>
            <w:vAlign w:val="bottom"/>
          </w:tcPr>
          <w:p>
            <w:pPr>
              <w:ind w:left="340"/>
              <w:spacing w:after="0" w:line="196" w:lineRule="exact"/>
              <w:rPr>
                <w:sz w:val="20"/>
                <w:szCs w:val="20"/>
                <w:color w:val="auto"/>
              </w:rPr>
            </w:pPr>
            <w:r>
              <w:rPr>
                <w:rFonts w:ascii="Arial" w:cs="Arial" w:eastAsia="Arial" w:hAnsi="Arial"/>
                <w:sz w:val="18"/>
                <w:szCs w:val="18"/>
                <w:color w:val="auto"/>
              </w:rPr>
              <w:t>Additional borrowing capacity</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June 30, 2025, December 31, 2024, and June 30, 2024, the average interest rate on the Term Loan Facility was 6.94%, 6.97%, and 7.96%, respectively, and the effective interest rates were 7.18%, 7.43%, and 8.19%, respectively.</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Management has determined that the Senior Secured Credit Facilities include subjective acceleration clauses, which could impact debt classification. Management believes that no events have occurred at June 30, 2025 that would trigger a subjective acceleration clause.</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Credit Agreement requires the Borrower and its subsidiaries to comply on a quarterly basis with a maximum Total Net Leverage Ratio (as defined in the Credit Agreement), which covenant is in effect only if, as of the end of each calendar quarter, the aggregate amount of borrowings under the revolving credit facility, letters of credit and unreimbursed letter of credit disbursements outstanding at such time is greater than 35% of the total commitment on the Revolving Credit Facility (excluding (i) up to $15.0 million attributable to any outstanding undrawn letters of credit and (ii) any cash collateralized or backstopped letters of credit), as defined in the Credit Agreement. As of June 30, 2025,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at June 30, 2025, December 31, 2024, and June 30, 2024.</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Facilities</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As of June 30, 2025, December 31, 2024 and June 30, 2024, subsidiaries of FRHP Lincolnshire, LLC (“FRHP”), an indirect wholly-owned subsidiary of CWGS, LLC, were party to a credit agreement with a syndication of banks for a real estate credit facility (as amended from time to time, the “M&amp;T Real Estate Facility”) with aggregate maximum principal capacity of $300.0 million with an option that allows FRHP to request an additional $100.0 million of principal capacity. During the six months ended June 30, 2025, FRHP had no additional borrowings under the M&amp;T Real Estate facility, and during the six months ended June 30, 2024, FRHP borrowed an additional $55.6 million. During the six months ended June 30, 2024, FRHP repaid $38.6 million of the M&amp;T Real Estate Facility to pay off the remaining principal balances relating to six properties. As of June 30, 2025, the remaining available borrowing capacity was $57.4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June 30, 2025, December 31, 2024, and June 30, 2024, Camping World Property, LLC, successor by conversion to Camping World Property, Inc. (the ‘‘Real Estate Borrower’’), an indirect wholly-owned subsidiary of CWGS, LLC, and CIBC Bank USA, were parties to loan and security agreements for real estate credit facilities (as amended from time to time, the “First CIBC Real Estate Facility” and the “Third CIBC Real Estate Facility” and together with the M&amp;T Real Estate Facility, the “Real Estate Facilities”). In May 2024, the Real Estate Borrower repaid the outstanding balance of the Third CIBC Real Estate Facility of $8.9 million, which related to the facility for the divested operations of CWDS in Elkhart, Indiana, and the Third CIBC Real Estate Facility was terminated. The First CIBC Real Estate Facility matures in October 2028.</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shows a summary of the outstanding balances, remaining available borrowings, and weighted average interest rate under the Real Estate Facilities at June 30, 2025:</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right="124"/>
              <w:spacing w:after="0"/>
              <w:rPr>
                <w:sz w:val="20"/>
                <w:szCs w:val="20"/>
                <w:color w:val="auto"/>
              </w:rPr>
            </w:pPr>
            <w:r>
              <w:rPr>
                <w:rFonts w:ascii="Arial" w:cs="Arial" w:eastAsia="Arial" w:hAnsi="Arial"/>
                <w:sz w:val="14"/>
                <w:szCs w:val="14"/>
                <w:b w:val="1"/>
                <w:bCs w:val="1"/>
                <w:color w:val="auto"/>
              </w:rPr>
              <w:t>As of June 30, 2025</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Outstanding</w:t>
            </w:r>
            <w:r>
              <w:rPr>
                <w:rFonts w:ascii="Arial" w:cs="Arial" w:eastAsia="Arial" w:hAnsi="Arial"/>
                <w:sz w:val="21"/>
                <w:szCs w:val="21"/>
                <w:b w:val="1"/>
                <w:bCs w:val="1"/>
                <w:color w:val="auto"/>
                <w:vertAlign w:val="superscript"/>
              </w:rPr>
              <w:t>(1)</w:t>
            </w: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Wtd. Average</w:t>
            </w:r>
          </w:p>
        </w:tc>
        <w:tc>
          <w:tcPr>
            <w:tcW w:w="0" w:type="dxa"/>
            <w:vAlign w:val="bottom"/>
          </w:tcPr>
          <w:p>
            <w:pPr>
              <w:spacing w:after="0"/>
              <w:rPr>
                <w:sz w:val="1"/>
                <w:szCs w:val="1"/>
                <w:color w:val="auto"/>
              </w:rPr>
            </w:pPr>
          </w:p>
        </w:tc>
      </w:tr>
      <w:tr>
        <w:trPr>
          <w:trHeight w:val="189"/>
        </w:trPr>
        <w:tc>
          <w:tcPr>
            <w:tcW w:w="578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1140" w:type="dxa"/>
            <w:vAlign w:val="bottom"/>
            <w:gridSpan w:val="3"/>
            <w:vMerge w:val="continue"/>
          </w:tcPr>
          <w:p>
            <w:pPr>
              <w:spacing w:after="0"/>
              <w:rPr>
                <w:sz w:val="16"/>
                <w:szCs w:val="16"/>
                <w:color w:val="auto"/>
              </w:rPr>
            </w:pPr>
          </w:p>
        </w:tc>
        <w:tc>
          <w:tcPr>
            <w:tcW w:w="88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6"/>
              </w:rPr>
              <w:t>Available</w:t>
            </w:r>
            <w:r>
              <w:rPr>
                <w:rFonts w:ascii="Arial" w:cs="Arial" w:eastAsia="Arial" w:hAnsi="Arial"/>
                <w:sz w:val="21"/>
                <w:szCs w:val="21"/>
                <w:b w:val="1"/>
                <w:bCs w:val="1"/>
                <w:color w:val="auto"/>
                <w:w w:val="96"/>
                <w:vertAlign w:val="superscript"/>
              </w:rPr>
              <w:t>(2)</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83"/>
        </w:trPr>
        <w:tc>
          <w:tcPr>
            <w:tcW w:w="562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Real Estate Facilities</w:t>
            </w: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ind w:left="120"/>
              <w:spacing w:after="0"/>
              <w:rPr>
                <w:sz w:val="20"/>
                <w:szCs w:val="20"/>
                <w:color w:val="auto"/>
              </w:rPr>
            </w:pPr>
            <w:r>
              <w:rPr>
                <w:rFonts w:ascii="Arial" w:cs="Arial" w:eastAsia="Arial" w:hAnsi="Arial"/>
                <w:sz w:val="16"/>
                <w:szCs w:val="16"/>
                <w:color w:val="auto"/>
              </w:rPr>
              <w:t>M&amp;T Real Estate Facility</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165,095</w:t>
            </w:r>
          </w:p>
        </w:tc>
        <w:tc>
          <w:tcPr>
            <w:tcW w:w="16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57,390</w:t>
            </w:r>
          </w:p>
        </w:tc>
        <w:tc>
          <w:tcPr>
            <w:tcW w:w="16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940" w:type="dxa"/>
            <w:vAlign w:val="bottom"/>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First CIBC Real Estate Facility</w:t>
            </w: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1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168,332</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44"/>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57,390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Outstanding principal amounts are net of unamortized finance costs.</w:t>
      </w:r>
    </w:p>
    <w:p>
      <w:pPr>
        <w:spacing w:after="0" w:line="66"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14"/>
        </w:numPr>
        <w:rPr>
          <w:rFonts w:ascii="Arial" w:cs="Arial" w:eastAsia="Arial" w:hAnsi="Arial"/>
          <w:sz w:val="20"/>
          <w:szCs w:val="20"/>
          <w:color w:val="auto"/>
          <w:vertAlign w:val="superscript"/>
        </w:rPr>
      </w:pPr>
      <w:r>
        <w:rPr>
          <w:rFonts w:ascii="Arial" w:cs="Arial" w:eastAsia="Arial" w:hAnsi="Arial"/>
          <w:sz w:val="14"/>
          <w:szCs w:val="14"/>
          <w:color w:val="auto"/>
        </w:rPr>
        <w:t>Amounts cannot be reborrowed.</w:t>
      </w:r>
    </w:p>
    <w:p>
      <w:pPr>
        <w:spacing w:after="0" w:line="67" w:lineRule="exact"/>
        <w:rPr>
          <w:rFonts w:ascii="Arial" w:cs="Arial" w:eastAsia="Arial" w:hAnsi="Arial"/>
          <w:sz w:val="20"/>
          <w:szCs w:val="20"/>
          <w:color w:val="auto"/>
          <w:vertAlign w:val="superscript"/>
        </w:rPr>
      </w:pPr>
    </w:p>
    <w:p>
      <w:pPr>
        <w:ind w:left="380" w:right="79" w:hanging="330"/>
        <w:spacing w:after="0" w:line="211" w:lineRule="auto"/>
        <w:tabs>
          <w:tab w:leader="none" w:pos="3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Additional borrowings on the M&amp;T Real Estate Facility are subject to a debt service coverage ratio covenant and to the property collateral requirements under the M&amp;T Real Estate Facility.</w:t>
      </w:r>
    </w:p>
    <w:p>
      <w:pPr>
        <w:spacing w:after="0" w:line="23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Management has determined that the credit agreements governing the Real Estate Facilities include subjective acceleration clauses, which could impact debt classification. Management believes that no events have occurred at June 30, 2025 that would trigger a subjective acceleration clause. Additionally, the Real Estate Facilities are subject to certain cross default provisions, a debt service coverage ratio, and other customary covenants. The Company was in compliance with all financial debt covenants at June 30, 2025, December 31, 2024, and June 30, 2024.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Long-Term Debt</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June 30, 2025, the outstanding principal balance of other long-term debt was $7.8 million with a weighted average interest rate of 4.27%.</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 Obligations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certain information related to the costs for leases where the Company is the lessee (in thousands):</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2080" w:type="dxa"/>
            <w:vAlign w:val="bottom"/>
            <w:tcBorders>
              <w:bottom w:val="single" w:sz="8" w:color="auto"/>
            </w:tcBorders>
            <w:gridSpan w:val="6"/>
          </w:tcPr>
          <w:p>
            <w:pPr>
              <w:jc w:val="right"/>
              <w:ind w:right="52"/>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3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29,423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29,294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58,776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58,484</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Finance lease cost:</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3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Amortization of finance lease assets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5,696</w:t>
            </w: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Interest on finance lease liabilities</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2,240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2,380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4,846</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w:t>
            </w:r>
          </w:p>
        </w:tc>
      </w:tr>
      <w:tr>
        <w:trPr>
          <w:trHeight w:val="202"/>
        </w:trPr>
        <w:tc>
          <w:tcPr>
            <w:tcW w:w="438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5,155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7,561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11,859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12,890</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(1,728)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(1,571)</w:t>
            </w: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color w:val="auto"/>
              </w:rPr>
              <w:t>Net lease costs</w:t>
            </w:r>
          </w:p>
        </w:tc>
        <w:tc>
          <w:tcPr>
            <w:tcW w:w="24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38,928</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41,613</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79,220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81,181</w:t>
            </w: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June 30, 2025, December 31, 2024, and June 30, 2024, finance lease assets of $127.5 million, $120.0 million, and $125.5 million, respectively, were included in property and equipment, net in the accompanying condensed consolidated balance sheets.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supplemental cash flow information related to leases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7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2024</w:t>
            </w:r>
          </w:p>
        </w:tc>
      </w:tr>
      <w:tr>
        <w:trPr>
          <w:trHeight w:val="164"/>
        </w:trPr>
        <w:tc>
          <w:tcPr>
            <w:tcW w:w="570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Cash  paid  for  amounts  included  in  the  measurement  of  lease</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21"/>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4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40,833</w:t>
            </w: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59,338</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cash flows for finance leases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4,846</w:t>
            </w: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Financing cash flows for finance leases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3,637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3,695</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assets obtained in exchange for lease liabilities: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New, remeasured and terminated operating leases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6,329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52,715</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New, remeasured and terminated finance leases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12,768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30,771</w:t>
            </w:r>
          </w:p>
        </w:tc>
      </w:tr>
    </w:tbl>
    <w:p>
      <w:pPr>
        <w:spacing w:after="0" w:line="13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six months ended June 30, 2025 and 2024, the Company entered into sale-leaseback transactions for one and two properties, respectively, associated with store locations in the RV and Outdoor Retail segment and received consideration of $3.5 million and $23.5 million of cash, respectively. The Company recorded no gain for the six months ended June 30, 2025 and recorded a gain of $0.1 million for the six months ended June 30, 2024 that was included in (gain) loss on sale or disposal of assets in the condensed consolidated statements of income. The Company entered into a 19-year lease agreement as the lessee with the buyer of the property in 2025, and 20-year lease agreements as the lessee with each buyer of the properties in 2024.</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Fair Value Measurements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Recurring Fair Value Measurements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the reported carrying values and the fair values by level of the Company’s assets and liabilities measured at fair value on a recurring basis: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5"/>
          </w:tcPr>
          <w:p>
            <w:pPr>
              <w:ind w:left="200"/>
              <w:spacing w:after="0"/>
              <w:rPr>
                <w:sz w:val="20"/>
                <w:szCs w:val="20"/>
                <w:color w:val="auto"/>
              </w:rPr>
            </w:pPr>
            <w:r>
              <w:rPr>
                <w:rFonts w:ascii="Arial" w:cs="Arial" w:eastAsia="Arial" w:hAnsi="Arial"/>
                <w:sz w:val="13"/>
                <w:szCs w:val="13"/>
                <w:b w:val="1"/>
                <w:bCs w:val="1"/>
                <w:color w:val="auto"/>
              </w:rPr>
              <w:t>June 30, 2025</w:t>
            </w:r>
          </w:p>
        </w:tc>
        <w:tc>
          <w:tcPr>
            <w:tcW w:w="18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Arial" w:cs="Arial" w:eastAsia="Arial" w:hAnsi="Arial"/>
                <w:sz w:val="13"/>
                <w:szCs w:val="13"/>
                <w:b w:val="1"/>
                <w:bCs w:val="1"/>
                <w:color w:val="auto"/>
              </w:rPr>
              <w:t>December 31, 2024</w:t>
            </w:r>
          </w:p>
        </w:tc>
        <w:tc>
          <w:tcPr>
            <w:tcW w:w="280" w:type="dxa"/>
            <w:vAlign w:val="bottom"/>
          </w:tcPr>
          <w:p>
            <w:pPr>
              <w:spacing w:after="0"/>
              <w:rPr>
                <w:sz w:val="14"/>
                <w:szCs w:val="14"/>
                <w:color w:val="auto"/>
              </w:rPr>
            </w:pPr>
          </w:p>
        </w:tc>
        <w:tc>
          <w:tcPr>
            <w:tcW w:w="1560" w:type="dxa"/>
            <w:vAlign w:val="bottom"/>
            <w:gridSpan w:val="4"/>
          </w:tcPr>
          <w:p>
            <w:pPr>
              <w:jc w:val="right"/>
              <w:ind w:right="413"/>
              <w:spacing w:after="0"/>
              <w:rPr>
                <w:sz w:val="20"/>
                <w:szCs w:val="20"/>
                <w:color w:val="auto"/>
              </w:rPr>
            </w:pPr>
            <w:r>
              <w:rPr>
                <w:rFonts w:ascii="Arial" w:cs="Arial" w:eastAsia="Arial" w:hAnsi="Arial"/>
                <w:sz w:val="13"/>
                <w:szCs w:val="13"/>
                <w:b w:val="1"/>
                <w:bCs w:val="1"/>
                <w:color w:val="auto"/>
              </w:rPr>
              <w:t>June 30, 2024</w:t>
            </w:r>
          </w:p>
        </w:tc>
      </w:tr>
      <w:tr>
        <w:trPr>
          <w:trHeight w:val="142"/>
        </w:trPr>
        <w:tc>
          <w:tcPr>
            <w:tcW w:w="31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Carrying Value</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Level 3</w:t>
            </w:r>
          </w:p>
        </w:tc>
        <w:tc>
          <w:tcPr>
            <w:tcW w:w="16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Carrying Value</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2"/>
                <w:szCs w:val="12"/>
                <w:color w:val="auto"/>
              </w:rPr>
            </w:pPr>
          </w:p>
        </w:tc>
        <w:tc>
          <w:tcPr>
            <w:tcW w:w="11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rPr>
              <w:t>Carrying Value</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Level 3</w:t>
            </w: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Assets:</w:t>
            </w:r>
          </w:p>
        </w:tc>
        <w:tc>
          <w:tcPr>
            <w:tcW w:w="3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r>
      <w:tr>
        <w:trPr>
          <w:trHeight w:val="148"/>
        </w:trPr>
        <w:tc>
          <w:tcPr>
            <w:tcW w:w="3160" w:type="dxa"/>
            <w:vAlign w:val="bottom"/>
            <w:gridSpan w:val="2"/>
          </w:tcPr>
          <w:p>
            <w:pPr>
              <w:ind w:left="20"/>
              <w:spacing w:after="0" w:line="149" w:lineRule="exact"/>
              <w:rPr>
                <w:sz w:val="20"/>
                <w:szCs w:val="20"/>
                <w:color w:val="auto"/>
              </w:rPr>
            </w:pPr>
            <w:r>
              <w:rPr>
                <w:rFonts w:ascii="Arial" w:cs="Arial" w:eastAsia="Arial" w:hAnsi="Arial"/>
                <w:sz w:val="12"/>
                <w:szCs w:val="12"/>
                <w:color w:val="auto"/>
              </w:rPr>
              <w:t xml:space="preserve">Derived participation investment </w:t>
            </w:r>
            <w:r>
              <w:rPr>
                <w:rFonts w:ascii="Arial" w:cs="Arial" w:eastAsia="Arial" w:hAnsi="Arial"/>
                <w:sz w:val="17"/>
                <w:szCs w:val="17"/>
                <w:color w:val="auto"/>
                <w:vertAlign w:val="superscript"/>
              </w:rPr>
              <w:t>(1)</w:t>
            </w: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6,001</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6,001</w:t>
            </w:r>
          </w:p>
        </w:tc>
        <w:tc>
          <w:tcPr>
            <w:tcW w:w="16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156</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156</w:t>
            </w:r>
          </w:p>
        </w:tc>
        <w:tc>
          <w:tcPr>
            <w:tcW w:w="8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1,771</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1,771</w:t>
            </w:r>
          </w:p>
        </w:tc>
      </w:tr>
      <w:tr>
        <w:trPr>
          <w:trHeight w:val="203"/>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77"/>
        </w:trPr>
        <w:tc>
          <w:tcPr>
            <w:tcW w:w="3160" w:type="dxa"/>
            <w:vAlign w:val="bottom"/>
            <w:gridSpan w:val="2"/>
          </w:tcPr>
          <w:p>
            <w:pPr>
              <w:ind w:left="20"/>
              <w:spacing w:after="0"/>
              <w:rPr>
                <w:sz w:val="20"/>
                <w:szCs w:val="20"/>
                <w:color w:val="auto"/>
              </w:rPr>
            </w:pPr>
            <w:r>
              <w:rPr>
                <w:rFonts w:ascii="Arial" w:cs="Arial" w:eastAsia="Arial" w:hAnsi="Arial"/>
                <w:sz w:val="13"/>
                <w:szCs w:val="13"/>
                <w:color w:val="auto"/>
              </w:rPr>
              <w:t xml:space="preserve">Acquisition-related contingent consideration </w:t>
            </w:r>
            <w:r>
              <w:rPr>
                <w:rFonts w:ascii="Arial" w:cs="Arial" w:eastAsia="Arial" w:hAnsi="Arial"/>
                <w:sz w:val="20"/>
                <w:szCs w:val="20"/>
                <w:color w:val="auto"/>
                <w:vertAlign w:val="superscript"/>
              </w:rPr>
              <w:t>(2)</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w:t>
            </w:r>
          </w:p>
        </w:tc>
      </w:tr>
    </w:tbl>
    <w:p>
      <w:pPr>
        <w:ind w:left="380" w:hanging="330"/>
        <w:spacing w:after="0" w:line="199"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3"/>
          <w:szCs w:val="13"/>
          <w:color w:val="auto"/>
        </w:rPr>
        <w:t>Derived participation investment was included in other assets in the accompanying condensed consolidated balance sheets.</w:t>
      </w:r>
    </w:p>
    <w:p>
      <w:pPr>
        <w:spacing w:after="0" w:line="62" w:lineRule="exact"/>
        <w:rPr>
          <w:rFonts w:ascii="Arial" w:cs="Arial" w:eastAsia="Arial" w:hAnsi="Arial"/>
          <w:sz w:val="19"/>
          <w:szCs w:val="19"/>
          <w:color w:val="auto"/>
          <w:vertAlign w:val="superscript"/>
        </w:rPr>
      </w:pPr>
    </w:p>
    <w:p>
      <w:pPr>
        <w:ind w:left="380" w:right="239" w:hanging="330"/>
        <w:spacing w:after="0" w:line="201" w:lineRule="auto"/>
        <w:tabs>
          <w:tab w:leader="none" w:pos="380" w:val="left"/>
        </w:tabs>
        <w:numPr>
          <w:ilvl w:val="0"/>
          <w:numId w:val="15"/>
        </w:numPr>
        <w:rPr>
          <w:rFonts w:ascii="Arial" w:cs="Arial" w:eastAsia="Arial" w:hAnsi="Arial"/>
          <w:sz w:val="19"/>
          <w:szCs w:val="19"/>
          <w:color w:val="auto"/>
          <w:vertAlign w:val="superscript"/>
        </w:rPr>
      </w:pPr>
      <w:r>
        <w:rPr>
          <w:rFonts w:ascii="Arial" w:cs="Arial" w:eastAsia="Arial" w:hAnsi="Arial"/>
          <w:sz w:val="13"/>
          <w:szCs w:val="13"/>
          <w:color w:val="auto"/>
        </w:rPr>
        <w:t>As of June 30, 2025, the $0.4 million of the acquisition-related contingent consideration was included in accrued liabilities in the accompanying condensed consolidated balance sheets. As of December 31, 2024 and June 30, 2024, the $0.2 million current and $0.2 million non-current portions of acquisition-related contingent consideration were included in accrued liabilities and other long-term liabilities, respectively, in the accompanying condensed consolidated balance sheets.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fair value measurements using significant unobservable inputs (Level 3):</w:t>
      </w:r>
    </w:p>
    <w:p>
      <w:pPr>
        <w:spacing w:after="0" w:line="320" w:lineRule="exact"/>
        <w:rPr>
          <w:sz w:val="20"/>
          <w:szCs w:val="20"/>
          <w:color w:val="auto"/>
        </w:rPr>
      </w:pPr>
    </w:p>
    <w:tbl>
      <w:tblPr>
        <w:tblLayout w:type="fixed"/>
        <w:tblInd w:w="500" w:type="dxa"/>
        <w:tblCellMar>
          <w:top w:w="0" w:type="dxa"/>
          <w:left w:w="0" w:type="dxa"/>
          <w:bottom w:w="0" w:type="dxa"/>
          <w:right w:w="0" w:type="dxa"/>
        </w:tblCellMar>
      </w:tblPr>
      <w:tr>
        <w:trPr>
          <w:trHeight w:val="127"/>
        </w:trPr>
        <w:tc>
          <w:tcPr>
            <w:tcW w:w="4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4"/>
          </w:tcPr>
          <w:p>
            <w:pPr>
              <w:jc w:val="right"/>
              <w:ind w:right="898"/>
              <w:spacing w:after="0"/>
              <w:rPr>
                <w:sz w:val="20"/>
                <w:szCs w:val="20"/>
                <w:color w:val="auto"/>
              </w:rPr>
            </w:pPr>
            <w:r>
              <w:rPr>
                <w:rFonts w:ascii="Arial" w:cs="Arial" w:eastAsia="Arial" w:hAnsi="Arial"/>
                <w:sz w:val="10"/>
                <w:szCs w:val="10"/>
                <w:b w:val="1"/>
                <w:bCs w:val="1"/>
                <w:color w:val="auto"/>
              </w:rPr>
              <w:t>Six Months Ended June 30, 2025</w:t>
            </w:r>
          </w:p>
        </w:tc>
        <w:tc>
          <w:tcPr>
            <w:tcW w:w="0" w:type="dxa"/>
            <w:vAlign w:val="bottom"/>
          </w:tcPr>
          <w:p>
            <w:pPr>
              <w:spacing w:after="0"/>
              <w:rPr>
                <w:sz w:val="1"/>
                <w:szCs w:val="1"/>
                <w:color w:val="auto"/>
              </w:rPr>
            </w:pPr>
          </w:p>
        </w:tc>
      </w:tr>
      <w:tr>
        <w:trPr>
          <w:trHeight w:val="110"/>
        </w:trPr>
        <w:tc>
          <w:tcPr>
            <w:tcW w:w="4120" w:type="dxa"/>
            <w:vAlign w:val="bottom"/>
            <w:vMerge w:val="restart"/>
          </w:tcPr>
          <w:p>
            <w:pPr>
              <w:spacing w:after="0"/>
              <w:rPr>
                <w:sz w:val="20"/>
                <w:szCs w:val="20"/>
                <w:color w:val="auto"/>
              </w:rPr>
            </w:pPr>
            <w:r>
              <w:rPr>
                <w:rFonts w:ascii="Arial" w:cs="Arial" w:eastAsia="Arial" w:hAnsi="Arial"/>
                <w:sz w:val="11"/>
                <w:szCs w:val="11"/>
                <w:color w:val="auto"/>
              </w:rPr>
              <w:t>($ in thousands)</w:t>
            </w: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Pr>
          <w:p>
            <w:pPr>
              <w:jc w:val="right"/>
              <w:ind w:right="18"/>
              <w:spacing w:after="0" w:line="110" w:lineRule="exact"/>
              <w:rPr>
                <w:sz w:val="20"/>
                <w:szCs w:val="20"/>
                <w:color w:val="auto"/>
              </w:rPr>
            </w:pPr>
            <w:r>
              <w:rPr>
                <w:rFonts w:ascii="Arial" w:cs="Arial" w:eastAsia="Arial" w:hAnsi="Arial"/>
                <w:sz w:val="10"/>
                <w:szCs w:val="10"/>
                <w:b w:val="1"/>
                <w:bCs w:val="1"/>
                <w:color w:val="auto"/>
                <w:w w:val="98"/>
              </w:rPr>
              <w:t>Acquisition-related contingent</w:t>
            </w:r>
          </w:p>
        </w:tc>
        <w:tc>
          <w:tcPr>
            <w:tcW w:w="0" w:type="dxa"/>
            <w:vAlign w:val="bottom"/>
          </w:tcPr>
          <w:p>
            <w:pPr>
              <w:spacing w:after="0"/>
              <w:rPr>
                <w:sz w:val="1"/>
                <w:szCs w:val="1"/>
                <w:color w:val="auto"/>
              </w:rPr>
            </w:pPr>
          </w:p>
        </w:tc>
      </w:tr>
      <w:tr>
        <w:trPr>
          <w:trHeight w:val="127"/>
        </w:trPr>
        <w:tc>
          <w:tcPr>
            <w:tcW w:w="412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Derived Participation Investment</w:t>
            </w:r>
          </w:p>
        </w:tc>
        <w:tc>
          <w:tcPr>
            <w:tcW w:w="2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consideration</w:t>
            </w:r>
          </w:p>
        </w:tc>
        <w:tc>
          <w:tcPr>
            <w:tcW w:w="0" w:type="dxa"/>
            <w:vAlign w:val="bottom"/>
          </w:tcPr>
          <w:p>
            <w:pPr>
              <w:spacing w:after="0"/>
              <w:rPr>
                <w:sz w:val="1"/>
                <w:szCs w:val="1"/>
                <w:color w:val="auto"/>
              </w:rPr>
            </w:pPr>
          </w:p>
        </w:tc>
      </w:tr>
      <w:tr>
        <w:trPr>
          <w:trHeight w:val="142"/>
        </w:trPr>
        <w:tc>
          <w:tcPr>
            <w:tcW w:w="41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Beginning balance</w:t>
            </w: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2"/>
              <w:spacing w:after="0" w:line="142" w:lineRule="exact"/>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156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3"/>
                <w:szCs w:val="13"/>
                <w:color w:val="auto"/>
              </w:rPr>
              <w:t>Purchases</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5,992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Gains included in earnings</w:t>
            </w:r>
          </w:p>
        </w:tc>
        <w:tc>
          <w:tcPr>
            <w:tcW w:w="4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c>
          <w:tcPr>
            <w:tcW w:w="2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980" w:type="dxa"/>
            <w:vAlign w:val="bottom"/>
            <w:gridSpan w:val="2"/>
            <w:shd w:val="clear" w:color="auto" w:fill="CCEEFF"/>
          </w:tcPr>
          <w:p>
            <w:pPr>
              <w:jc w:val="right"/>
              <w:ind w:right="382"/>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Derived Participation Investment</w:t>
      </w:r>
    </w:p>
    <w:p>
      <w:pPr>
        <w:spacing w:after="0" w:line="10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has entered into an arrangement with a consumer financing partner to invest in a participation interest in the cash flows of certain financing transactions under the white label financing program with such consumer financing partner (the “Derived Participation Investment”). The fair value of this investment was estimated by discounting the projected cash flows subject to the participation interest. The assumptions in the analysis included loan losses, prepayments, and recoveries derived based on historical observation of such data pertaining to the RV industry, as well as other relevant industries with loan structure similar to that of the RV industry. This is categorized as a Level 3 measurement and there was no significant change in unrealized gains or losses during the six months ended June 30, 2025.</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Contingent Consideration</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Company’s contingent consideration liability was established as part of the consideration for the acquisition of a tire rescue roadside assistance business in June 2024. The fair value of this liability was estimated as the present value of the probability weighted milestone payments at each of the first two anniversaries of the date of the acquisition for a maximum aggregate payment of $0.5 million if all milestones are reached. The assumptions in the analysis included the Company’s assessment of the probability that the milestones will be reached and a discount rate based primarily on the Company’s credit risk and its ability to pay. This is categorized as a Level 3 measurement and there was no significant change in unrealized gains or losses during the six months ended June 30, 2025.</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Fair Value Disclosures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have been no transfers of assets or liabilities between the fair value measurement levels and there were no material re-measurements to fair value during 2025 and 2024 of assets and liabilities that are not measured at fair value on a recurring basis.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floor plan notes payable under the Floor Plan Facility, the amounts reported in the accompanying condensed consolidated balance sheets approximate the fair value due to their short-term nature or the existence of variable interest rates that approximate prevailing market rates.</w:t>
      </w:r>
    </w:p>
    <w:p>
      <w:pPr>
        <w:spacing w:after="0" w:line="16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following table presents the reported carrying value and fair value information for the Company’s debt instruments. The fair values shown below for the Term Loan Facility, as applicable, are based on quoted prices in the inactive market for identical assets (Level 2) and the fair values shown below for the Floor Plan Facility Revolving Line of Credit, the Real Estate Facilities and the Other Long-Term Debt are estimated by discounting the future contractual cash flows at the current market interest rate that is available based on similar financial instruments.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Fair Value</w:t>
            </w:r>
          </w:p>
        </w:tc>
        <w:tc>
          <w:tcPr>
            <w:tcW w:w="16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0"/>
                <w:szCs w:val="10"/>
                <w:b w:val="1"/>
                <w:bCs w:val="1"/>
                <w:color w:val="auto"/>
              </w:rPr>
              <w:t>June 30, 2025</w:t>
            </w:r>
          </w:p>
        </w:tc>
        <w:tc>
          <w:tcPr>
            <w:tcW w:w="120" w:type="dxa"/>
            <w:vAlign w:val="bottom"/>
          </w:tcPr>
          <w:p>
            <w:pPr>
              <w:spacing w:after="0"/>
              <w:rPr>
                <w:sz w:val="11"/>
                <w:szCs w:val="11"/>
                <w:color w:val="auto"/>
              </w:rPr>
            </w:pPr>
          </w:p>
        </w:tc>
        <w:tc>
          <w:tcPr>
            <w:tcW w:w="16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0"/>
                <w:szCs w:val="10"/>
                <w:b w:val="1"/>
                <w:bCs w:val="1"/>
                <w:color w:val="auto"/>
              </w:rPr>
              <w:t>December 31, 2024</w:t>
            </w:r>
          </w:p>
        </w:tc>
        <w:tc>
          <w:tcPr>
            <w:tcW w:w="100" w:type="dxa"/>
            <w:vAlign w:val="bottom"/>
          </w:tcPr>
          <w:p>
            <w:pPr>
              <w:spacing w:after="0"/>
              <w:rPr>
                <w:sz w:val="11"/>
                <w:szCs w:val="11"/>
                <w:color w:val="auto"/>
              </w:rPr>
            </w:pPr>
          </w:p>
        </w:tc>
        <w:tc>
          <w:tcPr>
            <w:tcW w:w="17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0"/>
                <w:szCs w:val="10"/>
                <w:b w:val="1"/>
                <w:bCs w:val="1"/>
                <w:color w:val="auto"/>
              </w:rPr>
              <w:t>June 30, 2024</w:t>
            </w:r>
          </w:p>
        </w:tc>
      </w:tr>
      <w:tr>
        <w:trPr>
          <w:trHeight w:val="142"/>
        </w:trPr>
        <w:tc>
          <w:tcPr>
            <w:tcW w:w="278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Measurement</w:t>
            </w: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Value</w:t>
            </w:r>
          </w:p>
        </w:tc>
        <w:tc>
          <w:tcPr>
            <w:tcW w:w="880" w:type="dxa"/>
            <w:vAlign w:val="bottom"/>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Value</w:t>
            </w:r>
          </w:p>
        </w:tc>
        <w:tc>
          <w:tcPr>
            <w:tcW w:w="860" w:type="dxa"/>
            <w:vAlign w:val="bottom"/>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Carrying Value</w:t>
            </w:r>
          </w:p>
        </w:tc>
        <w:tc>
          <w:tcPr>
            <w:tcW w:w="780" w:type="dxa"/>
            <w:vAlign w:val="bottom"/>
          </w:tcPr>
          <w:p>
            <w:pPr>
              <w:jc w:val="right"/>
              <w:ind w:right="96"/>
              <w:spacing w:after="0"/>
              <w:rPr>
                <w:sz w:val="20"/>
                <w:szCs w:val="20"/>
                <w:color w:val="auto"/>
              </w:rPr>
            </w:pPr>
            <w:r>
              <w:rPr>
                <w:rFonts w:ascii="Arial" w:cs="Arial" w:eastAsia="Arial" w:hAnsi="Arial"/>
                <w:sz w:val="10"/>
                <w:szCs w:val="10"/>
                <w:b w:val="1"/>
                <w:bCs w:val="1"/>
                <w:color w:val="auto"/>
              </w:rPr>
              <w:t>Fair Value</w:t>
            </w:r>
          </w:p>
        </w:tc>
      </w:tr>
      <w:tr>
        <w:trPr>
          <w:trHeight w:val="142"/>
        </w:trPr>
        <w:tc>
          <w:tcPr>
            <w:tcW w:w="26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Term Loan Facility</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Level 2</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$ 1,330,401</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$ 1,311,749</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$ 1,335,535</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$ 1,320,286</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$ 1,340,942</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$ 1,315,280</w:t>
            </w:r>
          </w:p>
        </w:tc>
      </w:tr>
      <w:tr>
        <w:trPr>
          <w:trHeight w:val="14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Floor Plan Facility Revolving Line of Credit</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color w:val="auto"/>
              </w:rPr>
              <w:t>Level 2</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31,885</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32,729</w:t>
            </w:r>
          </w:p>
        </w:tc>
      </w:tr>
      <w:tr>
        <w:trPr>
          <w:trHeight w:val="14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Real Estate Facilities</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Level 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168,332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173,163</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173,132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176,684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189,039</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199,566</w:t>
            </w:r>
          </w:p>
        </w:tc>
      </w:tr>
      <w:tr>
        <w:trPr>
          <w:trHeight w:val="176"/>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Other Long-Term Debt</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color w:val="auto"/>
              </w:rPr>
              <w:t>Level 2</w:t>
            </w:r>
          </w:p>
        </w:tc>
        <w:tc>
          <w:tcPr>
            <w:tcW w:w="780" w:type="dxa"/>
            <w:vAlign w:val="bottom"/>
          </w:tcPr>
          <w:p>
            <w:pPr>
              <w:jc w:val="right"/>
              <w:spacing w:after="0"/>
              <w:rPr>
                <w:sz w:val="20"/>
                <w:szCs w:val="20"/>
                <w:color w:val="auto"/>
              </w:rPr>
            </w:pPr>
            <w:r>
              <w:rPr>
                <w:rFonts w:ascii="Arial" w:cs="Arial" w:eastAsia="Arial" w:hAnsi="Arial"/>
                <w:sz w:val="13"/>
                <w:szCs w:val="13"/>
                <w:color w:val="auto"/>
              </w:rPr>
              <w:t>7,760</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6,589</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7,926</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6,652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8,087</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6,665</w:t>
            </w:r>
          </w:p>
        </w:tc>
      </w:tr>
    </w:tbl>
    <w:p>
      <w:pPr>
        <w:spacing w:after="0" w:line="210" w:lineRule="exact"/>
        <w:rPr>
          <w:sz w:val="20"/>
          <w:szCs w:val="20"/>
          <w:color w:val="auto"/>
        </w:rPr>
      </w:pPr>
    </w:p>
    <w:p>
      <w:pPr>
        <w:ind w:left="60" w:right="5819" w:hanging="10"/>
        <w:spacing w:after="0" w:line="486" w:lineRule="auto"/>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Weissmann Complaint</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June 22, 2021, FreedomRoads Holding Company, LLC (“FR Holdco”), an indirect wholly-owned subsidiary of CWGS, LLC, filed a one-count complaint captioned FreedomRoads Holding Company, LLC v. Steve Weissmann in the Circuit Court of Cook County, Illinois against Steve Weissmann (“Weissmann”) for breach of contractual obligation under note guarantee (the “Note”) (the “Weissmann Complaint”). On October 8, 2021, Weissmann brought a counterclaim against FR Holdco and third-party defendants Marcus A. Lemonis, NBCUniversal Media, LLC, the Consumer National Broadcasting Company, Camping World, Inc. (“CW”), and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w:t>
      </w:r>
    </w:p>
    <w:p>
      <w:pPr>
        <w:jc w:val="both"/>
        <w:ind w:left="60" w:right="59" w:hanging="10"/>
        <w:spacing w:after="0" w:line="235" w:lineRule="auto"/>
        <w:tabs>
          <w:tab w:leader="none" w:pos="4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false light; (viii) intentional infliction of emotional distress; (ix) negligence; (x) unjust enrichment; and (xi) RICO § 1962. Weissmann seeks costs and damages in an amount to be proven at trial but no less than the amount in the Note (approximately $2.5 million); in connection with his RICO claim, Weissmann asserts he is 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A.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May 23, 2024, the arbitrator issued an interim award in favor of FR Holdco in the amount of $4,318,892, plus interest, costs, and attorneys’ fees as set forth in the Tumbleweed bankruptcy plan and to be determined by the arbitrator in subsequent proceedings. On July 31, 2024, the arbitrator heard the parties’ arguments on the amount of attorneys’ fees and costs owed to FR Holdco, after Weissmann conceded in a written briefing the obligation to pay attorneys’ fees and costs to FR Holdco as the prevailing party. On September 12, 2024, the arbitrator issued a final award in favor of FR Holdco in the amount of $4,990,006, in the manner described in the Tumbleweed bankruptcy plan. Weissmann is jointly and severally liable for $4,106,884 of that amount. On September 24, 2024, Weissmann and Tumbleweed filed a Petition to Vacate Arbitration Award in the Superior Court for the 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On July 8, 2025, Superior Court for the State of California, County of Los Angeles entered the Judgment in favor of FR Holdco, CW, Marcus A. Lemonis, NBCUniversal, and Machete. There can be no assurances that we will be able to collect amounts owed pursuant to the Arbitration Award.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Tumbleweed Complaint</w:t>
      </w:r>
    </w:p>
    <w:p>
      <w:pPr>
        <w:spacing w:after="0" w:line="210"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7"/>
          <w:szCs w:val="17"/>
          <w:color w:val="auto"/>
        </w:rPr>
        <w:t>On November 10, 2021, Tumbleweed Tiny House Company, Inc. (“Tumbleweed”) filed a complaint against FR Holdco, CW, Marcus A. Lemonis, NBCUniversal Media, LLC, and Machete Productions in which Tumbleweed alleges claims in connection with the Note and its appearance on the reality television show The 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 defamation; and (xiii) declaratory judgment. On April 21, 2022, the Court granted a motion to compel arbitration filed by NBCUniversal and joined by all defendants, including FR Holdco, CW, and Marcus A. Lemonis, compelling Tumbleweed’s claims to arbitration. Tumbleweed served its arbitration demand on FR Holdco, CW, and Marcus A. Lemonis on May 17, 2022. FR Holdco, CW, and Marcus A. Lemonis filed responses and affirmative defenses on May 31, 2022. On July 20, 2022, pursuant to the JAMS streamlined arbitration rules, the Tumbleweed Complaint was consolidated together with the Weissmann Complaint. The parties have exchanged discovery. On March 11, 2024, FR Holdco’s arbitration demand and the Weissman arbitration demand were tried before a single arbitrator pursuant to the JAMS streamlined arbitration rules in a confidential arbitration hearing. On May 23, 2024, the arbitrator issued an interim award in favor of all respondents, including FR Holdco, CW, and Lemonis. On July 31, 2024, the arbitrator heard the parties arguments on the amount of attorneys’ fees and costs owed to FR Holdco, CW, Lemonis, and the other defendants, after Tumbleweed conceded the obligation to pay attorneys’ fees and costs to the prevailing parties. On September 12, 2024, the arbitrator issued a final award in favor of FR Holdco, CW, Lemonis in the amount of $3,793,455 in attorneys’ fees and $626,611 in costs. The arbitrator also awarded $4,990,006 in favor of FR Holdco. On September 24, 2024, Weissmann and Tumbleweed filed a Petition to Vacate Arbitration Award in the Superior Court for the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State of California, County of Los Angeles. On September 27, 2024, FR Holdco, CW, Marcus A. Lemonis, NBCUniversal, and Machete filed a Petition to Confirm Arbitration Award in the Superior Court for the State of California, County of Los Angeles. On January 16, 2025, Superior Court for the State of California, County of Los Angeles granted the Petition to Confirm Arbitration Award and denied the Petition to Vacate Arbitration Award, concluding the litigation. On July 8, 2025, Superior Court for the State of California, County of Los Angeles entered the Judgment in favor of FR Holdco, CW, Marcus A. Lemonis, NBCUniversal, and Machete. There can be no assurances that we will be able to collect amounts owed pursuant to the Arbitration Award.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From time to time, the Company is involved in litigation arising in the normal course of business operations. While the outcome of litigation cannot be predicted with certainty, and some of these lawsuits, claims or proceedings may be determined adversely to the Company, management does not believe that the disposition of any such pending matters is likely to have a material adverse effect on the Company’s financial statements. No assurance can be made that these or similar suits will not result in a material financial exposure in excess of insurance coverage, which could have a material adverse effect upon the Company’s financial condition and 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Supplier Agreement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connection with the divestiture of CWDS in May 2024, the Company entered into the Supplier Agreement with the buyer that requires the Company to purchase an aggregate $250.0 million of product over the approximately 10-year term of the Supplier Agreement. Any shortfall under this aggregate purchase threshold results in an extension of the term of the Supplier Agreement and does not otherwise result in financial penalties. See Note 5 — Assets Held for Sale and Business Divestitures for a discussion of the divestiture of CWDS.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has employment agreements with certain officers. The agreements include, among other things, an annual bonus based on certain performance-based criteria and certain severance benefits in the event of a qualifying termination.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the normal course of business, the Company obtains standby letters of credit and surety bonds from financial institutions and other third parties. These instruments guarantee the Company’s future performance and provide third parties with financial and performance assurance in the event that the Company does not perform. These instruments support a wide variety of the Company’s business activities. As of June 30, 2025, December 31, 2024, and June 30, 2024, outstanding standby letters of credit issued through our Floor Plan Facility were $14.3 million, $14.3 million, and $12.3 million, respectively (see Note 3 — Inventories and Floor Plan Payables). The outstanding standby letters of credit issued through the Senior Secured Credit Facilities as of June 30, 2025, December 31, 2024, and June 30, 2024 were $4.9 million (see Note 7 — Long-Term Debt). As of June 30, 2025, December 31, 2024, and June 30, 2024, outstanding surety bonds were $26.1 million, $26.6 million, and $24.3 million, respectively. The underlying liabilities to which these instruments relate are reflected on the Company’s condensed consolidated balance sheets, where applicable. Therefore, no additional liability is reflected for the letters of credit and surety bonds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Statement of 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disclosures of cash flow information for the following periods (in thousands) were as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6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2"/>
                <w:szCs w:val="12"/>
                <w:b w:val="1"/>
                <w:bCs w:val="1"/>
                <w:color w:val="auto"/>
              </w:rPr>
              <w:t>Six Months Ended June 30,</w:t>
            </w:r>
          </w:p>
        </w:tc>
      </w:tr>
      <w:tr>
        <w:trPr>
          <w:trHeight w:val="142"/>
        </w:trPr>
        <w:tc>
          <w:tcPr>
            <w:tcW w:w="6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2024</w:t>
            </w:r>
          </w:p>
        </w:tc>
      </w:tr>
      <w:tr>
        <w:trPr>
          <w:trHeight w:val="196"/>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during the period for:</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860" w:type="dxa"/>
            <w:vAlign w:val="bottom"/>
          </w:tcPr>
          <w:p>
            <w:pPr>
              <w:ind w:left="220"/>
              <w:spacing w:after="0"/>
              <w:rPr>
                <w:sz w:val="20"/>
                <w:szCs w:val="20"/>
                <w:color w:val="auto"/>
              </w:rPr>
            </w:pPr>
            <w:r>
              <w:rPr>
                <w:rFonts w:ascii="Arial" w:cs="Arial" w:eastAsia="Arial" w:hAnsi="Arial"/>
                <w:sz w:val="14"/>
                <w:szCs w:val="14"/>
                <w:color w:val="auto"/>
              </w:rPr>
              <w:t>Interest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97,848</w:t>
            </w:r>
          </w:p>
        </w:tc>
        <w:tc>
          <w:tcPr>
            <w:tcW w:w="2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125,997</w:t>
            </w:r>
          </w:p>
        </w:tc>
      </w:tr>
      <w:tr>
        <w:trPr>
          <w:trHeight w:val="203"/>
        </w:trPr>
        <w:tc>
          <w:tcPr>
            <w:tcW w:w="6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w:t>
            </w:r>
          </w:p>
        </w:tc>
      </w:tr>
      <w:tr>
        <w:trPr>
          <w:trHeight w:val="203"/>
        </w:trPr>
        <w:tc>
          <w:tcPr>
            <w:tcW w:w="6860" w:type="dxa"/>
            <w:vAlign w:val="bottom"/>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Leasehold improvements paid by lessor</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860" w:type="dxa"/>
            <w:vAlign w:val="bottom"/>
          </w:tcPr>
          <w:p>
            <w:pPr>
              <w:ind w:left="220"/>
              <w:spacing w:after="0"/>
              <w:rPr>
                <w:sz w:val="20"/>
                <w:szCs w:val="20"/>
                <w:color w:val="auto"/>
              </w:rPr>
            </w:pPr>
            <w:r>
              <w:rPr>
                <w:rFonts w:ascii="Arial" w:cs="Arial" w:eastAsia="Arial" w:hAnsi="Arial"/>
                <w:sz w:val="14"/>
                <w:szCs w:val="14"/>
                <w:color w:val="auto"/>
              </w:rPr>
              <w:t>Capital expenditures in accounts payable and accrued liabilities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12,012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6,781</w:t>
            </w:r>
          </w:p>
        </w:tc>
      </w:tr>
      <w:tr>
        <w:trPr>
          <w:trHeight w:val="203"/>
        </w:trPr>
        <w:tc>
          <w:tcPr>
            <w:tcW w:w="6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Contingent consideration recognized as partial consideration for purchase of a business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r>
      <w:tr>
        <w:trPr>
          <w:trHeight w:val="203"/>
        </w:trPr>
        <w:tc>
          <w:tcPr>
            <w:tcW w:w="6860" w:type="dxa"/>
            <w:vAlign w:val="bottom"/>
          </w:tcPr>
          <w:p>
            <w:pPr>
              <w:ind w:left="220"/>
              <w:spacing w:after="0"/>
              <w:rPr>
                <w:sz w:val="20"/>
                <w:szCs w:val="20"/>
                <w:color w:val="auto"/>
              </w:rPr>
            </w:pPr>
            <w:r>
              <w:rPr>
                <w:rFonts w:ascii="Arial" w:cs="Arial" w:eastAsia="Arial" w:hAnsi="Arial"/>
                <w:sz w:val="14"/>
                <w:szCs w:val="14"/>
                <w:color w:val="auto"/>
              </w:rPr>
              <w:t>Fair value of holdback receivable recognized as partial consideration for divestiture of a business</w:t>
            </w:r>
          </w:p>
        </w:tc>
        <w:tc>
          <w:tcPr>
            <w:tcW w:w="1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933</w:t>
            </w:r>
          </w:p>
        </w:tc>
      </w:tr>
      <w:tr>
        <w:trPr>
          <w:trHeight w:val="203"/>
        </w:trPr>
        <w:tc>
          <w:tcPr>
            <w:tcW w:w="6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Supplier agreement intangible asset recognized as partial consideration for divestiture of a business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9,500</w:t>
            </w:r>
          </w:p>
        </w:tc>
      </w:tr>
      <w:tr>
        <w:trPr>
          <w:trHeight w:val="203"/>
        </w:trPr>
        <w:tc>
          <w:tcPr>
            <w:tcW w:w="6860" w:type="dxa"/>
            <w:vAlign w:val="bottom"/>
          </w:tcPr>
          <w:p>
            <w:pPr>
              <w:ind w:left="220"/>
              <w:spacing w:after="0"/>
              <w:rPr>
                <w:sz w:val="20"/>
                <w:szCs w:val="20"/>
                <w:color w:val="auto"/>
              </w:rPr>
            </w:pPr>
            <w:r>
              <w:rPr>
                <w:rFonts w:ascii="Arial" w:cs="Arial" w:eastAsia="Arial" w:hAnsi="Arial"/>
                <w:sz w:val="14"/>
                <w:szCs w:val="14"/>
                <w:color w:val="auto"/>
              </w:rPr>
              <w:t>Prior period deposit applied to portion of purchase price of RV dealership acquisition</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8,873</w:t>
            </w:r>
          </w:p>
        </w:tc>
      </w:tr>
      <w:tr>
        <w:trPr>
          <w:trHeight w:val="203"/>
        </w:trPr>
        <w:tc>
          <w:tcPr>
            <w:tcW w:w="6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treasury stock issued for vested restricted stock units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4,266</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Acquisitions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six months ended June 30, 2025 and 2024, subsidiaries of the Company acquired the assets of multiple RV dealerships that constituted businesses under GAAP. The Company used cash and borrowings under its Floor Plan Facility to complete the acquisitions. The Company considers acquisitions of independent dealerships to be a fast and capital efficient alternative to opening new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During the six months ended June 30, 2025, the RV and Outdoor Retail segment acquired the assets of various RV dealerships comprised of eight locations for an aggregate purchase price of approximately $ 92.2 million. As a component of the aggregate purchase price to acquire certain of these locations, $10.0 million was paid as a deposit in November 2024, which would convert into shares of Lazydays Holdings, Inc. (“Lazydays”) common stock if the Company completed the acquisition of all seven RV dealerships originally contemplated under the November 2024 agreement with Lazydays. However, the Company acquired only five of the seven Lazydays RV dealerships, so the deposit did not convert to shares of Lazydays common stock. Instead, the deposit was considered a component of the purchase price of those acquisitions. Additionally, a $1.0 million deposit was made in December 2024 for non-Lazydays RV dealership acquisitions that were completed during the six months ended June 30, 2025. Separate from these acquisitions, during the six months ended June 30, 2025, the Company purchased real property for an aggregate purchase price of $72.4 million.</w:t>
      </w:r>
    </w:p>
    <w:p>
      <w:pPr>
        <w:spacing w:after="0" w:line="18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7"/>
          <w:szCs w:val="17"/>
          <w:color w:val="auto"/>
        </w:rPr>
        <w:t>During the six months ended June 30, 2024, the RV and Outdoor Retail segment acquired the assets of various RV dealerships comprised of nine locations for an aggregate purchase price of approximately $69.4 million, of which one RV dealership had not opened by June 30, 2024. Separate from these acquisitions, during the six months ended June 30, 2024, the Company purchased real property for an aggregate purchase price of $1.2 million. Additionally, in June 2024, the Good Sam Services and Plans segment acquired the assets of a tire rescue roadside assistance business for $1.8 million in cash and up to an aggregate $0.5 million of milestone payments of which half is potentially payable at each of the first two anniversaries of the date of the acquisition. Those potential milestone payments were recorded as contingent consideration with a fair value of $0.4 million. The tire rescue roadside assistance business included a robust dispatch platform and strong network of service providers, which provide an opportunity to serve our customer base more effectively and reduce cost.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estimated fair values of the assets acquired and liabilities assumed for the acquisitions discussed above consist of the following, net of insignificant measurement period adjustments relating to acquisitions from the respective previous year:</w:t>
      </w:r>
    </w:p>
    <w:p>
      <w:pPr>
        <w:spacing w:after="0" w:line="19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586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80" w:type="dxa"/>
            <w:vAlign w:val="bottom"/>
          </w:tcPr>
          <w:p>
            <w:pPr>
              <w:spacing w:after="0"/>
              <w:rPr>
                <w:sz w:val="14"/>
                <w:szCs w:val="1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8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Tangible assets (liabilities) acquired (assumed):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73,343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39,439</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9,367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15,328</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(8,312)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(14,216)</w:t>
            </w:r>
          </w:p>
        </w:tc>
        <w:tc>
          <w:tcPr>
            <w:tcW w:w="0" w:type="dxa"/>
            <w:vAlign w:val="bottom"/>
          </w:tcPr>
          <w:p>
            <w:pPr>
              <w:spacing w:after="0"/>
              <w:rPr>
                <w:sz w:val="1"/>
                <w:szCs w:val="1"/>
                <w:color w:val="auto"/>
              </w:rPr>
            </w:pPr>
          </w:p>
        </w:tc>
      </w:tr>
      <w:tr>
        <w:trPr>
          <w:trHeight w:val="196"/>
        </w:trPr>
        <w:tc>
          <w:tcPr>
            <w:tcW w:w="5860" w:type="dxa"/>
            <w:vAlign w:val="bottom"/>
          </w:tcPr>
          <w:p>
            <w:pPr>
              <w:ind w:left="220"/>
              <w:spacing w:after="0" w:line="196" w:lineRule="exact"/>
              <w:rPr>
                <w:sz w:val="20"/>
                <w:szCs w:val="20"/>
                <w:color w:val="auto"/>
              </w:rPr>
            </w:pPr>
            <w:r>
              <w:rPr>
                <w:rFonts w:ascii="Arial" w:cs="Arial" w:eastAsia="Arial" w:hAnsi="Arial"/>
                <w:sz w:val="18"/>
                <w:szCs w:val="18"/>
                <w:color w:val="auto"/>
              </w:rPr>
              <w:t>Total tangible net assets acquired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74,203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39,677</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acquired: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00"/>
              <w:spacing w:after="0" w:line="202" w:lineRule="exact"/>
              <w:rPr>
                <w:sz w:val="20"/>
                <w:szCs w:val="20"/>
                <w:color w:val="auto"/>
              </w:rPr>
            </w:pPr>
            <w:r>
              <w:rPr>
                <w:rFonts w:ascii="Arial" w:cs="Arial" w:eastAsia="Arial" w:hAnsi="Arial"/>
                <w:sz w:val="18"/>
                <w:szCs w:val="18"/>
                <w:color w:val="auto"/>
              </w:rPr>
              <w:t>Supplier and customer relationships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 and developed technology</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96"/>
        </w:trPr>
        <w:tc>
          <w:tcPr>
            <w:tcW w:w="5860" w:type="dxa"/>
            <w:vAlign w:val="bottom"/>
          </w:tcPr>
          <w:p>
            <w:pPr>
              <w:ind w:left="220"/>
              <w:spacing w:after="0" w:line="196" w:lineRule="exact"/>
              <w:rPr>
                <w:sz w:val="20"/>
                <w:szCs w:val="20"/>
                <w:color w:val="auto"/>
              </w:rPr>
            </w:pPr>
            <w:r>
              <w:rPr>
                <w:rFonts w:ascii="Arial" w:cs="Arial" w:eastAsia="Arial" w:hAnsi="Arial"/>
                <w:sz w:val="18"/>
                <w:szCs w:val="18"/>
                <w:color w:val="auto"/>
              </w:rPr>
              <w:t>Total intangible assets acquired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17,951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28,692</w:t>
            </w:r>
          </w:p>
        </w:tc>
        <w:tc>
          <w:tcPr>
            <w:tcW w:w="0" w:type="dxa"/>
            <w:vAlign w:val="bottom"/>
          </w:tcPr>
          <w:p>
            <w:pPr>
              <w:spacing w:after="0"/>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Purchase price of acquisitions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92,154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71,564</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Application of deposit paid in prior period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acquisitions, net of cash acquired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81,154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62,323</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Inventory purchases financed via floor plan</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(71,181)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(49,162)</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payment net of floor plan financing</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9,973</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13,161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fair values above for the six months ended June 30, 2025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 For the six months ended June 30, 2024, the fair values include a measurement period adjustment to record $2.6 million of other intangible assets from a RV dealership acquisition that occurred during the year ended December 31, 2023. These intangible assets had an estimated useful life of 15 years; however, these intangible assets were sold for $ 2.6 million during 2024. Acquired developed technology asset of $0.6 million has a remaining useful life of four years.</w:t>
      </w:r>
    </w:p>
    <w:p>
      <w:pPr>
        <w:spacing w:after="0" w:line="7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primary items that generated the goodwill are the value of the expected synergies between the acquired businesses and the Company and the acquired assembled workforce, neither of which qualify for recognition as a separately identified intangible asset. For the six months ended June 30, 2025 and 2024, acquired goodwill of $18.0 million and $28.7 million, respectively, was expected to be deductible for tax purposes.</w:t>
      </w:r>
    </w:p>
    <w:p>
      <w:pPr>
        <w:spacing w:after="0" w:line="68"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Included in the condensed consolidated financial statements for the six months ended June 30, 2025 were revenue of $76.5 million and pre-tax income of $2.3 million from the acquired dealerships from the applicable acquisition dates in 2025. Included in the condensed consolidated financial statements for the six months ended June 30, 2024 were revenue of $38.1 million and pre-tax income of $1.2 million from the acquired dealerships from the applicable acquisition dates in 2024. Included in the condensed consolidated financial statements for the six months ended June 30, 2024 were insignificant amounts of revenue and pre-tax income from the acquired tire rescue roadside assistance business from the applicable acquisition date in 2024. Pro forma information on these acquisitions has not been included, because the Company has deemed them to not be individually or cumulatively material.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CWH is organized as a Subchapter C corporation and, as of June 30, 2025, was a 61.1% owner of CWGS, LLC (see Note 15 — Non-Controlling Interests). CWGS, LLC is organized as a limited liability company and treated as a partnership for U.S. federal and most applicable state and local income tax purposes and as such, is generally not subject to any U.S. federal entity-level income taxes. However, certain active CWGS, LLC subsidiaries, including CWFR Capital, LLC; Americas Road and Travel Club, Inc.; and FreedomRoads RV, Inc. and their wholly-owned subsidiaries, are subject to entity-level taxes as they are, or subject to income taxes as, Subchapter C corporations.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Effective Income Tax Rate</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the six months ended June 30, 2025 and 2024, the Company's effective income tax rate was 31.1% and 3.9%, respectively. The effective tax rate differed from the federal statutory rate of 21.0% primarily due to state taxes and a portion of the Company’s earnings being attributable to non-controlling interests in limited liability companies, which are not subject to entity level taxes. Additionally, the effective tax rate for the six months ended June 30, 2025 was further impacted by non-deductible executive compensation and return to provision adjustments.</w:t>
      </w:r>
    </w:p>
    <w:p>
      <w:pPr>
        <w:spacing w:after="0" w:line="17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On July 4, 2025, the U.S. federal legislation commonly referred to as the One Big Beautiful Bill Act (“OBBBA”) was enacted into law, introducing significant changes to the U.S. tax code. The Company is currently evaluating the various provisions of the OBBBA, but does not expect the changes to have a material impact on its effective income tax rate.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Receivable Agreement</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is party to a tax receivable agreement (the “Tax Receivable Agreement”) that provides for the payment by the Company to the Continuing Equity Owners and Crestview Partners II GP, L.P. of 85% of the amount of tax benefits, if any, the Company actually realizes, or in some circumstances is deemed to realize, as a result of (i) increases in the tax basis from the purchase of common units from Crestview Partners</w:t>
      </w:r>
    </w:p>
    <w:p>
      <w:pPr>
        <w:jc w:val="both"/>
        <w:ind w:left="60" w:right="59" w:hanging="10"/>
        <w:spacing w:after="0" w:line="236" w:lineRule="auto"/>
        <w:tabs>
          <w:tab w:leader="none" w:pos="2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GP, L.P in exchange for Class A common stock in connection with the consummation of the IPO and the related transactions and any future redemptions that are funded by the Company and any further redemptions of common units by Continuing Equity Owners and (ii) certain other tax benefits attributable to payments made under the Tax Receivable Agreement. The above payments are predicated on CWGS, LLC making an election under Section 754 of the Internal Revenue Code effective for each tax year in which a redemption of common units for cash or stock occurs. These tax benefit payments are not conditioned upon one or more of the Continuing Equity Owners or Crestview Partners II GP, L.P. maintaining a continued ownership interest in CWGS, LLC. In general, the Continuing Equity Owners’ or Crestview Partners II GP, L.P.’s rights under the Tax Receivable Agreement are assignable, including to transferees of its common units in CWGS, LLC (other than the Company as transferee pursuant to a redemption of common units in CWGS, LLC). The Company expects to benefit from the remaining 15% of the tax benefits, if any, which may be realized.</w:t>
      </w:r>
    </w:p>
    <w:p>
      <w:pPr>
        <w:spacing w:after="0" w:line="18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During the six months ended June 30, 2025 and 2024, there were no redemptions of common units by Continuing Equity Owners.</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14. 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Directors, Equity Holders and Executive Officers</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From January 2012 until its expiration in March 2024, FreedomRoads, LLC was the lessee of what is now its previous corporate headquarters in Lincolnshire, Illinois (as amended from time to time, the “Lincolnshire Lease”). For the six months ended June 30, 2024, rental payments for the Lincolnshire Lease, including common area maintenance charges, were $0.2 million, which were included in SG&amp;A expenses in the condensed consolidated statements of operations. The Company’s Chairman and Chief Executive Officer had personally guaranteed the Lincolnshire Lease.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Non-Controlling Interests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the CWGS, LLC common unit ownership by CWH and the Continuing Equity Owners: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480" w:type="dxa"/>
            <w:vAlign w:val="bottom"/>
          </w:tcPr>
          <w:p>
            <w:pPr>
              <w:spacing w:after="0"/>
              <w:rPr>
                <w:sz w:val="14"/>
                <w:szCs w:val="14"/>
                <w:color w:val="auto"/>
              </w:rPr>
            </w:pPr>
          </w:p>
        </w:tc>
        <w:tc>
          <w:tcPr>
            <w:tcW w:w="2220" w:type="dxa"/>
            <w:vAlign w:val="bottom"/>
            <w:gridSpan w:val="4"/>
          </w:tcPr>
          <w:p>
            <w:pPr>
              <w:ind w:left="400"/>
              <w:spacing w:after="0"/>
              <w:rPr>
                <w:sz w:val="20"/>
                <w:szCs w:val="20"/>
                <w:color w:val="auto"/>
              </w:rPr>
            </w:pPr>
            <w:r>
              <w:rPr>
                <w:rFonts w:ascii="Arial" w:cs="Arial" w:eastAsia="Arial" w:hAnsi="Arial"/>
                <w:sz w:val="13"/>
                <w:szCs w:val="13"/>
                <w:b w:val="1"/>
                <w:bCs w:val="1"/>
                <w:color w:val="auto"/>
              </w:rPr>
              <w:t>As of June 30, 2025</w:t>
            </w:r>
          </w:p>
        </w:tc>
        <w:tc>
          <w:tcPr>
            <w:tcW w:w="2200" w:type="dxa"/>
            <w:vAlign w:val="bottom"/>
            <w:gridSpan w:val="4"/>
          </w:tcPr>
          <w:p>
            <w:pPr>
              <w:ind w:left="220"/>
              <w:spacing w:after="0"/>
              <w:rPr>
                <w:sz w:val="20"/>
                <w:szCs w:val="20"/>
                <w:color w:val="auto"/>
              </w:rPr>
            </w:pPr>
            <w:r>
              <w:rPr>
                <w:rFonts w:ascii="Arial" w:cs="Arial" w:eastAsia="Arial" w:hAnsi="Arial"/>
                <w:sz w:val="13"/>
                <w:szCs w:val="13"/>
                <w:b w:val="1"/>
                <w:bCs w:val="1"/>
                <w:color w:val="auto"/>
              </w:rPr>
              <w:t>As of December 31, 2024</w:t>
            </w:r>
          </w:p>
        </w:tc>
        <w:tc>
          <w:tcPr>
            <w:tcW w:w="2000" w:type="dxa"/>
            <w:vAlign w:val="bottom"/>
            <w:gridSpan w:val="3"/>
          </w:tcPr>
          <w:p>
            <w:pPr>
              <w:jc w:val="right"/>
              <w:ind w:right="289"/>
              <w:spacing w:after="0"/>
              <w:rPr>
                <w:sz w:val="20"/>
                <w:szCs w:val="20"/>
                <w:color w:val="auto"/>
              </w:rPr>
            </w:pPr>
            <w:r>
              <w:rPr>
                <w:rFonts w:ascii="Arial" w:cs="Arial" w:eastAsia="Arial" w:hAnsi="Arial"/>
                <w:sz w:val="13"/>
                <w:szCs w:val="13"/>
                <w:b w:val="1"/>
                <w:bCs w:val="1"/>
                <w:color w:val="auto"/>
              </w:rPr>
              <w:t>As of June 30, 2024</w:t>
            </w:r>
          </w:p>
        </w:tc>
      </w:tr>
      <w:tr>
        <w:trPr>
          <w:trHeight w:val="142"/>
        </w:trPr>
        <w:tc>
          <w:tcPr>
            <w:tcW w:w="2480" w:type="dxa"/>
            <w:vAlign w:val="bottom"/>
          </w:tcPr>
          <w:p>
            <w:pPr>
              <w:spacing w:after="0"/>
              <w:rPr>
                <w:sz w:val="12"/>
                <w:szCs w:val="12"/>
                <w:color w:val="auto"/>
              </w:rPr>
            </w:pPr>
          </w:p>
        </w:tc>
        <w:tc>
          <w:tcPr>
            <w:tcW w:w="11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3"/>
                <w:szCs w:val="13"/>
                <w:b w:val="1"/>
                <w:bCs w:val="1"/>
                <w:color w:val="auto"/>
              </w:rPr>
              <w:t>Common Units</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Ownership %</w:t>
            </w:r>
          </w:p>
        </w:tc>
        <w:tc>
          <w:tcPr>
            <w:tcW w:w="160" w:type="dxa"/>
            <w:vAlign w:val="bottom"/>
          </w:tcPr>
          <w:p>
            <w:pPr>
              <w:spacing w:after="0"/>
              <w:rPr>
                <w:sz w:val="12"/>
                <w:szCs w:val="12"/>
                <w:color w:val="auto"/>
              </w:rPr>
            </w:pPr>
          </w:p>
        </w:tc>
        <w:tc>
          <w:tcPr>
            <w:tcW w:w="11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rPr>
              <w:t>Common Units</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Ownership %</w:t>
            </w:r>
          </w:p>
        </w:tc>
        <w:tc>
          <w:tcPr>
            <w:tcW w:w="160" w:type="dxa"/>
            <w:vAlign w:val="bottom"/>
          </w:tcPr>
          <w:p>
            <w:pPr>
              <w:spacing w:after="0"/>
              <w:rPr>
                <w:sz w:val="12"/>
                <w:szCs w:val="12"/>
                <w:color w:val="auto"/>
              </w:rPr>
            </w:pPr>
          </w:p>
        </w:tc>
        <w:tc>
          <w:tcPr>
            <w:tcW w:w="11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rPr>
              <w:t>Common Units</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Ownership %</w:t>
            </w:r>
          </w:p>
        </w:tc>
      </w:tr>
      <w:tr>
        <w:trPr>
          <w:trHeight w:val="155"/>
        </w:trPr>
        <w:tc>
          <w:tcPr>
            <w:tcW w:w="24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CWH</w:t>
            </w: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62,648,648</w:t>
            </w:r>
          </w:p>
        </w:tc>
        <w:tc>
          <w:tcPr>
            <w:tcW w:w="1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61.1%</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62,502,096</w:t>
            </w:r>
          </w:p>
        </w:tc>
        <w:tc>
          <w:tcPr>
            <w:tcW w:w="1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61.0%</w:t>
            </w:r>
          </w:p>
        </w:tc>
        <w:tc>
          <w:tcPr>
            <w:tcW w:w="16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45,115,012</w:t>
            </w:r>
          </w:p>
        </w:tc>
        <w:tc>
          <w:tcPr>
            <w:tcW w:w="1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53.0%</w:t>
            </w:r>
          </w:p>
        </w:tc>
      </w:tr>
      <w:tr>
        <w:trPr>
          <w:trHeight w:val="162"/>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Continuing Equity Owners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39,895,393</w:t>
            </w: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w:t>
            </w:r>
          </w:p>
        </w:tc>
        <w:tc>
          <w:tcPr>
            <w:tcW w:w="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39,895,393</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40,044,536</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r>
      <w:tr>
        <w:trPr>
          <w:trHeight w:val="155"/>
        </w:trPr>
        <w:tc>
          <w:tcPr>
            <w:tcW w:w="24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102,544,041</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102,397,489</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85,159,548</w:t>
            </w: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r>
      <w:tr>
        <w:trPr>
          <w:trHeight w:val="20"/>
        </w:trPr>
        <w:tc>
          <w:tcPr>
            <w:tcW w:w="2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effects of changes in ownership in CWGS, LLC on the Company’s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spacing w:after="0"/>
              <w:rPr>
                <w:sz w:val="20"/>
                <w:szCs w:val="20"/>
                <w:color w:val="auto"/>
              </w:rPr>
            </w:pPr>
            <w:r>
              <w:rPr>
                <w:rFonts w:ascii="Arial" w:cs="Arial" w:eastAsia="Arial" w:hAnsi="Arial"/>
                <w:sz w:val="13"/>
                <w:szCs w:val="13"/>
                <w:b w:val="1"/>
                <w:bCs w:val="1"/>
                <w:color w:val="auto"/>
              </w:rPr>
              <w:t>Three Months Ended June 30,</w:t>
            </w:r>
          </w:p>
        </w:tc>
        <w:tc>
          <w:tcPr>
            <w:tcW w:w="1660" w:type="dxa"/>
            <w:vAlign w:val="bottom"/>
            <w:gridSpan w:val="5"/>
          </w:tcPr>
          <w:p>
            <w:pPr>
              <w:ind w:left="20"/>
              <w:spacing w:after="0"/>
              <w:rPr>
                <w:sz w:val="20"/>
                <w:szCs w:val="20"/>
                <w:color w:val="auto"/>
              </w:rPr>
            </w:pPr>
            <w:r>
              <w:rPr>
                <w:rFonts w:ascii="Arial" w:cs="Arial" w:eastAsia="Arial" w:hAnsi="Arial"/>
                <w:sz w:val="13"/>
                <w:szCs w:val="13"/>
                <w:b w:val="1"/>
                <w:bCs w:val="1"/>
                <w:color w:val="auto"/>
                <w:w w:val="96"/>
              </w:rPr>
              <w:t>Six Months Ended June 30,</w:t>
            </w:r>
          </w:p>
        </w:tc>
        <w:tc>
          <w:tcPr>
            <w:tcW w:w="0" w:type="dxa"/>
            <w:vAlign w:val="bottom"/>
          </w:tcPr>
          <w:p>
            <w:pPr>
              <w:spacing w:after="0"/>
              <w:rPr>
                <w:sz w:val="1"/>
                <w:szCs w:val="1"/>
                <w:color w:val="auto"/>
              </w:rPr>
            </w:pPr>
          </w:p>
        </w:tc>
      </w:tr>
      <w:tr>
        <w:trPr>
          <w:trHeight w:val="142"/>
        </w:trPr>
        <w:tc>
          <w:tcPr>
            <w:tcW w:w="534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0"/>
              <w:spacing w:after="0" w:line="142" w:lineRule="exact"/>
              <w:rPr>
                <w:sz w:val="20"/>
                <w:szCs w:val="20"/>
                <w:color w:val="auto"/>
              </w:rPr>
            </w:pPr>
            <w:r>
              <w:rPr>
                <w:rFonts w:ascii="Arial" w:cs="Arial" w:eastAsia="Arial" w:hAnsi="Arial"/>
                <w:sz w:val="13"/>
                <w:szCs w:val="13"/>
                <w:b w:val="1"/>
                <w:bCs w:val="1"/>
                <w:color w:val="auto"/>
              </w:rPr>
              <w:t>2025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0"/>
              <w:spacing w:after="0" w:line="142" w:lineRule="exact"/>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2025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0"/>
              <w:spacing w:after="0" w:line="142" w:lineRule="exact"/>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55"/>
        </w:trPr>
        <w:tc>
          <w:tcPr>
            <w:tcW w:w="52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 (loss) attributable to Camping World Holdings, Inc.</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30,216</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9,771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17,936</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(12,536)</w:t>
            </w:r>
          </w:p>
        </w:tc>
        <w:tc>
          <w:tcPr>
            <w:tcW w:w="0" w:type="dxa"/>
            <w:vAlign w:val="bottom"/>
          </w:tcPr>
          <w:p>
            <w:pPr>
              <w:spacing w:after="0"/>
              <w:rPr>
                <w:sz w:val="1"/>
                <w:szCs w:val="1"/>
                <w:color w:val="auto"/>
              </w:rPr>
            </w:pPr>
          </w:p>
        </w:tc>
      </w:tr>
      <w:tr>
        <w:trPr>
          <w:trHeight w:val="162"/>
        </w:trPr>
        <w:tc>
          <w:tcPr>
            <w:tcW w:w="5340" w:type="dxa"/>
            <w:vAlign w:val="bottom"/>
            <w:gridSpan w:val="2"/>
          </w:tcPr>
          <w:p>
            <w:pPr>
              <w:ind w:left="20"/>
              <w:spacing w:after="0"/>
              <w:rPr>
                <w:sz w:val="20"/>
                <w:szCs w:val="20"/>
                <w:color w:val="auto"/>
              </w:rPr>
            </w:pPr>
            <w:r>
              <w:rPr>
                <w:rFonts w:ascii="Arial" w:cs="Arial" w:eastAsia="Arial" w:hAnsi="Arial"/>
                <w:sz w:val="14"/>
                <w:szCs w:val="14"/>
                <w:color w:val="auto"/>
              </w:rPr>
              <w:t>Transfers to non-controlling interests: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Decrease in additional paid-in capital as a result of the purchase of common</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units from CWGS, LLC with proceeds from the exercise of stock options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3"/>
        </w:trPr>
        <w:tc>
          <w:tcPr>
            <w:tcW w:w="534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Increase (decrease) in additional paid-in capital as a result of the vesting of</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(1,599)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(3,833)</w:t>
            </w:r>
          </w:p>
        </w:tc>
        <w:tc>
          <w:tcPr>
            <w:tcW w:w="0" w:type="dxa"/>
            <w:vAlign w:val="bottom"/>
          </w:tcPr>
          <w:p>
            <w:pPr>
              <w:spacing w:after="0"/>
              <w:rPr>
                <w:sz w:val="1"/>
                <w:szCs w:val="1"/>
                <w:color w:val="auto"/>
              </w:rPr>
            </w:pPr>
          </w:p>
        </w:tc>
      </w:tr>
      <w:tr>
        <w:trPr>
          <w:trHeight w:val="153"/>
        </w:trPr>
        <w:tc>
          <w:tcPr>
            <w:tcW w:w="53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(Decrease) increase in additional paid-in capital as a result of repurchases of</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Class A common stock for withholding taxes on vested RSUs</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(304)</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(1,175)</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33"/>
        </w:trPr>
        <w:tc>
          <w:tcPr>
            <w:tcW w:w="5340" w:type="dxa"/>
            <w:vAlign w:val="bottom"/>
            <w:gridSpan w:val="2"/>
          </w:tcPr>
          <w:p>
            <w:pPr>
              <w:ind w:left="120"/>
              <w:spacing w:after="0" w:line="133" w:lineRule="exact"/>
              <w:rPr>
                <w:sz w:val="20"/>
                <w:szCs w:val="20"/>
                <w:color w:val="auto"/>
              </w:rPr>
            </w:pPr>
            <w:r>
              <w:rPr>
                <w:rFonts w:ascii="Arial" w:cs="Arial" w:eastAsia="Arial" w:hAnsi="Arial"/>
                <w:sz w:val="14"/>
                <w:szCs w:val="14"/>
                <w:color w:val="auto"/>
              </w:rPr>
              <w:t>Change from net income (loss) attributable to Camping World Holdings, Inc. and</w:t>
            </w:r>
          </w:p>
        </w:tc>
        <w:tc>
          <w:tcPr>
            <w:tcW w:w="1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30,138</w:t>
            </w:r>
          </w:p>
        </w:tc>
        <w:tc>
          <w:tcPr>
            <w:tcW w:w="2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8,232</w:t>
            </w:r>
          </w:p>
        </w:tc>
        <w:tc>
          <w:tcPr>
            <w:tcW w:w="100" w:type="dxa"/>
            <w:vAlign w:val="bottom"/>
          </w:tcPr>
          <w:p>
            <w:pPr>
              <w:spacing w:after="0"/>
              <w:rPr>
                <w:sz w:val="11"/>
                <w:szCs w:val="11"/>
                <w:color w:val="auto"/>
              </w:rPr>
            </w:pPr>
          </w:p>
        </w:tc>
        <w:tc>
          <w:tcPr>
            <w:tcW w:w="160" w:type="dxa"/>
            <w:vAlign w:val="bottom"/>
            <w:tcBorders>
              <w:top w:val="single" w:sz="8" w:color="auto"/>
            </w:tcBorders>
            <w:vMerge w:val="restart"/>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17,433</w:t>
            </w:r>
          </w:p>
        </w:tc>
        <w:tc>
          <w:tcPr>
            <w:tcW w:w="16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(16,122)</w:t>
            </w:r>
          </w:p>
        </w:tc>
        <w:tc>
          <w:tcPr>
            <w:tcW w:w="0" w:type="dxa"/>
            <w:vAlign w:val="bottom"/>
          </w:tcPr>
          <w:p>
            <w:pPr>
              <w:spacing w:after="0"/>
              <w:rPr>
                <w:sz w:val="1"/>
                <w:szCs w:val="1"/>
                <w:color w:val="auto"/>
              </w:rPr>
            </w:pPr>
          </w:p>
        </w:tc>
      </w:tr>
      <w:tr>
        <w:trPr>
          <w:trHeight w:val="163"/>
        </w:trPr>
        <w:tc>
          <w:tcPr>
            <w:tcW w:w="5340" w:type="dxa"/>
            <w:vAlign w:val="bottom"/>
            <w:gridSpan w:val="2"/>
          </w:tcPr>
          <w:p>
            <w:pPr>
              <w:ind w:left="120"/>
              <w:spacing w:after="0" w:line="158" w:lineRule="exact"/>
              <w:rPr>
                <w:sz w:val="20"/>
                <w:szCs w:val="20"/>
                <w:color w:val="auto"/>
              </w:rPr>
            </w:pPr>
            <w:r>
              <w:rPr>
                <w:rFonts w:ascii="Arial" w:cs="Arial" w:eastAsia="Arial" w:hAnsi="Arial"/>
                <w:sz w:val="14"/>
                <w:szCs w:val="14"/>
                <w:color w:val="auto"/>
              </w:rPr>
              <w:t>transfers to non-controlling interests</w:t>
            </w:r>
          </w:p>
        </w:tc>
        <w:tc>
          <w:tcPr>
            <w:tcW w:w="1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Stock-Based Compensation Plans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summarizes the stock-based compensation (“SBC”) that has been included in the following line items within the condensed consolidated statements of operations during:</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45"/>
        </w:trPr>
        <w:tc>
          <w:tcPr>
            <w:tcW w:w="5340" w:type="dxa"/>
            <w:vAlign w:val="bottom"/>
          </w:tcPr>
          <w:p>
            <w:pPr>
              <w:spacing w:after="0"/>
              <w:rPr>
                <w:sz w:val="12"/>
                <w:szCs w:val="12"/>
                <w:color w:val="auto"/>
              </w:rPr>
            </w:pPr>
          </w:p>
        </w:tc>
        <w:tc>
          <w:tcPr>
            <w:tcW w:w="1740" w:type="dxa"/>
            <w:vAlign w:val="bottom"/>
            <w:gridSpan w:val="6"/>
          </w:tcPr>
          <w:p>
            <w:pPr>
              <w:ind w:left="80"/>
              <w:spacing w:after="0"/>
              <w:rPr>
                <w:sz w:val="20"/>
                <w:szCs w:val="20"/>
                <w:color w:val="auto"/>
              </w:rPr>
            </w:pPr>
            <w:r>
              <w:rPr>
                <w:rFonts w:ascii="Arial" w:cs="Arial" w:eastAsia="Arial" w:hAnsi="Arial"/>
                <w:sz w:val="12"/>
                <w:szCs w:val="12"/>
                <w:b w:val="1"/>
                <w:bCs w:val="1"/>
                <w:color w:val="auto"/>
                <w:w w:val="96"/>
              </w:rPr>
              <w:t>Three Months Ended June 30,</w:t>
            </w:r>
          </w:p>
        </w:tc>
        <w:tc>
          <w:tcPr>
            <w:tcW w:w="160" w:type="dxa"/>
            <w:vAlign w:val="bottom"/>
          </w:tcPr>
          <w:p>
            <w:pPr>
              <w:spacing w:after="0"/>
              <w:rPr>
                <w:sz w:val="12"/>
                <w:szCs w:val="12"/>
                <w:color w:val="auto"/>
              </w:rPr>
            </w:pPr>
          </w:p>
        </w:tc>
        <w:tc>
          <w:tcPr>
            <w:tcW w:w="1660" w:type="dxa"/>
            <w:vAlign w:val="bottom"/>
            <w:gridSpan w:val="6"/>
          </w:tcPr>
          <w:p>
            <w:pPr>
              <w:jc w:val="right"/>
              <w:ind w:right="11"/>
              <w:spacing w:after="0"/>
              <w:rPr>
                <w:sz w:val="20"/>
                <w:szCs w:val="20"/>
                <w:color w:val="auto"/>
              </w:rPr>
            </w:pPr>
            <w:r>
              <w:rPr>
                <w:rFonts w:ascii="Arial" w:cs="Arial" w:eastAsia="Arial" w:hAnsi="Arial"/>
                <w:sz w:val="12"/>
                <w:szCs w:val="12"/>
                <w:b w:val="1"/>
                <w:bCs w:val="1"/>
                <w:color w:val="auto"/>
              </w:rPr>
              <w:t>Six Months Ended June 30,</w:t>
            </w:r>
          </w:p>
        </w:tc>
      </w:tr>
      <w:tr>
        <w:trPr>
          <w:trHeight w:val="142"/>
        </w:trPr>
        <w:tc>
          <w:tcPr>
            <w:tcW w:w="53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 in thousands)</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2"/>
                <w:szCs w:val="12"/>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2024</w:t>
            </w:r>
          </w:p>
        </w:tc>
      </w:tr>
      <w:tr>
        <w:trPr>
          <w:trHeight w:val="155"/>
        </w:trPr>
        <w:tc>
          <w:tcPr>
            <w:tcW w:w="53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Stock-based compensation expense:</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62"/>
        </w:trPr>
        <w:tc>
          <w:tcPr>
            <w:tcW w:w="5340" w:type="dxa"/>
            <w:vAlign w:val="bottom"/>
          </w:tcPr>
          <w:p>
            <w:pPr>
              <w:spacing w:after="0"/>
              <w:rPr>
                <w:sz w:val="20"/>
                <w:szCs w:val="20"/>
                <w:color w:val="auto"/>
              </w:rPr>
            </w:pPr>
            <w:r>
              <w:rPr>
                <w:rFonts w:ascii="Arial" w:cs="Arial" w:eastAsia="Arial" w:hAnsi="Arial"/>
                <w:sz w:val="14"/>
                <w:szCs w:val="14"/>
                <w:color w:val="auto"/>
              </w:rPr>
              <w:t>Costs applicable to revenue</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3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89</w:t>
            </w:r>
          </w:p>
        </w:tc>
        <w:tc>
          <w:tcPr>
            <w:tcW w:w="32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225</w:t>
            </w:r>
          </w:p>
        </w:tc>
        <w:tc>
          <w:tcPr>
            <w:tcW w:w="140" w:type="dxa"/>
            <w:vAlign w:val="bottom"/>
          </w:tcPr>
          <w:p>
            <w:pPr>
              <w:spacing w:after="0"/>
              <w:rPr>
                <w:sz w:val="14"/>
                <w:szCs w:val="14"/>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162"/>
        </w:trPr>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8,344</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5,308</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10,413</w:t>
            </w:r>
          </w:p>
        </w:tc>
      </w:tr>
      <w:tr>
        <w:trPr>
          <w:trHeight w:val="155"/>
        </w:trPr>
        <w:tc>
          <w:tcPr>
            <w:tcW w:w="5340" w:type="dxa"/>
            <w:vAlign w:val="bottom"/>
          </w:tcPr>
          <w:p>
            <w:pPr>
              <w:spacing w:after="0" w:line="155" w:lineRule="exact"/>
              <w:rPr>
                <w:sz w:val="20"/>
                <w:szCs w:val="20"/>
                <w:color w:val="auto"/>
              </w:rPr>
            </w:pPr>
            <w:r>
              <w:rPr>
                <w:rFonts w:ascii="Arial" w:cs="Arial" w:eastAsia="Arial" w:hAnsi="Arial"/>
                <w:sz w:val="14"/>
                <w:szCs w:val="14"/>
                <w:color w:val="auto"/>
              </w:rPr>
              <w:t>Total stock-based compensation expense</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8,444</w:t>
            </w:r>
          </w:p>
        </w:tc>
        <w:tc>
          <w:tcPr>
            <w:tcW w:w="16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5,397</w:t>
            </w:r>
          </w:p>
        </w:tc>
        <w:tc>
          <w:tcPr>
            <w:tcW w:w="160" w:type="dxa"/>
            <w:vAlign w:val="bottom"/>
          </w:tcPr>
          <w:p>
            <w:pPr>
              <w:spacing w:after="0"/>
              <w:rPr>
                <w:sz w:val="13"/>
                <w:szCs w:val="13"/>
                <w:color w:val="auto"/>
              </w:rPr>
            </w:pPr>
          </w:p>
        </w:tc>
        <w:tc>
          <w:tcPr>
            <w:tcW w:w="160" w:type="dxa"/>
            <w:vAlign w:val="bottom"/>
            <w:tcBorders>
              <w:bottom w:val="single" w:sz="8" w:color="auto"/>
            </w:tcBorders>
          </w:tcPr>
          <w:p>
            <w:pPr>
              <w:jc w:val="right"/>
              <w:ind w:right="15"/>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15,714</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10,594</w:t>
            </w:r>
          </w:p>
        </w:tc>
      </w:tr>
      <w:tr>
        <w:trPr>
          <w:trHeight w:val="20"/>
        </w:trPr>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stock option, restricted stock unit (“RSU”) and performance stock unit (“PSU”) activities for the six months ended June 30, 2025:</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297"/>
              <w:spacing w:after="0"/>
              <w:rPr>
                <w:sz w:val="20"/>
                <w:szCs w:val="20"/>
                <w:color w:val="auto"/>
              </w:rPr>
            </w:pPr>
            <w:r>
              <w:rPr>
                <w:rFonts w:ascii="Arial" w:cs="Arial" w:eastAsia="Arial" w:hAnsi="Arial"/>
                <w:sz w:val="13"/>
                <w:szCs w:val="13"/>
                <w:b w:val="1"/>
                <w:bCs w:val="1"/>
                <w:color w:val="auto"/>
                <w:w w:val="95"/>
              </w:rPr>
              <w:t>Stock</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Restricted</w:t>
            </w:r>
          </w:p>
        </w:tc>
        <w:tc>
          <w:tcPr>
            <w:tcW w:w="1340" w:type="dxa"/>
            <w:vAlign w:val="bottom"/>
          </w:tcPr>
          <w:p>
            <w:pPr>
              <w:jc w:val="right"/>
              <w:ind w:right="210"/>
              <w:spacing w:after="0"/>
              <w:rPr>
                <w:sz w:val="20"/>
                <w:szCs w:val="20"/>
                <w:color w:val="auto"/>
              </w:rPr>
            </w:pPr>
            <w:r>
              <w:rPr>
                <w:rFonts w:ascii="Arial" w:cs="Arial" w:eastAsia="Arial" w:hAnsi="Arial"/>
                <w:sz w:val="13"/>
                <w:szCs w:val="13"/>
                <w:b w:val="1"/>
                <w:bCs w:val="1"/>
                <w:color w:val="auto"/>
              </w:rPr>
              <w:t>Performance</w:t>
            </w:r>
          </w:p>
        </w:tc>
        <w:tc>
          <w:tcPr>
            <w:tcW w:w="0" w:type="dxa"/>
            <w:vAlign w:val="bottom"/>
          </w:tcPr>
          <w:p>
            <w:pPr>
              <w:spacing w:after="0"/>
              <w:rPr>
                <w:sz w:val="1"/>
                <w:szCs w:val="1"/>
                <w:color w:val="auto"/>
              </w:rPr>
            </w:pPr>
          </w:p>
        </w:tc>
      </w:tr>
      <w:tr>
        <w:trPr>
          <w:trHeight w:val="153"/>
        </w:trPr>
        <w:tc>
          <w:tcPr>
            <w:tcW w:w="450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940" w:type="dxa"/>
            <w:vAlign w:val="bottom"/>
          </w:tcPr>
          <w:p>
            <w:pPr>
              <w:jc w:val="center"/>
              <w:ind w:left="277"/>
              <w:spacing w:after="0"/>
              <w:rPr>
                <w:sz w:val="20"/>
                <w:szCs w:val="20"/>
                <w:color w:val="auto"/>
              </w:rPr>
            </w:pPr>
            <w:r>
              <w:rPr>
                <w:rFonts w:ascii="Arial" w:cs="Arial" w:eastAsia="Arial" w:hAnsi="Arial"/>
                <w:sz w:val="13"/>
                <w:szCs w:val="13"/>
                <w:b w:val="1"/>
                <w:bCs w:val="1"/>
                <w:color w:val="auto"/>
                <w:w w:val="97"/>
              </w:rPr>
              <w:t>Options</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Stock Units</w:t>
            </w:r>
          </w:p>
        </w:tc>
        <w:tc>
          <w:tcPr>
            <w:tcW w:w="1340" w:type="dxa"/>
            <w:vAlign w:val="bottom"/>
          </w:tcPr>
          <w:p>
            <w:pPr>
              <w:jc w:val="right"/>
              <w:ind w:right="250"/>
              <w:spacing w:after="0"/>
              <w:rPr>
                <w:sz w:val="20"/>
                <w:szCs w:val="20"/>
                <w:color w:val="auto"/>
              </w:rPr>
            </w:pPr>
            <w:r>
              <w:rPr>
                <w:rFonts w:ascii="Arial" w:cs="Arial" w:eastAsia="Arial" w:hAnsi="Arial"/>
                <w:sz w:val="13"/>
                <w:szCs w:val="13"/>
                <w:b w:val="1"/>
                <w:bCs w:val="1"/>
                <w:color w:val="auto"/>
              </w:rPr>
              <w:t>Stock Units</w:t>
            </w:r>
          </w:p>
        </w:tc>
        <w:tc>
          <w:tcPr>
            <w:tcW w:w="0" w:type="dxa"/>
            <w:vAlign w:val="bottom"/>
          </w:tcPr>
          <w:p>
            <w:pPr>
              <w:spacing w:after="0"/>
              <w:rPr>
                <w:sz w:val="1"/>
                <w:szCs w:val="1"/>
                <w:color w:val="auto"/>
              </w:rPr>
            </w:pPr>
          </w:p>
        </w:tc>
      </w:tr>
      <w:tr>
        <w:trPr>
          <w:trHeight w:val="155"/>
        </w:trPr>
        <w:tc>
          <w:tcPr>
            <w:tcW w:w="42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Outstanding at December 31, 2024</w:t>
            </w:r>
          </w:p>
        </w:tc>
        <w:tc>
          <w:tcPr>
            <w:tcW w:w="3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155</w:t>
            </w:r>
          </w:p>
        </w:tc>
        <w:tc>
          <w:tcPr>
            <w:tcW w:w="2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1,652</w:t>
            </w:r>
          </w:p>
        </w:tc>
        <w:tc>
          <w:tcPr>
            <w:tcW w:w="24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94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1,171</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2"/>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9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(207)</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9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(9)</w:t>
            </w: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(104)</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0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Outstanding at June 30, 2025</w:t>
            </w: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2,512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color w:val="auto"/>
              </w:rPr>
              <w:t>Exercisable at June 30, 2025</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six months ended June 30, 2025, the Company granted a total of 497,004 RSUs to non-executive employees with an aggregate grant date fair value of $10.5 million and weighted-average grant date fair value of $21.09 per RSU, which will be recognized, net of forfeitures, over a vesting period of five years.</w:t>
      </w:r>
    </w:p>
    <w:p>
      <w:pPr>
        <w:spacing w:after="0" w:line="61"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On May 15, 2025, at the Company’s annual meeting of stockholders, the Company’s stockholders approved an amendment and restatement of the Company’s 2016 Incentive Award Plan (the “2016 Plan”).</w:t>
      </w:r>
    </w:p>
    <w:p>
      <w:pPr>
        <w:spacing w:after="0" w:line="4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addition, on the date of the Company’s annual stockholders’ meeting in May 2025, in accordance with the Company’s non-employee director compensation policy, each of the seven non -employee directors received grants of 9,650 RSUs and the vice chairman of the Board of Directors received an additional grant of</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20"/>
        <w:spacing w:after="0" w:line="271" w:lineRule="auto"/>
        <w:rPr>
          <w:sz w:val="20"/>
          <w:szCs w:val="20"/>
          <w:color w:val="auto"/>
        </w:rPr>
      </w:pPr>
      <w:r>
        <w:rPr>
          <w:rFonts w:ascii="Arial" w:cs="Arial" w:eastAsia="Arial" w:hAnsi="Arial"/>
          <w:sz w:val="18"/>
          <w:szCs w:val="18"/>
          <w:color w:val="auto"/>
        </w:rPr>
        <w:t>6,433 RSUs with an aggregate grant date fair value of $1.1 million and a weighted-average grant date fair value of $15.54 per RSU, which will be recognized, net of forfeitures, over a vesting period of one year.</w:t>
      </w:r>
    </w:p>
    <w:p>
      <w:pPr>
        <w:spacing w:after="0" w:line="46" w:lineRule="exact"/>
        <w:rPr>
          <w:sz w:val="20"/>
          <w:szCs w:val="20"/>
          <w:color w:val="auto"/>
        </w:rPr>
      </w:pPr>
    </w:p>
    <w:p>
      <w:pPr>
        <w:jc w:val="both"/>
        <w:ind w:left="60" w:right="100" w:firstLine="648"/>
        <w:spacing w:after="0" w:line="242" w:lineRule="auto"/>
        <w:rPr>
          <w:sz w:val="20"/>
          <w:szCs w:val="20"/>
          <w:color w:val="auto"/>
        </w:rPr>
      </w:pPr>
      <w:r>
        <w:rPr>
          <w:rFonts w:ascii="Arial" w:cs="Arial" w:eastAsia="Arial" w:hAnsi="Arial"/>
          <w:sz w:val="18"/>
          <w:szCs w:val="18"/>
          <w:color w:val="auto"/>
        </w:rPr>
        <w:t>In January 2025, pursuant to the amended and restated employment agreement entered into with Marcus A. Lemonis, the Company granted Mr. Lemonis (i) an award of 600,000 RSUs with a grant date fair value of $ 22.13 per RSU, which will be recognized, net of forfeitures, over a vesting period through November 15, 2027, and (ii) an award of PSUs under the 2016 Plan with respect to 750,000 PSUs if earned at “target” levels of performance, which will be eligible to vest based on the achievement of specified stock price hurdles over a three-year performance period ending on December 31, 2027.</w:t>
      </w:r>
    </w:p>
    <w:p>
      <w:pPr>
        <w:spacing w:after="0" w:line="71" w:lineRule="exact"/>
        <w:rPr>
          <w:sz w:val="20"/>
          <w:szCs w:val="20"/>
          <w:color w:val="auto"/>
        </w:rPr>
      </w:pPr>
    </w:p>
    <w:p>
      <w:pPr>
        <w:jc w:val="both"/>
        <w:ind w:left="60" w:right="100" w:firstLine="648"/>
        <w:spacing w:after="0" w:line="239" w:lineRule="auto"/>
        <w:rPr>
          <w:sz w:val="20"/>
          <w:szCs w:val="20"/>
          <w:color w:val="auto"/>
        </w:rPr>
      </w:pPr>
      <w:r>
        <w:rPr>
          <w:rFonts w:ascii="Arial" w:cs="Arial" w:eastAsia="Arial" w:hAnsi="Arial"/>
          <w:sz w:val="18"/>
          <w:szCs w:val="18"/>
          <w:color w:val="auto"/>
        </w:rPr>
        <w:t>The PSUs are comprised of four tranches of 187,500 PSUs with hurdles ranging from $ 32.50 per share to $47.50 per share in $5.00 per share increments. The achievement of the stock price hurdles is based on the average 30 consecutive trading day closing stock price of the Company’s Class A common stock. The grant date fair value was estimated using a Monte Carlo simulation to simulate stock price trajectories over the performance period. Key inputs to the model as of the date of grant included the duration of the performance period, the risk-free interest rate, and the closing stock price, volatility and dividend yield of the Company’s Class A common stock. The PSUs had a weighted-average grant date fair value of $13.84 per PSU, which will be recognized over a weighted-average derived service period of approximately one year, net of any forfeitures for termination of employment prior to the completion of the derived service period for any tranches with unsatisfied vesting conditions.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Earnings (Loss) Per Share</w:t>
      </w:r>
    </w:p>
    <w:p>
      <w:pPr>
        <w:spacing w:after="0" w:line="212" w:lineRule="exact"/>
        <w:rPr>
          <w:sz w:val="20"/>
          <w:szCs w:val="20"/>
          <w:color w:val="auto"/>
        </w:rPr>
      </w:pPr>
    </w:p>
    <w:p>
      <w:pPr>
        <w:jc w:val="both"/>
        <w:ind w:left="60" w:right="120" w:firstLine="648"/>
        <w:spacing w:after="0" w:line="244" w:lineRule="auto"/>
        <w:rPr>
          <w:sz w:val="20"/>
          <w:szCs w:val="20"/>
          <w:color w:val="auto"/>
        </w:rPr>
      </w:pPr>
      <w:r>
        <w:rPr>
          <w:rFonts w:ascii="Arial" w:cs="Arial" w:eastAsia="Arial" w:hAnsi="Arial"/>
          <w:sz w:val="18"/>
          <w:szCs w:val="18"/>
          <w:color w:val="auto"/>
        </w:rPr>
        <w:t>Basic earnings (loss) per share of Class A common stock is computed by dividing net income (loss) attributable to Camping World Holdings, Inc. by the weighted-average number of shares of Class A common stock outstanding during the period. Diluted earnings (loss) per share of Class A common stock is computed by dividing net income (loss) attributable to Camping World Holdings, Inc. by the weighted-average number of shares of Class A common stock outstanding adjusted to give effect to potentially dilutive securities.</w:t>
      </w:r>
    </w:p>
    <w:p>
      <w:pPr>
        <w:spacing w:after="0" w:line="176" w:lineRule="exact"/>
        <w:rPr>
          <w:sz w:val="20"/>
          <w:szCs w:val="20"/>
          <w:color w:val="auto"/>
        </w:rPr>
      </w:pPr>
    </w:p>
    <w:p>
      <w:pPr>
        <w:jc w:val="both"/>
        <w:ind w:left="60" w:right="100" w:firstLine="648"/>
        <w:spacing w:after="0" w:line="271"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earnings (loss) per share of Class A common stock:</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6"/>
          </w:tcPr>
          <w:p>
            <w:pPr>
              <w:spacing w:after="0"/>
              <w:rPr>
                <w:sz w:val="20"/>
                <w:szCs w:val="20"/>
                <w:color w:val="auto"/>
              </w:rPr>
            </w:pPr>
            <w:r>
              <w:rPr>
                <w:rFonts w:ascii="Arial" w:cs="Arial" w:eastAsia="Arial" w:hAnsi="Arial"/>
                <w:sz w:val="12"/>
                <w:szCs w:val="12"/>
                <w:b w:val="1"/>
                <w:bCs w:val="1"/>
                <w:color w:val="auto"/>
              </w:rPr>
              <w:t>Three Months Ended June 30,</w:t>
            </w:r>
          </w:p>
        </w:tc>
        <w:tc>
          <w:tcPr>
            <w:tcW w:w="1560" w:type="dxa"/>
            <w:vAlign w:val="bottom"/>
            <w:gridSpan w:val="6"/>
          </w:tcPr>
          <w:p>
            <w:pPr>
              <w:ind w:left="20"/>
              <w:spacing w:after="0"/>
              <w:rPr>
                <w:sz w:val="20"/>
                <w:szCs w:val="20"/>
                <w:color w:val="auto"/>
              </w:rPr>
            </w:pPr>
            <w:r>
              <w:rPr>
                <w:rFonts w:ascii="Arial" w:cs="Arial" w:eastAsia="Arial" w:hAnsi="Arial"/>
                <w:sz w:val="12"/>
                <w:szCs w:val="12"/>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5700" w:type="dxa"/>
            <w:vAlign w:val="bottom"/>
            <w:gridSpan w:val="2"/>
          </w:tcPr>
          <w:p>
            <w:pPr>
              <w:ind w:left="20"/>
              <w:spacing w:after="0"/>
              <w:rPr>
                <w:sz w:val="20"/>
                <w:szCs w:val="20"/>
                <w:color w:val="auto"/>
              </w:rPr>
            </w:pPr>
            <w:r>
              <w:rPr>
                <w:rFonts w:ascii="Arial" w:cs="Arial" w:eastAsia="Arial" w:hAnsi="Arial"/>
                <w:sz w:val="11"/>
                <w:szCs w:val="11"/>
                <w:color w:val="auto"/>
              </w:rPr>
              <w:t>(In thousands except per share amounts)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2024</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57,523</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23,414</w:t>
            </w:r>
          </w:p>
        </w:tc>
        <w:tc>
          <w:tcPr>
            <w:tcW w:w="1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32,841</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(27,392)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Less: net income (loss) attributable to non-controlling interests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(27,307)</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(13,643)</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(14,905)</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Net income (loss) attributable to Camping World Holdings, Inc. — basic</w:t>
            </w: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30,216</w:t>
            </w:r>
          </w:p>
        </w:tc>
        <w:tc>
          <w:tcPr>
            <w:tcW w:w="18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9,771</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17,936</w:t>
            </w:r>
          </w:p>
        </w:tc>
        <w:tc>
          <w:tcPr>
            <w:tcW w:w="16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(12,536)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00" w:type="dxa"/>
            <w:vAlign w:val="bottom"/>
            <w:gridSpan w:val="2"/>
            <w:shd w:val="clear" w:color="auto" w:fill="CCEEFF"/>
          </w:tcPr>
          <w:p>
            <w:pPr>
              <w:ind w:left="340"/>
              <w:spacing w:after="0" w:line="153" w:lineRule="exact"/>
              <w:rPr>
                <w:sz w:val="20"/>
                <w:szCs w:val="20"/>
                <w:color w:val="auto"/>
              </w:rPr>
            </w:pPr>
            <w:r>
              <w:rPr>
                <w:rFonts w:ascii="Arial" w:cs="Arial" w:eastAsia="Arial" w:hAnsi="Arial"/>
                <w:sz w:val="14"/>
                <w:szCs w:val="14"/>
                <w:color w:val="auto"/>
              </w:rPr>
              <w:t>Add: reallocation of net income (loss) attributable to non-controlling interests</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from the assumed dilutive effect of stock options and RSUs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700" w:type="dxa"/>
            <w:vAlign w:val="bottom"/>
            <w:gridSpan w:val="2"/>
          </w:tcPr>
          <w:p>
            <w:pPr>
              <w:ind w:left="340"/>
              <w:spacing w:after="0" w:line="153" w:lineRule="exact"/>
              <w:rPr>
                <w:sz w:val="20"/>
                <w:szCs w:val="20"/>
                <w:color w:val="auto"/>
              </w:rPr>
            </w:pPr>
            <w:r>
              <w:rPr>
                <w:rFonts w:ascii="Arial" w:cs="Arial" w:eastAsia="Arial" w:hAnsi="Arial"/>
                <w:sz w:val="14"/>
                <w:szCs w:val="14"/>
                <w:color w:val="auto"/>
              </w:rPr>
              <w:t>Add: reallocation of net income (loss) attributable to non-controlling interests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gridSpan w:val="2"/>
          </w:tcPr>
          <w:p>
            <w:pPr>
              <w:ind w:left="340"/>
              <w:spacing w:after="0"/>
              <w:rPr>
                <w:sz w:val="20"/>
                <w:szCs w:val="20"/>
                <w:color w:val="auto"/>
              </w:rPr>
            </w:pPr>
            <w:r>
              <w:rPr>
                <w:rFonts w:ascii="Arial" w:cs="Arial" w:eastAsia="Arial" w:hAnsi="Arial"/>
                <w:sz w:val="14"/>
                <w:szCs w:val="14"/>
                <w:color w:val="auto"/>
              </w:rPr>
              <w:t>from the assumed redemption of common units of CWGS, LLC for Class A</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00" w:type="dxa"/>
            <w:vAlign w:val="bottom"/>
            <w:gridSpan w:val="2"/>
          </w:tcPr>
          <w:p>
            <w:pPr>
              <w:ind w:left="34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11,049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700" w:type="dxa"/>
            <w:vAlign w:val="bottom"/>
            <w:tcBorders>
              <w:top w:val="single" w:sz="8" w:color="CCEEFF"/>
            </w:tcBorders>
            <w:gridSpan w:val="2"/>
            <w:shd w:val="clear" w:color="auto" w:fill="CCEEFF"/>
          </w:tcPr>
          <w:p>
            <w:pPr>
              <w:ind w:left="440"/>
              <w:spacing w:after="0" w:line="155" w:lineRule="exact"/>
              <w:rPr>
                <w:sz w:val="20"/>
                <w:szCs w:val="20"/>
                <w:color w:val="auto"/>
              </w:rPr>
            </w:pPr>
            <w:r>
              <w:rPr>
                <w:rFonts w:ascii="Arial" w:cs="Arial" w:eastAsia="Arial" w:hAnsi="Arial"/>
                <w:sz w:val="14"/>
                <w:szCs w:val="14"/>
                <w:color w:val="auto"/>
              </w:rPr>
              <w:t>Net income (loss) attributable to Camping World Holdings, Inc. — diluted</w:t>
            </w:r>
          </w:p>
        </w:tc>
        <w:tc>
          <w:tcPr>
            <w:tcW w:w="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30,243</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9,790</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28,985</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Denominator: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Weighted-average shares of Class A common stock outstanding — basic</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62,610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45,093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62,571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gridSpan w:val="2"/>
          </w:tcPr>
          <w:p>
            <w:pPr>
              <w:ind w:left="220"/>
              <w:spacing w:after="0"/>
              <w:rPr>
                <w:sz w:val="20"/>
                <w:szCs w:val="20"/>
                <w:color w:val="auto"/>
              </w:rPr>
            </w:pPr>
            <w:r>
              <w:rPr>
                <w:rFonts w:ascii="Arial" w:cs="Arial" w:eastAsia="Arial" w:hAnsi="Arial"/>
                <w:sz w:val="14"/>
                <w:szCs w:val="14"/>
                <w:color w:val="auto"/>
              </w:rPr>
              <w:t>Dilutive restricted stock units</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70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Dilutive common units of CWGS, LLC that are convertible into Class A common</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Weighted-average shares of Class A common stock outstanding — diluted</w:t>
            </w: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62,747</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45,244</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102,661</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45,070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Earnings (loss) per share of Class A common stock — basic</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0.48</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0.22</w:t>
            </w:r>
          </w:p>
        </w:tc>
        <w:tc>
          <w:tcPr>
            <w:tcW w:w="1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0.29</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Earnings (loss) per share of Class A common stock — diluted</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2" w:right="1399" w:bottom="1440" w:gutter="0" w:footer="0" w:header="0"/>
        </w:sectPr>
      </w:pPr>
    </w:p>
    <w:bookmarkStart w:id="29" w:name="page30"/>
    <w:bookmarkEnd w:id="29"/>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Three Months Ended June 30,</w:t>
            </w: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w w:val="96"/>
              </w:rPr>
              <w:t>Six Months Ended June 30,</w:t>
            </w:r>
          </w:p>
        </w:tc>
      </w:tr>
      <w:tr>
        <w:trPr>
          <w:trHeight w:val="142"/>
        </w:trPr>
        <w:tc>
          <w:tcPr>
            <w:tcW w:w="5700" w:type="dxa"/>
            <w:vAlign w:val="bottom"/>
            <w:gridSpan w:val="2"/>
          </w:tcPr>
          <w:p>
            <w:pPr>
              <w:ind w:left="20"/>
              <w:spacing w:after="0"/>
              <w:rPr>
                <w:sz w:val="20"/>
                <w:szCs w:val="20"/>
                <w:color w:val="auto"/>
              </w:rPr>
            </w:pPr>
            <w:r>
              <w:rPr>
                <w:rFonts w:ascii="Arial" w:cs="Arial" w:eastAsia="Arial" w:hAnsi="Arial"/>
                <w:sz w:val="11"/>
                <w:szCs w:val="11"/>
                <w:color w:val="auto"/>
              </w:rPr>
              <w:t>(In thousands except per share amounts)</w:t>
            </w:r>
          </w:p>
        </w:tc>
        <w:tc>
          <w:tcPr>
            <w:tcW w:w="740" w:type="dxa"/>
            <w:vAlign w:val="bottom"/>
            <w:tcBorders>
              <w:top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2025</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rPr>
                <w:sz w:val="20"/>
                <w:szCs w:val="20"/>
                <w:color w:val="auto"/>
              </w:rPr>
            </w:pPr>
            <w:r>
              <w:rPr>
                <w:rFonts w:ascii="Arial" w:cs="Arial" w:eastAsia="Arial" w:hAnsi="Arial"/>
                <w:sz w:val="12"/>
                <w:szCs w:val="12"/>
                <w:b w:val="1"/>
                <w:bCs w:val="1"/>
                <w:color w:val="auto"/>
              </w:rPr>
              <w:t>2024</w:t>
            </w: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2024</w:t>
            </w:r>
          </w:p>
        </w:tc>
      </w:tr>
      <w:tr>
        <w:trPr>
          <w:trHeight w:val="146"/>
        </w:trPr>
        <w:tc>
          <w:tcPr>
            <w:tcW w:w="5480" w:type="dxa"/>
            <w:vAlign w:val="bottom"/>
            <w:tcBorders>
              <w:top w:val="single" w:sz="8" w:color="auto"/>
            </w:tcBorders>
            <w:shd w:val="clear" w:color="auto" w:fill="CCEEFF"/>
          </w:tcPr>
          <w:p>
            <w:pPr>
              <w:ind w:left="20"/>
              <w:spacing w:after="0" w:line="147" w:lineRule="exact"/>
              <w:rPr>
                <w:sz w:val="20"/>
                <w:szCs w:val="20"/>
                <w:color w:val="auto"/>
              </w:rPr>
            </w:pPr>
            <w:r>
              <w:rPr>
                <w:rFonts w:ascii="Arial" w:cs="Arial" w:eastAsia="Arial" w:hAnsi="Arial"/>
                <w:sz w:val="14"/>
                <w:szCs w:val="14"/>
                <w:color w:val="auto"/>
              </w:rPr>
              <w:t>Weighted-average anti-dilutive securities excluded from the computation of diluted</w:t>
            </w: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r>
      <w:tr>
        <w:trPr>
          <w:trHeight w:val="171"/>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earnings (loss) per share of Class A common stock:</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2"/>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Stock options to purchase Class A common stock</w:t>
            </w:r>
          </w:p>
        </w:tc>
        <w:tc>
          <w:tcPr>
            <w:tcW w:w="740" w:type="dxa"/>
            <w:vAlign w:val="bottom"/>
          </w:tcPr>
          <w:p>
            <w:pPr>
              <w:jc w:val="right"/>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162"/>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units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w:t>
            </w:r>
          </w:p>
        </w:tc>
      </w:tr>
      <w:tr>
        <w:trPr>
          <w:trHeight w:val="162"/>
        </w:trPr>
        <w:tc>
          <w:tcPr>
            <w:tcW w:w="5700" w:type="dxa"/>
            <w:vAlign w:val="bottom"/>
            <w:gridSpan w:val="2"/>
          </w:tcPr>
          <w:p>
            <w:pPr>
              <w:ind w:left="120"/>
              <w:spacing w:after="0"/>
              <w:rPr>
                <w:sz w:val="20"/>
                <w:szCs w:val="20"/>
                <w:color w:val="auto"/>
              </w:rPr>
            </w:pPr>
            <w:r>
              <w:rPr>
                <w:rFonts w:ascii="Arial" w:cs="Arial" w:eastAsia="Arial" w:hAnsi="Arial"/>
                <w:sz w:val="14"/>
                <w:szCs w:val="14"/>
                <w:color w:val="auto"/>
              </w:rPr>
              <w:t>Common units of CWGS, LLC that are convertible into Class A common stock</w:t>
            </w:r>
          </w:p>
        </w:tc>
        <w:tc>
          <w:tcPr>
            <w:tcW w:w="740" w:type="dxa"/>
            <w:vAlign w:val="bottom"/>
          </w:tcPr>
          <w:p>
            <w:pPr>
              <w:jc w:val="right"/>
              <w:spacing w:after="0"/>
              <w:rPr>
                <w:sz w:val="20"/>
                <w:szCs w:val="20"/>
                <w:color w:val="auto"/>
              </w:rPr>
            </w:pPr>
            <w:r>
              <w:rPr>
                <w:rFonts w:ascii="Arial" w:cs="Arial" w:eastAsia="Arial" w:hAnsi="Arial"/>
                <w:sz w:val="14"/>
                <w:szCs w:val="14"/>
                <w:color w:val="auto"/>
              </w:rPr>
              <w:t>39,895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40,045</w:t>
            </w: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40,045</w:t>
            </w:r>
          </w:p>
        </w:tc>
      </w:tr>
      <w:tr>
        <w:trPr>
          <w:trHeight w:val="162"/>
        </w:trPr>
        <w:tc>
          <w:tcPr>
            <w:tcW w:w="5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53"/>
        </w:trPr>
        <w:tc>
          <w:tcPr>
            <w:tcW w:w="57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Weighted-average contingently issuable shares excluded from the computation of</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diluted loss per share of Class A common stock since all necessary conditions had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not been satisfied: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570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3"/>
                <w:szCs w:val="13"/>
                <w:color w:val="auto"/>
              </w:rPr>
              <w:t>Performance stock units</w:t>
            </w:r>
            <w:r>
              <w:rPr>
                <w:rFonts w:ascii="Arial" w:cs="Arial" w:eastAsia="Arial" w:hAnsi="Arial"/>
                <w:sz w:val="18"/>
                <w:szCs w:val="18"/>
                <w:color w:val="auto"/>
                <w:vertAlign w:val="superscript"/>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131" w:lineRule="exact"/>
        <w:rPr>
          <w:sz w:val="20"/>
          <w:szCs w:val="20"/>
          <w:color w:val="auto"/>
        </w:rPr>
      </w:pPr>
    </w:p>
    <w:p>
      <w:pPr>
        <w:ind w:left="500" w:hanging="329"/>
        <w:spacing w:after="0"/>
        <w:tabs>
          <w:tab w:leader="none" w:pos="500" w:val="left"/>
        </w:tabs>
        <w:numPr>
          <w:ilvl w:val="0"/>
          <w:numId w:val="19"/>
        </w:numPr>
        <w:rPr>
          <w:rFonts w:ascii="Arial" w:cs="Arial" w:eastAsia="Arial" w:hAnsi="Arial"/>
          <w:sz w:val="22"/>
          <w:szCs w:val="22"/>
          <w:color w:val="231F20"/>
          <w:vertAlign w:val="superscript"/>
        </w:rPr>
      </w:pPr>
      <w:r>
        <w:rPr>
          <w:rFonts w:ascii="Arial" w:cs="Arial" w:eastAsia="Arial" w:hAnsi="Arial"/>
          <w:sz w:val="14"/>
          <w:szCs w:val="14"/>
          <w:color w:val="auto"/>
        </w:rPr>
        <w:t>See Note 16 – Stock-Based Compensation Plans for further details of PSUs.</w:t>
      </w:r>
    </w:p>
    <w:p>
      <w:pPr>
        <w:spacing w:after="0" w:line="88" w:lineRule="exact"/>
        <w:rPr>
          <w:sz w:val="20"/>
          <w:szCs w:val="20"/>
          <w:color w:val="auto"/>
        </w:rPr>
      </w:pPr>
    </w:p>
    <w:p>
      <w:pPr>
        <w:jc w:val="both"/>
        <w:ind w:left="100" w:right="100" w:firstLine="648"/>
        <w:spacing w:after="0"/>
        <w:rPr>
          <w:sz w:val="20"/>
          <w:szCs w:val="20"/>
          <w:color w:val="auto"/>
        </w:rPr>
      </w:pPr>
      <w:r>
        <w:rPr>
          <w:rFonts w:ascii="Arial" w:cs="Arial" w:eastAsia="Arial" w:hAnsi="Arial"/>
          <w:sz w:val="18"/>
          <w:szCs w:val="18"/>
          <w:color w:val="auto"/>
        </w:rPr>
        <w:t>Shares of the Company’s Class B common stock and Class C common stock do not share in the earnings or losses of the Company and are therefore not participating securities. As such, separate basic and diluted earnings (loss) per share of Class B common stock or Class C common stock under the two-class method has not been presented.</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18. Segments Information</w:t>
      </w:r>
    </w:p>
    <w:p>
      <w:pPr>
        <w:spacing w:after="0" w:line="212" w:lineRule="exact"/>
        <w:rPr>
          <w:sz w:val="20"/>
          <w:szCs w:val="20"/>
          <w:color w:val="auto"/>
        </w:rPr>
      </w:pPr>
    </w:p>
    <w:p>
      <w:pPr>
        <w:jc w:val="both"/>
        <w:ind w:left="100" w:right="100" w:firstLine="648"/>
        <w:spacing w:after="0" w:line="239" w:lineRule="auto"/>
        <w:rPr>
          <w:sz w:val="20"/>
          <w:szCs w:val="20"/>
          <w:color w:val="auto"/>
        </w:rPr>
      </w:pPr>
      <w:r>
        <w:rPr>
          <w:rFonts w:ascii="Arial" w:cs="Arial" w:eastAsia="Arial" w:hAnsi="Arial"/>
          <w:sz w:val="18"/>
          <w:szCs w:val="18"/>
          <w:color w:val="auto"/>
        </w:rPr>
        <w:t>The Company has the following two reportable segments: (i) Good Sam Services and Plans, and (ii) RV and Outdoor Retail. The Company evaluates performance for all of its reportable segments based on Segment Adjusted EBITDA. The Company defines “Segment Adjusted EBITDA” as the reportable segments’ total revenue less segment expenses which are comprised of (i) adjusted costs applicable to revenue, (ii) intersegment costs applicable to revenues, (iii) adjusted SG&amp;A expense, (iv) floor plan interest expense, and (v) other segment items. Segment expenses exclude depreciation and amortization and certain noncash and other items that the Chief Operating Decision Maker does not consider in his evaluation of ongoing operating performance. These excluded items include (a) SBC and (b) loss and/or impairment on investments in equity securities.</w:t>
      </w:r>
    </w:p>
    <w:p>
      <w:pPr>
        <w:spacing w:after="0" w:line="183" w:lineRule="exact"/>
        <w:rPr>
          <w:sz w:val="20"/>
          <w:szCs w:val="20"/>
          <w:color w:val="auto"/>
        </w:rPr>
      </w:pPr>
    </w:p>
    <w:p>
      <w:pPr>
        <w:jc w:val="both"/>
        <w:ind w:left="100" w:right="120" w:firstLine="648"/>
        <w:spacing w:after="0" w:line="271" w:lineRule="auto"/>
        <w:rPr>
          <w:sz w:val="20"/>
          <w:szCs w:val="20"/>
          <w:color w:val="auto"/>
        </w:rPr>
      </w:pPr>
      <w:r>
        <w:rPr>
          <w:rFonts w:ascii="Arial" w:cs="Arial" w:eastAsia="Arial" w:hAnsi="Arial"/>
          <w:sz w:val="18"/>
          <w:szCs w:val="18"/>
          <w:color w:val="auto"/>
        </w:rPr>
        <w:t>Reportable segment revenue; segment adjusted EBITDA; depreciation and amortization; other interest expense, net; total assets; and capital expenditures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8"/>
          </w:tcPr>
          <w:p>
            <w:pPr>
              <w:jc w:val="right"/>
              <w:ind w:right="17"/>
              <w:spacing w:after="0"/>
              <w:rPr>
                <w:sz w:val="20"/>
                <w:szCs w:val="20"/>
                <w:color w:val="auto"/>
              </w:rPr>
            </w:pPr>
            <w:r>
              <w:rPr>
                <w:rFonts w:ascii="Arial" w:cs="Arial" w:eastAsia="Arial" w:hAnsi="Arial"/>
                <w:sz w:val="12"/>
                <w:szCs w:val="12"/>
                <w:b w:val="1"/>
                <w:bCs w:val="1"/>
                <w:color w:val="auto"/>
                <w:w w:val="96"/>
              </w:rPr>
              <w:t>Three Months Ended June 30,</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8"/>
          </w:tcPr>
          <w:p>
            <w:pPr>
              <w:ind w:left="20"/>
              <w:spacing w:after="0"/>
              <w:rPr>
                <w:sz w:val="20"/>
                <w:szCs w:val="20"/>
                <w:color w:val="auto"/>
              </w:rPr>
            </w:pPr>
            <w:r>
              <w:rPr>
                <w:rFonts w:ascii="Arial" w:cs="Arial" w:eastAsia="Arial" w:hAnsi="Arial"/>
                <w:sz w:val="12"/>
                <w:szCs w:val="12"/>
                <w:b w:val="1"/>
                <w:bCs w:val="1"/>
                <w:color w:val="auto"/>
              </w:rPr>
              <w:t>Six Months Ended June 30,</w:t>
            </w: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9"/>
              </w:rPr>
              <w:t>2025</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2024</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2025</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9"/>
              </w:rPr>
              <w:t>2024</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84"/>
        </w:trPr>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5"/>
          </w:tcPr>
          <w:p>
            <w:pPr>
              <w:ind w:left="40"/>
              <w:spacing w:after="0"/>
              <w:rPr>
                <w:sz w:val="20"/>
                <w:szCs w:val="20"/>
                <w:color w:val="auto"/>
              </w:rPr>
            </w:pPr>
            <w:r>
              <w:rPr>
                <w:rFonts w:ascii="Arial" w:cs="Arial" w:eastAsia="Arial" w:hAnsi="Arial"/>
                <w:sz w:val="12"/>
                <w:szCs w:val="12"/>
                <w:b w:val="1"/>
                <w:bCs w:val="1"/>
                <w:color w:val="auto"/>
              </w:rPr>
              <w:t>Good Sam</w:t>
            </w: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6"/>
              </w:rPr>
              <w:t>RV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Good Sam</w:t>
            </w:r>
          </w:p>
        </w:tc>
        <w:tc>
          <w:tcPr>
            <w:tcW w:w="14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RV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Good Sam</w:t>
            </w:r>
          </w:p>
        </w:tc>
        <w:tc>
          <w:tcPr>
            <w:tcW w:w="14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RV and</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3"/>
              </w:rPr>
              <w:t>Good Sam</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RV and</w:t>
            </w:r>
          </w:p>
        </w:tc>
      </w:tr>
      <w:tr>
        <w:trPr>
          <w:trHeight w:val="189"/>
        </w:trPr>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Services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Outdoor</w:t>
            </w:r>
          </w:p>
        </w:tc>
        <w:tc>
          <w:tcPr>
            <w:tcW w:w="740" w:type="dxa"/>
            <w:vAlign w:val="bottom"/>
            <w:gridSpan w:val="3"/>
          </w:tcPr>
          <w:p>
            <w:pPr>
              <w:ind w:left="100"/>
              <w:spacing w:after="0"/>
              <w:rPr>
                <w:sz w:val="20"/>
                <w:szCs w:val="20"/>
                <w:color w:val="auto"/>
              </w:rPr>
            </w:pPr>
            <w:r>
              <w:rPr>
                <w:rFonts w:ascii="Arial" w:cs="Arial" w:eastAsia="Arial" w:hAnsi="Arial"/>
                <w:sz w:val="12"/>
                <w:szCs w:val="12"/>
                <w:b w:val="1"/>
                <w:bCs w:val="1"/>
                <w:color w:val="auto"/>
              </w:rPr>
              <w:t>Services</w:t>
            </w:r>
          </w:p>
        </w:tc>
        <w:tc>
          <w:tcPr>
            <w:tcW w:w="14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Outdoor</w:t>
            </w:r>
          </w:p>
        </w:tc>
        <w:tc>
          <w:tcPr>
            <w:tcW w:w="740" w:type="dxa"/>
            <w:vAlign w:val="bottom"/>
            <w:gridSpan w:val="3"/>
          </w:tcPr>
          <w:p>
            <w:pPr>
              <w:ind w:left="100"/>
              <w:spacing w:after="0"/>
              <w:rPr>
                <w:sz w:val="20"/>
                <w:szCs w:val="20"/>
                <w:color w:val="auto"/>
              </w:rPr>
            </w:pPr>
            <w:r>
              <w:rPr>
                <w:rFonts w:ascii="Arial" w:cs="Arial" w:eastAsia="Arial" w:hAnsi="Arial"/>
                <w:sz w:val="12"/>
                <w:szCs w:val="12"/>
                <w:b w:val="1"/>
                <w:bCs w:val="1"/>
                <w:color w:val="auto"/>
              </w:rPr>
              <w:t>Services</w:t>
            </w:r>
          </w:p>
        </w:tc>
        <w:tc>
          <w:tcPr>
            <w:tcW w:w="14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Outdoor</w:t>
            </w:r>
          </w:p>
        </w:tc>
        <w:tc>
          <w:tcPr>
            <w:tcW w:w="620" w:type="dxa"/>
            <w:vAlign w:val="bottom"/>
            <w:gridSpan w:val="2"/>
          </w:tcPr>
          <w:p>
            <w:pPr>
              <w:jc w:val="right"/>
              <w:spacing w:after="0"/>
              <w:rPr>
                <w:sz w:val="20"/>
                <w:szCs w:val="20"/>
                <w:color w:val="auto"/>
              </w:rPr>
            </w:pPr>
            <w:r>
              <w:rPr>
                <w:rFonts w:ascii="Arial" w:cs="Arial" w:eastAsia="Arial" w:hAnsi="Arial"/>
                <w:sz w:val="12"/>
                <w:szCs w:val="12"/>
                <w:b w:val="1"/>
                <w:bCs w:val="1"/>
                <w:color w:val="auto"/>
              </w:rPr>
              <w:t>Services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Outdoor</w:t>
            </w:r>
          </w:p>
        </w:tc>
      </w:tr>
      <w:tr>
        <w:trPr>
          <w:trHeight w:val="147"/>
        </w:trPr>
        <w:tc>
          <w:tcPr>
            <w:tcW w:w="2920" w:type="dxa"/>
            <w:vAlign w:val="bottom"/>
            <w:gridSpan w:val="2"/>
          </w:tcPr>
          <w:p>
            <w:pPr>
              <w:spacing w:after="0"/>
              <w:rPr>
                <w:sz w:val="20"/>
                <w:szCs w:val="20"/>
                <w:color w:val="auto"/>
              </w:rPr>
            </w:pPr>
            <w:r>
              <w:rPr>
                <w:rFonts w:ascii="Arial" w:cs="Arial" w:eastAsia="Arial" w:hAnsi="Arial"/>
                <w:sz w:val="11"/>
                <w:szCs w:val="11"/>
                <w:color w:val="auto"/>
              </w:rPr>
              <w:t>($ in thousands)</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w w:val="91"/>
              </w:rPr>
              <w:t>and Plans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Retail</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Plans</w:t>
            </w:r>
          </w:p>
        </w:tc>
        <w:tc>
          <w:tcPr>
            <w:tcW w:w="14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Retail</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and Plans</w:t>
            </w:r>
          </w:p>
        </w:tc>
        <w:tc>
          <w:tcPr>
            <w:tcW w:w="14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Retail</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and Plans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Retail</w:t>
            </w:r>
          </w:p>
        </w:tc>
      </w:tr>
      <w:tr>
        <w:trPr>
          <w:trHeight w:val="142"/>
        </w:trPr>
        <w:tc>
          <w:tcPr>
            <w:tcW w:w="2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Revenue:</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89"/>
        </w:trPr>
        <w:tc>
          <w:tcPr>
            <w:tcW w:w="2920" w:type="dxa"/>
            <w:vAlign w:val="bottom"/>
            <w:gridSpan w:val="2"/>
          </w:tcPr>
          <w:p>
            <w:pPr>
              <w:ind w:left="100"/>
              <w:spacing w:after="0"/>
              <w:rPr>
                <w:sz w:val="20"/>
                <w:szCs w:val="20"/>
                <w:color w:val="auto"/>
              </w:rPr>
            </w:pPr>
            <w:r>
              <w:rPr>
                <w:rFonts w:ascii="Arial" w:cs="Arial" w:eastAsia="Arial" w:hAnsi="Arial"/>
                <w:sz w:val="13"/>
                <w:szCs w:val="13"/>
                <w:color w:val="auto"/>
              </w:rPr>
              <w:t>Good Sam Services and Plans</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center"/>
              <w:spacing w:after="0"/>
              <w:rPr>
                <w:sz w:val="20"/>
                <w:szCs w:val="20"/>
                <w:color w:val="auto"/>
              </w:rPr>
            </w:pPr>
            <w:r>
              <w:rPr>
                <w:rFonts w:ascii="Arial" w:cs="Arial" w:eastAsia="Arial" w:hAnsi="Arial"/>
                <w:sz w:val="13"/>
                <w:szCs w:val="13"/>
                <w:color w:val="auto"/>
                <w:w w:val="95"/>
              </w:rPr>
              <w:t>54,213</w:t>
            </w:r>
          </w:p>
        </w:tc>
        <w:tc>
          <w:tcPr>
            <w:tcW w:w="2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52,548</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100,421</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98,229</w:t>
            </w:r>
          </w:p>
        </w:tc>
        <w:tc>
          <w:tcPr>
            <w:tcW w:w="2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9"/>
        </w:trPr>
        <w:tc>
          <w:tcPr>
            <w:tcW w:w="2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New vehicles</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915,106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847,105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1,536,538</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1,503,191</w:t>
            </w:r>
          </w:p>
        </w:tc>
        <w:tc>
          <w:tcPr>
            <w:tcW w:w="60" w:type="dxa"/>
            <w:vAlign w:val="bottom"/>
            <w:shd w:val="clear" w:color="auto" w:fill="CCEEFF"/>
          </w:tcPr>
          <w:p>
            <w:pPr>
              <w:spacing w:after="0"/>
              <w:rPr>
                <w:sz w:val="16"/>
                <w:szCs w:val="16"/>
                <w:color w:val="auto"/>
              </w:rPr>
            </w:pPr>
          </w:p>
        </w:tc>
      </w:tr>
      <w:tr>
        <w:trPr>
          <w:trHeight w:val="189"/>
        </w:trPr>
        <w:tc>
          <w:tcPr>
            <w:tcW w:w="2920" w:type="dxa"/>
            <w:vAlign w:val="bottom"/>
            <w:gridSpan w:val="2"/>
          </w:tcPr>
          <w:p>
            <w:pPr>
              <w:ind w:left="100"/>
              <w:spacing w:after="0"/>
              <w:rPr>
                <w:sz w:val="20"/>
                <w:szCs w:val="20"/>
                <w:color w:val="auto"/>
              </w:rPr>
            </w:pPr>
            <w:r>
              <w:rPr>
                <w:rFonts w:ascii="Arial" w:cs="Arial" w:eastAsia="Arial" w:hAnsi="Arial"/>
                <w:sz w:val="13"/>
                <w:szCs w:val="13"/>
                <w:color w:val="auto"/>
              </w:rPr>
              <w:t>Used vehicles</w:t>
            </w:r>
          </w:p>
        </w:tc>
        <w:tc>
          <w:tcPr>
            <w:tcW w:w="1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572,271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480,774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994,622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818,459</w:t>
            </w:r>
          </w:p>
        </w:tc>
        <w:tc>
          <w:tcPr>
            <w:tcW w:w="60" w:type="dxa"/>
            <w:vAlign w:val="bottom"/>
          </w:tcPr>
          <w:p>
            <w:pPr>
              <w:spacing w:after="0"/>
              <w:rPr>
                <w:sz w:val="16"/>
                <w:szCs w:val="16"/>
                <w:color w:val="auto"/>
              </w:rPr>
            </w:pPr>
          </w:p>
        </w:tc>
      </w:tr>
      <w:tr>
        <w:trPr>
          <w:trHeight w:val="189"/>
        </w:trPr>
        <w:tc>
          <w:tcPr>
            <w:tcW w:w="2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Products, service and other</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222,890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235,947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387,882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413,841</w:t>
            </w:r>
          </w:p>
        </w:tc>
        <w:tc>
          <w:tcPr>
            <w:tcW w:w="60" w:type="dxa"/>
            <w:vAlign w:val="bottom"/>
            <w:shd w:val="clear" w:color="auto" w:fill="CCEEFF"/>
          </w:tcPr>
          <w:p>
            <w:pPr>
              <w:spacing w:after="0"/>
              <w:rPr>
                <w:sz w:val="16"/>
                <w:szCs w:val="16"/>
                <w:color w:val="auto"/>
              </w:rPr>
            </w:pPr>
          </w:p>
        </w:tc>
      </w:tr>
      <w:tr>
        <w:trPr>
          <w:trHeight w:val="189"/>
        </w:trPr>
        <w:tc>
          <w:tcPr>
            <w:tcW w:w="2920" w:type="dxa"/>
            <w:vAlign w:val="bottom"/>
            <w:gridSpan w:val="2"/>
          </w:tcPr>
          <w:p>
            <w:pPr>
              <w:ind w:left="100"/>
              <w:spacing w:after="0"/>
              <w:rPr>
                <w:sz w:val="20"/>
                <w:szCs w:val="20"/>
                <w:color w:val="auto"/>
              </w:rPr>
            </w:pPr>
            <w:r>
              <w:rPr>
                <w:rFonts w:ascii="Arial" w:cs="Arial" w:eastAsia="Arial" w:hAnsi="Arial"/>
                <w:sz w:val="13"/>
                <w:szCs w:val="13"/>
                <w:color w:val="auto"/>
              </w:rPr>
              <w:t>Finance and insurance, net</w:t>
            </w:r>
          </w:p>
        </w:tc>
        <w:tc>
          <w:tcPr>
            <w:tcW w:w="1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201,198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179,016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349,865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314,470</w:t>
            </w:r>
          </w:p>
        </w:tc>
        <w:tc>
          <w:tcPr>
            <w:tcW w:w="60" w:type="dxa"/>
            <w:vAlign w:val="bottom"/>
          </w:tcPr>
          <w:p>
            <w:pPr>
              <w:spacing w:after="0"/>
              <w:rPr>
                <w:sz w:val="16"/>
                <w:szCs w:val="16"/>
                <w:color w:val="auto"/>
              </w:rPr>
            </w:pPr>
          </w:p>
        </w:tc>
      </w:tr>
      <w:tr>
        <w:trPr>
          <w:trHeight w:val="189"/>
        </w:trPr>
        <w:tc>
          <w:tcPr>
            <w:tcW w:w="2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Good Sam Club</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10,270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22,332</w:t>
            </w:r>
          </w:p>
        </w:tc>
        <w:tc>
          <w:tcPr>
            <w:tcW w:w="60" w:type="dxa"/>
            <w:vAlign w:val="bottom"/>
            <w:shd w:val="clear" w:color="auto" w:fill="CCEEFF"/>
          </w:tcPr>
          <w:p>
            <w:pPr>
              <w:spacing w:after="0"/>
              <w:rPr>
                <w:sz w:val="16"/>
                <w:szCs w:val="16"/>
                <w:color w:val="auto"/>
              </w:rPr>
            </w:pPr>
          </w:p>
        </w:tc>
      </w:tr>
      <w:tr>
        <w:trPr>
          <w:trHeight w:val="189"/>
        </w:trPr>
        <w:tc>
          <w:tcPr>
            <w:tcW w:w="2920" w:type="dxa"/>
            <w:vAlign w:val="bottom"/>
            <w:tcBorders>
              <w:bottom w:val="single" w:sz="8" w:color="CCEEFF"/>
            </w:tcBorders>
            <w:gridSpan w:val="2"/>
          </w:tcPr>
          <w:p>
            <w:pPr>
              <w:ind w:left="100"/>
              <w:spacing w:after="0" w:line="189"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88</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4,256</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4,209</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6,660</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1,159</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6,930</w:t>
            </w:r>
          </w:p>
        </w:tc>
        <w:tc>
          <w:tcPr>
            <w:tcW w:w="60" w:type="dxa"/>
            <w:vAlign w:val="bottom"/>
            <w:tcBorders>
              <w:bottom w:val="single" w:sz="8" w:color="CCEEFF"/>
            </w:tcBorders>
          </w:tcPr>
          <w:p>
            <w:pPr>
              <w:spacing w:after="0"/>
              <w:rPr>
                <w:sz w:val="16"/>
                <w:szCs w:val="16"/>
                <w:color w:val="auto"/>
              </w:rPr>
            </w:pPr>
          </w:p>
        </w:tc>
      </w:tr>
      <w:tr>
        <w:trPr>
          <w:trHeight w:val="169"/>
        </w:trPr>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 before intersegment eliminations</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54,301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1,925,991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52,777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1,758,166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101,317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3,295,711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99,388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3,079,223</w:t>
            </w:r>
          </w:p>
        </w:tc>
        <w:tc>
          <w:tcPr>
            <w:tcW w:w="60" w:type="dxa"/>
            <w:vAlign w:val="bottom"/>
            <w:shd w:val="clear" w:color="auto" w:fill="CCEEFF"/>
          </w:tcPr>
          <w:p>
            <w:pPr>
              <w:spacing w:after="0"/>
              <w:rPr>
                <w:sz w:val="14"/>
                <w:szCs w:val="14"/>
                <w:color w:val="auto"/>
              </w:rPr>
            </w:pPr>
          </w:p>
        </w:tc>
      </w:tr>
      <w:tr>
        <w:trPr>
          <w:trHeight w:val="198"/>
        </w:trPr>
        <w:tc>
          <w:tcPr>
            <w:tcW w:w="2920" w:type="dxa"/>
            <w:vAlign w:val="bottom"/>
            <w:gridSpan w:val="2"/>
          </w:tcPr>
          <w:p>
            <w:pPr>
              <w:spacing w:after="0"/>
              <w:rPr>
                <w:sz w:val="20"/>
                <w:szCs w:val="20"/>
                <w:color w:val="auto"/>
              </w:rPr>
            </w:pPr>
            <w:r>
              <w:rPr>
                <w:rFonts w:ascii="Arial" w:cs="Arial" w:eastAsia="Arial" w:hAnsi="Arial"/>
                <w:sz w:val="13"/>
                <w:szCs w:val="13"/>
                <w:b w:val="1"/>
                <w:bCs w:val="1"/>
                <w:color w:val="auto"/>
              </w:rPr>
              <w:t>Segment expenses: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2920" w:type="dxa"/>
            <w:vAlign w:val="bottom"/>
            <w:gridSpan w:val="2"/>
          </w:tcPr>
          <w:p>
            <w:pPr>
              <w:ind w:left="100"/>
              <w:spacing w:after="0" w:line="180"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w w:val="95"/>
              </w:rPr>
              <w:t>21,936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1,361,657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17,156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3"/>
              </w:rPr>
              <w:t>1,241,601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39,613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2,327,751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32,294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2,187,991</w:t>
            </w:r>
          </w:p>
        </w:tc>
        <w:tc>
          <w:tcPr>
            <w:tcW w:w="60" w:type="dxa"/>
            <w:vAlign w:val="bottom"/>
          </w:tcPr>
          <w:p>
            <w:pPr>
              <w:spacing w:after="0"/>
              <w:rPr>
                <w:sz w:val="15"/>
                <w:szCs w:val="15"/>
                <w:color w:val="auto"/>
              </w:rPr>
            </w:pPr>
          </w:p>
        </w:tc>
      </w:tr>
      <w:tr>
        <w:trPr>
          <w:trHeight w:val="189"/>
        </w:trPr>
        <w:tc>
          <w:tcPr>
            <w:tcW w:w="29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5,545</w:t>
            </w:r>
          </w:p>
        </w:tc>
        <w:tc>
          <w:tcPr>
            <w:tcW w:w="60" w:type="dxa"/>
            <w:vAlign w:val="bottom"/>
            <w:shd w:val="clear" w:color="auto" w:fill="CCEEFF"/>
          </w:tcPr>
          <w:p>
            <w:pPr>
              <w:spacing w:after="0"/>
              <w:rPr>
                <w:sz w:val="16"/>
                <w:szCs w:val="16"/>
                <w:color w:val="auto"/>
              </w:rPr>
            </w:pPr>
          </w:p>
        </w:tc>
      </w:tr>
      <w:tr>
        <w:trPr>
          <w:trHeight w:val="189"/>
        </w:trPr>
        <w:tc>
          <w:tcPr>
            <w:tcW w:w="2920" w:type="dxa"/>
            <w:vAlign w:val="bottom"/>
            <w:gridSpan w:val="2"/>
          </w:tcPr>
          <w:p>
            <w:pPr>
              <w:ind w:left="100"/>
              <w:spacing w:after="0" w:line="189"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auto"/>
                <w:w w:val="98"/>
              </w:rPr>
              <w:t>7,167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417,513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7,161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404,174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14,809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787,245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14,449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760,360</w:t>
            </w:r>
          </w:p>
        </w:tc>
        <w:tc>
          <w:tcPr>
            <w:tcW w:w="60" w:type="dxa"/>
            <w:vAlign w:val="bottom"/>
          </w:tcPr>
          <w:p>
            <w:pPr>
              <w:spacing w:after="0"/>
              <w:rPr>
                <w:sz w:val="16"/>
                <w:szCs w:val="16"/>
                <w:color w:val="auto"/>
              </w:rPr>
            </w:pPr>
          </w:p>
        </w:tc>
      </w:tr>
      <w:tr>
        <w:trPr>
          <w:trHeight w:val="189"/>
        </w:trPr>
        <w:tc>
          <w:tcPr>
            <w:tcW w:w="29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Floor plan interest expense</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20,989</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39,295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55,681</w:t>
            </w:r>
          </w:p>
        </w:tc>
        <w:tc>
          <w:tcPr>
            <w:tcW w:w="60" w:type="dxa"/>
            <w:vAlign w:val="bottom"/>
            <w:shd w:val="clear" w:color="auto" w:fill="CCEEFF"/>
          </w:tcPr>
          <w:p>
            <w:pPr>
              <w:spacing w:after="0"/>
              <w:rPr>
                <w:sz w:val="16"/>
                <w:szCs w:val="16"/>
                <w:color w:val="auto"/>
              </w:rPr>
            </w:pPr>
          </w:p>
        </w:tc>
      </w:tr>
      <w:tr>
        <w:trPr>
          <w:trHeight w:val="189"/>
        </w:trPr>
        <w:tc>
          <w:tcPr>
            <w:tcW w:w="2920" w:type="dxa"/>
            <w:vAlign w:val="bottom"/>
            <w:tcBorders>
              <w:bottom w:val="single" w:sz="8" w:color="CCEEFF"/>
            </w:tcBorders>
            <w:gridSpan w:val="2"/>
          </w:tcPr>
          <w:p>
            <w:pPr>
              <w:ind w:left="100"/>
              <w:spacing w:after="0" w:line="189" w:lineRule="exact"/>
              <w:rPr>
                <w:sz w:val="20"/>
                <w:szCs w:val="20"/>
                <w:color w:val="auto"/>
              </w:rPr>
            </w:pPr>
            <w:r>
              <w:rPr>
                <w:rFonts w:ascii="Arial" w:cs="Arial" w:eastAsia="Arial" w:hAnsi="Arial"/>
                <w:sz w:val="13"/>
                <w:szCs w:val="13"/>
                <w:color w:val="auto"/>
              </w:rPr>
              <w:t>Other segment items</w:t>
            </w:r>
            <w:r>
              <w:rPr>
                <w:rFonts w:ascii="Arial" w:cs="Arial" w:eastAsia="Arial" w:hAnsi="Arial"/>
                <w:sz w:val="18"/>
                <w:szCs w:val="18"/>
                <w:color w:val="auto"/>
                <w:vertAlign w:val="superscript"/>
              </w:rPr>
              <w:t>(5)</w:t>
            </w: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60" w:type="dxa"/>
            <w:vAlign w:val="bottom"/>
            <w:tcBorders>
              <w:bottom w:val="single" w:sz="8" w:color="CCEEFF"/>
            </w:tcBorders>
          </w:tcPr>
          <w:p>
            <w:pPr>
              <w:spacing w:after="0"/>
              <w:rPr>
                <w:sz w:val="16"/>
                <w:szCs w:val="16"/>
                <w:color w:val="auto"/>
              </w:rPr>
            </w:pPr>
          </w:p>
        </w:tc>
      </w:tr>
      <w:tr>
        <w:trPr>
          <w:trHeight w:val="155"/>
        </w:trPr>
        <w:tc>
          <w:tcPr>
            <w:tcW w:w="29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Segment Adjusted EBITDA</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25,158</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122,020</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81,144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46,268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135,023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51,621</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69,503</w:t>
            </w:r>
          </w:p>
        </w:tc>
        <w:tc>
          <w:tcPr>
            <w:tcW w:w="60" w:type="dxa"/>
            <w:vAlign w:val="bottom"/>
            <w:shd w:val="clear" w:color="auto" w:fill="CCEEFF"/>
          </w:tcPr>
          <w:p>
            <w:pPr>
              <w:spacing w:after="0"/>
              <w:rPr>
                <w:sz w:val="13"/>
                <w:szCs w:val="13"/>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31" w:lineRule="exact"/>
        <w:rPr>
          <w:sz w:val="20"/>
          <w:szCs w:val="20"/>
          <w:color w:val="auto"/>
        </w:rPr>
      </w:pPr>
    </w:p>
    <w:p>
      <w:pPr>
        <w:ind w:left="500" w:hanging="329"/>
        <w:spacing w:after="0"/>
        <w:tabs>
          <w:tab w:leader="none" w:pos="500" w:val="left"/>
        </w:tabs>
        <w:numPr>
          <w:ilvl w:val="0"/>
          <w:numId w:val="20"/>
        </w:numPr>
        <w:rPr>
          <w:rFonts w:ascii="Arial" w:cs="Arial" w:eastAsia="Arial" w:hAnsi="Arial"/>
          <w:sz w:val="22"/>
          <w:szCs w:val="22"/>
          <w:color w:val="231F20"/>
          <w:vertAlign w:val="superscript"/>
        </w:rPr>
      </w:pPr>
      <w:r>
        <w:rPr>
          <w:rFonts w:ascii="Arial" w:cs="Arial" w:eastAsia="Arial" w:hAnsi="Arial"/>
          <w:sz w:val="14"/>
          <w:szCs w:val="14"/>
          <w:color w:val="auto"/>
        </w:rPr>
        <w:t>Intersegment revenue consists of segment revenue that is eliminated in our condensed consolidated statements of operations.</w:t>
      </w:r>
    </w:p>
    <w:p>
      <w:pPr>
        <w:spacing w:after="0" w:line="93" w:lineRule="exact"/>
        <w:rPr>
          <w:rFonts w:ascii="Arial" w:cs="Arial" w:eastAsia="Arial" w:hAnsi="Arial"/>
          <w:sz w:val="22"/>
          <w:szCs w:val="22"/>
          <w:color w:val="231F20"/>
          <w:vertAlign w:val="superscript"/>
        </w:rPr>
      </w:pPr>
    </w:p>
    <w:p>
      <w:pPr>
        <w:ind w:left="500" w:hanging="329"/>
        <w:spacing w:after="0" w:line="183" w:lineRule="auto"/>
        <w:tabs>
          <w:tab w:leader="none" w:pos="500" w:val="left"/>
        </w:tabs>
        <w:numPr>
          <w:ilvl w:val="0"/>
          <w:numId w:val="20"/>
        </w:numPr>
        <w:rPr>
          <w:rFonts w:ascii="Arial" w:cs="Arial" w:eastAsia="Arial" w:hAnsi="Arial"/>
          <w:sz w:val="20"/>
          <w:szCs w:val="20"/>
          <w:color w:val="231F20"/>
          <w:vertAlign w:val="superscript"/>
        </w:rPr>
      </w:pPr>
      <w:r>
        <w:rPr>
          <w:rFonts w:ascii="Arial" w:cs="Arial" w:eastAsia="Arial" w:hAnsi="Arial"/>
          <w:sz w:val="14"/>
          <w:szCs w:val="14"/>
          <w:color w:val="auto"/>
        </w:rPr>
        <w:t>Adjusted costs applicable to revenue exclude SBC expense and intersegment costs applicable to revenue.</w:t>
      </w:r>
    </w:p>
    <w:p>
      <w:pPr>
        <w:spacing w:after="0" w:line="94" w:lineRule="exact"/>
        <w:rPr>
          <w:rFonts w:ascii="Arial" w:cs="Arial" w:eastAsia="Arial" w:hAnsi="Arial"/>
          <w:sz w:val="20"/>
          <w:szCs w:val="20"/>
          <w:color w:val="231F20"/>
          <w:vertAlign w:val="superscript"/>
        </w:rPr>
      </w:pPr>
    </w:p>
    <w:p>
      <w:pPr>
        <w:ind w:left="500" w:right="120" w:hanging="329"/>
        <w:spacing w:after="0" w:line="196" w:lineRule="auto"/>
        <w:tabs>
          <w:tab w:leader="none" w:pos="500" w:val="left"/>
        </w:tabs>
        <w:numPr>
          <w:ilvl w:val="0"/>
          <w:numId w:val="20"/>
        </w:numPr>
        <w:rPr>
          <w:rFonts w:ascii="Arial" w:cs="Arial" w:eastAsia="Arial" w:hAnsi="Arial"/>
          <w:sz w:val="22"/>
          <w:szCs w:val="22"/>
          <w:color w:val="231F20"/>
          <w:vertAlign w:val="superscript"/>
        </w:rPr>
      </w:pPr>
      <w:r>
        <w:rPr>
          <w:rFonts w:ascii="Arial" w:cs="Arial" w:eastAsia="Arial" w:hAnsi="Arial"/>
          <w:sz w:val="14"/>
          <w:szCs w:val="14"/>
          <w:color w:val="auto"/>
        </w:rPr>
        <w:t>Intersegment costs applicable to revenue consist of segment costs applicable to revenue that are eliminated in our condensed consolidated statements of operations.</w:t>
      </w:r>
    </w:p>
    <w:p>
      <w:pPr>
        <w:spacing w:after="0" w:line="17" w:lineRule="exact"/>
        <w:rPr>
          <w:rFonts w:ascii="Arial" w:cs="Arial" w:eastAsia="Arial" w:hAnsi="Arial"/>
          <w:sz w:val="22"/>
          <w:szCs w:val="22"/>
          <w:color w:val="231F20"/>
          <w:vertAlign w:val="superscript"/>
        </w:rPr>
      </w:pPr>
    </w:p>
    <w:p>
      <w:pPr>
        <w:ind w:left="500" w:hanging="329"/>
        <w:spacing w:after="0"/>
        <w:tabs>
          <w:tab w:leader="none" w:pos="500" w:val="left"/>
        </w:tabs>
        <w:numPr>
          <w:ilvl w:val="0"/>
          <w:numId w:val="20"/>
        </w:numPr>
        <w:rPr>
          <w:rFonts w:ascii="Arial" w:cs="Arial" w:eastAsia="Arial" w:hAnsi="Arial"/>
          <w:sz w:val="22"/>
          <w:szCs w:val="22"/>
          <w:color w:val="231F20"/>
          <w:vertAlign w:val="superscript"/>
        </w:rPr>
      </w:pPr>
      <w:r>
        <w:rPr>
          <w:rFonts w:ascii="Arial" w:cs="Arial" w:eastAsia="Arial" w:hAnsi="Arial"/>
          <w:sz w:val="14"/>
          <w:szCs w:val="14"/>
          <w:color w:val="auto"/>
        </w:rPr>
        <w:t>Adjusted SG&amp;A expenses excludes SBC expense and intersegment operating expenses.</w:t>
      </w:r>
    </w:p>
    <w:p>
      <w:pPr>
        <w:sectPr>
          <w:pgSz w:w="11900" w:h="16838" w:orient="portrait"/>
          <w:cols w:equalWidth="0" w:num="1">
            <w:col w:w="9100"/>
          </w:cols>
          <w:pgMar w:left="1400" w:top="512" w:right="139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359410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00" w:top="512" w:right="1399"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right="79" w:hanging="329"/>
        <w:spacing w:after="0" w:line="204" w:lineRule="auto"/>
        <w:tabs>
          <w:tab w:leader="none" w:pos="460" w:val="left"/>
        </w:tabs>
        <w:numPr>
          <w:ilvl w:val="0"/>
          <w:numId w:val="21"/>
        </w:numPr>
        <w:rPr>
          <w:rFonts w:ascii="Arial" w:cs="Arial" w:eastAsia="Arial" w:hAnsi="Arial"/>
          <w:sz w:val="22"/>
          <w:szCs w:val="22"/>
          <w:color w:val="231F20"/>
          <w:vertAlign w:val="superscript"/>
        </w:rPr>
      </w:pPr>
      <w:r>
        <w:rPr>
          <w:rFonts w:ascii="Arial" w:cs="Arial" w:eastAsia="Arial" w:hAnsi="Arial"/>
          <w:sz w:val="14"/>
          <w:szCs w:val="14"/>
          <w:color w:val="auto"/>
        </w:rPr>
        <w:t>Other segment items include (i) intersegment operating expenses, which are eliminated in our condensed consolidated statements of operations, and (ii) other expense, net excluding loss and/or impairment on investments in equity securities.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2"/>
                <w:szCs w:val="12"/>
                <w:b w:val="1"/>
                <w:bCs w:val="1"/>
                <w:color w:val="auto"/>
              </w:rPr>
              <w:t>Three Months Ended June 30,</w:t>
            </w:r>
          </w:p>
        </w:tc>
        <w:tc>
          <w:tcPr>
            <w:tcW w:w="240" w:type="dxa"/>
            <w:vAlign w:val="bottom"/>
          </w:tcPr>
          <w:p>
            <w:pPr>
              <w:spacing w:after="0"/>
              <w:rPr>
                <w:sz w:val="12"/>
                <w:szCs w:val="12"/>
                <w:color w:val="auto"/>
              </w:rPr>
            </w:pPr>
          </w:p>
        </w:tc>
        <w:tc>
          <w:tcPr>
            <w:tcW w:w="2160" w:type="dxa"/>
            <w:vAlign w:val="bottom"/>
            <w:gridSpan w:val="4"/>
          </w:tcPr>
          <w:p>
            <w:pPr>
              <w:jc w:val="right"/>
              <w:ind w:right="389"/>
              <w:spacing w:after="0"/>
              <w:rPr>
                <w:sz w:val="20"/>
                <w:szCs w:val="20"/>
                <w:color w:val="auto"/>
              </w:rPr>
            </w:pPr>
            <w:r>
              <w:rPr>
                <w:rFonts w:ascii="Arial" w:cs="Arial" w:eastAsia="Arial" w:hAnsi="Arial"/>
                <w:sz w:val="12"/>
                <w:szCs w:val="12"/>
                <w:b w:val="1"/>
                <w:bCs w:val="1"/>
                <w:color w:val="auto"/>
              </w:rPr>
              <w:t>Six Months Ended June 30,</w:t>
            </w:r>
          </w:p>
        </w:tc>
      </w:tr>
      <w:tr>
        <w:trPr>
          <w:trHeight w:val="155"/>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2024</w:t>
            </w:r>
          </w:p>
        </w:tc>
      </w:tr>
      <w:tr>
        <w:trPr>
          <w:trHeight w:val="156"/>
        </w:trPr>
        <w:tc>
          <w:tcPr>
            <w:tcW w:w="39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Revenue:</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 Segment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54,301</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52,777</w:t>
            </w:r>
          </w:p>
        </w:tc>
        <w:tc>
          <w:tcPr>
            <w:tcW w:w="1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101,317</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99,388</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 Segment</w:t>
            </w: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1,925,991</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1,758,166</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3,295,711</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3,079,223</w:t>
            </w:r>
          </w:p>
        </w:tc>
      </w:tr>
      <w:tr>
        <w:trPr>
          <w:trHeight w:val="155"/>
        </w:trPr>
        <w:tc>
          <w:tcPr>
            <w:tcW w:w="4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segment revenue</w:t>
            </w:r>
          </w:p>
        </w:tc>
        <w:tc>
          <w:tcPr>
            <w:tcW w:w="2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1,980,292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1,810,943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3,397,028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3,178,611</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Intersegment eliminations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(4,344)</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(4,438)</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(7,556)</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(8,089)</w:t>
            </w:r>
          </w:p>
        </w:tc>
      </w:tr>
      <w:tr>
        <w:trPr>
          <w:trHeight w:val="155"/>
        </w:trPr>
        <w:tc>
          <w:tcPr>
            <w:tcW w:w="4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1,975,948</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1,806,505</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3,389,472</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3,170,522</w:t>
            </w:r>
          </w:p>
        </w:tc>
      </w:tr>
      <w:tr>
        <w:trPr>
          <w:trHeight w:val="162"/>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Adjusted EBITDA:</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 Segment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25,158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28,366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46,268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51,621</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 Segment</w:t>
            </w: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122,020</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81,144</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135,023</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69,503</w:t>
            </w:r>
          </w:p>
        </w:tc>
      </w:tr>
      <w:tr>
        <w:trPr>
          <w:trHeight w:val="156"/>
        </w:trPr>
        <w:tc>
          <w:tcPr>
            <w:tcW w:w="4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Segment Adjusted EBITDA</w:t>
            </w:r>
          </w:p>
        </w:tc>
        <w:tc>
          <w:tcPr>
            <w:tcW w:w="2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147,178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109,510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181,291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121,124</w:t>
            </w:r>
          </w:p>
        </w:tc>
      </w:tr>
      <w:tr>
        <w:trPr>
          <w:trHeight w:val="162"/>
        </w:trPr>
        <w:tc>
          <w:tcPr>
            <w:tcW w:w="40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3"/>
                <w:szCs w:val="13"/>
                <w:color w:val="auto"/>
              </w:rPr>
              <w:t>Corporate SG&amp;A excluding SBC</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(4,465)</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(3,033)</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(7,391)</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(5,927)</w:t>
            </w: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(23,419)</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(20,032)</w:t>
            </w:r>
          </w:p>
        </w:tc>
        <w:tc>
          <w:tcPr>
            <w:tcW w:w="24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(45,963)</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(39,322)</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Long-lived asset impairment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(4,584)</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(620)</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(10,411)</w:t>
            </w: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Lease termination</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2"/>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gain on sale or disposal of assets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(1,185)</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(7,945)</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(9,530)</w:t>
            </w:r>
          </w:p>
        </w:tc>
      </w:tr>
      <w:tr>
        <w:trPr>
          <w:trHeight w:val="162"/>
        </w:trPr>
        <w:tc>
          <w:tcPr>
            <w:tcW w:w="4020" w:type="dxa"/>
            <w:vAlign w:val="bottom"/>
            <w:gridSpan w:val="2"/>
          </w:tcPr>
          <w:p>
            <w:pPr>
              <w:ind w:left="120"/>
              <w:spacing w:after="0" w:line="162" w:lineRule="exact"/>
              <w:rPr>
                <w:sz w:val="20"/>
                <w:szCs w:val="20"/>
                <w:color w:val="auto"/>
              </w:rPr>
            </w:pPr>
            <w:r>
              <w:rPr>
                <w:rFonts w:ascii="Arial" w:cs="Arial" w:eastAsia="Arial" w:hAnsi="Arial"/>
                <w:sz w:val="13"/>
                <w:szCs w:val="13"/>
                <w:color w:val="auto"/>
              </w:rPr>
              <w:t>Stock-based compensation</w:t>
            </w:r>
            <w:r>
              <w:rPr>
                <w:rFonts w:ascii="Arial" w:cs="Arial" w:eastAsia="Arial" w:hAnsi="Arial"/>
                <w:sz w:val="18"/>
                <w:szCs w:val="18"/>
                <w:color w:val="auto"/>
                <w:vertAlign w:val="superscript"/>
              </w:rPr>
              <w:t>(2)</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(8,444)</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(5,397)</w:t>
            </w:r>
          </w:p>
        </w:tc>
        <w:tc>
          <w:tcPr>
            <w:tcW w:w="24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(15,714)</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(10,594)</w:t>
            </w:r>
          </w:p>
        </w:tc>
      </w:tr>
      <w:tr>
        <w:trPr>
          <w:trHeight w:val="162"/>
        </w:trPr>
        <w:tc>
          <w:tcPr>
            <w:tcW w:w="40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3"/>
                <w:szCs w:val="13"/>
                <w:color w:val="auto"/>
              </w:rPr>
              <w:t>Loss and impairment on investments in equity securities</w:t>
            </w:r>
            <w:r>
              <w:rPr>
                <w:rFonts w:ascii="Arial" w:cs="Arial" w:eastAsia="Arial" w:hAnsi="Arial"/>
                <w:sz w:val="18"/>
                <w:szCs w:val="18"/>
                <w:color w:val="auto"/>
                <w:vertAlign w:val="superscript"/>
              </w:rPr>
              <w:t>(3)</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(2,600)</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(2,757)</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62"/>
        </w:trPr>
        <w:tc>
          <w:tcPr>
            <w:tcW w:w="4020" w:type="dxa"/>
            <w:vAlign w:val="bottom"/>
            <w:gridSpan w:val="2"/>
          </w:tcPr>
          <w:p>
            <w:pPr>
              <w:ind w:left="120"/>
              <w:spacing w:after="0"/>
              <w:rPr>
                <w:sz w:val="20"/>
                <w:szCs w:val="20"/>
                <w:color w:val="auto"/>
              </w:rPr>
            </w:pPr>
            <w:r>
              <w:rPr>
                <w:rFonts w:ascii="Arial" w:cs="Arial" w:eastAsia="Arial" w:hAnsi="Arial"/>
                <w:sz w:val="14"/>
                <w:szCs w:val="14"/>
                <w:color w:val="auto"/>
              </w:rPr>
              <w:t>Other interest expense, net</w:t>
            </w: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(30,836)</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(36,153)</w:t>
            </w:r>
          </w:p>
        </w:tc>
        <w:tc>
          <w:tcPr>
            <w:tcW w:w="24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(61,367)</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(72,247)</w:t>
            </w:r>
          </w:p>
        </w:tc>
      </w:tr>
      <w:tr>
        <w:trPr>
          <w:trHeight w:val="162"/>
        </w:trPr>
        <w:tc>
          <w:tcPr>
            <w:tcW w:w="40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3"/>
                <w:szCs w:val="13"/>
                <w:color w:val="auto"/>
              </w:rPr>
              <w:t>Intersegment eliminations</w:t>
            </w:r>
            <w:r>
              <w:rPr>
                <w:rFonts w:ascii="Arial" w:cs="Arial" w:eastAsia="Arial" w:hAnsi="Arial"/>
                <w:sz w:val="18"/>
                <w:szCs w:val="18"/>
                <w:color w:val="auto"/>
                <w:vertAlign w:val="superscript"/>
              </w:rPr>
              <w:t>(4)</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(492)</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(896)</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(533)</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r>
      <w:tr>
        <w:trPr>
          <w:trHeight w:val="156"/>
        </w:trPr>
        <w:tc>
          <w:tcPr>
            <w:tcW w:w="4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(loss) before income taxes</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75,844</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31,349</w:t>
            </w: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47,691</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(28,499)</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440" w:right="79" w:hanging="322"/>
        <w:spacing w:after="0"/>
        <w:tabs>
          <w:tab w:leader="none" w:pos="440" w:val="left"/>
        </w:tabs>
        <w:numPr>
          <w:ilvl w:val="0"/>
          <w:numId w:val="22"/>
        </w:numPr>
        <w:rPr>
          <w:rFonts w:ascii="Arial" w:cs="Arial" w:eastAsia="Arial" w:hAnsi="Arial"/>
          <w:sz w:val="22"/>
          <w:szCs w:val="22"/>
          <w:color w:val="231F20"/>
          <w:vertAlign w:val="superscript"/>
        </w:rPr>
      </w:pPr>
      <w:r>
        <w:rPr>
          <w:rFonts w:ascii="Arial" w:cs="Arial" w:eastAsia="Arial" w:hAnsi="Arial"/>
          <w:sz w:val="14"/>
          <w:szCs w:val="14"/>
          <w:color w:val="auto"/>
        </w:rPr>
        <w:t>Corporate SG&amp;A excluding SBC represents corporate SG&amp;A expenses that are not allocated to the segments and are comprised primarily of the costs associated with being a public company. This amount excludes the SBC relating to the Board of Directors for their service as board members that is not allocated to the segments, since it is presented as part of the SBC reconciling line item in this table.</w:t>
      </w:r>
    </w:p>
    <w:p>
      <w:pPr>
        <w:spacing w:after="0" w:line="154" w:lineRule="exact"/>
        <w:rPr>
          <w:rFonts w:ascii="Arial" w:cs="Arial" w:eastAsia="Arial" w:hAnsi="Arial"/>
          <w:sz w:val="22"/>
          <w:szCs w:val="22"/>
          <w:color w:val="231F20"/>
          <w:vertAlign w:val="superscript"/>
        </w:rPr>
      </w:pPr>
    </w:p>
    <w:p>
      <w:pPr>
        <w:ind w:left="440" w:right="79" w:hanging="322"/>
        <w:spacing w:after="0" w:line="204" w:lineRule="auto"/>
        <w:tabs>
          <w:tab w:leader="none" w:pos="440" w:val="left"/>
        </w:tabs>
        <w:numPr>
          <w:ilvl w:val="0"/>
          <w:numId w:val="22"/>
        </w:numPr>
        <w:rPr>
          <w:rFonts w:ascii="Arial" w:cs="Arial" w:eastAsia="Arial" w:hAnsi="Arial"/>
          <w:sz w:val="22"/>
          <w:szCs w:val="22"/>
          <w:color w:val="231F20"/>
          <w:vertAlign w:val="superscript"/>
        </w:rPr>
      </w:pPr>
      <w:r>
        <w:rPr>
          <w:rFonts w:ascii="Arial" w:cs="Arial" w:eastAsia="Arial" w:hAnsi="Arial"/>
          <w:sz w:val="14"/>
          <w:szCs w:val="14"/>
          <w:color w:val="auto"/>
        </w:rPr>
        <w:t>This SBC amount includes SBC allocated to the segments and SBC relating to the Board of Directors for their service as board members that is not allocated to the segments (See Note 16 — Stock-Based Compensation Plans).</w:t>
      </w:r>
    </w:p>
    <w:p>
      <w:pPr>
        <w:spacing w:after="0" w:line="39" w:lineRule="exact"/>
        <w:rPr>
          <w:rFonts w:ascii="Arial" w:cs="Arial" w:eastAsia="Arial" w:hAnsi="Arial"/>
          <w:sz w:val="22"/>
          <w:szCs w:val="22"/>
          <w:color w:val="231F20"/>
          <w:vertAlign w:val="superscript"/>
        </w:rPr>
      </w:pPr>
    </w:p>
    <w:p>
      <w:pPr>
        <w:ind w:left="440" w:right="79" w:hanging="322"/>
        <w:spacing w:after="0" w:line="204" w:lineRule="auto"/>
        <w:tabs>
          <w:tab w:leader="none" w:pos="440" w:val="left"/>
        </w:tabs>
        <w:numPr>
          <w:ilvl w:val="0"/>
          <w:numId w:val="22"/>
        </w:numPr>
        <w:rPr>
          <w:rFonts w:ascii="Arial" w:cs="Arial" w:eastAsia="Arial" w:hAnsi="Arial"/>
          <w:sz w:val="22"/>
          <w:szCs w:val="22"/>
          <w:color w:val="231F20"/>
          <w:vertAlign w:val="superscript"/>
        </w:rPr>
      </w:pPr>
      <w:r>
        <w:rPr>
          <w:rFonts w:ascii="Arial" w:cs="Arial" w:eastAsia="Arial" w:hAnsi="Arial"/>
          <w:sz w:val="14"/>
          <w:szCs w:val="14"/>
          <w:color w:val="auto"/>
        </w:rPr>
        <w:t>Represents loss and/or impairment on investments in equity securities and interest income relating to any notes receivables with those investments. These amounts are included in other expense, net in the condensed consolidated statements of operations.</w:t>
      </w:r>
    </w:p>
    <w:p>
      <w:pPr>
        <w:ind w:left="440" w:hanging="322"/>
        <w:spacing w:after="0" w:line="217" w:lineRule="auto"/>
        <w:tabs>
          <w:tab w:leader="none" w:pos="440" w:val="left"/>
        </w:tabs>
        <w:numPr>
          <w:ilvl w:val="0"/>
          <w:numId w:val="22"/>
        </w:numPr>
        <w:rPr>
          <w:rFonts w:ascii="Arial" w:cs="Arial" w:eastAsia="Arial" w:hAnsi="Arial"/>
          <w:sz w:val="22"/>
          <w:szCs w:val="22"/>
          <w:color w:val="231F20"/>
          <w:vertAlign w:val="superscript"/>
        </w:rPr>
      </w:pPr>
      <w:r>
        <w:rPr>
          <w:rFonts w:ascii="Arial" w:cs="Arial" w:eastAsia="Arial" w:hAnsi="Arial"/>
          <w:sz w:val="14"/>
          <w:szCs w:val="14"/>
          <w:color w:val="auto"/>
        </w:rPr>
        <w:t>Represents the net impact of intersegment eliminations on (loss) income before income taxes.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9"/>
          </w:tcPr>
          <w:p>
            <w:pPr>
              <w:jc w:val="right"/>
              <w:ind w:right="480"/>
              <w:spacing w:after="0"/>
              <w:rPr>
                <w:sz w:val="20"/>
                <w:szCs w:val="20"/>
                <w:color w:val="auto"/>
              </w:rPr>
            </w:pPr>
            <w:r>
              <w:rPr>
                <w:rFonts w:ascii="Arial" w:cs="Arial" w:eastAsia="Arial" w:hAnsi="Arial"/>
                <w:sz w:val="12"/>
                <w:szCs w:val="12"/>
                <w:b w:val="1"/>
                <w:bCs w:val="1"/>
                <w:color w:val="auto"/>
              </w:rPr>
              <w:t>Three Months Ended June 30,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10"/>
          </w:tcPr>
          <w:p>
            <w:pPr>
              <w:jc w:val="center"/>
              <w:ind w:right="460"/>
              <w:spacing w:after="0"/>
              <w:rPr>
                <w:sz w:val="20"/>
                <w:szCs w:val="20"/>
                <w:color w:val="auto"/>
              </w:rPr>
            </w:pPr>
            <w:r>
              <w:rPr>
                <w:rFonts w:ascii="Arial" w:cs="Arial" w:eastAsia="Arial" w:hAnsi="Arial"/>
                <w:sz w:val="12"/>
                <w:szCs w:val="12"/>
                <w:b w:val="1"/>
                <w:bCs w:val="1"/>
                <w:color w:val="auto"/>
                <w:w w:val="97"/>
              </w:rPr>
              <w:t>Six Months Ended June 30,</w:t>
            </w:r>
          </w:p>
        </w:tc>
        <w:tc>
          <w:tcPr>
            <w:tcW w:w="0" w:type="dxa"/>
            <w:vAlign w:val="bottom"/>
          </w:tcPr>
          <w:p>
            <w:pPr>
              <w:spacing w:after="0"/>
              <w:rPr>
                <w:sz w:val="1"/>
                <w:szCs w:val="1"/>
                <w:color w:val="auto"/>
              </w:rPr>
            </w:pPr>
          </w:p>
        </w:tc>
      </w:tr>
      <w:tr>
        <w:trPr>
          <w:trHeight w:val="142"/>
        </w:trPr>
        <w:tc>
          <w:tcPr>
            <w:tcW w:w="354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2025</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180"/>
              <w:spacing w:after="0"/>
              <w:rPr>
                <w:sz w:val="20"/>
                <w:szCs w:val="20"/>
                <w:color w:val="auto"/>
              </w:rPr>
            </w:pPr>
            <w:r>
              <w:rPr>
                <w:rFonts w:ascii="Arial" w:cs="Arial" w:eastAsia="Arial" w:hAnsi="Arial"/>
                <w:sz w:val="12"/>
                <w:szCs w:val="12"/>
                <w:b w:val="1"/>
                <w:bCs w:val="1"/>
                <w:color w:val="auto"/>
              </w:rPr>
              <w:t>2024</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90"/>
              <w:spacing w:after="0"/>
              <w:rPr>
                <w:sz w:val="20"/>
                <w:szCs w:val="20"/>
                <w:color w:val="auto"/>
              </w:rPr>
            </w:pPr>
            <w:r>
              <w:rPr>
                <w:rFonts w:ascii="Arial" w:cs="Arial" w:eastAsia="Arial" w:hAnsi="Arial"/>
                <w:sz w:val="12"/>
                <w:szCs w:val="12"/>
                <w:b w:val="1"/>
                <w:bCs w:val="1"/>
                <w:color w:val="auto"/>
              </w:rPr>
              <w:t>2024</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Depreciation and amortization:</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100"/>
              <w:spacing w:after="0"/>
              <w:rPr>
                <w:sz w:val="20"/>
                <w:szCs w:val="20"/>
                <w:color w:val="auto"/>
              </w:rPr>
            </w:pPr>
            <w:r>
              <w:rPr>
                <w:rFonts w:ascii="Arial" w:cs="Arial" w:eastAsia="Arial" w:hAnsi="Arial"/>
                <w:sz w:val="14"/>
                <w:szCs w:val="14"/>
                <w:color w:val="auto"/>
              </w:rPr>
              <w:t>Good Sam Services and Plans</w:t>
            </w:r>
          </w:p>
        </w:tc>
        <w:tc>
          <w:tcPr>
            <w:tcW w:w="340" w:type="dxa"/>
            <w:vAlign w:val="bottom"/>
            <w:gridSpan w:val="3"/>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841</w:t>
            </w:r>
          </w:p>
        </w:tc>
        <w:tc>
          <w:tcPr>
            <w:tcW w:w="20" w:type="dxa"/>
            <w:vAlign w:val="bottom"/>
          </w:tcPr>
          <w:p>
            <w:pPr>
              <w:spacing w:after="0"/>
              <w:rPr>
                <w:sz w:val="14"/>
                <w:szCs w:val="14"/>
                <w:color w:val="auto"/>
              </w:rPr>
            </w:pPr>
          </w:p>
        </w:tc>
        <w:tc>
          <w:tcPr>
            <w:tcW w:w="62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19,191</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43,937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37,633</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gridSpan w:val="2"/>
          </w:tcPr>
          <w:p>
            <w:pPr>
              <w:spacing w:after="0" w:line="155" w:lineRule="exact"/>
              <w:rPr>
                <w:sz w:val="20"/>
                <w:szCs w:val="20"/>
                <w:color w:val="auto"/>
              </w:rPr>
            </w:pPr>
            <w:r>
              <w:rPr>
                <w:rFonts w:ascii="Arial" w:cs="Arial" w:eastAsia="Arial" w:hAnsi="Arial"/>
                <w:sz w:val="14"/>
                <w:szCs w:val="14"/>
                <w:color w:val="auto"/>
              </w:rPr>
              <w:t>Total depreciation and amortization</w:t>
            </w:r>
          </w:p>
        </w:tc>
        <w:tc>
          <w:tcPr>
            <w:tcW w:w="120" w:type="dxa"/>
            <w:vAlign w:val="bottom"/>
          </w:tcPr>
          <w:p>
            <w:pPr>
              <w:spacing w:after="0"/>
              <w:rPr>
                <w:sz w:val="13"/>
                <w:szCs w:val="13"/>
                <w:color w:val="auto"/>
              </w:rPr>
            </w:pPr>
          </w:p>
        </w:tc>
        <w:tc>
          <w:tcPr>
            <w:tcW w:w="22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20,032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45,963</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39,322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540" w:type="dxa"/>
            <w:vAlign w:val="bottom"/>
            <w:gridSpan w:val="3"/>
            <w:vMerge w:val="restart"/>
          </w:tcPr>
          <w:p>
            <w:pPr>
              <w:ind w:left="20"/>
              <w:spacing w:after="0"/>
              <w:rPr>
                <w:sz w:val="20"/>
                <w:szCs w:val="20"/>
                <w:color w:val="auto"/>
              </w:rPr>
            </w:pPr>
            <w:r>
              <w:rPr>
                <w:rFonts w:ascii="Arial" w:cs="Arial" w:eastAsia="Arial" w:hAnsi="Arial"/>
                <w:sz w:val="14"/>
                <w:szCs w:val="14"/>
                <w:color w:val="auto"/>
              </w:rPr>
              <w:t>($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9"/>
          </w:tcPr>
          <w:p>
            <w:pPr>
              <w:jc w:val="right"/>
              <w:ind w:right="400"/>
              <w:spacing w:after="0"/>
              <w:rPr>
                <w:sz w:val="20"/>
                <w:szCs w:val="20"/>
                <w:color w:val="auto"/>
              </w:rPr>
            </w:pPr>
            <w:r>
              <w:rPr>
                <w:rFonts w:ascii="Arial" w:cs="Arial" w:eastAsia="Arial" w:hAnsi="Arial"/>
                <w:sz w:val="13"/>
                <w:szCs w:val="13"/>
                <w:b w:val="1"/>
                <w:bCs w:val="1"/>
                <w:color w:val="auto"/>
              </w:rPr>
              <w:t>Three Months Ended June 30,</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10"/>
          </w:tcPr>
          <w:p>
            <w:pPr>
              <w:jc w:val="center"/>
              <w:ind w:right="480"/>
              <w:spacing w:after="0"/>
              <w:rPr>
                <w:sz w:val="20"/>
                <w:szCs w:val="20"/>
                <w:color w:val="auto"/>
              </w:rPr>
            </w:pPr>
            <w:r>
              <w:rPr>
                <w:rFonts w:ascii="Arial" w:cs="Arial" w:eastAsia="Arial" w:hAnsi="Arial"/>
                <w:sz w:val="13"/>
                <w:szCs w:val="13"/>
                <w:b w:val="1"/>
                <w:bCs w:val="1"/>
                <w:color w:val="auto"/>
                <w:w w:val="96"/>
              </w:rPr>
              <w:t>Six Months Ended June 30,</w:t>
            </w: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3"/>
                <w:szCs w:val="13"/>
                <w:b w:val="1"/>
                <w:bCs w:val="1"/>
                <w:color w:val="auto"/>
              </w:rPr>
              <w:t>2025</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3"/>
                <w:szCs w:val="13"/>
                <w:b w:val="1"/>
                <w:bCs w:val="1"/>
                <w:color w:val="auto"/>
              </w:rPr>
              <w:t>2025</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70"/>
              <w:spacing w:after="0" w:line="142" w:lineRule="exact"/>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00" w:type="dxa"/>
            <w:vAlign w:val="bottom"/>
            <w:tcBorders>
              <w:top w:val="single" w:sz="8" w:color="auto"/>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Other interest expense, net:</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100"/>
              <w:spacing w:after="0"/>
              <w:rPr>
                <w:sz w:val="20"/>
                <w:szCs w:val="20"/>
                <w:color w:val="auto"/>
              </w:rPr>
            </w:pPr>
            <w:r>
              <w:rPr>
                <w:rFonts w:ascii="Arial" w:cs="Arial" w:eastAsia="Arial" w:hAnsi="Arial"/>
                <w:sz w:val="14"/>
                <w:szCs w:val="14"/>
                <w:color w:val="auto"/>
              </w:rPr>
              <w:t>Good Sam Services and Plans</w:t>
            </w:r>
          </w:p>
        </w:tc>
        <w:tc>
          <w:tcPr>
            <w:tcW w:w="34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(21)</w:t>
            </w:r>
          </w:p>
        </w:tc>
        <w:tc>
          <w:tcPr>
            <w:tcW w:w="3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gridSpan w:val="4"/>
          </w:tcPr>
          <w:p>
            <w:pPr>
              <w:jc w:val="right"/>
              <w:ind w:right="20"/>
              <w:spacing w:after="0"/>
              <w:rPr>
                <w:sz w:val="20"/>
                <w:szCs w:val="20"/>
                <w:color w:val="auto"/>
              </w:rPr>
            </w:pPr>
            <w:r>
              <w:rPr>
                <w:rFonts w:ascii="Arial" w:cs="Arial" w:eastAsia="Arial" w:hAnsi="Arial"/>
                <w:sz w:val="14"/>
                <w:szCs w:val="14"/>
                <w:color w:val="auto"/>
              </w:rPr>
              <w:t>(22)</w:t>
            </w:r>
          </w:p>
        </w:tc>
        <w:tc>
          <w:tcPr>
            <w:tcW w:w="6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(73)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6,300</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8,242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12,709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6,279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8,220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line="155" w:lineRule="exact"/>
              <w:rPr>
                <w:sz w:val="20"/>
                <w:szCs w:val="20"/>
                <w:color w:val="auto"/>
              </w:rPr>
            </w:pPr>
            <w:r>
              <w:rPr>
                <w:rFonts w:ascii="Arial" w:cs="Arial" w:eastAsia="Arial" w:hAnsi="Arial"/>
                <w:sz w:val="14"/>
                <w:szCs w:val="14"/>
                <w:color w:val="auto"/>
              </w:rPr>
              <w:t>12,636</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16,316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Corporate &amp; other</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24,557</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27,933</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48,731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Total other interest expense, net</w:t>
            </w:r>
          </w:p>
        </w:tc>
        <w:tc>
          <w:tcPr>
            <w:tcW w:w="140" w:type="dxa"/>
            <w:vAlign w:val="bottom"/>
            <w:gridSpan w:val="2"/>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30,836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36,153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61,367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540" w:type="dxa"/>
            <w:vAlign w:val="bottom"/>
            <w:gridSpan w:val="3"/>
            <w:vMerge w:val="restart"/>
          </w:tcPr>
          <w:p>
            <w:pPr>
              <w:ind w:left="20"/>
              <w:spacing w:after="0"/>
              <w:rPr>
                <w:sz w:val="20"/>
                <w:szCs w:val="20"/>
                <w:color w:val="auto"/>
              </w:rPr>
            </w:pPr>
            <w:r>
              <w:rPr>
                <w:rFonts w:ascii="Arial" w:cs="Arial" w:eastAsia="Arial" w:hAnsi="Arial"/>
                <w:sz w:val="14"/>
                <w:szCs w:val="14"/>
                <w:color w:val="auto"/>
              </w:rPr>
              <w:t>($ in thousands)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4"/>
          </w:tcPr>
          <w:p>
            <w:pPr>
              <w:jc w:val="right"/>
              <w:ind w:right="128"/>
              <w:spacing w:after="0"/>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24"/>
                <w:szCs w:val="24"/>
                <w:color w:val="auto"/>
              </w:rPr>
            </w:pPr>
          </w:p>
        </w:tc>
        <w:tc>
          <w:tcPr>
            <w:tcW w:w="1040" w:type="dxa"/>
            <w:vAlign w:val="bottom"/>
            <w:gridSpan w:val="6"/>
          </w:tcPr>
          <w:p>
            <w:pPr>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53"/>
        </w:trPr>
        <w:tc>
          <w:tcPr>
            <w:tcW w:w="35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3"/>
                <w:szCs w:val="13"/>
                <w:b w:val="1"/>
                <w:bCs w:val="1"/>
                <w:color w:val="auto"/>
              </w:rPr>
              <w:t>2025</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4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100"/>
              <w:spacing w:after="0"/>
              <w:rPr>
                <w:sz w:val="20"/>
                <w:szCs w:val="20"/>
                <w:color w:val="auto"/>
              </w:rPr>
            </w:pPr>
            <w:r>
              <w:rPr>
                <w:rFonts w:ascii="Arial" w:cs="Arial" w:eastAsia="Arial" w:hAnsi="Arial"/>
                <w:sz w:val="14"/>
                <w:szCs w:val="14"/>
                <w:color w:val="auto"/>
              </w:rPr>
              <w:t>Good Sam Services and Plans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right"/>
              <w:ind w:right="91"/>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87,911</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121,876</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87,570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4,881,045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4,509,509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4,693,705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4,968,956</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4,631,385</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4,781,275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Corporate &amp; other</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222,891</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231,892</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224,601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Total assets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  5,191,847</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color w:val="auto"/>
              </w:rPr>
              <w:t>4,863,277</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5,005,876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5"/>
          </w:tcPr>
          <w:p>
            <w:pPr>
              <w:ind w:left="120"/>
              <w:spacing w:after="0"/>
              <w:rPr>
                <w:sz w:val="20"/>
                <w:szCs w:val="20"/>
                <w:color w:val="auto"/>
              </w:rPr>
            </w:pPr>
            <w:r>
              <w:rPr>
                <w:rFonts w:ascii="Arial" w:cs="Arial" w:eastAsia="Arial" w:hAnsi="Arial"/>
                <w:sz w:val="12"/>
                <w:szCs w:val="12"/>
                <w:b w:val="1"/>
                <w:bCs w:val="1"/>
                <w:color w:val="auto"/>
              </w:rPr>
              <w:t>Three Months Ended June 30,</w:t>
            </w:r>
          </w:p>
        </w:tc>
        <w:tc>
          <w:tcPr>
            <w:tcW w:w="220" w:type="dxa"/>
            <w:vAlign w:val="bottom"/>
          </w:tcPr>
          <w:p>
            <w:pPr>
              <w:spacing w:after="0"/>
              <w:rPr>
                <w:sz w:val="12"/>
                <w:szCs w:val="12"/>
                <w:color w:val="auto"/>
              </w:rPr>
            </w:pPr>
          </w:p>
        </w:tc>
        <w:tc>
          <w:tcPr>
            <w:tcW w:w="2060" w:type="dxa"/>
            <w:vAlign w:val="bottom"/>
            <w:gridSpan w:val="4"/>
          </w:tcPr>
          <w:p>
            <w:pPr>
              <w:jc w:val="right"/>
              <w:ind w:right="331"/>
              <w:spacing w:after="0"/>
              <w:rPr>
                <w:sz w:val="20"/>
                <w:szCs w:val="20"/>
                <w:color w:val="auto"/>
              </w:rPr>
            </w:pPr>
            <w:r>
              <w:rPr>
                <w:rFonts w:ascii="Arial" w:cs="Arial" w:eastAsia="Arial" w:hAnsi="Arial"/>
                <w:sz w:val="12"/>
                <w:szCs w:val="12"/>
                <w:b w:val="1"/>
                <w:bCs w:val="1"/>
                <w:color w:val="auto"/>
              </w:rPr>
              <w:t>Six Months Ended June 30,</w:t>
            </w:r>
          </w:p>
        </w:tc>
      </w:tr>
      <w:tr>
        <w:trPr>
          <w:trHeight w:val="156"/>
        </w:trPr>
        <w:tc>
          <w:tcPr>
            <w:tcW w:w="418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2024</w:t>
            </w: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33"/>
              <w:spacing w:after="0"/>
              <w:rPr>
                <w:sz w:val="20"/>
                <w:szCs w:val="20"/>
                <w:color w:val="auto"/>
              </w:rPr>
            </w:pPr>
            <w:r>
              <w:rPr>
                <w:rFonts w:ascii="Arial" w:cs="Arial" w:eastAsia="Arial" w:hAnsi="Arial"/>
                <w:sz w:val="12"/>
                <w:szCs w:val="12"/>
                <w:b w:val="1"/>
                <w:bCs w:val="1"/>
                <w:color w:val="auto"/>
              </w:rPr>
              <w:t>2025</w:t>
            </w: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2024</w:t>
            </w:r>
          </w:p>
        </w:tc>
      </w:tr>
      <w:tr>
        <w:trPr>
          <w:trHeight w:val="155"/>
        </w:trPr>
        <w:tc>
          <w:tcPr>
            <w:tcW w:w="40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Capital expenditures:</w:t>
            </w:r>
          </w:p>
        </w:tc>
        <w:tc>
          <w:tcPr>
            <w:tcW w:w="1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62"/>
        </w:trPr>
        <w:tc>
          <w:tcPr>
            <w:tcW w:w="418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2,213</w:t>
            </w:r>
          </w:p>
        </w:tc>
        <w:tc>
          <w:tcPr>
            <w:tcW w:w="16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1,758</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5,118</w:t>
            </w:r>
          </w:p>
        </w:tc>
        <w:tc>
          <w:tcPr>
            <w:tcW w:w="1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3,615</w:t>
            </w:r>
          </w:p>
        </w:tc>
      </w:tr>
      <w:tr>
        <w:trPr>
          <w:trHeight w:val="162"/>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47,774</w:t>
            </w:r>
          </w:p>
        </w:tc>
        <w:tc>
          <w:tcPr>
            <w:tcW w:w="1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20,868</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116,964</w:t>
            </w: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46,181</w:t>
            </w:r>
          </w:p>
        </w:tc>
      </w:tr>
      <w:tr>
        <w:trPr>
          <w:trHeight w:val="156"/>
        </w:trPr>
        <w:tc>
          <w:tcPr>
            <w:tcW w:w="41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Total capital expenditures</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49,987</w:t>
            </w:r>
          </w:p>
        </w:tc>
        <w:tc>
          <w:tcPr>
            <w:tcW w:w="16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22,626</w:t>
            </w:r>
          </w:p>
        </w:tc>
        <w:tc>
          <w:tcPr>
            <w:tcW w:w="18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122,082</w:t>
            </w:r>
          </w:p>
        </w:tc>
        <w:tc>
          <w:tcPr>
            <w:tcW w:w="16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49,796</w:t>
            </w:r>
          </w:p>
        </w:tc>
      </w:tr>
      <w:tr>
        <w:trPr>
          <w:trHeight w:val="20"/>
        </w:trPr>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Part I, Item 1 of this Form 10-Q, as well as our Annual Report on Form 10-K for the year ended December 31, 2024, filed with the SEC on February 28, 2025 (the “Annual Report”).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our Annual Report, the “Cautionary Note Regarding Forward-Looking Statements” in this Form 10-Q and in other parts of this Form 10-Q.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spacing w:after="0" w:line="18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For purposes of this Form 10-Q, we define an "Active Customer" as a customer who has transacted with us in any of the eight most recently completed fiscal quarters prior to the date of measurement. Unless otherwise indicated, the date of measurement is June 30, 2025, our most recently completed fiscal quarter.</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Camping World Holdings, Inc. (together with its subsidiaries) is the world’s largest retailer of RVs and related products and services. Through our Camping World and Good Sam brands, our vision is to build a business that makes RVing and other outdoor adventures fun and easy. We strive to build long-term value for our customers, employees, and stockholders by combining a unique and comprehensive assortment of RV products and services with a national network of RV dealerships, service centers and customer support centers along with the industry’s most extensive online presence and a highly-trained and knowledgeable team of associates serving our customers, the RV lifestyle, and the communities in which we operate. We also believe that our Good Sam organization and family of highly specialized services and plans, including roadside assistance, protection plans and insurance, uniquely enables us to connect with our customers as stewards of an outdoor and recreational lifestyle. On June 30, 2025, we operated a total of 201 locations, with all of them selling and/or servicing RVs. See Note 1 – Summary of Significant Accounting Policies to our condensed consolidated financial statements included in Part I, Item 1 of this Form 10-Q.</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changes in quantities and types of retail stores and changes in same stores from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2024 to June 30, 2025, are in the table below:</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left="42"/>
              <w:spacing w:after="0"/>
              <w:rPr>
                <w:sz w:val="20"/>
                <w:szCs w:val="20"/>
                <w:color w:val="auto"/>
              </w:rPr>
            </w:pPr>
            <w:r>
              <w:rPr>
                <w:rFonts w:ascii="Arial" w:cs="Arial" w:eastAsia="Arial" w:hAnsi="Arial"/>
                <w:sz w:val="12"/>
                <w:szCs w:val="12"/>
                <w:b w:val="1"/>
                <w:bCs w:val="1"/>
                <w:color w:val="auto"/>
                <w:w w:val="95"/>
              </w:rPr>
              <w:t>RV</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6"/>
              </w:rPr>
              <w:t>RV Service &amp;</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355"/>
              <w:spacing w:after="0"/>
              <w:rPr>
                <w:sz w:val="20"/>
                <w:szCs w:val="20"/>
                <w:color w:val="auto"/>
              </w:rPr>
            </w:pPr>
            <w:r>
              <w:rPr>
                <w:rFonts w:ascii="Arial" w:cs="Arial" w:eastAsia="Arial" w:hAnsi="Arial"/>
                <w:sz w:val="12"/>
                <w:szCs w:val="12"/>
                <w:b w:val="1"/>
                <w:bCs w:val="1"/>
                <w:color w:val="auto"/>
              </w:rPr>
              <w:t>Same</w:t>
            </w:r>
          </w:p>
        </w:tc>
      </w:tr>
      <w:tr>
        <w:trPr>
          <w:trHeight w:val="155"/>
        </w:trPr>
        <w:tc>
          <w:tcPr>
            <w:tcW w:w="37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left="62"/>
              <w:spacing w:after="0"/>
              <w:rPr>
                <w:sz w:val="20"/>
                <w:szCs w:val="20"/>
                <w:color w:val="auto"/>
              </w:rPr>
            </w:pPr>
            <w:r>
              <w:rPr>
                <w:rFonts w:ascii="Arial" w:cs="Arial" w:eastAsia="Arial" w:hAnsi="Arial"/>
                <w:sz w:val="12"/>
                <w:szCs w:val="12"/>
                <w:b w:val="1"/>
                <w:bCs w:val="1"/>
                <w:color w:val="auto"/>
                <w:w w:val="96"/>
              </w:rPr>
              <w:t>Dealerships</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Retail Centers</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rPr>
              <w:t>Total</w:t>
            </w:r>
          </w:p>
        </w:tc>
        <w:tc>
          <w:tcPr>
            <w:tcW w:w="11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2"/>
                <w:szCs w:val="12"/>
                <w:b w:val="1"/>
                <w:bCs w:val="1"/>
                <w:color w:val="auto"/>
              </w:rPr>
              <w:t>Store</w:t>
            </w:r>
            <w:r>
              <w:rPr>
                <w:rFonts w:ascii="Arial" w:cs="Arial" w:eastAsia="Arial" w:hAnsi="Arial"/>
                <w:sz w:val="17"/>
                <w:szCs w:val="17"/>
                <w:color w:val="auto"/>
                <w:vertAlign w:val="superscript"/>
              </w:rPr>
              <w:t>(1)</w:t>
            </w:r>
          </w:p>
        </w:tc>
      </w:tr>
      <w:tr>
        <w:trPr>
          <w:trHeight w:val="142"/>
        </w:trPr>
        <w:tc>
          <w:tcPr>
            <w:tcW w:w="37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Number of store locations as of June 30, 2024</w:t>
            </w:r>
          </w:p>
        </w:tc>
        <w:tc>
          <w:tcPr>
            <w:tcW w:w="980" w:type="dxa"/>
            <w:vAlign w:val="bottom"/>
            <w:gridSpan w:val="2"/>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211</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215</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182</w:t>
            </w:r>
          </w:p>
        </w:tc>
      </w:tr>
      <w:tr>
        <w:trPr>
          <w:trHeight w:val="148"/>
        </w:trPr>
        <w:tc>
          <w:tcPr>
            <w:tcW w:w="4720" w:type="dxa"/>
            <w:vAlign w:val="bottom"/>
            <w:gridSpan w:val="3"/>
          </w:tcPr>
          <w:p>
            <w:pPr>
              <w:ind w:left="100"/>
              <w:spacing w:after="0"/>
              <w:rPr>
                <w:sz w:val="20"/>
                <w:szCs w:val="20"/>
                <w:color w:val="auto"/>
              </w:rPr>
            </w:pPr>
            <w:r>
              <w:rPr>
                <w:rFonts w:ascii="Arial" w:cs="Arial" w:eastAsia="Arial" w:hAnsi="Arial"/>
                <w:sz w:val="13"/>
                <w:szCs w:val="13"/>
                <w:color w:val="auto"/>
              </w:rPr>
              <w:t>Opened</w:t>
            </w:r>
          </w:p>
        </w:tc>
        <w:tc>
          <w:tcPr>
            <w:tcW w:w="30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Converted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49"/>
        </w:trPr>
        <w:tc>
          <w:tcPr>
            <w:tcW w:w="4720" w:type="dxa"/>
            <w:vAlign w:val="bottom"/>
            <w:gridSpan w:val="3"/>
          </w:tcPr>
          <w:p>
            <w:pPr>
              <w:ind w:left="100"/>
              <w:spacing w:after="0"/>
              <w:rPr>
                <w:sz w:val="20"/>
                <w:szCs w:val="20"/>
                <w:color w:val="auto"/>
              </w:rPr>
            </w:pPr>
            <w:r>
              <w:rPr>
                <w:rFonts w:ascii="Arial" w:cs="Arial" w:eastAsia="Arial" w:hAnsi="Arial"/>
                <w:sz w:val="13"/>
                <w:szCs w:val="13"/>
                <w:color w:val="auto"/>
              </w:rPr>
              <w:t>Temporarily closed</w:t>
            </w:r>
          </w:p>
        </w:tc>
        <w:tc>
          <w:tcPr>
            <w:tcW w:w="30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48"/>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Closed</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49"/>
        </w:trPr>
        <w:tc>
          <w:tcPr>
            <w:tcW w:w="390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2"/>
                <w:szCs w:val="12"/>
                <w:color w:val="auto"/>
              </w:rPr>
              <w:t xml:space="preserve">Achieved designation of same store </w:t>
            </w:r>
            <w:r>
              <w:rPr>
                <w:rFonts w:ascii="Arial" w:cs="Arial" w:eastAsia="Arial" w:hAnsi="Arial"/>
                <w:sz w:val="17"/>
                <w:szCs w:val="17"/>
                <w:color w:val="auto"/>
                <w:vertAlign w:val="superscript"/>
              </w:rPr>
              <w:t>(1)</w:t>
            </w: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142"/>
        </w:trPr>
        <w:tc>
          <w:tcPr>
            <w:tcW w:w="4720" w:type="dxa"/>
            <w:vAlign w:val="bottom"/>
            <w:gridSpan w:val="3"/>
            <w:shd w:val="clear" w:color="auto" w:fill="CCEEFF"/>
          </w:tcPr>
          <w:p>
            <w:pPr>
              <w:spacing w:after="0" w:line="142" w:lineRule="exact"/>
              <w:rPr>
                <w:sz w:val="20"/>
                <w:szCs w:val="20"/>
                <w:color w:val="auto"/>
              </w:rPr>
            </w:pPr>
            <w:r>
              <w:rPr>
                <w:rFonts w:ascii="Arial" w:cs="Arial" w:eastAsia="Arial" w:hAnsi="Arial"/>
                <w:sz w:val="13"/>
                <w:szCs w:val="13"/>
                <w:color w:val="auto"/>
              </w:rPr>
              <w:t>Number of store locations as of June 30, 2025</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201</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178</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380" w:right="79" w:hanging="330"/>
        <w:spacing w:after="0" w:line="281"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same store revenue and units calculations for a given period include only those stores that were open both at the end of the corresponding period and at the beginning of the preceding fiscal year.</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Trends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According to the RV Industry Association’s (“RVIA”) survey of manufacturers, which almost entirely focuses on North America, wholesale shipments of new RVs for 2024 were 333,733 units, 6.6% greater than in 2023. In the Summer 2025 edition of RV </w:t>
      </w:r>
      <w:r>
        <w:rPr>
          <w:rFonts w:ascii="Arial" w:cs="Arial" w:eastAsia="Arial" w:hAnsi="Arial"/>
          <w:sz w:val="18"/>
          <w:szCs w:val="18"/>
          <w:i w:val="1"/>
          <w:iCs w:val="1"/>
          <w:color w:val="auto"/>
        </w:rPr>
        <w:t>RoadSigns</w:t>
      </w:r>
      <w:r>
        <w:rPr>
          <w:rFonts w:ascii="Arial" w:cs="Arial" w:eastAsia="Arial" w:hAnsi="Arial"/>
          <w:sz w:val="18"/>
          <w:szCs w:val="18"/>
          <w:color w:val="auto"/>
        </w:rPr>
        <w:t>, the quarterly forecast prepared by ITR Economics for the RVIA projected RV wholesale shipments to be approximately 337,000 in 2025, or 1.0% higher than 2024. RV wholesale shipments for the first six months of 2025 were 190,705 units, up 6.8% compared to the same timeframe last year per the June 2025 survey of manufacturers prepared by the RVIA. According to Statistical Surveys, Inc. aggregation of North America RV retail transactions, new RV registrations in the US declined by 4.6% to 317,503 registrations for the twelve-month period ended May 31, 2025 compared to the comparable period ended May 31, 2024. Used RV registrations experienced a 7.5% decline to 715,542 registrations over the same period.</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per unit cost of new vehicles in fiscal year 2023 was significantly higher than we experienced prior to the COVID-19 pandemic, due to the RV manufacturers’ supply constraints during the pandemic, strong demand for new vehicles during the pandemic, higher inflation, and higher interest rates. We focused on clearing out a significant portion of our higher cost pre-2024 model year new vehicles in late 2023 and the first quarter of 2024. The increased mix of lower cost recent model year vehicles during the first quarter of 2025, as well as a mix shift toward more inexpensive entry level travel trailers, resulted in lower average selling prices and average cost per unit of new vehicles with little impact to gross margins. Additionally, residual values of used vehicles had declined during 2024 as a result of a decrease in new vehicle costs, which resulted in the first half of 2025 having lower average selling prices and average cost per unit of used vehicles and a 128 basis point improvement in used vehicle gross margins.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had experienced lower used vehicle inventory levels for much of 2024 as we slowed procurement to allow RV owner pricing expectations to adjust as a result of 2024 model year pricing declines. Beginning in the fourth quarter of 2024, we took steps to reverse the trend of decreasing used vehicle revenue and unit sales, including the increase in the procurement of used vehicles, which resulted in a 21.5% increase in used vehicles revenue and 24.4% increase in used vehicles unit sales in the first half of 2025. Accordingly, we expect used vehicle revenue and unit sales to outpace comparative 2024 periods for much of 2025.</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are closely monitoring U.S. trade policy developments with countries from which we source product and equipment, such as China, Mexico, and Canada. There is uncertainty as to the extent and duration of additional tariffs that have or may be imposed on imports from these countries. We made adjustments to our procurement practices to partially mitigate certain of the potential negative effects that additional tariffs may impose on the sourcing of our inventory and equipment. Additionally, many of our U.S.-based suppliers source some of their components from these countries, which could result in higher procurement costs from U.S.-based suppliers. In 2024, our costs applicable to revenue included the costs of directly sourced inventory from China, Mexico, and Canada of approximately $27.0 million, $10.0 million and $2.0 million,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Institutions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As noted in “Industry Trends” above, we have experienced, and continue to experience, reduced cost and average selling prices with respect to new vehicles and, as a byproduct of the new vehicle pricing decrease, used vehicles. New and used vehicles regularly represent a majority of our costs. However, inflationary factors, such as increases to our product costs, or tariffs on imported product or components used by RV manufacturers, have in the past adversely affected and may in the future adversely affect our operating results if the selling prices of our products and services do not increase proportionately with those increased costs or if demand for our products and services declines as a result of price increases to address inflationary costs. We finance substantially all of our new vehicle inventory and certain of our used vehicle inventory through revolving floor plan arrangements. Inflationary increases in the costs of new and/or used vehicles financed through the revolving floor plan arrangement result in an increase in the outstanding principal balance of the revolving floor plan arrangement. Additionally, our leases require us to pay taxes, maintenance, repairs, insurance and utilities, all of which are generally subject to inflationary increases. Further, the cost of remodeling acquired RV dealership locations and constructing new RV dealership locations is subject to inflationary increases in the costs of labor and material, which results in higher rent expense on new RV dealership locations. Finally, our credit agreements include interest rates that vary based on various benchmarks. Such rates have historically increased during periods of increasing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June 30, 2025 Compared to Three Months Ended June 30, 2024</w:t>
      </w:r>
    </w:p>
    <w:p>
      <w:pPr>
        <w:spacing w:after="0" w:line="10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Unless otherwise indicated, all financial comparisons in this section of Results of Operations compare our financial results for the three months ended June 30, 2025 to our financial results from the three months ended June 30, 2024. The following table sets forth information comparing the components of net income (loss) for the three months ended June 30, 2025 and 2024:</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2"/>
                <w:szCs w:val="12"/>
                <w:b w:val="1"/>
                <w:bCs w:val="1"/>
                <w:color w:val="auto"/>
              </w:rPr>
              <w:t>Three Months Ended</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4"/>
          </w:tcPr>
          <w:p>
            <w:pPr>
              <w:jc w:val="right"/>
              <w:ind w:right="560"/>
              <w:spacing w:after="0" w:line="129" w:lineRule="exact"/>
              <w:rPr>
                <w:sz w:val="20"/>
                <w:szCs w:val="20"/>
                <w:color w:val="auto"/>
              </w:rPr>
            </w:pPr>
            <w:r>
              <w:rPr>
                <w:rFonts w:ascii="Arial" w:cs="Arial" w:eastAsia="Arial" w:hAnsi="Arial"/>
                <w:sz w:val="12"/>
                <w:szCs w:val="12"/>
                <w:b w:val="1"/>
                <w:bCs w:val="1"/>
                <w:color w:val="auto"/>
              </w:rPr>
              <w:t>June 30, 2025</w:t>
            </w:r>
          </w:p>
        </w:tc>
        <w:tc>
          <w:tcPr>
            <w:tcW w:w="100" w:type="dxa"/>
            <w:vAlign w:val="bottom"/>
          </w:tcPr>
          <w:p>
            <w:pPr>
              <w:spacing w:after="0"/>
              <w:rPr>
                <w:sz w:val="11"/>
                <w:szCs w:val="11"/>
                <w:color w:val="auto"/>
              </w:rPr>
            </w:pPr>
          </w:p>
        </w:tc>
        <w:tc>
          <w:tcPr>
            <w:tcW w:w="1500" w:type="dxa"/>
            <w:vAlign w:val="bottom"/>
            <w:gridSpan w:val="3"/>
          </w:tcPr>
          <w:p>
            <w:pPr>
              <w:jc w:val="right"/>
              <w:ind w:right="349"/>
              <w:spacing w:after="0" w:line="129" w:lineRule="exact"/>
              <w:rPr>
                <w:sz w:val="20"/>
                <w:szCs w:val="20"/>
                <w:color w:val="auto"/>
              </w:rPr>
            </w:pPr>
            <w:r>
              <w:rPr>
                <w:rFonts w:ascii="Arial" w:cs="Arial" w:eastAsia="Arial" w:hAnsi="Arial"/>
                <w:sz w:val="12"/>
                <w:szCs w:val="12"/>
                <w:b w:val="1"/>
                <w:bCs w:val="1"/>
                <w:color w:val="auto"/>
              </w:rPr>
              <w:t>June 30, 2024</w:t>
            </w:r>
          </w:p>
        </w:tc>
        <w:tc>
          <w:tcPr>
            <w:tcW w:w="120" w:type="dxa"/>
            <w:vAlign w:val="bottom"/>
          </w:tcPr>
          <w:p>
            <w:pPr>
              <w:spacing w:after="0"/>
              <w:rPr>
                <w:sz w:val="11"/>
                <w:szCs w:val="11"/>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2"/>
                <w:szCs w:val="12"/>
                <w:b w:val="1"/>
                <w:bCs w:val="1"/>
                <w:color w:val="auto"/>
              </w:rPr>
              <w:t>Favorable/ (Unfavorable)</w:t>
            </w: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5"/>
              </w:rPr>
              <w:t>Percent of</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8"/>
              </w:rPr>
              <w:t>Percent of</w:t>
            </w:r>
          </w:p>
        </w:tc>
        <w:tc>
          <w:tcPr>
            <w:tcW w:w="120" w:type="dxa"/>
            <w:vAlign w:val="bottom"/>
          </w:tcPr>
          <w:p>
            <w:pPr>
              <w:spacing w:after="0"/>
              <w:rPr>
                <w:sz w:val="11"/>
                <w:szCs w:val="11"/>
                <w:color w:val="auto"/>
              </w:rPr>
            </w:pPr>
          </w:p>
        </w:tc>
        <w:tc>
          <w:tcPr>
            <w:tcW w:w="1500" w:type="dxa"/>
            <w:vAlign w:val="bottom"/>
            <w:tcBorders>
              <w:bottom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00" w:type="dxa"/>
            <w:vAlign w:val="bottom"/>
          </w:tcPr>
          <w:p>
            <w:pPr>
              <w:spacing w:after="0"/>
              <w:rPr>
                <w:sz w:val="11"/>
                <w:szCs w:val="11"/>
                <w:color w:val="auto"/>
              </w:rPr>
            </w:pP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jc w:val="right"/>
              <w:ind w:right="200"/>
              <w:spacing w:after="0" w:line="129" w:lineRule="exact"/>
              <w:rPr>
                <w:sz w:val="20"/>
                <w:szCs w:val="20"/>
                <w:color w:val="auto"/>
              </w:rPr>
            </w:pPr>
            <w:r>
              <w:rPr>
                <w:rFonts w:ascii="Arial" w:cs="Arial" w:eastAsia="Arial" w:hAnsi="Arial"/>
                <w:sz w:val="12"/>
                <w:szCs w:val="12"/>
                <w:b w:val="1"/>
                <w:bCs w:val="1"/>
                <w:color w:val="auto"/>
              </w:rPr>
              <w:t>Revenue</w:t>
            </w:r>
          </w:p>
        </w:tc>
        <w:tc>
          <w:tcPr>
            <w:tcW w:w="100" w:type="dxa"/>
            <w:vAlign w:val="bottom"/>
          </w:tcPr>
          <w:p>
            <w:pPr>
              <w:spacing w:after="0"/>
              <w:rPr>
                <w:sz w:val="11"/>
                <w:szCs w:val="11"/>
                <w:color w:val="auto"/>
              </w:rPr>
            </w:pPr>
          </w:p>
        </w:tc>
        <w:tc>
          <w:tcPr>
            <w:tcW w:w="880" w:type="dxa"/>
            <w:vAlign w:val="bottom"/>
            <w:gridSpan w:val="2"/>
          </w:tcPr>
          <w:p>
            <w:pPr>
              <w:jc w:val="right"/>
              <w:ind w:right="340"/>
              <w:spacing w:after="0" w:line="129" w:lineRule="exact"/>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jc w:val="right"/>
              <w:ind w:right="180"/>
              <w:spacing w:after="0" w:line="129" w:lineRule="exact"/>
              <w:rPr>
                <w:sz w:val="20"/>
                <w:szCs w:val="20"/>
                <w:color w:val="auto"/>
              </w:rPr>
            </w:pPr>
            <w:r>
              <w:rPr>
                <w:rFonts w:ascii="Arial" w:cs="Arial" w:eastAsia="Arial" w:hAnsi="Arial"/>
                <w:sz w:val="12"/>
                <w:szCs w:val="12"/>
                <w:b w:val="1"/>
                <w:bCs w:val="1"/>
                <w:color w:val="auto"/>
              </w:rPr>
              <w:t>Revenue</w:t>
            </w:r>
          </w:p>
        </w:tc>
        <w:tc>
          <w:tcPr>
            <w:tcW w:w="100" w:type="dxa"/>
            <w:vAlign w:val="bottom"/>
          </w:tcPr>
          <w:p>
            <w:pPr>
              <w:spacing w:after="0"/>
              <w:rPr>
                <w:sz w:val="11"/>
                <w:szCs w:val="11"/>
                <w:color w:val="auto"/>
              </w:rPr>
            </w:pPr>
          </w:p>
        </w:tc>
        <w:tc>
          <w:tcPr>
            <w:tcW w:w="620" w:type="dxa"/>
            <w:vAlign w:val="bottom"/>
          </w:tcPr>
          <w:p>
            <w:pPr>
              <w:jc w:val="right"/>
              <w:ind w:right="248"/>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1"/>
                <w:szCs w:val="11"/>
                <w:color w:val="auto"/>
              </w:rPr>
            </w:pPr>
          </w:p>
        </w:tc>
        <w:tc>
          <w:tcPr>
            <w:tcW w:w="640" w:type="dxa"/>
            <w:vAlign w:val="bottom"/>
          </w:tcPr>
          <w:p>
            <w:pPr>
              <w:jc w:val="right"/>
              <w:ind w:right="188"/>
              <w:spacing w:after="0" w:line="129"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5"/>
        </w:trPr>
        <w:tc>
          <w:tcPr>
            <w:tcW w:w="38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54,213</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52,548</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1,665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New vehicles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915,106</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847,105</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68,001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572,271</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480,774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91,497</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Products, service and other</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222,890</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235,947</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(13,057)</w:t>
            </w:r>
          </w:p>
        </w:tc>
        <w:tc>
          <w:tcPr>
            <w:tcW w:w="6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201,198</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179,016</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22,182</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Good Sam Club</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10,270</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11,115</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(845)</w:t>
            </w:r>
          </w:p>
        </w:tc>
        <w:tc>
          <w:tcPr>
            <w:tcW w:w="6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Subtotal</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1,921,735</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97.3%</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1,753,957</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167,778</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1,975,948</w:t>
            </w: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1,806,505</w:t>
            </w: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169,443</w:t>
            </w:r>
          </w:p>
        </w:tc>
        <w:tc>
          <w:tcPr>
            <w:tcW w:w="1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Gross profit (exclusive of depreciation and amortization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shown separately below):</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32,266</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35,356</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(3,090)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126,233</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129,455</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(3,222)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Used vehicles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117,032</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91,173</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25,859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106,478</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103,014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3,464</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Finance and insurance, net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201,198</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179,016</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22,182</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9,048</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9,645</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(597)</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55"/>
        </w:trPr>
        <w:tc>
          <w:tcPr>
            <w:tcW w:w="396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Subtotal</w:t>
            </w: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559,989</w:t>
            </w:r>
          </w:p>
        </w:tc>
        <w:tc>
          <w:tcPr>
            <w:tcW w:w="1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28.3%</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512,303</w:t>
            </w:r>
          </w:p>
        </w:tc>
        <w:tc>
          <w:tcPr>
            <w:tcW w:w="16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47,686</w:t>
            </w:r>
          </w:p>
        </w:tc>
        <w:tc>
          <w:tcPr>
            <w:tcW w:w="14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56"/>
        </w:trPr>
        <w:tc>
          <w:tcPr>
            <w:tcW w:w="39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gross profit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592,255</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547,659</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44,596</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437,489</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419,676</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(17,813)</w:t>
            </w: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23,419</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20,032</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(3,387)</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4,584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4,584</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3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Loss on sale or disposal of assets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7,945</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6,760</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55"/>
        </w:trPr>
        <w:tc>
          <w:tcPr>
            <w:tcW w:w="39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461,986</w:t>
            </w:r>
          </w:p>
        </w:tc>
        <w:tc>
          <w:tcPr>
            <w:tcW w:w="16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23.4%</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452,277</w:t>
            </w:r>
          </w:p>
        </w:tc>
        <w:tc>
          <w:tcPr>
            <w:tcW w:w="16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(9,709)</w:t>
            </w:r>
          </w:p>
        </w:tc>
        <w:tc>
          <w:tcPr>
            <w:tcW w:w="14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from operations</w:t>
            </w: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130,269</w:t>
            </w: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95,382</w:t>
            </w: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34,887</w:t>
            </w:r>
          </w:p>
        </w:tc>
        <w:tc>
          <w:tcPr>
            <w:tcW w:w="1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Floor plan interest expense</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(20,989)</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(27,799)</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6,810</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(30,836)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(36,153)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5,317</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Other expense, net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(2,600)</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(81)</w:t>
            </w:r>
          </w:p>
        </w:tc>
        <w:tc>
          <w:tcPr>
            <w:tcW w:w="62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(2,519)</w:t>
            </w:r>
          </w:p>
        </w:tc>
        <w:tc>
          <w:tcPr>
            <w:tcW w:w="64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other expense</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(54,425)</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(64,033)</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9,608</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before income taxes</w:t>
            </w: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75,844</w:t>
            </w:r>
          </w:p>
        </w:tc>
        <w:tc>
          <w:tcPr>
            <w:tcW w:w="16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31,349</w:t>
            </w: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44,495</w:t>
            </w:r>
          </w:p>
        </w:tc>
        <w:tc>
          <w:tcPr>
            <w:tcW w:w="1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(18,321)</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(7,935)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(10,386)</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156"/>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Net income</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57,523</w:t>
            </w:r>
          </w:p>
        </w:tc>
        <w:tc>
          <w:tcPr>
            <w:tcW w:w="16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23,414</w:t>
            </w: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34,109</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(27,307)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(13,643)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(13,664)</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156"/>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Net income attributable to Camping World Holdings, Inc.</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30,216</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9,771</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20,445</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20" w:type="dxa"/>
            <w:vAlign w:val="bottom"/>
            <w:gridSpan w:val="17"/>
          </w:tcPr>
          <w:p>
            <w:pPr>
              <w:ind w:left="20"/>
              <w:spacing w:after="0"/>
              <w:rPr>
                <w:sz w:val="20"/>
                <w:szCs w:val="20"/>
                <w:color w:val="auto"/>
              </w:rPr>
            </w:pPr>
            <w:r>
              <w:rPr>
                <w:rFonts w:ascii="Arial" w:cs="Arial" w:eastAsia="Arial" w:hAnsi="Arial"/>
                <w:sz w:val="13"/>
                <w:szCs w:val="13"/>
                <w:b w:val="1"/>
                <w:bCs w:val="1"/>
                <w:color w:val="auto"/>
              </w:rPr>
              <w:t>Supplemental Data</w:t>
            </w:r>
          </w:p>
        </w:tc>
        <w:tc>
          <w:tcPr>
            <w:tcW w:w="100" w:type="dxa"/>
            <w:vAlign w:val="bottom"/>
          </w:tcPr>
          <w:p>
            <w:pPr>
              <w:spacing w:after="0"/>
              <w:rPr>
                <w:sz w:val="14"/>
                <w:szCs w:val="14"/>
                <w:color w:val="auto"/>
              </w:rPr>
            </w:pPr>
          </w:p>
        </w:tc>
        <w:tc>
          <w:tcPr>
            <w:tcW w:w="24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86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4"/>
                <w:szCs w:val="1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(decrease)</w:t>
            </w:r>
          </w:p>
        </w:tc>
        <w:tc>
          <w:tcPr>
            <w:tcW w:w="460" w:type="dxa"/>
            <w:vAlign w:val="bottom"/>
          </w:tcPr>
          <w:p>
            <w:pPr>
              <w:spacing w:after="0"/>
              <w:rPr>
                <w:sz w:val="13"/>
                <w:szCs w:val="13"/>
                <w:color w:val="auto"/>
              </w:rPr>
            </w:pPr>
          </w:p>
        </w:tc>
        <w:tc>
          <w:tcPr>
            <w:tcW w:w="86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gridSpan w:val="16"/>
            <w:shd w:val="clear" w:color="auto" w:fill="CCEEFF"/>
          </w:tcPr>
          <w:p>
            <w:pPr>
              <w:ind w:left="20"/>
              <w:spacing w:after="0" w:line="142" w:lineRule="exact"/>
              <w:rPr>
                <w:sz w:val="20"/>
                <w:szCs w:val="20"/>
                <w:color w:val="auto"/>
              </w:rPr>
            </w:pPr>
            <w:r>
              <w:rPr>
                <w:rFonts w:ascii="Arial" w:cs="Arial" w:eastAsia="Arial" w:hAnsi="Arial"/>
                <w:sz w:val="14"/>
                <w:szCs w:val="14"/>
                <w:color w:val="auto"/>
              </w:rPr>
              <w:t>Unit sales</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vehicles</w:t>
            </w:r>
          </w:p>
        </w:tc>
        <w:tc>
          <w:tcPr>
            <w:tcW w:w="1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26,696</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22,084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4,612</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18,906</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15,700</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3,206</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45,602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37,784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7,818</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Average selling price</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320" w:type="dxa"/>
            <w:vAlign w:val="bottom"/>
            <w:tcBorders>
              <w:top w:val="single" w:sz="8" w:color="auto"/>
            </w:tcBorders>
            <w:gridSpan w:val="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780" w:type="dxa"/>
            <w:vAlign w:val="bottom"/>
            <w:gridSpan w:val="11"/>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34,279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38,358</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(4,079)</w:t>
            </w: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30,269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30,623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(354)</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400" w:type="dxa"/>
            <w:vAlign w:val="bottom"/>
            <w:gridSpan w:val="7"/>
            <w:vMerge w:val="restart"/>
          </w:tcPr>
          <w:p>
            <w:pPr>
              <w:ind w:left="20"/>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w:t>
            </w:r>
          </w:p>
        </w:tc>
        <w:tc>
          <w:tcPr>
            <w:tcW w:w="14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40" w:type="dxa"/>
            <w:vAlign w:val="bottom"/>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1200" w:type="dxa"/>
            <w:vAlign w:val="bottom"/>
            <w:gridSpan w:val="2"/>
            <w:vMerge w:val="restart"/>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00" w:type="dxa"/>
            <w:vAlign w:val="bottom"/>
            <w:gridSpan w:val="7"/>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80" w:type="dxa"/>
            <w:vAlign w:val="bottom"/>
            <w:tcBorders>
              <w:top w:val="single" w:sz="8" w:color="auto"/>
            </w:tcBorders>
            <w:gridSpan w:val="6"/>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720" w:type="dxa"/>
            <w:vAlign w:val="bottom"/>
            <w:gridSpan w:val="10"/>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24,360</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19,936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4,424</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4100" w:type="dxa"/>
            <w:vAlign w:val="bottom"/>
            <w:tcBorders>
              <w:bottom w:val="single" w:sz="8" w:color="CCEEFF"/>
            </w:tcBorders>
            <w:gridSpan w:val="16"/>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17,528</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14,509</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3,019</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41,888</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34,445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7,443</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300" w:type="dxa"/>
            <w:vAlign w:val="bottom"/>
            <w:tcBorders>
              <w:bottom w:val="single" w:sz="8" w:color="CCEEFF"/>
            </w:tcBorders>
            <w:gridSpan w:val="5"/>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color w:val="auto"/>
              </w:rPr>
              <w:t>(1)</w:t>
            </w:r>
          </w:p>
        </w:tc>
        <w:tc>
          <w:tcPr>
            <w:tcW w:w="2680" w:type="dxa"/>
            <w:vAlign w:val="bottom"/>
            <w:tcBorders>
              <w:bottom w:val="single" w:sz="8" w:color="CCEEFF"/>
            </w:tcBorders>
            <w:gridSpan w:val="9"/>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 in 000s)</w:t>
            </w:r>
          </w:p>
        </w:tc>
        <w:tc>
          <w:tcPr>
            <w:tcW w:w="10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00" w:type="dxa"/>
            <w:vAlign w:val="bottom"/>
            <w:gridSpan w:val="5"/>
            <w:vMerge w:val="continue"/>
            <w:shd w:val="clear" w:color="auto" w:fill="CCEEFF"/>
          </w:tcPr>
          <w:p>
            <w:pPr>
              <w:spacing w:after="0"/>
              <w:rPr>
                <w:sz w:val="2"/>
                <w:szCs w:val="2"/>
                <w:color w:val="auto"/>
              </w:rPr>
            </w:pPr>
          </w:p>
        </w:tc>
        <w:tc>
          <w:tcPr>
            <w:tcW w:w="140" w:type="dxa"/>
            <w:vAlign w:val="bottom"/>
            <w:gridSpan w:val="3"/>
            <w:shd w:val="clear" w:color="auto" w:fill="CCEEFF"/>
          </w:tcPr>
          <w:p>
            <w:pPr>
              <w:spacing w:after="0"/>
              <w:rPr>
                <w:sz w:val="2"/>
                <w:szCs w:val="2"/>
                <w:color w:val="auto"/>
              </w:rPr>
            </w:pPr>
          </w:p>
        </w:tc>
        <w:tc>
          <w:tcPr>
            <w:tcW w:w="2680" w:type="dxa"/>
            <w:vAlign w:val="bottom"/>
            <w:gridSpan w:val="9"/>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40" w:type="dxa"/>
            <w:vAlign w:val="bottom"/>
            <w:tcBorders>
              <w:top w:val="single" w:sz="8" w:color="CCEEFF"/>
            </w:tcBorders>
            <w:gridSpan w:val="3"/>
          </w:tcPr>
          <w:p>
            <w:pPr>
              <w:spacing w:after="0"/>
              <w:rPr>
                <w:sz w:val="13"/>
                <w:szCs w:val="13"/>
                <w:color w:val="auto"/>
              </w:rPr>
            </w:pPr>
          </w:p>
        </w:tc>
        <w:tc>
          <w:tcPr>
            <w:tcW w:w="720" w:type="dxa"/>
            <w:vAlign w:val="bottom"/>
            <w:tcBorders>
              <w:top w:val="single" w:sz="8" w:color="auto"/>
            </w:tcBorders>
            <w:gridSpan w:val="5"/>
          </w:tcPr>
          <w:p>
            <w:pPr>
              <w:spacing w:after="0"/>
              <w:rPr>
                <w:sz w:val="13"/>
                <w:szCs w:val="13"/>
                <w:color w:val="auto"/>
              </w:rPr>
            </w:pPr>
          </w:p>
        </w:tc>
        <w:tc>
          <w:tcPr>
            <w:tcW w:w="1960" w:type="dxa"/>
            <w:vAlign w:val="bottom"/>
            <w:tcBorders>
              <w:top w:val="single" w:sz="8" w:color="CCEEFF"/>
            </w:tcBorders>
            <w:gridSpan w:val="4"/>
          </w:tcPr>
          <w:p>
            <w:pPr>
              <w:spacing w:after="0"/>
              <w:rPr>
                <w:sz w:val="13"/>
                <w:szCs w:val="13"/>
                <w:color w:val="auto"/>
              </w:rPr>
            </w:pPr>
          </w:p>
        </w:tc>
        <w:tc>
          <w:tcPr>
            <w:tcW w:w="1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833,171</w:t>
            </w:r>
          </w:p>
        </w:tc>
        <w:tc>
          <w:tcPr>
            <w:tcW w:w="2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768,687</w:t>
            </w:r>
          </w:p>
        </w:tc>
        <w:tc>
          <w:tcPr>
            <w:tcW w:w="2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64,484</w:t>
            </w:r>
          </w:p>
        </w:tc>
        <w:tc>
          <w:tcPr>
            <w:tcW w:w="20" w:type="dxa"/>
            <w:vAlign w:val="bottom"/>
            <w:tcBorders>
              <w:top w:val="single" w:sz="8" w:color="CCEEFF"/>
            </w:tcBorders>
          </w:tcPr>
          <w:p>
            <w:pPr>
              <w:spacing w:after="0"/>
              <w:rPr>
                <w:sz w:val="13"/>
                <w:szCs w:val="13"/>
                <w:color w:val="auto"/>
              </w:rPr>
            </w:pPr>
          </w:p>
        </w:tc>
        <w:tc>
          <w:tcPr>
            <w:tcW w:w="46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525,573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448,019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77,554</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Products, service and other</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179,017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186,445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(7,428)</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186,659</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163,615</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23,044</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1,724,420</w:t>
            </w:r>
          </w:p>
        </w:tc>
        <w:tc>
          <w:tcPr>
            <w:tcW w:w="20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1,566,766</w:t>
            </w:r>
          </w:p>
        </w:tc>
        <w:tc>
          <w:tcPr>
            <w:tcW w:w="2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157,654</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Average gross profit per unit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800" w:type="dxa"/>
            <w:vAlign w:val="bottom"/>
            <w:tcBorders>
              <w:top w:val="single" w:sz="8" w:color="auto"/>
            </w:tcBorders>
            <w:gridSpan w:val="11"/>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300" w:type="dxa"/>
            <w:vAlign w:val="bottom"/>
            <w:gridSpan w:val="5"/>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4,729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5,862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(1,133)</w:t>
            </w: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6,190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383</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line="162"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18"/>
                <w:szCs w:val="18"/>
                <w:color w:val="auto"/>
                <w:vertAlign w:val="superscript"/>
              </w:rPr>
              <w:t>(2)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9,747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10,577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(830)</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Gross margin</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Good Sam Services and Plans</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59.5%</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(777) bps</w:t>
            </w: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New vehicles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128"/>
              <w:spacing w:after="0"/>
              <w:rPr>
                <w:sz w:val="20"/>
                <w:szCs w:val="20"/>
                <w:color w:val="auto"/>
              </w:rPr>
            </w:pPr>
            <w:r>
              <w:rPr>
                <w:rFonts w:ascii="Arial" w:cs="Arial" w:eastAsia="Arial" w:hAnsi="Arial"/>
                <w:sz w:val="14"/>
                <w:szCs w:val="14"/>
                <w:color w:val="auto"/>
              </w:rPr>
              <w:t>(149) bps</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bps</w:t>
            </w: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Products, service and other</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411</w:t>
            </w:r>
          </w:p>
        </w:tc>
        <w:tc>
          <w:tcPr>
            <w:tcW w:w="2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bps</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unch</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4100" w:type="dxa"/>
            <w:vAlign w:val="bottom"/>
            <w:tcBorders>
              <w:bottom w:val="single" w:sz="8" w:color="CCEEFF"/>
            </w:tcBorders>
            <w:gridSpan w:val="16"/>
          </w:tcPr>
          <w:p>
            <w:pPr>
              <w:ind w:left="100"/>
              <w:spacing w:after="0"/>
              <w:rPr>
                <w:sz w:val="20"/>
                <w:szCs w:val="20"/>
                <w:color w:val="auto"/>
              </w:rPr>
            </w:pPr>
            <w:r>
              <w:rPr>
                <w:rFonts w:ascii="Arial" w:cs="Arial" w:eastAsia="Arial" w:hAnsi="Arial"/>
                <w:sz w:val="14"/>
                <w:szCs w:val="14"/>
                <w:color w:val="auto"/>
              </w:rPr>
              <w:t>Good Sam Club</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bps</w:t>
            </w:r>
          </w:p>
        </w:tc>
        <w:tc>
          <w:tcPr>
            <w:tcW w:w="84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 RV and Outdoor Retail</w:t>
            </w:r>
          </w:p>
        </w:tc>
        <w:tc>
          <w:tcPr>
            <w:tcW w:w="1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29.1%</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29.2%</w:t>
            </w: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w:t>
            </w:r>
          </w:p>
        </w:tc>
        <w:tc>
          <w:tcPr>
            <w:tcW w:w="480" w:type="dxa"/>
            <w:vAlign w:val="bottom"/>
            <w:gridSpan w:val="2"/>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bps</w:t>
            </w: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gridSpan w:val="16"/>
          </w:tcPr>
          <w:p>
            <w:pPr>
              <w:ind w:left="100"/>
              <w:spacing w:after="0" w:line="155" w:lineRule="exact"/>
              <w:rPr>
                <w:sz w:val="20"/>
                <w:szCs w:val="20"/>
                <w:color w:val="auto"/>
              </w:rPr>
            </w:pPr>
            <w:r>
              <w:rPr>
                <w:rFonts w:ascii="Arial" w:cs="Arial" w:eastAsia="Arial" w:hAnsi="Arial"/>
                <w:sz w:val="14"/>
                <w:szCs w:val="14"/>
                <w:color w:val="auto"/>
              </w:rPr>
              <w:t>Total gross margin</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480" w:type="dxa"/>
            <w:vAlign w:val="bottom"/>
            <w:tcBorders>
              <w:bottom w:val="single" w:sz="8" w:color="CCEEFF"/>
            </w:tcBorders>
            <w:gridSpan w:val="2"/>
          </w:tcPr>
          <w:p>
            <w:pPr>
              <w:jc w:val="right"/>
              <w:ind w:right="128"/>
              <w:spacing w:after="0" w:line="155" w:lineRule="exact"/>
              <w:rPr>
                <w:sz w:val="20"/>
                <w:szCs w:val="20"/>
                <w:color w:val="auto"/>
              </w:rPr>
            </w:pPr>
            <w:r>
              <w:rPr>
                <w:rFonts w:ascii="Arial" w:cs="Arial" w:eastAsia="Arial" w:hAnsi="Arial"/>
                <w:sz w:val="14"/>
                <w:szCs w:val="14"/>
                <w:color w:val="auto"/>
              </w:rPr>
              <w:t>bps</w:t>
            </w:r>
          </w:p>
        </w:tc>
        <w:tc>
          <w:tcPr>
            <w:tcW w:w="84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Retail locations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RV dealerships</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(11)</w:t>
            </w: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RV service &amp; retail centers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100" w:type="dxa"/>
            <w:vAlign w:val="bottom"/>
            <w:tcBorders>
              <w:top w:val="single" w:sz="8" w:color="CCEEFF"/>
              <w:bottom w:val="single" w:sz="8" w:color="CCEEFF"/>
            </w:tcBorders>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RV and Outdoor Retail inventories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tcPr>
          <w:p>
            <w:pPr>
              <w:spacing w:after="0"/>
              <w:rPr>
                <w:sz w:val="13"/>
                <w:szCs w:val="13"/>
                <w:color w:val="auto"/>
              </w:rPr>
            </w:pPr>
          </w:p>
        </w:tc>
        <w:tc>
          <w:tcPr>
            <w:tcW w:w="2900" w:type="dxa"/>
            <w:vAlign w:val="bottom"/>
            <w:tcBorders>
              <w:top w:val="single" w:sz="8" w:color="auto"/>
            </w:tcBorders>
            <w:gridSpan w:val="1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200" w:type="dxa"/>
            <w:vAlign w:val="bottom"/>
            <w:tcBorders>
              <w:top w:val="single" w:sz="8" w:color="CCEEFF"/>
            </w:tcBorders>
            <w:gridSpan w:val="2"/>
          </w:tcPr>
          <w:p>
            <w:pPr>
              <w:spacing w:after="0"/>
              <w:rPr>
                <w:sz w:val="13"/>
                <w:szCs w:val="13"/>
                <w:color w:val="auto"/>
              </w:rPr>
            </w:pPr>
          </w:p>
        </w:tc>
        <w:tc>
          <w:tcPr>
            <w:tcW w:w="1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1,330,965</w:t>
            </w:r>
          </w:p>
        </w:tc>
        <w:tc>
          <w:tcPr>
            <w:tcW w:w="2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1,477,510</w:t>
            </w:r>
          </w:p>
        </w:tc>
        <w:tc>
          <w:tcPr>
            <w:tcW w:w="2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(146,545)</w:t>
            </w:r>
          </w:p>
        </w:tc>
        <w:tc>
          <w:tcPr>
            <w:tcW w:w="46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536,665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349,843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186,822</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4100" w:type="dxa"/>
            <w:vAlign w:val="bottom"/>
            <w:tcBorders>
              <w:bottom w:val="single" w:sz="8" w:color="CCEEFF"/>
            </w:tcBorders>
            <w:gridSpan w:val="16"/>
          </w:tcPr>
          <w:p>
            <w:pPr>
              <w:ind w:left="100"/>
              <w:spacing w:after="0"/>
              <w:rPr>
                <w:sz w:val="20"/>
                <w:szCs w:val="20"/>
                <w:color w:val="auto"/>
              </w:rPr>
            </w:pPr>
            <w:r>
              <w:rPr>
                <w:rFonts w:ascii="Arial" w:cs="Arial" w:eastAsia="Arial" w:hAnsi="Arial"/>
                <w:sz w:val="14"/>
                <w:szCs w:val="14"/>
                <w:color w:val="auto"/>
              </w:rPr>
              <w:t>Products, parts, accessories and misc.</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193,232</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186,758</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6,474</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RV and Outdoor Retail inventories</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2,060,862</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2,014,111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46,751</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 xml:space="preserve">Vehicle inventory per location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 inventory per dealer location</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6,655</w:t>
            </w:r>
          </w:p>
        </w:tc>
        <w:tc>
          <w:tcPr>
            <w:tcW w:w="20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7,002</w:t>
            </w:r>
          </w:p>
        </w:tc>
        <w:tc>
          <w:tcPr>
            <w:tcW w:w="2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(347)</w:t>
            </w:r>
          </w:p>
        </w:tc>
        <w:tc>
          <w:tcPr>
            <w:tcW w:w="4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 inventory per dealer location</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660" w:type="dxa"/>
            <w:vAlign w:val="bottom"/>
            <w:tcBorders>
              <w:bottom w:val="single" w:sz="8" w:color="CCEEFF"/>
            </w:tcBorders>
            <w:gridSpan w:val="10"/>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rPr>
              <w:t>Vehicle inventory turnover</w:t>
            </w:r>
          </w:p>
        </w:tc>
        <w:tc>
          <w:tcPr>
            <w:tcW w:w="140" w:type="dxa"/>
            <w:vAlign w:val="bottom"/>
            <w:tcBorders>
              <w:bottom w:val="single" w:sz="8" w:color="auto"/>
            </w:tcBorders>
            <w:shd w:val="clear" w:color="auto" w:fill="CCEEFF"/>
          </w:tcPr>
          <w:p>
            <w:pPr>
              <w:jc w:val="right"/>
              <w:spacing w:after="0" w:line="75" w:lineRule="exact"/>
              <w:rPr>
                <w:sz w:val="20"/>
                <w:szCs w:val="20"/>
                <w:color w:val="auto"/>
              </w:rPr>
            </w:pPr>
            <w:r>
              <w:rPr>
                <w:rFonts w:ascii="Arial" w:cs="Arial" w:eastAsia="Arial" w:hAnsi="Arial"/>
                <w:sz w:val="8"/>
                <w:szCs w:val="8"/>
                <w:color w:val="auto"/>
              </w:rPr>
              <w:t>(3)</w:t>
            </w:r>
          </w:p>
        </w:tc>
        <w:tc>
          <w:tcPr>
            <w:tcW w:w="2320" w:type="dxa"/>
            <w:vAlign w:val="bottom"/>
            <w:tcBorders>
              <w:bottom w:val="single" w:sz="8" w:color="CCEEFF"/>
            </w:tcBorders>
            <w:gridSpan w:val="6"/>
            <w:vMerge w:val="restart"/>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660" w:type="dxa"/>
            <w:vAlign w:val="bottom"/>
            <w:gridSpan w:val="10"/>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320" w:type="dxa"/>
            <w:vAlign w:val="bottom"/>
            <w:gridSpan w:val="6"/>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 inventory turnover</w:t>
            </w:r>
          </w:p>
        </w:tc>
        <w:tc>
          <w:tcPr>
            <w:tcW w:w="1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0.2</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 inventory turnover</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Other data</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16"/>
          </w:tcPr>
          <w:p>
            <w:pPr>
              <w:ind w:left="100"/>
              <w:spacing w:after="0" w:line="156" w:lineRule="exact"/>
              <w:rPr>
                <w:sz w:val="20"/>
                <w:szCs w:val="20"/>
                <w:color w:val="auto"/>
              </w:rPr>
            </w:pPr>
            <w:r>
              <w:rPr>
                <w:rFonts w:ascii="Arial" w:cs="Arial" w:eastAsia="Arial" w:hAnsi="Arial"/>
                <w:sz w:val="13"/>
                <w:szCs w:val="13"/>
                <w:color w:val="auto"/>
              </w:rPr>
              <w:t>Active Customers</w:t>
            </w:r>
            <w:r>
              <w:rPr>
                <w:rFonts w:ascii="Arial" w:cs="Arial" w:eastAsia="Arial" w:hAnsi="Arial"/>
                <w:sz w:val="18"/>
                <w:szCs w:val="18"/>
                <w:color w:val="auto"/>
                <w:vertAlign w:val="superscript"/>
              </w:rPr>
              <w:t>(4)</w:t>
            </w:r>
          </w:p>
        </w:tc>
        <w:tc>
          <w:tcPr>
            <w:tcW w:w="10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4,221,642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4,762,376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(540,734)</w:t>
            </w:r>
          </w:p>
        </w:tc>
        <w:tc>
          <w:tcPr>
            <w:tcW w:w="4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(11.4%)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line="162" w:lineRule="exact"/>
              <w:rPr>
                <w:sz w:val="20"/>
                <w:szCs w:val="20"/>
                <w:color w:val="auto"/>
              </w:rPr>
            </w:pPr>
            <w:r>
              <w:rPr>
                <w:rFonts w:ascii="Arial" w:cs="Arial" w:eastAsia="Arial" w:hAnsi="Arial"/>
                <w:sz w:val="13"/>
                <w:szCs w:val="13"/>
                <w:color w:val="auto"/>
              </w:rPr>
              <w:t xml:space="preserve">Good Sam Club members </w:t>
            </w:r>
            <w:r>
              <w:rPr>
                <w:rFonts w:ascii="Arial" w:cs="Arial" w:eastAsia="Arial" w:hAnsi="Arial"/>
                <w:sz w:val="18"/>
                <w:szCs w:val="18"/>
                <w:color w:val="auto"/>
                <w:vertAlign w:val="superscript"/>
              </w:rPr>
              <w:t>(5)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1,662,653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1,880,126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(217,473)</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line="162" w:lineRule="exact"/>
              <w:rPr>
                <w:sz w:val="20"/>
                <w:szCs w:val="20"/>
                <w:color w:val="auto"/>
              </w:rPr>
            </w:pPr>
            <w:r>
              <w:rPr>
                <w:rFonts w:ascii="Arial" w:cs="Arial" w:eastAsia="Arial" w:hAnsi="Arial"/>
                <w:sz w:val="13"/>
                <w:szCs w:val="13"/>
                <w:color w:val="auto"/>
              </w:rPr>
              <w:t xml:space="preserve">Service bays </w:t>
            </w:r>
            <w:r>
              <w:rPr>
                <w:rFonts w:ascii="Arial" w:cs="Arial" w:eastAsia="Arial" w:hAnsi="Arial"/>
                <w:sz w:val="18"/>
                <w:szCs w:val="18"/>
                <w:color w:val="auto"/>
                <w:vertAlign w:val="superscript"/>
              </w:rPr>
              <w:t>(6)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2,809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2,877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(68)</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100"/>
              <w:spacing w:after="0" w:line="153" w:lineRule="exact"/>
              <w:rPr>
                <w:sz w:val="20"/>
                <w:szCs w:val="20"/>
                <w:color w:val="auto"/>
              </w:rPr>
            </w:pPr>
            <w:r>
              <w:rPr>
                <w:rFonts w:ascii="Arial" w:cs="Arial" w:eastAsia="Arial" w:hAnsi="Arial"/>
                <w:sz w:val="14"/>
                <w:szCs w:val="14"/>
                <w:color w:val="auto"/>
              </w:rPr>
              <w:t>Finance and insurance gross profit as a % of total vehicle</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revenue</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bps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Same store locations</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n/a</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 unchanged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 basis points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ind w:left="380" w:right="79" w:hanging="330"/>
        <w:spacing w:after="0" w:line="204" w:lineRule="auto"/>
        <w:tabs>
          <w:tab w:leader="none" w:pos="3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Front end yield is calculated as gross profit from new vehicles, used vehicles and finance and insurance (net), divided by combined new and used vehicle unit sales.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Inventory turnover is calculated as vehicle costs applicable to revenue over the last twelve months divided by the average quarterly ending vehicle inventory over the last twelve months.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An Active Customer is a customer who has transacted with us in any of the eight most recently completed fiscal quarters prior to the date of measurement.</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Excludes Good Sam Club members under the free basic plan, which was introduced in November 2023 and provides for limited participation in the loyalty point program without access to the remaining member benefits.</w:t>
      </w:r>
    </w:p>
    <w:p>
      <w:pPr>
        <w:ind w:left="380" w:hanging="330"/>
        <w:spacing w:after="0" w:line="217" w:lineRule="auto"/>
        <w:tabs>
          <w:tab w:leader="none" w:pos="38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A service bay is a fully-constructed bay dedicated to service, installation, and/or collision offerings.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Good Sam Services and Plans revenue increased primarily from increased Good Sam branded extended vehicle warranty program sales through retail finance and insurance offerings and our new tire rescue program.</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Good Sam Services and Plans gross profit and margin decreased primarily due to incremental roadside assistance claims costs in 2025 and incremental costs associated with our new tire rescue program, partially offset by increased Good Sam branded extended vehicle warranty program sales through retail finance and insurance offerings.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New vehicles revenue increased primarily due to a 20.9% increase in the new vehicles unit sales, partially offset by a 10.6% decrease in the average selling price per new vehicle sold. On a same store basis, new vehicles revenue increased 8.4% to $833.2 million from an increase in new vehicles unit sales of 22.2%, partially offset by an 11.3% decrease in the average selling price per new vehicle sold, which was impacted by the mix shift toward more inexpensive entry level travel trailers.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New vehicles gross profit decreased primarily due to the 149 basis point decrease in new vehicles gross margin, which was partially offset by the 20.9% increase in new vehicles unit sales. The new vehicles gross margin decrease was primarily driven by the 10.6% decrease in the average selling price per new vehicle sold, partially offset by a 9.1% reduction in the average cost per new vehicle sold.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Used vehicles revenue increased primarily due to a 20.4% increase in used vehicles unit sales, partially offset by a 1.2% decrease in the average selling price per used vehicle sold. On a same store basis, used vehicles revenue increased 17.3% to $525.6 million from an increase in used vehicles unit sales of 20.8%, partially offset by a 2.9% decrease in average sales price per used vehicle sold.</w:t>
      </w:r>
    </w:p>
    <w:p>
      <w:pPr>
        <w:spacing w:after="0" w:line="17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Used vehicles gross profit increased primarily due to the 149 basis point increase in used vehicles gross margin and the 20.4% increase in used vehicles unit sales. The used vehicles gross margin increase was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primarily due to a 3.0% decrease in the average cost per used vehicle sold, partially offset by a 1.2% decrease in the average price per used vehicle sold.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Products, service and other revenue decreased primarily due to a reallocation of service labor in 2025 toward used inventory reconditioning and a reduction in sales activity resulting from the divestiture of our RV furniture business in May 2024, which contributed $2.7 million of revenue, outside of the RV furniture sold through our store locations, for the three months ended June 30, 2024. On a same store basis, products, service and other revenue decreased 4.0% to $179.0 million.</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increase in products, service and other gross profit and the 411 basis point increase in products, service and other gross margin to 47.8% was driven by increased sales volume of our higher-margin aftermarket part assortment and the divestiture of the RV furniture business, which had negative gross margins for the three months ended June 30, 2024.</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1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7"/>
          <w:szCs w:val="17"/>
          <w:color w:val="auto"/>
        </w:rPr>
        <w:t>Finance and insurance revenue and gross profit is recorded net, since the Company is acting as an agent in the transaction, and commission is recognized when a finance and insurance product contract payment has been received or financing has been arranged. Finance and insurance, net revenue increased $22.2 million, which was primarily a result of an increased number of contracts sold resulting from increased vehicles sold. Finance and insurance, net revenue as a percentage of new and used vehicle revenue was 13.5%, unchanged from the prior year. On a same store basis, finance and insurance, net revenue increased 14.1%.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Good Sam Club revenue and gross profit decreased primarily from an 11.6% decrease in Good Sam Club members, excluding free basic plan members. The decline in Good Sam Club members was a result of the availability of the free basic plan that was introduced in late 2023, which provides for limited participation in the loyalty point program without access to the remaining member benefits, and price increases introduced by early 2024 that impacted renewal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Selling, general and administrative expenses increased primarily due to a $4.7 million increase in commissions costs, a $3.3 million increase in outside services providers expense excluding advertising and professional fees, a $ 3.0 million increase in stock-based compensation expense (“SBC”), a $2.9 million increase in advertising expenses, a $2.8 million increase in employee cash compensation costs excluding commissions, and $1.3 million of additional professional fees.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discussed in Note 4 – Long-Lived Asset Impairment to our condensed consolidated financial statements included in Part I, Item 1 of this Form 10-Q, we recognized no long-lived asset impairments in 2025 and $ 4.6 million of long-lived asset impairments in 2024 related to decreases in market rental rates or market value of real property for closed locations, or based on the Company’s review of location performance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decrease in floor plan interest expense was due both to a 138 basis point decrease in the average floor plan borrowing rate and a lower average floor plan notes payable balance. The average interest rate for the Floor Plan Facility for the three months ended June 30, 2025 and 2024 was 6.46% and 7.84%,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1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color w:val="auto"/>
        </w:rPr>
        <w:t>Other interest expense, net decreased primarily due to the reduced interest rate on our Term Loan Facility, reduced borrowings on the Company’s Real Estate Facilities, and no outstanding balance on the revolving line of credit under the Floor Plan Facility (see Note 7 – Long-Term Debt and Note 3 – Inventories and Floor Plan Payables to our condensed consolidated financial statements included in Part I, Item 1 of this Form 10-Q). The average interest rate for the Term Loan Facility for the three months ended June 30, 2025 and 2024 was 6.88% and 7.96%, respectively. The average interest rate on the M&amp;T Real Estate Facility (as defined in Note 7 – Long Term Debt) for three months ended June 30, 2025 and 2024 was 6.67% and 7.72%, respectively.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The increase in income tax expense was primarily due to higher income generated from CWGS, LLC for which the Company is subject to U.S. federal and state taxes on its allocable share and return to provision adjustments.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1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sets forth information comparing select components of Segment Adjusted EBITDA for each of our segments for the periods presented:</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rPr>
              <w:t>Favorable /</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62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648"/>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4"/>
          </w:tcPr>
          <w:p>
            <w:pPr>
              <w:jc w:val="center"/>
              <w:ind w:right="200"/>
              <w:spacing w:after="0" w:line="155" w:lineRule="exact"/>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56"/>
        </w:trPr>
        <w:tc>
          <w:tcPr>
            <w:tcW w:w="35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 in thousands)</w:t>
            </w:r>
          </w:p>
        </w:tc>
        <w:tc>
          <w:tcPr>
            <w:tcW w:w="120" w:type="dxa"/>
            <w:vAlign w:val="bottom"/>
          </w:tcPr>
          <w:p>
            <w:pPr>
              <w:spacing w:after="0"/>
              <w:rPr>
                <w:sz w:val="13"/>
                <w:szCs w:val="13"/>
                <w:color w:val="auto"/>
              </w:rPr>
            </w:pPr>
          </w:p>
        </w:tc>
        <w:tc>
          <w:tcPr>
            <w:tcW w:w="6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Revenue</w:t>
            </w: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Good Sam Services and Plans:</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54,213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52,548</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229</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(141)</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56"/>
        </w:trPr>
        <w:tc>
          <w:tcPr>
            <w:tcW w:w="356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54,301</w:t>
            </w: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52,777</w:t>
            </w:r>
          </w:p>
        </w:tc>
        <w:tc>
          <w:tcPr>
            <w:tcW w:w="1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1,524</w:t>
            </w: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21,936</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17,156</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(4,780)</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7,167</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13.2%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7,161</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5"/>
        </w:trPr>
        <w:tc>
          <w:tcPr>
            <w:tcW w:w="356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25,158</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28,366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(3,208)</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RV and Outdoor Retail:</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1,921,735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1,753,957</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167,778</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4,256</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4,209</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1,925,991</w:t>
            </w: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1,758,166</w:t>
            </w:r>
          </w:p>
        </w:tc>
        <w:tc>
          <w:tcPr>
            <w:tcW w:w="1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167,825</w:t>
            </w: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9.5%</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1,361,657</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70.7%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1,241,601</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(120,056)</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3,339</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(453)</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417,513</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404,174</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(13,339)</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Floor plan interest expense</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27,799</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6,810</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Other segment items</w:t>
            </w:r>
            <w:r>
              <w:rPr>
                <w:rFonts w:ascii="Arial" w:cs="Arial" w:eastAsia="Arial" w:hAnsi="Arial"/>
                <w:sz w:val="18"/>
                <w:szCs w:val="18"/>
                <w:color w:val="auto"/>
                <w:vertAlign w:val="superscript"/>
              </w:rPr>
              <w:t>(5)</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89</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122,020</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81,144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40,876</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consists of segment revenue that are eliminated in our consolidated statements of operations.</w:t>
      </w:r>
    </w:p>
    <w:p>
      <w:pPr>
        <w:spacing w:after="0" w:line="53"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25"/>
        </w:numPr>
        <w:rPr>
          <w:rFonts w:ascii="Arial" w:cs="Arial" w:eastAsia="Arial" w:hAnsi="Arial"/>
          <w:sz w:val="20"/>
          <w:szCs w:val="20"/>
          <w:color w:val="auto"/>
          <w:vertAlign w:val="superscript"/>
        </w:rPr>
      </w:pPr>
      <w:r>
        <w:rPr>
          <w:rFonts w:ascii="Arial" w:cs="Arial" w:eastAsia="Arial" w:hAnsi="Arial"/>
          <w:sz w:val="14"/>
          <w:szCs w:val="14"/>
          <w:color w:val="auto"/>
        </w:rPr>
        <w:t>Adjusted costs applicable to revenue excludes SBC expense and intersegment costs applicable to revenue.</w:t>
      </w:r>
    </w:p>
    <w:p>
      <w:pPr>
        <w:spacing w:after="0" w:line="54" w:lineRule="exact"/>
        <w:rPr>
          <w:rFonts w:ascii="Arial" w:cs="Arial" w:eastAsia="Arial" w:hAnsi="Arial"/>
          <w:sz w:val="20"/>
          <w:szCs w:val="20"/>
          <w:color w:val="auto"/>
          <w:vertAlign w:val="superscript"/>
        </w:rPr>
      </w:pPr>
    </w:p>
    <w:p>
      <w:pPr>
        <w:ind w:left="380" w:right="159" w:hanging="330"/>
        <w:spacing w:after="0" w:line="196" w:lineRule="auto"/>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consolidated statements of operations.</w:t>
      </w:r>
    </w:p>
    <w:p>
      <w:pPr>
        <w:ind w:left="380" w:hanging="330"/>
        <w:spacing w:after="0" w:line="217" w:lineRule="auto"/>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excludes SBC expense and intersegment operating expenses.</w:t>
      </w:r>
    </w:p>
    <w:p>
      <w:pPr>
        <w:spacing w:after="0" w:line="54" w:lineRule="exact"/>
        <w:rPr>
          <w:rFonts w:ascii="Arial" w:cs="Arial" w:eastAsia="Arial" w:hAnsi="Arial"/>
          <w:sz w:val="22"/>
          <w:szCs w:val="22"/>
          <w:color w:val="auto"/>
          <w:vertAlign w:val="superscript"/>
        </w:rPr>
      </w:pPr>
    </w:p>
    <w:p>
      <w:pPr>
        <w:ind w:left="380" w:right="79" w:hanging="330"/>
        <w:spacing w:after="0" w:line="196" w:lineRule="auto"/>
        <w:tabs>
          <w:tab w:leader="none" w:pos="38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consolidated statements of operations, and (ii) other expense, net excluding loss and/or impairment on investments in equity securities.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 Sam Services and Plans Segment</w:t>
      </w:r>
    </w:p>
    <w:p>
      <w:pPr>
        <w:spacing w:after="0" w:line="10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See the “Revenue and Gross Profit” section above for a discussion of impacts to revenue for Good Sam Services and Plans. Adjusted costs applicable to segment revenues reflected increased roadside assistance claims costs and costs associated with the new tire rescue program. The Good Sam Services and Plans Segment Adjusted EBITDA decrease was driven primarily by the increase to adjusted costs applicable to revenue, partially offset by the increase to external revenue discussed above. Intersegment revenue and intersegment costs applicable to revenue did not have a significant impact on the decrease in Segment Adjusted EBITDA.</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RV and Outdoor Retail Segment</w:t>
      </w:r>
    </w:p>
    <w:p>
      <w:pPr>
        <w:spacing w:after="0" w:line="10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See the “Revenue and Gross Profit” section above for a discussion of impacts to revenue for RV and Outdoor Retail and “Floor plan interest expense” section above for a discussion of the decrease in floor plan interest expense. Adjusted costs applicable to segment revenue increased from (i) higher total vehicle costs driven by 20.7% higher total unit sales, partially offset by the reductions in cost per new and used vehicles discussed above, and (ii) lower products, service and other costs applicable to revenue primarily from the same drivers of the decrease in revenue discussed above. Adjusted selling, general and administrative expense increased primarily due to approximately $4.7 million of increased commissions costs, $4.2 million of increased outside services providers primarily relating to legal fees and computer software and maintenance expense, $3.0 million of increased advertising expenses and $0.8 million of increased employee cash compensation expense. The RV and Outdoor Retail Segment Adjusted EBITDA increased from the increases in revenue and reduction in floor plan interest expense, partially offset by the increase in segment expenses discussed above. Intersegment revenue, intersegment costs applicable to revenue, and intersegment operating expenses did not have a significant impact on the increase in Segment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Six Months Ended June 30, 2025 Compared to Six Months Ended June 30, 2024</w:t>
      </w:r>
    </w:p>
    <w:p>
      <w:pPr>
        <w:spacing w:after="0" w:line="10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Unless otherwise indicated, all financial comparisons in this section of Results of Operations compare our financial results for the six months ended June 30, 2025 to our financial results from the six months ended June 30, 2024. The following table sets forth information comparing the components of net income (loss) for the six months ended June 30, 2025 and 2024:</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2"/>
                <w:szCs w:val="12"/>
                <w:b w:val="1"/>
                <w:bCs w:val="1"/>
                <w:color w:val="auto"/>
              </w:rPr>
              <w:t>Six Months Ended</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4"/>
          </w:tcPr>
          <w:p>
            <w:pPr>
              <w:ind w:left="300"/>
              <w:spacing w:after="0" w:line="129" w:lineRule="exact"/>
              <w:rPr>
                <w:sz w:val="20"/>
                <w:szCs w:val="20"/>
                <w:color w:val="auto"/>
              </w:rPr>
            </w:pPr>
            <w:r>
              <w:rPr>
                <w:rFonts w:ascii="Arial" w:cs="Arial" w:eastAsia="Arial" w:hAnsi="Arial"/>
                <w:sz w:val="12"/>
                <w:szCs w:val="12"/>
                <w:b w:val="1"/>
                <w:bCs w:val="1"/>
                <w:color w:val="auto"/>
              </w:rPr>
              <w:t>June 30, 2025</w:t>
            </w:r>
          </w:p>
        </w:tc>
        <w:tc>
          <w:tcPr>
            <w:tcW w:w="100" w:type="dxa"/>
            <w:vAlign w:val="bottom"/>
          </w:tcPr>
          <w:p>
            <w:pPr>
              <w:spacing w:after="0"/>
              <w:rPr>
                <w:sz w:val="11"/>
                <w:szCs w:val="11"/>
                <w:color w:val="auto"/>
              </w:rPr>
            </w:pPr>
          </w:p>
        </w:tc>
        <w:tc>
          <w:tcPr>
            <w:tcW w:w="1520" w:type="dxa"/>
            <w:vAlign w:val="bottom"/>
            <w:gridSpan w:val="3"/>
          </w:tcPr>
          <w:p>
            <w:pPr>
              <w:jc w:val="right"/>
              <w:ind w:right="369"/>
              <w:spacing w:after="0" w:line="129" w:lineRule="exact"/>
              <w:rPr>
                <w:sz w:val="20"/>
                <w:szCs w:val="20"/>
                <w:color w:val="auto"/>
              </w:rPr>
            </w:pPr>
            <w:r>
              <w:rPr>
                <w:rFonts w:ascii="Arial" w:cs="Arial" w:eastAsia="Arial" w:hAnsi="Arial"/>
                <w:sz w:val="12"/>
                <w:szCs w:val="12"/>
                <w:b w:val="1"/>
                <w:bCs w:val="1"/>
                <w:color w:val="auto"/>
              </w:rPr>
              <w:t>June 30, 2024</w:t>
            </w:r>
          </w:p>
        </w:tc>
        <w:tc>
          <w:tcPr>
            <w:tcW w:w="120" w:type="dxa"/>
            <w:vAlign w:val="bottom"/>
          </w:tcPr>
          <w:p>
            <w:pPr>
              <w:spacing w:after="0"/>
              <w:rPr>
                <w:sz w:val="11"/>
                <w:szCs w:val="11"/>
                <w:color w:val="auto"/>
              </w:rPr>
            </w:pPr>
          </w:p>
        </w:tc>
        <w:tc>
          <w:tcPr>
            <w:tcW w:w="148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w w:val="99"/>
              </w:rPr>
              <w:t>Favorable/ (Unfavorable)</w:t>
            </w: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8"/>
              </w:rPr>
              <w:t>Percent of</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5"/>
              </w:rPr>
              <w:t>Percent of</w:t>
            </w:r>
          </w:p>
        </w:tc>
        <w:tc>
          <w:tcPr>
            <w:tcW w:w="120" w:type="dxa"/>
            <w:vAlign w:val="bottom"/>
          </w:tcPr>
          <w:p>
            <w:pPr>
              <w:spacing w:after="0"/>
              <w:rPr>
                <w:sz w:val="11"/>
                <w:szCs w:val="11"/>
                <w:color w:val="auto"/>
              </w:rPr>
            </w:pPr>
          </w:p>
        </w:tc>
        <w:tc>
          <w:tcPr>
            <w:tcW w:w="14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6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1"/>
                <w:szCs w:val="11"/>
                <w:color w:val="auto"/>
              </w:rPr>
            </w:pPr>
          </w:p>
        </w:tc>
        <w:tc>
          <w:tcPr>
            <w:tcW w:w="860" w:type="dxa"/>
            <w:vAlign w:val="bottom"/>
            <w:gridSpan w:val="2"/>
          </w:tcPr>
          <w:p>
            <w:pPr>
              <w:jc w:val="right"/>
              <w:ind w:right="340"/>
              <w:spacing w:after="0" w:line="129" w:lineRule="exact"/>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jc w:val="right"/>
              <w:ind w:right="200"/>
              <w:spacing w:after="0" w:line="129" w:lineRule="exact"/>
              <w:rPr>
                <w:sz w:val="20"/>
                <w:szCs w:val="20"/>
                <w:color w:val="auto"/>
              </w:rPr>
            </w:pPr>
            <w:r>
              <w:rPr>
                <w:rFonts w:ascii="Arial" w:cs="Arial" w:eastAsia="Arial" w:hAnsi="Arial"/>
                <w:sz w:val="12"/>
                <w:szCs w:val="12"/>
                <w:b w:val="1"/>
                <w:bCs w:val="1"/>
                <w:color w:val="auto"/>
              </w:rPr>
              <w:t>Revenue</w:t>
            </w:r>
          </w:p>
        </w:tc>
        <w:tc>
          <w:tcPr>
            <w:tcW w:w="100" w:type="dxa"/>
            <w:vAlign w:val="bottom"/>
          </w:tcPr>
          <w:p>
            <w:pPr>
              <w:spacing w:after="0"/>
              <w:rPr>
                <w:sz w:val="11"/>
                <w:szCs w:val="11"/>
                <w:color w:val="auto"/>
              </w:rPr>
            </w:pPr>
          </w:p>
        </w:tc>
        <w:tc>
          <w:tcPr>
            <w:tcW w:w="900" w:type="dxa"/>
            <w:vAlign w:val="bottom"/>
            <w:gridSpan w:val="2"/>
          </w:tcPr>
          <w:p>
            <w:pPr>
              <w:jc w:val="right"/>
              <w:ind w:right="360"/>
              <w:spacing w:after="0" w:line="129" w:lineRule="exact"/>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5"/>
              </w:rPr>
              <w:t>Revenue</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68"/>
              <w:spacing w:after="0" w:line="129"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68"/>
              <w:spacing w:after="0" w:line="129" w:lineRule="exact"/>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8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100,421</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98,229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2,192</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1,536,538</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1,503,191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33,347</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994,622</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818,459</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176,163</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387,882</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413,841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(25,959)</w:t>
            </w:r>
          </w:p>
        </w:tc>
        <w:tc>
          <w:tcPr>
            <w:tcW w:w="580" w:type="dxa"/>
            <w:vAlign w:val="bottom"/>
          </w:tcPr>
          <w:p>
            <w:pPr>
              <w:jc w:val="right"/>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349,865</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314,470</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35,395</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Good Sam Club</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20,144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22,332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(2,188)</w:t>
            </w:r>
          </w:p>
        </w:tc>
        <w:tc>
          <w:tcPr>
            <w:tcW w:w="580" w:type="dxa"/>
            <w:vAlign w:val="bottom"/>
          </w:tcPr>
          <w:p>
            <w:pPr>
              <w:jc w:val="right"/>
              <w:spacing w:after="0"/>
              <w:rPr>
                <w:sz w:val="20"/>
                <w:szCs w:val="20"/>
                <w:color w:val="auto"/>
              </w:rPr>
            </w:pPr>
            <w:r>
              <w:rPr>
                <w:rFonts w:ascii="Arial" w:cs="Arial" w:eastAsia="Arial" w:hAnsi="Arial"/>
                <w:sz w:val="14"/>
                <w:szCs w:val="14"/>
                <w:color w:val="auto"/>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3,289,051</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3,072,293</w:t>
            </w:r>
          </w:p>
        </w:tc>
        <w:tc>
          <w:tcPr>
            <w:tcW w:w="1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96.9%</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216,758</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3,389,472</w:t>
            </w: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3,170,522</w:t>
            </w:r>
          </w:p>
        </w:tc>
        <w:tc>
          <w:tcPr>
            <w:tcW w:w="1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218,950</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Gross profit (exclusive of depreciation and amortization</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shown separately below):</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60,753</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65,854</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(5,101)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211,306</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220,502</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(9,196)</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Used vehicles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195,422</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150,325</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45,097</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186,731</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179,233</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7,498</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Finance and insurance, net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349,865</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314,470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35,395</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17,806</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19,672</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(1,866)</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6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961,130</w:t>
            </w:r>
          </w:p>
        </w:tc>
        <w:tc>
          <w:tcPr>
            <w:tcW w:w="16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884,202</w:t>
            </w:r>
          </w:p>
        </w:tc>
        <w:tc>
          <w:tcPr>
            <w:tcW w:w="18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76,928</w:t>
            </w:r>
          </w:p>
        </w:tc>
        <w:tc>
          <w:tcPr>
            <w:tcW w:w="14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gross profit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1,021,883</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950,056</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71,827</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824,934</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791,149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(33,785)</w:t>
            </w:r>
          </w:p>
        </w:tc>
        <w:tc>
          <w:tcPr>
            <w:tcW w:w="580" w:type="dxa"/>
            <w:vAlign w:val="bottom"/>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45,963</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39,322</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(6,641)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620</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10,411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9,791</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220"/>
              <w:spacing w:after="0"/>
              <w:rPr>
                <w:sz w:val="20"/>
                <w:szCs w:val="20"/>
                <w:color w:val="auto"/>
              </w:rPr>
            </w:pPr>
            <w:r>
              <w:rPr>
                <w:rFonts w:ascii="Arial" w:cs="Arial" w:eastAsia="Arial" w:hAnsi="Arial"/>
                <w:sz w:val="14"/>
                <w:szCs w:val="14"/>
                <w:color w:val="auto"/>
              </w:rPr>
              <w:t>(Gain) loss on sale or disposal of assets</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(638)</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9,530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10,168</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870,772</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25.7%</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850,452</w:t>
            </w:r>
          </w:p>
        </w:tc>
        <w:tc>
          <w:tcPr>
            <w:tcW w:w="1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26.8%</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(20,320)</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from operations</w:t>
            </w: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151,111</w:t>
            </w: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4.5%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99,604</w:t>
            </w:r>
          </w:p>
        </w:tc>
        <w:tc>
          <w:tcPr>
            <w:tcW w:w="1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51,507</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Floor plan interest expense</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(39,295)</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(55,681)</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16,386</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(61,367)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(72,247)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10,880</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tcPr>
          <w:p>
            <w:pPr>
              <w:ind w:left="120"/>
              <w:spacing w:after="0"/>
              <w:rPr>
                <w:sz w:val="20"/>
                <w:szCs w:val="20"/>
                <w:color w:val="auto"/>
              </w:rPr>
            </w:pPr>
            <w:r>
              <w:rPr>
                <w:rFonts w:ascii="Arial" w:cs="Arial" w:eastAsia="Arial" w:hAnsi="Arial"/>
                <w:sz w:val="14"/>
                <w:szCs w:val="14"/>
                <w:color w:val="auto"/>
              </w:rPr>
              <w:t>Other expense, net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(2,758)</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(175)</w:t>
            </w:r>
          </w:p>
        </w:tc>
        <w:tc>
          <w:tcPr>
            <w:tcW w:w="620" w:type="dxa"/>
            <w:vAlign w:val="bottom"/>
          </w:tcPr>
          <w:p>
            <w:pPr>
              <w:jc w:val="right"/>
              <w:spacing w:after="0"/>
              <w:rPr>
                <w:sz w:val="20"/>
                <w:szCs w:val="20"/>
                <w:color w:val="auto"/>
              </w:rPr>
            </w:pPr>
            <w:r>
              <w:rPr>
                <w:rFonts w:ascii="Arial" w:cs="Arial" w:eastAsia="Arial" w:hAnsi="Arial"/>
                <w:sz w:val="14"/>
                <w:szCs w:val="14"/>
                <w:color w:val="auto"/>
              </w:rPr>
              <w:t>(0.0%)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(2,583)</w:t>
            </w:r>
          </w:p>
        </w:tc>
        <w:tc>
          <w:tcPr>
            <w:tcW w:w="58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other expense</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(103,420)</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(128,103)</w:t>
            </w:r>
          </w:p>
        </w:tc>
        <w:tc>
          <w:tcPr>
            <w:tcW w:w="1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24,683</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Income (loss) before income taxes</w:t>
            </w: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47,691</w:t>
            </w: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(28,499)</w:t>
            </w:r>
          </w:p>
        </w:tc>
        <w:tc>
          <w:tcPr>
            <w:tcW w:w="1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76,190</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(14,850)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(15,957)</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Net income (loss)</w:t>
            </w: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32,841</w:t>
            </w: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(27,392)</w:t>
            </w:r>
          </w:p>
        </w:tc>
        <w:tc>
          <w:tcPr>
            <w:tcW w:w="18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60,233</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Less: net income (loss) attributable to non-controlling</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(14,905)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14,856</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(29,761)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ind w:left="20"/>
              <w:spacing w:after="0" w:line="153" w:lineRule="exact"/>
              <w:rPr>
                <w:sz w:val="20"/>
                <w:szCs w:val="20"/>
                <w:color w:val="auto"/>
              </w:rPr>
            </w:pPr>
            <w:r>
              <w:rPr>
                <w:rFonts w:ascii="Arial" w:cs="Arial" w:eastAsia="Arial" w:hAnsi="Arial"/>
                <w:sz w:val="14"/>
                <w:szCs w:val="14"/>
                <w:color w:val="auto"/>
              </w:rPr>
              <w:t>Net income (loss) attributable to Camping World Holdings,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960" w:type="dxa"/>
            <w:vAlign w:val="bottom"/>
            <w:gridSpan w:val="2"/>
            <w:vMerge w:val="continue"/>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17,936</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(12,536)</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(0.4%)</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30,472</w:t>
            </w:r>
          </w:p>
        </w:tc>
        <w:tc>
          <w:tcPr>
            <w:tcW w:w="140" w:type="dxa"/>
            <w:vAlign w:val="bottom"/>
          </w:tcPr>
          <w:p>
            <w:pPr>
              <w:spacing w:after="0"/>
              <w:rPr>
                <w:sz w:val="11"/>
                <w:szCs w:val="1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8"/>
        </w:trPr>
        <w:tc>
          <w:tcPr>
            <w:tcW w:w="396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Inc.</w:t>
            </w:r>
          </w:p>
        </w:tc>
        <w:tc>
          <w:tcPr>
            <w:tcW w:w="1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040" w:type="dxa"/>
            <w:vAlign w:val="bottom"/>
            <w:gridSpan w:val="12"/>
          </w:tcPr>
          <w:p>
            <w:pPr>
              <w:ind w:left="20"/>
              <w:spacing w:after="0"/>
              <w:rPr>
                <w:sz w:val="20"/>
                <w:szCs w:val="20"/>
                <w:color w:val="auto"/>
              </w:rPr>
            </w:pPr>
            <w:r>
              <w:rPr>
                <w:rFonts w:ascii="Arial" w:cs="Arial" w:eastAsia="Arial" w:hAnsi="Arial"/>
                <w:sz w:val="13"/>
                <w:szCs w:val="13"/>
                <w:b w:val="1"/>
                <w:bCs w:val="1"/>
                <w:color w:val="auto"/>
              </w:rPr>
              <w:t>Supplemental Data</w:t>
            </w:r>
          </w:p>
        </w:tc>
        <w:tc>
          <w:tcPr>
            <w:tcW w:w="160" w:type="dxa"/>
            <w:vAlign w:val="bottom"/>
          </w:tcPr>
          <w:p>
            <w:pPr>
              <w:spacing w:after="0"/>
              <w:rPr>
                <w:sz w:val="14"/>
                <w:szCs w:val="14"/>
                <w:color w:val="auto"/>
              </w:rPr>
            </w:pPr>
          </w:p>
        </w:tc>
        <w:tc>
          <w:tcPr>
            <w:tcW w:w="24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Increase</w:t>
            </w:r>
          </w:p>
        </w:tc>
        <w:tc>
          <w:tcPr>
            <w:tcW w:w="48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(decrease)</w:t>
            </w:r>
          </w:p>
        </w:tc>
        <w:tc>
          <w:tcPr>
            <w:tcW w:w="480" w:type="dxa"/>
            <w:vAlign w:val="bottom"/>
          </w:tcPr>
          <w:p>
            <w:pPr>
              <w:spacing w:after="0"/>
              <w:rPr>
                <w:sz w:val="13"/>
                <w:szCs w:val="13"/>
                <w:color w:val="auto"/>
              </w:rPr>
            </w:pPr>
          </w:p>
        </w:tc>
        <w:tc>
          <w:tcPr>
            <w:tcW w:w="76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20" w:type="dxa"/>
            <w:vAlign w:val="bottom"/>
            <w:tcBorders>
              <w:top w:val="single" w:sz="8" w:color="auto"/>
            </w:tcBorders>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Unit sales</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20" w:type="dxa"/>
            <w:vAlign w:val="bottom"/>
            <w:gridSpan w:val="11"/>
          </w:tcPr>
          <w:p>
            <w:pPr>
              <w:ind w:left="100"/>
              <w:spacing w:after="0" w:line="155" w:lineRule="exact"/>
              <w:rPr>
                <w:sz w:val="20"/>
                <w:szCs w:val="20"/>
                <w:color w:val="auto"/>
              </w:rPr>
            </w:pPr>
            <w:r>
              <w:rPr>
                <w:rFonts w:ascii="Arial" w:cs="Arial" w:eastAsia="Arial" w:hAnsi="Arial"/>
                <w:sz w:val="14"/>
                <w:szCs w:val="14"/>
                <w:color w:val="auto"/>
              </w:rPr>
              <w:t>New vehicles</w:t>
            </w:r>
          </w:p>
        </w:tc>
        <w:tc>
          <w:tcPr>
            <w:tcW w:w="1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43,422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38,966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4,456</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20" w:type="dxa"/>
            <w:vAlign w:val="bottom"/>
            <w:gridSpan w:val="11"/>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32,845</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26,394</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6,451</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20" w:type="dxa"/>
            <w:vAlign w:val="bottom"/>
            <w:gridSpan w:val="11"/>
          </w:tcPr>
          <w:p>
            <w:pPr>
              <w:ind w:left="100"/>
              <w:spacing w:after="0" w:line="155"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76,267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65,360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10,907</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Average selling price</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20" w:type="dxa"/>
            <w:vAlign w:val="bottom"/>
            <w:tcBorders>
              <w:top w:val="single" w:sz="8" w:color="auto"/>
            </w:tcBorders>
            <w:gridSpan w:val="4"/>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700" w:type="dxa"/>
            <w:vAlign w:val="bottom"/>
            <w:gridSpan w:val="7"/>
            <w:shd w:val="clear" w:color="auto" w:fill="CCEEFF"/>
          </w:tcPr>
          <w:p>
            <w:pPr>
              <w:spacing w:after="0"/>
              <w:rPr>
                <w:sz w:val="13"/>
                <w:szCs w:val="13"/>
                <w:color w:val="auto"/>
              </w:rPr>
            </w:pPr>
          </w:p>
        </w:tc>
        <w:tc>
          <w:tcPr>
            <w:tcW w:w="1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35,386</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38,577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(3,191)</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11"/>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30,282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00" w:type="dxa"/>
            <w:vAlign w:val="bottom"/>
            <w:gridSpan w:val="6"/>
            <w:vMerge w:val="restart"/>
          </w:tcPr>
          <w:p>
            <w:pPr>
              <w:ind w:left="20"/>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w:t>
            </w:r>
          </w:p>
        </w:tc>
        <w:tc>
          <w:tcPr>
            <w:tcW w:w="300" w:type="dxa"/>
            <w:vAlign w:val="bottom"/>
            <w:vMerge w:val="restart"/>
          </w:tcPr>
          <w:p>
            <w:pPr>
              <w:spacing w:after="0"/>
              <w:rPr>
                <w:sz w:val="8"/>
                <w:szCs w:val="8"/>
                <w:color w:val="auto"/>
              </w:rPr>
            </w:pPr>
          </w:p>
        </w:tc>
        <w:tc>
          <w:tcPr>
            <w:tcW w:w="340" w:type="dxa"/>
            <w:vAlign w:val="bottom"/>
            <w:vMerge w:val="restart"/>
          </w:tcPr>
          <w:p>
            <w:pPr>
              <w:spacing w:after="0"/>
              <w:rPr>
                <w:sz w:val="8"/>
                <w:szCs w:val="8"/>
                <w:color w:val="auto"/>
              </w:rPr>
            </w:pPr>
          </w:p>
        </w:tc>
        <w:tc>
          <w:tcPr>
            <w:tcW w:w="1880" w:type="dxa"/>
            <w:vAlign w:val="bottom"/>
            <w:gridSpan w:val="2"/>
            <w:vMerge w:val="restart"/>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00" w:type="dxa"/>
            <w:vAlign w:val="bottom"/>
            <w:gridSpan w:val="6"/>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80" w:type="dxa"/>
            <w:vAlign w:val="bottom"/>
            <w:tcBorders>
              <w:top w:val="single" w:sz="8" w:color="auto"/>
            </w:tcBorders>
            <w:gridSpan w:val="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640" w:type="dxa"/>
            <w:vAlign w:val="bottom"/>
            <w:gridSpan w:val="6"/>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39,835</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35,657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4,178</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gridSpan w:val="11"/>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30,395</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24,542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5,853</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020" w:type="dxa"/>
            <w:vAlign w:val="bottom"/>
            <w:gridSpan w:val="11"/>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70,230</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60,199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10,031</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300" w:type="dxa"/>
            <w:vAlign w:val="bottom"/>
            <w:tcBorders>
              <w:bottom w:val="single" w:sz="8" w:color="CCEEFF"/>
            </w:tcBorders>
            <w:gridSpan w:val="4"/>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color w:val="auto"/>
              </w:rPr>
              <w:t>(1)</w:t>
            </w:r>
          </w:p>
        </w:tc>
        <w:tc>
          <w:tcPr>
            <w:tcW w:w="2600" w:type="dxa"/>
            <w:vAlign w:val="bottom"/>
            <w:tcBorders>
              <w:bottom w:val="single" w:sz="8" w:color="CCEEFF"/>
            </w:tcBorders>
            <w:gridSpan w:val="5"/>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 in 000s)</w:t>
            </w:r>
          </w:p>
        </w:tc>
        <w:tc>
          <w:tcPr>
            <w:tcW w:w="16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00" w:type="dxa"/>
            <w:vAlign w:val="bottom"/>
            <w:gridSpan w:val="4"/>
            <w:vMerge w:val="continue"/>
            <w:shd w:val="clear" w:color="auto" w:fill="CCEEFF"/>
          </w:tcPr>
          <w:p>
            <w:pPr>
              <w:spacing w:after="0"/>
              <w:rPr>
                <w:sz w:val="2"/>
                <w:szCs w:val="2"/>
                <w:color w:val="auto"/>
              </w:rPr>
            </w:pPr>
          </w:p>
        </w:tc>
        <w:tc>
          <w:tcPr>
            <w:tcW w:w="140" w:type="dxa"/>
            <w:vAlign w:val="bottom"/>
            <w:gridSpan w:val="3"/>
            <w:shd w:val="clear" w:color="auto" w:fill="CCEEFF"/>
          </w:tcPr>
          <w:p>
            <w:pPr>
              <w:spacing w:after="0"/>
              <w:rPr>
                <w:sz w:val="2"/>
                <w:szCs w:val="2"/>
                <w:color w:val="auto"/>
              </w:rPr>
            </w:pPr>
          </w:p>
        </w:tc>
        <w:tc>
          <w:tcPr>
            <w:tcW w:w="2600" w:type="dxa"/>
            <w:vAlign w:val="bottom"/>
            <w:gridSpan w:val="5"/>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color w:val="auto"/>
              </w:rPr>
              <w:t>New vehicles</w:t>
            </w:r>
          </w:p>
        </w:tc>
        <w:tc>
          <w:tcPr>
            <w:tcW w:w="140" w:type="dxa"/>
            <w:vAlign w:val="bottom"/>
            <w:tcBorders>
              <w:top w:val="single" w:sz="8" w:color="CCEEFF"/>
            </w:tcBorders>
            <w:gridSpan w:val="3"/>
          </w:tcPr>
          <w:p>
            <w:pPr>
              <w:spacing w:after="0"/>
              <w:rPr>
                <w:sz w:val="13"/>
                <w:szCs w:val="13"/>
                <w:color w:val="auto"/>
              </w:rPr>
            </w:pPr>
          </w:p>
        </w:tc>
        <w:tc>
          <w:tcPr>
            <w:tcW w:w="720" w:type="dxa"/>
            <w:vAlign w:val="bottom"/>
            <w:tcBorders>
              <w:top w:val="single" w:sz="8" w:color="auto"/>
            </w:tcBorders>
            <w:gridSpan w:val="3"/>
          </w:tcPr>
          <w:p>
            <w:pPr>
              <w:spacing w:after="0"/>
              <w:rPr>
                <w:sz w:val="13"/>
                <w:szCs w:val="13"/>
                <w:color w:val="auto"/>
              </w:rPr>
            </w:pPr>
          </w:p>
        </w:tc>
        <w:tc>
          <w:tcPr>
            <w:tcW w:w="1880" w:type="dxa"/>
            <w:vAlign w:val="bottom"/>
            <w:tcBorders>
              <w:top w:val="single" w:sz="8" w:color="CCEEFF"/>
            </w:tcBorders>
            <w:gridSpan w:val="2"/>
          </w:tcPr>
          <w:p>
            <w:pPr>
              <w:spacing w:after="0"/>
              <w:rPr>
                <w:sz w:val="13"/>
                <w:szCs w:val="13"/>
                <w:color w:val="auto"/>
              </w:rPr>
            </w:pPr>
          </w:p>
        </w:tc>
        <w:tc>
          <w:tcPr>
            <w:tcW w:w="160" w:type="dxa"/>
            <w:vAlign w:val="bottom"/>
            <w:tcBorders>
              <w:top w:val="single" w:sz="8" w:color="CCEEFF"/>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1,410,789</w:t>
            </w:r>
          </w:p>
        </w:tc>
        <w:tc>
          <w:tcPr>
            <w:tcW w:w="20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1,382,134</w:t>
            </w:r>
          </w:p>
        </w:tc>
        <w:tc>
          <w:tcPr>
            <w:tcW w:w="2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28,655</w:t>
            </w:r>
          </w:p>
        </w:tc>
        <w:tc>
          <w:tcPr>
            <w:tcW w:w="2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76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20" w:type="dxa"/>
            <w:vAlign w:val="bottom"/>
            <w:gridSpan w:val="11"/>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918,061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763,872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154,189</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11"/>
          </w:tcPr>
          <w:p>
            <w:pPr>
              <w:ind w:left="100"/>
              <w:spacing w:after="0"/>
              <w:rPr>
                <w:sz w:val="20"/>
                <w:szCs w:val="20"/>
                <w:color w:val="auto"/>
              </w:rPr>
            </w:pPr>
            <w:r>
              <w:rPr>
                <w:rFonts w:ascii="Arial" w:cs="Arial" w:eastAsia="Arial" w:hAnsi="Arial"/>
                <w:sz w:val="14"/>
                <w:szCs w:val="14"/>
                <w:color w:val="auto"/>
              </w:rPr>
              <w:t>Products, service and other</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314,183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331,245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(17,062)</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20" w:type="dxa"/>
            <w:vAlign w:val="bottom"/>
            <w:gridSpan w:val="11"/>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326,001</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291,581</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34,420</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11"/>
          </w:tcPr>
          <w:p>
            <w:pPr>
              <w:ind w:left="100"/>
              <w:spacing w:after="0" w:line="155" w:lineRule="exact"/>
              <w:rPr>
                <w:sz w:val="20"/>
                <w:szCs w:val="20"/>
                <w:color w:val="auto"/>
              </w:rPr>
            </w:pPr>
            <w:r>
              <w:rPr>
                <w:rFonts w:ascii="Arial" w:cs="Arial" w:eastAsia="Arial" w:hAnsi="Arial"/>
                <w:sz w:val="14"/>
                <w:szCs w:val="14"/>
                <w:color w:val="auto"/>
              </w:rPr>
              <w:t>Total</w:t>
            </w: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2,969,034</w:t>
            </w:r>
          </w:p>
        </w:tc>
        <w:tc>
          <w:tcPr>
            <w:tcW w:w="20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2,768,832</w:t>
            </w:r>
          </w:p>
        </w:tc>
        <w:tc>
          <w:tcPr>
            <w:tcW w:w="20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200,202</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Average gross profit per unit</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800" w:type="dxa"/>
            <w:vAlign w:val="bottom"/>
            <w:tcBorders>
              <w:top w:val="single" w:sz="8" w:color="auto"/>
            </w:tcBorders>
            <w:gridSpan w:val="8"/>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220" w:type="dxa"/>
            <w:vAlign w:val="bottom"/>
            <w:gridSpan w:val="3"/>
            <w:shd w:val="clear" w:color="auto" w:fill="CCEEFF"/>
          </w:tcPr>
          <w:p>
            <w:pPr>
              <w:spacing w:after="0"/>
              <w:rPr>
                <w:sz w:val="13"/>
                <w:szCs w:val="13"/>
                <w:color w:val="auto"/>
              </w:rPr>
            </w:pPr>
          </w:p>
        </w:tc>
        <w:tc>
          <w:tcPr>
            <w:tcW w:w="1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4,866</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5,659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(793)</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11"/>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5,950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5,695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255</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20" w:type="dxa"/>
            <w:vAlign w:val="bottom"/>
            <w:gridSpan w:val="11"/>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11"/>
          </w:tcPr>
          <w:p>
            <w:pPr>
              <w:ind w:left="100"/>
              <w:spacing w:after="0" w:line="162"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18"/>
                <w:szCs w:val="18"/>
                <w:color w:val="auto"/>
                <w:vertAlign w:val="superscript"/>
              </w:rPr>
              <w:t>(2)</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9,920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10,485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(565)</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Gross margin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020" w:type="dxa"/>
            <w:vAlign w:val="bottom"/>
            <w:gridSpan w:val="11"/>
            <w:shd w:val="clear" w:color="auto" w:fill="CCEEFF"/>
          </w:tcPr>
          <w:p>
            <w:pPr>
              <w:ind w:left="100"/>
              <w:spacing w:after="0" w:line="155" w:lineRule="exact"/>
              <w:rPr>
                <w:sz w:val="20"/>
                <w:szCs w:val="20"/>
                <w:color w:val="auto"/>
              </w:rPr>
            </w:pPr>
            <w:r>
              <w:rPr>
                <w:rFonts w:ascii="Arial" w:cs="Arial" w:eastAsia="Arial" w:hAnsi="Arial"/>
                <w:sz w:val="14"/>
                <w:szCs w:val="14"/>
                <w:color w:val="auto"/>
              </w:rPr>
              <w:t>Good Sam Services and Plans</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60.5%</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(654)bps</w:t>
            </w: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11"/>
          </w:tcPr>
          <w:p>
            <w:pPr>
              <w:ind w:left="100"/>
              <w:spacing w:after="0"/>
              <w:rPr>
                <w:sz w:val="20"/>
                <w:szCs w:val="20"/>
                <w:color w:val="auto"/>
              </w:rPr>
            </w:pPr>
            <w:r>
              <w:rPr>
                <w:rFonts w:ascii="Arial" w:cs="Arial" w:eastAsia="Arial" w:hAnsi="Arial"/>
                <w:sz w:val="14"/>
                <w:szCs w:val="14"/>
                <w:color w:val="auto"/>
              </w:rPr>
              <w:t>New vehicles</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right"/>
              <w:ind w:right="168"/>
              <w:spacing w:after="0"/>
              <w:rPr>
                <w:sz w:val="20"/>
                <w:szCs w:val="20"/>
                <w:color w:val="auto"/>
              </w:rPr>
            </w:pPr>
            <w:r>
              <w:rPr>
                <w:rFonts w:ascii="Arial" w:cs="Arial" w:eastAsia="Arial" w:hAnsi="Arial"/>
                <w:sz w:val="14"/>
                <w:szCs w:val="14"/>
                <w:color w:val="auto"/>
              </w:rPr>
              <w:t>(92)bps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20" w:type="dxa"/>
            <w:vAlign w:val="bottom"/>
            <w:gridSpan w:val="11"/>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7"/>
              </w:rPr>
              <w:t>bps</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11"/>
          </w:tcPr>
          <w:p>
            <w:pPr>
              <w:ind w:left="100"/>
              <w:spacing w:after="0"/>
              <w:rPr>
                <w:sz w:val="20"/>
                <w:szCs w:val="20"/>
                <w:color w:val="auto"/>
              </w:rPr>
            </w:pPr>
            <w:r>
              <w:rPr>
                <w:rFonts w:ascii="Arial" w:cs="Arial" w:eastAsia="Arial" w:hAnsi="Arial"/>
                <w:sz w:val="14"/>
                <w:szCs w:val="14"/>
                <w:color w:val="auto"/>
              </w:rPr>
              <w:t>Products, service and other</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483</w:t>
            </w:r>
          </w:p>
        </w:tc>
        <w:tc>
          <w:tcPr>
            <w:tcW w:w="20" w:type="dxa"/>
            <w:vAlign w:val="bottom"/>
          </w:tcPr>
          <w:p>
            <w:pPr>
              <w:spacing w:after="0"/>
              <w:rPr>
                <w:sz w:val="14"/>
                <w:szCs w:val="14"/>
                <w:color w:val="auto"/>
              </w:rPr>
            </w:pPr>
          </w:p>
        </w:tc>
        <w:tc>
          <w:tcPr>
            <w:tcW w:w="480" w:type="dxa"/>
            <w:vAlign w:val="bottom"/>
          </w:tcPr>
          <w:p>
            <w:pPr>
              <w:jc w:val="right"/>
              <w:ind w:right="168"/>
              <w:spacing w:after="0"/>
              <w:rPr>
                <w:sz w:val="20"/>
                <w:szCs w:val="20"/>
                <w:color w:val="auto"/>
              </w:rPr>
            </w:pPr>
            <w:r>
              <w:rPr>
                <w:rFonts w:ascii="Arial" w:cs="Arial" w:eastAsia="Arial" w:hAnsi="Arial"/>
                <w:sz w:val="14"/>
                <w:szCs w:val="14"/>
                <w:color w:val="auto"/>
                <w:w w:val="97"/>
              </w:rPr>
              <w:t>bps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020" w:type="dxa"/>
            <w:vAlign w:val="bottom"/>
            <w:gridSpan w:val="11"/>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unch</w:t>
            </w: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tcPr>
          <w:p>
            <w:pPr>
              <w:spacing w:after="0"/>
              <w:rPr>
                <w:sz w:val="14"/>
                <w:szCs w:val="14"/>
                <w:color w:val="auto"/>
              </w:rPr>
            </w:pPr>
          </w:p>
        </w:tc>
        <w:tc>
          <w:tcPr>
            <w:tcW w:w="4020" w:type="dxa"/>
            <w:vAlign w:val="bottom"/>
            <w:tcBorders>
              <w:bottom w:val="single" w:sz="8" w:color="CCEEFF"/>
            </w:tcBorders>
            <w:gridSpan w:val="11"/>
          </w:tcPr>
          <w:p>
            <w:pPr>
              <w:ind w:left="100"/>
              <w:spacing w:after="0"/>
              <w:rPr>
                <w:sz w:val="20"/>
                <w:szCs w:val="20"/>
                <w:color w:val="auto"/>
              </w:rPr>
            </w:pPr>
            <w:r>
              <w:rPr>
                <w:rFonts w:ascii="Arial" w:cs="Arial" w:eastAsia="Arial" w:hAnsi="Arial"/>
                <w:sz w:val="14"/>
                <w:szCs w:val="14"/>
                <w:color w:val="auto"/>
              </w:rPr>
              <w:t>Good Sam Club</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ind w:right="168"/>
              <w:spacing w:after="0"/>
              <w:rPr>
                <w:sz w:val="20"/>
                <w:szCs w:val="20"/>
                <w:color w:val="auto"/>
              </w:rPr>
            </w:pPr>
            <w:r>
              <w:rPr>
                <w:rFonts w:ascii="Arial" w:cs="Arial" w:eastAsia="Arial" w:hAnsi="Arial"/>
                <w:sz w:val="14"/>
                <w:szCs w:val="14"/>
                <w:color w:val="auto"/>
                <w:w w:val="97"/>
              </w:rPr>
              <w:t>bps</w:t>
            </w: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020" w:type="dxa"/>
            <w:vAlign w:val="bottom"/>
            <w:gridSpan w:val="11"/>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 RV and Outdoor Retail</w:t>
            </w:r>
          </w:p>
        </w:tc>
        <w:tc>
          <w:tcPr>
            <w:tcW w:w="1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29.2%</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28.8%</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w w:val="97"/>
              </w:rPr>
              <w:t>bps</w:t>
            </w: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7"/>
                <w:szCs w:val="17"/>
                <w:color w:val="auto"/>
              </w:rPr>
            </w:pPr>
          </w:p>
        </w:tc>
        <w:tc>
          <w:tcPr>
            <w:tcW w:w="4020" w:type="dxa"/>
            <w:vAlign w:val="bottom"/>
            <w:tcBorders>
              <w:bottom w:val="single" w:sz="8" w:color="CCEEFF"/>
            </w:tcBorders>
            <w:gridSpan w:val="11"/>
          </w:tcPr>
          <w:p>
            <w:pPr>
              <w:ind w:left="100"/>
              <w:spacing w:after="0" w:line="155" w:lineRule="exact"/>
              <w:rPr>
                <w:sz w:val="20"/>
                <w:szCs w:val="20"/>
                <w:color w:val="auto"/>
              </w:rPr>
            </w:pPr>
            <w:r>
              <w:rPr>
                <w:rFonts w:ascii="Arial" w:cs="Arial" w:eastAsia="Arial" w:hAnsi="Arial"/>
                <w:sz w:val="14"/>
                <w:szCs w:val="14"/>
                <w:color w:val="auto"/>
              </w:rPr>
              <w:t>Total gross margin</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30.1%</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ind w:right="168"/>
              <w:spacing w:after="0" w:line="155" w:lineRule="exact"/>
              <w:rPr>
                <w:sz w:val="20"/>
                <w:szCs w:val="20"/>
                <w:color w:val="auto"/>
              </w:rPr>
            </w:pPr>
            <w:r>
              <w:rPr>
                <w:rFonts w:ascii="Arial" w:cs="Arial" w:eastAsia="Arial" w:hAnsi="Arial"/>
                <w:sz w:val="14"/>
                <w:szCs w:val="14"/>
                <w:color w:val="auto"/>
                <w:w w:val="97"/>
              </w:rPr>
              <w:t>bps</w:t>
            </w:r>
          </w:p>
        </w:tc>
        <w:tc>
          <w:tcPr>
            <w:tcW w:w="7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12"/>
          </w:tcPr>
          <w:p>
            <w:pPr>
              <w:ind w:left="20"/>
              <w:spacing w:after="0" w:line="149" w:lineRule="exact"/>
              <w:rPr>
                <w:sz w:val="20"/>
                <w:szCs w:val="20"/>
                <w:color w:val="auto"/>
              </w:rPr>
            </w:pPr>
            <w:r>
              <w:rPr>
                <w:rFonts w:ascii="Arial" w:cs="Arial" w:eastAsia="Arial" w:hAnsi="Arial"/>
                <w:sz w:val="14"/>
                <w:szCs w:val="14"/>
                <w:color w:val="auto"/>
              </w:rPr>
              <w:t>Other data</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4020" w:type="dxa"/>
            <w:vAlign w:val="bottom"/>
            <w:gridSpan w:val="11"/>
            <w:shd w:val="clear" w:color="auto" w:fill="CCEEFF"/>
          </w:tcPr>
          <w:p>
            <w:pPr>
              <w:ind w:left="100"/>
              <w:spacing w:after="0" w:line="147" w:lineRule="exact"/>
              <w:rPr>
                <w:sz w:val="20"/>
                <w:szCs w:val="20"/>
                <w:color w:val="auto"/>
              </w:rPr>
            </w:pPr>
            <w:r>
              <w:rPr>
                <w:rFonts w:ascii="Arial" w:cs="Arial" w:eastAsia="Arial" w:hAnsi="Arial"/>
                <w:sz w:val="14"/>
                <w:szCs w:val="14"/>
                <w:color w:val="auto"/>
              </w:rPr>
              <w:t>Finance and insurance gross profit as a % of total vehicle</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020" w:type="dxa"/>
            <w:vAlign w:val="bottom"/>
            <w:gridSpan w:val="11"/>
            <w:shd w:val="clear" w:color="auto" w:fill="CCEEFF"/>
          </w:tcPr>
          <w:p>
            <w:pPr>
              <w:ind w:left="10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7"/>
              </w:rPr>
              <w:t>bps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gridSpan w:val="11"/>
          </w:tcPr>
          <w:p>
            <w:pPr>
              <w:ind w:left="100"/>
              <w:spacing w:after="0"/>
              <w:rPr>
                <w:sz w:val="20"/>
                <w:szCs w:val="20"/>
                <w:color w:val="auto"/>
              </w:rPr>
            </w:pPr>
            <w:r>
              <w:rPr>
                <w:rFonts w:ascii="Arial" w:cs="Arial" w:eastAsia="Arial" w:hAnsi="Arial"/>
                <w:sz w:val="14"/>
                <w:szCs w:val="14"/>
                <w:color w:val="auto"/>
              </w:rPr>
              <w:t>Same store locations</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6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n/a</w:t>
            </w: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 unchanged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 basis points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ind w:left="380" w:right="79" w:hanging="330"/>
        <w:spacing w:after="0" w:line="204"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6"/>
        </w:numPr>
        <w:rPr>
          <w:rFonts w:ascii="Arial" w:cs="Arial" w:eastAsia="Arial" w:hAnsi="Arial"/>
          <w:sz w:val="22"/>
          <w:szCs w:val="22"/>
          <w:color w:val="auto"/>
          <w:vertAlign w:val="superscript"/>
        </w:rPr>
      </w:pPr>
      <w:r>
        <w:rPr>
          <w:rFonts w:ascii="Arial" w:cs="Arial" w:eastAsia="Arial" w:hAnsi="Arial"/>
          <w:sz w:val="14"/>
          <w:szCs w:val="14"/>
          <w:color w:val="auto"/>
        </w:rPr>
        <w:t>Front end yield is calculated as gross profit from new vehicles, used vehicles and finance and insurance (net), divided by combined new and used vehicle unit sales.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Good Sam Services and Plans revenue increased primarily from increased Good Sam branded extended vehicle warranty program sales through retail finance and insurance offerings, our new tire rescue program and increased contracts in force for our Good Sam branded vehicle insurance products, partially offset by reduced average contracts in force for our roadside assistance programs.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gross profit and margin decreased primarily due to incremental roadside assistance claims costs in 2025 and our new tire rescue program, partially offset by increased Good Sam branded extended vehicle warranty program sales through retail finance and insurance offerings.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12"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New vehicles revenue increased primarily due to an 11.4% increase in the new vehicles unit sales partially offset by an 8.3% decrease in the average selling price per new vehicle sold. On a same store basis, new vehicles revenue increased 2.1% to $1.4 billion resulting from an 11.7% increase in new vehicles unit sales, partially offset by an 8.6% decrease in the average selling price per new vehicle sold, which was impacted by the mix shift toward more inexpensive entry level travel trailers.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New vehicles gross profit decreased primarily due to the 92 basis point decrease in new vehicles gross margins, partially offset by the 11.4% increase in new vehicles unit sales. The new vehicles gross margin decrease was primarily driven by an 8.3% decrease in the average selling price per new vehicle sold, partially offset by a 7.3% reduction in the average cost per new vehicle sold.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Used vehicles revenue increased primarily due to a 24.4% increase in used vehicles unit sales, partially offset by a 2.3% decrease in the average selling price per used vehicle sold. On a same store basis, used vehicles revenue increased 20.2% to $918.1 million from an increase in used vehicles unit sales of 23.8% partially offset by a 3.0% decrease in average sales price per used vehicle sold.</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Used vehicles gross profit increased primarily due to the 128 basis point increase in used vehicles gross margin and the 24.4% increase in used vehicles unit sales. The used vehicles gross margin increase was primarily due to a 3.9% decrease in the average cost per unit sold, partially offset by the 2.3% decrease in average price per used vehicle sold.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Products, service and other revenue decreased primarily due to a reduction in sales activity resulting from a reallocation of service labor in 2025 toward used inventory reconditioning and the divestiture of our RV furniture business in May 2024, which contributed $9.3 million of revenue, outside of the RV furniture sold through our store locations, for the six months ended June 30, 2024. On a same store basis, products, service and other revenue decreased 5.2% to $314.2 million.</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increase in products, service and other gross profit and the 483 basis point increase in products, service and other gross margin to 48.1% was driven by improved gross margins on our aftermarket part assortment, higher billing rates for service labor, and the divestiture of the RV furniture business, which had negative gross margins for the six months ended June 30, 2024.</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1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7"/>
          <w:szCs w:val="17"/>
          <w:color w:val="auto"/>
        </w:rPr>
        <w:t>Finance and insurance revenue and gross profit is recorded net, since the Company is acting as an agent in the transaction, and commission is recognized when a finance and insurance product contract payment</w:t>
      </w:r>
    </w:p>
    <w:p>
      <w:pPr>
        <w:sectPr>
          <w:pgSz w:w="11900" w:h="16838" w:orient="portrait"/>
          <w:cols w:equalWidth="0" w:num="1">
            <w:col w:w="9019"/>
          </w:cols>
          <w:pgMar w:left="1440" w:top="512" w:right="1440"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has been received or financing has been arranged. Finance and insurance, net revenue increased $35.4 million, which was primarily a result of an increased number of contracts sold resulting from increased vehicles sold. Finance and insurance, net revenue as a percentage of new and used vehicle revenue was 13.8%, an increase from 13.5%. On a same store basis, finance and insurance, net revenue increased 11.8%.</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Good Sam Club revenue and gross profit decreased primarily from the 11.6% decrease in Good Sam Club members, excluding free basic plan members. The decline in Good Sam Club members was a result of the availability of the free basic plan that was introduced in late 2023, which provides for limited participation in the loyalty point program without access to the remaining member benefits, and price increases introduced by early 2024 that impacted renewal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Selling, general and administrative expenses increased primarily due to a $10.2 million increase in advertising expenses, a $ 9.9 million increase in commissions costs, a $7.3 million increase in other employee cash compensation costs, and a $5.1 million increase in employee SBC expense.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discussed in Note 4 – Long-Lived Asset Impairment to our condensed consolidated financial statements included in Part I, Item 1 of this Form 10-Q, we recognized $0.6 million of long-lived asset impairments, a decrease of $ 9.8 million. These long-lived asset impairments related to decreases in market rental rates or market value of real property for closed locations, or based on the Company’s review of location performance in the normal course of business.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decrease in floor plan interest expense was primarily due to a 136 basis point decrease in the average floor plan borrowing rate. The average interest rate for the Floor Plan Facility for the six months ended June 30, 2025 and 2024 was 6.40% and 7.76%, respectively.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Other interest expense, net decreased primarily due to the reduced interest rate on our Term Loan Facility, reduced borrowings on the Company’s Real Estate Facilities, and no outstanding balance on the revolving line of credit under the Floor Plan Facility (see Note 7 – Long-Term Debt and Note 3 – Inventories and Floor Plan Payables to our condensed consolidated financial statements included in Part I, Item 1 of this Form 10-Q). The average interest rate for the Term Loan Facility for the six months ended June 30, 2025 and 2024 was 6.92% and 7.96%, respectively. The average interest rate on the M&amp;T Real Estate Facility (as defined in Note 7 – Long Term Debt) for six months ended June 30, 2025 and 2024 was 6.73% and 7.63%, respectively.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expense</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The increase in income tax expense was primarily due to higher income generated from CWGS, LLC for which the Company is subject to U.S. federal and state taxes on its allocable share and return to provision adjustments.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1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following table sets forth information comparing select components of Segment Adjusted EBITDA for each of our segments for the periods presented:</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Six Months Ended June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60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608"/>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88"/>
              <w:spacing w:after="0" w:line="155" w:lineRule="exact"/>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56"/>
        </w:trPr>
        <w:tc>
          <w:tcPr>
            <w:tcW w:w="37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 in thousands)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54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35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Good Sam Services and Plans:</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100,421</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6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98,229</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896</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1,159</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(263)</w:t>
            </w:r>
          </w:p>
        </w:tc>
        <w:tc>
          <w:tcPr>
            <w:tcW w:w="54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55"/>
        </w:trPr>
        <w:tc>
          <w:tcPr>
            <w:tcW w:w="374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101,317</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99,388</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1,929</w:t>
            </w: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39,613</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39.1%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32,294</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(7,319)</w:t>
            </w:r>
          </w:p>
        </w:tc>
        <w:tc>
          <w:tcPr>
            <w:tcW w:w="54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14,809</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14,449</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(360)</w:t>
            </w:r>
          </w:p>
        </w:tc>
        <w:tc>
          <w:tcPr>
            <w:tcW w:w="5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6"/>
        </w:trPr>
        <w:tc>
          <w:tcPr>
            <w:tcW w:w="374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46,268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51,621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(5,353)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RV and Outdoor Retail:</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120"/>
              <w:spacing w:after="0"/>
              <w:rPr>
                <w:sz w:val="20"/>
                <w:szCs w:val="20"/>
                <w:color w:val="auto"/>
              </w:rPr>
            </w:pPr>
            <w:r>
              <w:rPr>
                <w:rFonts w:ascii="Arial" w:cs="Arial" w:eastAsia="Arial" w:hAnsi="Arial"/>
                <w:sz w:val="14"/>
                <w:szCs w:val="14"/>
                <w:color w:val="auto"/>
              </w:rPr>
              <w:t>Revenue: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External revenue</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3,289,051</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3,072,293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216,758</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Intersegment revenue</w:t>
            </w:r>
            <w:r>
              <w:rPr>
                <w:rFonts w:ascii="Arial" w:cs="Arial" w:eastAsia="Arial" w:hAnsi="Arial"/>
                <w:sz w:val="18"/>
                <w:szCs w:val="18"/>
                <w:color w:val="auto"/>
                <w:vertAlign w:val="superscript"/>
              </w:rPr>
              <w:t>(1)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6,660</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6,930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(270)</w:t>
            </w:r>
          </w:p>
        </w:tc>
        <w:tc>
          <w:tcPr>
            <w:tcW w:w="5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6"/>
        </w:trPr>
        <w:tc>
          <w:tcPr>
            <w:tcW w:w="374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revenue before intersegment eliminations</w:t>
            </w: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3,295,711</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3,079,223</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216,488</w:t>
            </w:r>
          </w:p>
        </w:tc>
        <w:tc>
          <w:tcPr>
            <w:tcW w:w="1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Segment expenses: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costs applicable to revenue</w:t>
            </w:r>
            <w:r>
              <w:rPr>
                <w:rFonts w:ascii="Arial" w:cs="Arial" w:eastAsia="Arial" w:hAnsi="Arial"/>
                <w:sz w:val="18"/>
                <w:szCs w:val="18"/>
                <w:color w:val="auto"/>
                <w:vertAlign w:val="superscript"/>
              </w:rPr>
              <w:t>(2)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2,327,751</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2,187,991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(139,760)</w:t>
            </w:r>
          </w:p>
        </w:tc>
        <w:tc>
          <w:tcPr>
            <w:tcW w:w="5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3"/>
                <w:szCs w:val="13"/>
                <w:color w:val="auto"/>
              </w:rPr>
              <w:t>Intersegment costs applicable to revenue</w:t>
            </w:r>
            <w:r>
              <w:rPr>
                <w:rFonts w:ascii="Arial" w:cs="Arial" w:eastAsia="Arial" w:hAnsi="Arial"/>
                <w:sz w:val="18"/>
                <w:szCs w:val="18"/>
                <w:color w:val="auto"/>
                <w:vertAlign w:val="superscript"/>
              </w:rPr>
              <w:t>(3)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6,417</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5,545</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(872)</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Adjusted selling, general and administrative</w:t>
            </w:r>
            <w:r>
              <w:rPr>
                <w:rFonts w:ascii="Arial" w:cs="Arial" w:eastAsia="Arial" w:hAnsi="Arial"/>
                <w:sz w:val="18"/>
                <w:szCs w:val="18"/>
                <w:color w:val="auto"/>
                <w:vertAlign w:val="superscript"/>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787,245</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23.9%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760,360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(26,885)</w:t>
            </w:r>
          </w:p>
        </w:tc>
        <w:tc>
          <w:tcPr>
            <w:tcW w:w="5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Floor plan interest expense</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39,295</w:t>
            </w:r>
          </w:p>
        </w:tc>
        <w:tc>
          <w:tcPr>
            <w:tcW w:w="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55,681</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16,386</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62"/>
        </w:trPr>
        <w:tc>
          <w:tcPr>
            <w:tcW w:w="3740" w:type="dxa"/>
            <w:vAlign w:val="bottom"/>
            <w:gridSpan w:val="2"/>
          </w:tcPr>
          <w:p>
            <w:pPr>
              <w:ind w:left="220"/>
              <w:spacing w:after="0" w:line="162" w:lineRule="exact"/>
              <w:rPr>
                <w:sz w:val="20"/>
                <w:szCs w:val="20"/>
                <w:color w:val="auto"/>
              </w:rPr>
            </w:pPr>
            <w:r>
              <w:rPr>
                <w:rFonts w:ascii="Arial" w:cs="Arial" w:eastAsia="Arial" w:hAnsi="Arial"/>
                <w:sz w:val="13"/>
                <w:szCs w:val="13"/>
                <w:color w:val="auto"/>
              </w:rPr>
              <w:t>Other segment items</w:t>
            </w:r>
            <w:r>
              <w:rPr>
                <w:rFonts w:ascii="Arial" w:cs="Arial" w:eastAsia="Arial" w:hAnsi="Arial"/>
                <w:sz w:val="18"/>
                <w:szCs w:val="18"/>
                <w:color w:val="auto"/>
                <w:vertAlign w:val="superscript"/>
              </w:rPr>
              <w:t>(5)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55"/>
        </w:trPr>
        <w:tc>
          <w:tcPr>
            <w:tcW w:w="3740" w:type="dxa"/>
            <w:vAlign w:val="bottom"/>
            <w:tcBorders>
              <w:top w:val="single" w:sz="8" w:color="CCEEFF"/>
              <w:bottom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Segment Adjusted EBITDA</w:t>
            </w:r>
          </w:p>
        </w:tc>
        <w:tc>
          <w:tcPr>
            <w:tcW w:w="120" w:type="dxa"/>
            <w:vAlign w:val="bottom"/>
            <w:tcBorders>
              <w:top w:val="single" w:sz="8" w:color="auto"/>
              <w:bottom w:val="single" w:sz="8" w:color="auto"/>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135,023</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69,503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65,520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Intersegment revenue consists of segment revenue that are eliminated in our consolidated statements of operations.</w:t>
      </w:r>
    </w:p>
    <w:p>
      <w:pPr>
        <w:spacing w:after="0" w:line="53"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27"/>
        </w:numPr>
        <w:rPr>
          <w:rFonts w:ascii="Arial" w:cs="Arial" w:eastAsia="Arial" w:hAnsi="Arial"/>
          <w:sz w:val="20"/>
          <w:szCs w:val="20"/>
          <w:color w:val="auto"/>
          <w:vertAlign w:val="superscript"/>
        </w:rPr>
      </w:pPr>
      <w:r>
        <w:rPr>
          <w:rFonts w:ascii="Arial" w:cs="Arial" w:eastAsia="Arial" w:hAnsi="Arial"/>
          <w:sz w:val="14"/>
          <w:szCs w:val="14"/>
          <w:color w:val="auto"/>
        </w:rPr>
        <w:t>Adjusted costs applicable to revenue excludes SBC expense and intersegment costs applicable to revenue.</w:t>
      </w:r>
    </w:p>
    <w:p>
      <w:pPr>
        <w:spacing w:after="0" w:line="54" w:lineRule="exact"/>
        <w:rPr>
          <w:rFonts w:ascii="Arial" w:cs="Arial" w:eastAsia="Arial" w:hAnsi="Arial"/>
          <w:sz w:val="20"/>
          <w:szCs w:val="20"/>
          <w:color w:val="auto"/>
          <w:vertAlign w:val="superscript"/>
        </w:rPr>
      </w:pPr>
    </w:p>
    <w:p>
      <w:pPr>
        <w:ind w:left="380" w:right="159" w:hanging="330"/>
        <w:spacing w:after="0" w:line="196"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Intersegment costs applicable to revenue consist of segment costs applicable to revenue that are eliminated in our consolidated statements of operations.</w:t>
      </w:r>
    </w:p>
    <w:p>
      <w:pPr>
        <w:ind w:left="380" w:hanging="330"/>
        <w:spacing w:after="0" w:line="217"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Adjusted selling, general, and administrative expenses excludes SBC expense and intersegment operating expenses.</w:t>
      </w:r>
    </w:p>
    <w:p>
      <w:pPr>
        <w:spacing w:after="0" w:line="54" w:lineRule="exact"/>
        <w:rPr>
          <w:rFonts w:ascii="Arial" w:cs="Arial" w:eastAsia="Arial" w:hAnsi="Arial"/>
          <w:sz w:val="22"/>
          <w:szCs w:val="22"/>
          <w:color w:val="auto"/>
          <w:vertAlign w:val="superscript"/>
        </w:rPr>
      </w:pPr>
    </w:p>
    <w:p>
      <w:pPr>
        <w:ind w:left="380" w:right="79" w:hanging="330"/>
        <w:spacing w:after="0" w:line="196"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Other segment items include (i) intersegment operating expenses, which are eliminated in our consolidated statements of operations, and (ii) other expense, net excluding loss and/or impairment on investments in equity securities.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 Sam Services and Plans Segment</w:t>
      </w:r>
    </w:p>
    <w:p>
      <w:pPr>
        <w:spacing w:after="0" w:line="10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See the “Revenue and Gross Profit” section above for a discussion of impacts to revenue for Good Sam Services and Plans. Adjusted costs applicable to segment revenues reflected increased roadside assistance claims costs and costs associated with the new tire rescue program. Adjusted selling, general and administrative expense increased primarily from increased employee cash compensation expense, partially offset by reduced advertising expenses. The Good Sam Services and Plans Segment Adjusted EBITDA decrease was driven primarily by the increase to adjusted costs applicable to revenue and adjusted selling, general and administrative expense, partially offset by the increase to external revenue discussed above. Intersegment revenue and intersegment costs applicable to revenue did not have a significant impact on the decrease in Segment Adjusted EBITDA.</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RV and Outdoor Retail Segment</w:t>
      </w:r>
    </w:p>
    <w:p>
      <w:pPr>
        <w:spacing w:after="0" w:line="10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See the “Revenue and Gross Profit” section above for a discussion of impacts to revenue for RV and Outdoor Retail and “Floor plan interest expense” section above for a discussion of the decrease in floor plan interest expense. Adjusted costs applicable to segment revenue increased from (i) higher total vehicle costs driven by 16.7% higher total unit sales, partially offset by the reductions in cost per new and used vehicles sold discussed above, and (ii) lower products, service and other costs applicable to revenue primarily from the same drivers of the decrease in revenue discussed above. Adjusted selling, general and administrative expense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increased primarily due to approximately $10.7 million of increased advertising expenses, $9.9 million of increased commissions costs, $5.8 million of increased software expense and maintenance, and $4.6 million of increased employee cash compensation expense, partially offset by $3.0 million of reduced business start-up costs and $2.2 million of reduced legal fees. The RV and Outdoor Retail Segment Adjusted EBITDA increased from the increases in revenue and reduction in floor plan interest expense, partially offset by the increase in segment expenses discussed above. Intersegment revenue, intersegment costs applicable to revenue, and intersegment operating expenses did not have a significant impact on the increase in Segment Adjusted EBITDA.</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accounting principles generally accepted in the United States (“GAAP”), we use the following non-GAAP financial measures: EBITDA; Adjusted EBITDA; Adjusted EBITDA Margin; Adjusted Net Income (Loss) Attributable to Camping World Holdings, Inc. – Basic; Adjusted Net Income (Loss) Attributable to Camping World Holdings, Inc. – Diluted; Adjusted Earnings (Loss) Per Share – Basic; Adjusted Earnings (Loss) Per Share – Diluted; and Selling, General, and Administrative Expense (“SG&amp;A”) Excluding SBC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Certain of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 comparisons of our internal operating results and operating results of other companies over time. Each of the normal recurring adjustments and other adjustments described in this section and in the reconciliation tables below help management with a measure of our core operating performance over time by removing items that are not related to day-to-day operations.</w:t>
      </w:r>
    </w:p>
    <w:p>
      <w:pPr>
        <w:spacing w:after="0" w:line="187"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Non-GAAP Financial Measures that we use are not necessarily comparable to similarly titled measures used by other companies due to different methods of calculation.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200" w:lineRule="exact"/>
        <w:rPr>
          <w:sz w:val="20"/>
          <w:szCs w:val="20"/>
          <w:color w:val="auto"/>
        </w:rPr>
      </w:pP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define “EBITDA” as net income (loss) before other interest expense, net (excluding floor plan interest expense), provision for income tax benefit and depreciation and amortization. We define “Adjusted EBITDA” as EBITDA further adjusted for the impact of certain noncash and other items that we do not consider in our evaluation of ongoing operating performance. These items include, among other things, long-lived asset impairment, lease termination costs, gains and losses on sale or disposal of assets, net, SBC, losses and gains and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Segment Adjusted EBITDA to consolidated Adjusted EBITDA:</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color w:val="auto"/>
              </w:rPr>
              <w:t>($ in thousands)</w:t>
            </w: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96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70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5"/>
        </w:trPr>
        <w:tc>
          <w:tcPr>
            <w:tcW w:w="45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Good Sam Services and Plans Segment Adjusted EBITDA</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25,158</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28,366</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5"/>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46,268</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51,621</w:t>
            </w:r>
          </w:p>
        </w:tc>
        <w:tc>
          <w:tcPr>
            <w:tcW w:w="0" w:type="dxa"/>
            <w:vAlign w:val="bottom"/>
          </w:tcPr>
          <w:p>
            <w:pPr>
              <w:spacing w:after="0"/>
              <w:rPr>
                <w:sz w:val="1"/>
                <w:szCs w:val="1"/>
                <w:color w:val="auto"/>
              </w:rPr>
            </w:pPr>
          </w:p>
        </w:tc>
      </w:tr>
      <w:tr>
        <w:trPr>
          <w:trHeight w:val="162"/>
        </w:trPr>
        <w:tc>
          <w:tcPr>
            <w:tcW w:w="4700" w:type="dxa"/>
            <w:vAlign w:val="bottom"/>
            <w:tcBorders>
              <w:bottom w:val="single" w:sz="8" w:color="CCEEFF"/>
            </w:tcBorders>
            <w:gridSpan w:val="2"/>
          </w:tcPr>
          <w:p>
            <w:pPr>
              <w:ind w:left="20"/>
              <w:spacing w:after="0" w:line="162" w:lineRule="exact"/>
              <w:rPr>
                <w:sz w:val="20"/>
                <w:szCs w:val="20"/>
                <w:color w:val="auto"/>
              </w:rPr>
            </w:pPr>
            <w:r>
              <w:rPr>
                <w:rFonts w:ascii="Arial" w:cs="Arial" w:eastAsia="Arial" w:hAnsi="Arial"/>
                <w:sz w:val="15"/>
                <w:szCs w:val="15"/>
                <w:color w:val="auto"/>
              </w:rPr>
              <w:t>RV and Outdoor Retail Segment Adjusted EBITDA</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122,020</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81,144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135,023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69,503</w:t>
            </w:r>
          </w:p>
        </w:tc>
        <w:tc>
          <w:tcPr>
            <w:tcW w:w="0" w:type="dxa"/>
            <w:vAlign w:val="bottom"/>
          </w:tcPr>
          <w:p>
            <w:pPr>
              <w:spacing w:after="0"/>
              <w:rPr>
                <w:sz w:val="1"/>
                <w:szCs w:val="1"/>
                <w:color w:val="auto"/>
              </w:rPr>
            </w:pPr>
          </w:p>
        </w:tc>
      </w:tr>
      <w:tr>
        <w:trPr>
          <w:trHeight w:val="155"/>
        </w:trPr>
        <w:tc>
          <w:tcPr>
            <w:tcW w:w="47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5"/>
                <w:szCs w:val="15"/>
                <w:color w:val="auto"/>
              </w:rPr>
              <w:t>Total Segment Adjusted EBITDA</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147,178</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109,510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181,291</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121,124</w:t>
            </w:r>
          </w:p>
        </w:tc>
        <w:tc>
          <w:tcPr>
            <w:tcW w:w="0" w:type="dxa"/>
            <w:vAlign w:val="bottom"/>
          </w:tcPr>
          <w:p>
            <w:pPr>
              <w:spacing w:after="0"/>
              <w:rPr>
                <w:sz w:val="1"/>
                <w:szCs w:val="1"/>
                <w:color w:val="auto"/>
              </w:rPr>
            </w:pPr>
          </w:p>
        </w:tc>
      </w:tr>
      <w:tr>
        <w:trPr>
          <w:trHeight w:val="162"/>
        </w:trPr>
        <w:tc>
          <w:tcPr>
            <w:tcW w:w="47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Corporate and Other Adjusted EBITDA</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(4,957)</w:t>
            </w:r>
          </w:p>
        </w:tc>
        <w:tc>
          <w:tcPr>
            <w:tcW w:w="200" w:type="dxa"/>
            <w:vAlign w:val="bottom"/>
          </w:tcPr>
          <w:p>
            <w:pPr>
              <w:spacing w:after="0"/>
              <w:rPr>
                <w:sz w:val="14"/>
                <w:szCs w:val="14"/>
                <w:color w:val="auto"/>
              </w:rPr>
            </w:pPr>
          </w:p>
        </w:tc>
        <w:tc>
          <w:tcPr>
            <w:tcW w:w="9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(3,929)</w:t>
            </w:r>
          </w:p>
        </w:tc>
        <w:tc>
          <w:tcPr>
            <w:tcW w:w="180" w:type="dxa"/>
            <w:vAlign w:val="bottom"/>
          </w:tcPr>
          <w:p>
            <w:pPr>
              <w:spacing w:after="0"/>
              <w:rPr>
                <w:sz w:val="14"/>
                <w:szCs w:val="14"/>
                <w:color w:val="auto"/>
              </w:rPr>
            </w:pPr>
          </w:p>
        </w:tc>
        <w:tc>
          <w:tcPr>
            <w:tcW w:w="9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(7,924)</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(7,304)</w:t>
            </w:r>
          </w:p>
        </w:tc>
        <w:tc>
          <w:tcPr>
            <w:tcW w:w="0" w:type="dxa"/>
            <w:vAlign w:val="bottom"/>
          </w:tcPr>
          <w:p>
            <w:pPr>
              <w:spacing w:after="0"/>
              <w:rPr>
                <w:sz w:val="1"/>
                <w:szCs w:val="1"/>
                <w:color w:val="auto"/>
              </w:rPr>
            </w:pPr>
          </w:p>
        </w:tc>
      </w:tr>
      <w:tr>
        <w:trPr>
          <w:trHeight w:val="155"/>
        </w:trPr>
        <w:tc>
          <w:tcPr>
            <w:tcW w:w="4700" w:type="dxa"/>
            <w:vAlign w:val="bottom"/>
            <w:tcBorders>
              <w:top w:val="single" w:sz="8" w:color="CCEEFF"/>
              <w:bottom w:val="single" w:sz="8" w:color="CCEEFF"/>
            </w:tcBorders>
            <w:gridSpan w:val="2"/>
            <w:shd w:val="clear" w:color="auto" w:fill="CCEEFF"/>
          </w:tcPr>
          <w:p>
            <w:pPr>
              <w:ind w:left="120"/>
              <w:spacing w:after="0" w:line="156" w:lineRule="exact"/>
              <w:rPr>
                <w:sz w:val="20"/>
                <w:szCs w:val="20"/>
                <w:color w:val="auto"/>
              </w:rPr>
            </w:pPr>
            <w:r>
              <w:rPr>
                <w:rFonts w:ascii="Arial" w:cs="Arial" w:eastAsia="Arial" w:hAnsi="Arial"/>
                <w:sz w:val="15"/>
                <w:szCs w:val="15"/>
                <w:color w:val="auto"/>
              </w:rPr>
              <w:t>Total Adjusted EBITDA</w:t>
            </w:r>
          </w:p>
        </w:tc>
        <w:tc>
          <w:tcPr>
            <w:tcW w:w="1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142,221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105,581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5"/>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173,367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113,820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reconciles EBITDA, Adjusted EBITDA, and Adjusted EBITDA Margin to the most directly comparable GAAP financial performance measures: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10"/>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40" w:type="dxa"/>
            <w:vAlign w:val="bottom"/>
            <w:gridSpan w:val="5"/>
          </w:tcPr>
          <w:p>
            <w:pPr>
              <w:jc w:val="right"/>
              <w:ind w:right="7"/>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62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07"/>
              <w:spacing w:after="0" w:line="155" w:lineRule="exact"/>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2024</w:t>
            </w:r>
          </w:p>
        </w:tc>
        <w:tc>
          <w:tcPr>
            <w:tcW w:w="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27"/>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27"/>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55"/>
        </w:trPr>
        <w:tc>
          <w:tcPr>
            <w:tcW w:w="4440" w:type="dxa"/>
            <w:vAlign w:val="bottom"/>
            <w:tcBorders>
              <w:top w:val="single" w:sz="8" w:color="auto"/>
            </w:tcBorders>
            <w:gridSpan w:val="2"/>
            <w:shd w:val="clear" w:color="auto" w:fill="CCEEFF"/>
          </w:tcPr>
          <w:p>
            <w:pPr>
              <w:ind w:left="20"/>
              <w:spacing w:after="0" w:line="156" w:lineRule="exact"/>
              <w:rPr>
                <w:sz w:val="20"/>
                <w:szCs w:val="20"/>
                <w:color w:val="auto"/>
              </w:rPr>
            </w:pPr>
            <w:r>
              <w:rPr>
                <w:rFonts w:ascii="Arial" w:cs="Arial" w:eastAsia="Arial" w:hAnsi="Arial"/>
                <w:sz w:val="15"/>
                <w:szCs w:val="15"/>
                <w:b w:val="1"/>
                <w:bCs w:val="1"/>
                <w:color w:val="auto"/>
              </w:rPr>
              <w:t>EBITDA and Adjusted EBITDA:</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Net income (loss)</w:t>
            </w:r>
          </w:p>
        </w:tc>
        <w:tc>
          <w:tcPr>
            <w:tcW w:w="16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57,523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jc w:val="right"/>
              <w:ind w:right="64"/>
              <w:spacing w:after="0" w:line="162"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23,414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jc w:val="right"/>
              <w:ind w:right="25"/>
              <w:spacing w:after="0" w:line="162" w:lineRule="exact"/>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32,841</w:t>
            </w:r>
          </w:p>
        </w:tc>
        <w:tc>
          <w:tcPr>
            <w:tcW w:w="200" w:type="dxa"/>
            <w:vAlign w:val="bottom"/>
          </w:tcPr>
          <w:p>
            <w:pPr>
              <w:spacing w:after="0"/>
              <w:rPr>
                <w:sz w:val="14"/>
                <w:szCs w:val="14"/>
                <w:color w:val="auto"/>
              </w:rPr>
            </w:pPr>
          </w:p>
        </w:tc>
        <w:tc>
          <w:tcPr>
            <w:tcW w:w="200" w:type="dxa"/>
            <w:vAlign w:val="bottom"/>
          </w:tcPr>
          <w:p>
            <w:pPr>
              <w:jc w:val="right"/>
              <w:ind w:right="44"/>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(27,392)</w:t>
            </w:r>
          </w:p>
        </w:tc>
        <w:tc>
          <w:tcPr>
            <w:tcW w:w="0" w:type="dxa"/>
            <w:vAlign w:val="bottom"/>
          </w:tcPr>
          <w:p>
            <w:pPr>
              <w:spacing w:after="0"/>
              <w:rPr>
                <w:sz w:val="1"/>
                <w:szCs w:val="1"/>
                <w:color w:val="auto"/>
              </w:rPr>
            </w:pPr>
          </w:p>
        </w:tc>
      </w:tr>
      <w:tr>
        <w:trPr>
          <w:trHeight w:val="162"/>
        </w:trPr>
        <w:tc>
          <w:tcPr>
            <w:tcW w:w="462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Other interest expense, net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30,836</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36,153</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61,367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72,247</w:t>
            </w:r>
          </w:p>
        </w:tc>
        <w:tc>
          <w:tcPr>
            <w:tcW w:w="0" w:type="dxa"/>
            <w:vAlign w:val="bottom"/>
          </w:tcPr>
          <w:p>
            <w:pPr>
              <w:spacing w:after="0"/>
              <w:rPr>
                <w:sz w:val="1"/>
                <w:szCs w:val="1"/>
                <w:color w:val="auto"/>
              </w:rPr>
            </w:pPr>
          </w:p>
        </w:tc>
      </w:tr>
      <w:tr>
        <w:trPr>
          <w:trHeight w:val="162"/>
        </w:trPr>
        <w:tc>
          <w:tcPr>
            <w:tcW w:w="4620" w:type="dxa"/>
            <w:vAlign w:val="bottom"/>
            <w:gridSpan w:val="3"/>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23,419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20,032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45,963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39,322</w:t>
            </w:r>
          </w:p>
        </w:tc>
        <w:tc>
          <w:tcPr>
            <w:tcW w:w="0" w:type="dxa"/>
            <w:vAlign w:val="bottom"/>
          </w:tcPr>
          <w:p>
            <w:pPr>
              <w:spacing w:after="0"/>
              <w:rPr>
                <w:sz w:val="1"/>
                <w:szCs w:val="1"/>
                <w:color w:val="auto"/>
              </w:rPr>
            </w:pPr>
          </w:p>
        </w:tc>
      </w:tr>
      <w:tr>
        <w:trPr>
          <w:trHeight w:val="162"/>
        </w:trPr>
        <w:tc>
          <w:tcPr>
            <w:tcW w:w="4620" w:type="dxa"/>
            <w:vAlign w:val="bottom"/>
            <w:gridSpan w:val="3"/>
            <w:shd w:val="clear" w:color="auto" w:fill="CCEEFF"/>
          </w:tcPr>
          <w:p>
            <w:pPr>
              <w:ind w:left="120"/>
              <w:spacing w:after="0" w:line="162" w:lineRule="exact"/>
              <w:rPr>
                <w:sz w:val="20"/>
                <w:szCs w:val="20"/>
                <w:color w:val="auto"/>
              </w:rPr>
            </w:pPr>
            <w:r>
              <w:rPr>
                <w:rFonts w:ascii="Arial" w:cs="Arial" w:eastAsia="Arial" w:hAnsi="Arial"/>
                <w:sz w:val="15"/>
                <w:szCs w:val="15"/>
                <w:color w:val="auto"/>
              </w:rPr>
              <w:t>Income tax expense (benefit)</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18,321</w:t>
            </w: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7,935</w:t>
            </w:r>
          </w:p>
        </w:tc>
        <w:tc>
          <w:tcPr>
            <w:tcW w:w="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14,850</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(1,107)</w:t>
            </w:r>
          </w:p>
        </w:tc>
        <w:tc>
          <w:tcPr>
            <w:tcW w:w="0" w:type="dxa"/>
            <w:vAlign w:val="bottom"/>
          </w:tcPr>
          <w:p>
            <w:pPr>
              <w:spacing w:after="0"/>
              <w:rPr>
                <w:sz w:val="1"/>
                <w:szCs w:val="1"/>
                <w:color w:val="auto"/>
              </w:rPr>
            </w:pPr>
          </w:p>
        </w:tc>
      </w:tr>
      <w:tr>
        <w:trPr>
          <w:trHeight w:val="155"/>
        </w:trPr>
        <w:tc>
          <w:tcPr>
            <w:tcW w:w="4620" w:type="dxa"/>
            <w:vAlign w:val="bottom"/>
            <w:gridSpan w:val="3"/>
          </w:tcPr>
          <w:p>
            <w:pPr>
              <w:ind w:left="220"/>
              <w:spacing w:after="0" w:line="156" w:lineRule="exact"/>
              <w:rPr>
                <w:sz w:val="20"/>
                <w:szCs w:val="20"/>
                <w:color w:val="auto"/>
              </w:rPr>
            </w:pPr>
            <w:r>
              <w:rPr>
                <w:rFonts w:ascii="Arial" w:cs="Arial" w:eastAsia="Arial" w:hAnsi="Arial"/>
                <w:sz w:val="15"/>
                <w:szCs w:val="15"/>
                <w:color w:val="auto"/>
              </w:rPr>
              <w:t>Subtotal EBITDA</w:t>
            </w: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5"/>
                <w:szCs w:val="15"/>
                <w:color w:val="auto"/>
              </w:rPr>
              <w:t>130,099</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87,534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5"/>
                <w:szCs w:val="15"/>
                <w:color w:val="auto"/>
              </w:rPr>
              <w:t>155,021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5"/>
                <w:szCs w:val="15"/>
                <w:color w:val="auto"/>
              </w:rPr>
              <w:t>83,070</w:t>
            </w:r>
          </w:p>
        </w:tc>
        <w:tc>
          <w:tcPr>
            <w:tcW w:w="0" w:type="dxa"/>
            <w:vAlign w:val="bottom"/>
          </w:tcPr>
          <w:p>
            <w:pPr>
              <w:spacing w:after="0"/>
              <w:rPr>
                <w:sz w:val="1"/>
                <w:szCs w:val="1"/>
                <w:color w:val="auto"/>
              </w:rPr>
            </w:pPr>
          </w:p>
        </w:tc>
      </w:tr>
      <w:tr>
        <w:trPr>
          <w:trHeight w:val="162"/>
        </w:trPr>
        <w:tc>
          <w:tcPr>
            <w:tcW w:w="4620" w:type="dxa"/>
            <w:vAlign w:val="bottom"/>
            <w:gridSpan w:val="3"/>
            <w:shd w:val="clear" w:color="auto" w:fill="CCEEFF"/>
          </w:tcPr>
          <w:p>
            <w:pPr>
              <w:ind w:left="340"/>
              <w:spacing w:after="0" w:line="162" w:lineRule="exact"/>
              <w:rPr>
                <w:sz w:val="20"/>
                <w:szCs w:val="20"/>
                <w:color w:val="auto"/>
              </w:rPr>
            </w:pPr>
            <w:r>
              <w:rPr>
                <w:rFonts w:ascii="Arial" w:cs="Arial" w:eastAsia="Arial" w:hAnsi="Arial"/>
                <w:sz w:val="15"/>
                <w:szCs w:val="15"/>
                <w:color w:val="auto"/>
              </w:rPr>
              <w:t>Long-lived asset impairment (a)</w:t>
            </w:r>
          </w:p>
        </w:tc>
        <w:tc>
          <w:tcPr>
            <w:tcW w:w="16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4,584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10,411</w:t>
            </w:r>
          </w:p>
        </w:tc>
        <w:tc>
          <w:tcPr>
            <w:tcW w:w="0" w:type="dxa"/>
            <w:vAlign w:val="bottom"/>
          </w:tcPr>
          <w:p>
            <w:pPr>
              <w:spacing w:after="0"/>
              <w:rPr>
                <w:sz w:val="1"/>
                <w:szCs w:val="1"/>
                <w:color w:val="auto"/>
              </w:rPr>
            </w:pPr>
          </w:p>
        </w:tc>
      </w:tr>
      <w:tr>
        <w:trPr>
          <w:trHeight w:val="162"/>
        </w:trPr>
        <w:tc>
          <w:tcPr>
            <w:tcW w:w="4620" w:type="dxa"/>
            <w:vAlign w:val="bottom"/>
            <w:gridSpan w:val="3"/>
          </w:tcPr>
          <w:p>
            <w:pPr>
              <w:ind w:left="340"/>
              <w:spacing w:after="0" w:line="162" w:lineRule="exact"/>
              <w:rPr>
                <w:sz w:val="20"/>
                <w:szCs w:val="20"/>
                <w:color w:val="auto"/>
              </w:rPr>
            </w:pPr>
            <w:r>
              <w:rPr>
                <w:rFonts w:ascii="Arial" w:cs="Arial" w:eastAsia="Arial" w:hAnsi="Arial"/>
                <w:sz w:val="15"/>
                <w:szCs w:val="15"/>
                <w:color w:val="auto"/>
              </w:rPr>
              <w:t>Lease termination (b)</w:t>
            </w:r>
          </w:p>
        </w:tc>
        <w:tc>
          <w:tcPr>
            <w:tcW w:w="160" w:type="dxa"/>
            <w:vAlign w:val="bottom"/>
          </w:tcPr>
          <w:p>
            <w:pPr>
              <w:spacing w:after="0"/>
              <w:rPr>
                <w:sz w:val="14"/>
                <w:szCs w:val="14"/>
                <w:color w:val="auto"/>
              </w:rPr>
            </w:pPr>
          </w:p>
        </w:tc>
        <w:tc>
          <w:tcPr>
            <w:tcW w:w="960" w:type="dxa"/>
            <w:vAlign w:val="bottom"/>
            <w:gridSpan w:val="3"/>
          </w:tcPr>
          <w:p>
            <w:pPr>
              <w:jc w:val="right"/>
              <w:ind w:right="180"/>
              <w:spacing w:after="0" w:line="162" w:lineRule="exact"/>
              <w:rPr>
                <w:sz w:val="20"/>
                <w:szCs w:val="20"/>
                <w:color w:val="auto"/>
              </w:rPr>
            </w:pPr>
            <w:r>
              <w:rPr>
                <w:rFonts w:ascii="Arial" w:cs="Arial" w:eastAsia="Arial" w:hAnsi="Arial"/>
                <w:sz w:val="15"/>
                <w:szCs w:val="15"/>
                <w:color w:val="auto"/>
              </w:rPr>
              <w:t>(107)</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40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(107)</w:t>
            </w: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2"/>
        </w:trPr>
        <w:tc>
          <w:tcPr>
            <w:tcW w:w="4620" w:type="dxa"/>
            <w:vAlign w:val="bottom"/>
            <w:gridSpan w:val="3"/>
            <w:shd w:val="clear" w:color="auto" w:fill="CCEEFF"/>
          </w:tcPr>
          <w:p>
            <w:pPr>
              <w:ind w:left="340"/>
              <w:spacing w:after="0" w:line="162" w:lineRule="exact"/>
              <w:rPr>
                <w:sz w:val="20"/>
                <w:szCs w:val="20"/>
                <w:color w:val="auto"/>
              </w:rPr>
            </w:pPr>
            <w:r>
              <w:rPr>
                <w:rFonts w:ascii="Arial" w:cs="Arial" w:eastAsia="Arial" w:hAnsi="Arial"/>
                <w:sz w:val="15"/>
                <w:szCs w:val="15"/>
                <w:color w:val="auto"/>
              </w:rPr>
              <w:t>Loss (gain) on sale or disposal of assets, net (c)</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1,185</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7,945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(638)</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9,530</w:t>
            </w:r>
          </w:p>
        </w:tc>
        <w:tc>
          <w:tcPr>
            <w:tcW w:w="0" w:type="dxa"/>
            <w:vAlign w:val="bottom"/>
          </w:tcPr>
          <w:p>
            <w:pPr>
              <w:spacing w:after="0"/>
              <w:rPr>
                <w:sz w:val="1"/>
                <w:szCs w:val="1"/>
                <w:color w:val="auto"/>
              </w:rPr>
            </w:pPr>
          </w:p>
        </w:tc>
      </w:tr>
      <w:tr>
        <w:trPr>
          <w:trHeight w:val="162"/>
        </w:trPr>
        <w:tc>
          <w:tcPr>
            <w:tcW w:w="4620" w:type="dxa"/>
            <w:vAlign w:val="bottom"/>
            <w:gridSpan w:val="3"/>
          </w:tcPr>
          <w:p>
            <w:pPr>
              <w:ind w:left="340"/>
              <w:spacing w:after="0" w:line="162" w:lineRule="exact"/>
              <w:rPr>
                <w:sz w:val="20"/>
                <w:szCs w:val="20"/>
                <w:color w:val="auto"/>
              </w:rPr>
            </w:pPr>
            <w:r>
              <w:rPr>
                <w:rFonts w:ascii="Arial" w:cs="Arial" w:eastAsia="Arial" w:hAnsi="Arial"/>
                <w:sz w:val="15"/>
                <w:szCs w:val="15"/>
                <w:color w:val="auto"/>
              </w:rPr>
              <w:t>SBC (d)</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8,444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5,397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15,714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10,594</w:t>
            </w:r>
          </w:p>
        </w:tc>
        <w:tc>
          <w:tcPr>
            <w:tcW w:w="0" w:type="dxa"/>
            <w:vAlign w:val="bottom"/>
          </w:tcPr>
          <w:p>
            <w:pPr>
              <w:spacing w:after="0"/>
              <w:rPr>
                <w:sz w:val="1"/>
                <w:szCs w:val="1"/>
                <w:color w:val="auto"/>
              </w:rPr>
            </w:pPr>
          </w:p>
        </w:tc>
      </w:tr>
      <w:tr>
        <w:trPr>
          <w:trHeight w:val="145"/>
        </w:trPr>
        <w:tc>
          <w:tcPr>
            <w:tcW w:w="4620" w:type="dxa"/>
            <w:vAlign w:val="bottom"/>
            <w:gridSpan w:val="3"/>
            <w:shd w:val="clear" w:color="auto" w:fill="CCEEFF"/>
          </w:tcPr>
          <w:p>
            <w:pPr>
              <w:ind w:left="340"/>
              <w:spacing w:after="0" w:line="145" w:lineRule="exact"/>
              <w:rPr>
                <w:sz w:val="20"/>
                <w:szCs w:val="20"/>
                <w:color w:val="auto"/>
              </w:rPr>
            </w:pPr>
            <w:r>
              <w:rPr>
                <w:rFonts w:ascii="Arial" w:cs="Arial" w:eastAsia="Arial" w:hAnsi="Arial"/>
                <w:sz w:val="15"/>
                <w:szCs w:val="15"/>
                <w:color w:val="auto"/>
              </w:rPr>
              <w:t>Loss and/or impairment on investments in equity securities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5"/>
                <w:szCs w:val="15"/>
                <w:color w:val="auto"/>
              </w:rPr>
              <w:t>(e)</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2,757</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155"/>
        </w:trPr>
        <w:tc>
          <w:tcPr>
            <w:tcW w:w="4620" w:type="dxa"/>
            <w:vAlign w:val="bottom"/>
            <w:gridSpan w:val="3"/>
          </w:tcPr>
          <w:p>
            <w:pPr>
              <w:ind w:left="440"/>
              <w:spacing w:after="0" w:line="156" w:lineRule="exact"/>
              <w:rPr>
                <w:sz w:val="20"/>
                <w:szCs w:val="20"/>
                <w:color w:val="auto"/>
              </w:rPr>
            </w:pPr>
            <w:r>
              <w:rPr>
                <w:rFonts w:ascii="Arial" w:cs="Arial" w:eastAsia="Arial" w:hAnsi="Arial"/>
                <w:sz w:val="15"/>
                <w:szCs w:val="15"/>
                <w:color w:val="auto"/>
              </w:rPr>
              <w:t>Adjusted EBITDA</w:t>
            </w: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142,221</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105,581</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173,367</w:t>
            </w:r>
          </w:p>
        </w:tc>
        <w:tc>
          <w:tcPr>
            <w:tcW w:w="200" w:type="dxa"/>
            <w:vAlign w:val="bottom"/>
          </w:tcPr>
          <w:p>
            <w:pPr>
              <w:spacing w:after="0"/>
              <w:rPr>
                <w:sz w:val="13"/>
                <w:szCs w:val="13"/>
                <w:color w:val="auto"/>
              </w:rPr>
            </w:pPr>
          </w:p>
        </w:tc>
        <w:tc>
          <w:tcPr>
            <w:tcW w:w="20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113,820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620" w:type="dxa"/>
            <w:vAlign w:val="bottom"/>
            <w:gridSpan w:val="3"/>
            <w:vMerge w:val="restart"/>
          </w:tcPr>
          <w:p>
            <w:pPr>
              <w:ind w:left="20"/>
              <w:spacing w:after="0"/>
              <w:rPr>
                <w:sz w:val="20"/>
                <w:szCs w:val="20"/>
                <w:color w:val="auto"/>
              </w:rPr>
            </w:pPr>
            <w:r>
              <w:rPr>
                <w:rFonts w:ascii="Arial" w:cs="Arial" w:eastAsia="Arial" w:hAnsi="Arial"/>
                <w:sz w:val="11"/>
                <w:szCs w:val="11"/>
                <w:color w:val="auto"/>
              </w:rPr>
              <w:t>(as percentage of total revenue)</w:t>
            </w:r>
          </w:p>
        </w:tc>
        <w:tc>
          <w:tcPr>
            <w:tcW w:w="160" w:type="dxa"/>
            <w:vAlign w:val="bottom"/>
          </w:tcPr>
          <w:p>
            <w:pPr>
              <w:spacing w:after="0"/>
              <w:rPr>
                <w:sz w:val="24"/>
                <w:szCs w:val="24"/>
                <w:color w:val="auto"/>
              </w:rPr>
            </w:pPr>
          </w:p>
        </w:tc>
        <w:tc>
          <w:tcPr>
            <w:tcW w:w="2080" w:type="dxa"/>
            <w:vAlign w:val="bottom"/>
            <w:gridSpan w:val="9"/>
          </w:tcPr>
          <w:p>
            <w:pPr>
              <w:ind w:left="20"/>
              <w:spacing w:after="0"/>
              <w:rPr>
                <w:sz w:val="20"/>
                <w:szCs w:val="20"/>
                <w:color w:val="auto"/>
              </w:rPr>
            </w:pPr>
            <w:r>
              <w:rPr>
                <w:rFonts w:ascii="Arial" w:cs="Arial" w:eastAsia="Arial" w:hAnsi="Arial"/>
                <w:sz w:val="12"/>
                <w:szCs w:val="12"/>
                <w:b w:val="1"/>
                <w:bCs w:val="1"/>
                <w:color w:val="auto"/>
              </w:rPr>
              <w:t>Three Months Ended June 30,</w:t>
            </w:r>
          </w:p>
        </w:tc>
        <w:tc>
          <w:tcPr>
            <w:tcW w:w="200" w:type="dxa"/>
            <w:vAlign w:val="bottom"/>
          </w:tcPr>
          <w:p>
            <w:pPr>
              <w:spacing w:after="0"/>
              <w:rPr>
                <w:sz w:val="24"/>
                <w:szCs w:val="24"/>
                <w:color w:val="auto"/>
              </w:rPr>
            </w:pPr>
          </w:p>
        </w:tc>
        <w:tc>
          <w:tcPr>
            <w:tcW w:w="1840" w:type="dxa"/>
            <w:vAlign w:val="bottom"/>
            <w:gridSpan w:val="4"/>
          </w:tcPr>
          <w:p>
            <w:pPr>
              <w:jc w:val="right"/>
              <w:ind w:right="187"/>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29"/>
        </w:trPr>
        <w:tc>
          <w:tcPr>
            <w:tcW w:w="4620" w:type="dxa"/>
            <w:vAlign w:val="bottom"/>
            <w:gridSpan w:val="3"/>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47"/>
              <w:spacing w:after="0" w:line="129" w:lineRule="exact"/>
              <w:rPr>
                <w:sz w:val="20"/>
                <w:szCs w:val="20"/>
                <w:color w:val="auto"/>
              </w:rPr>
            </w:pPr>
            <w:r>
              <w:rPr>
                <w:rFonts w:ascii="Arial" w:cs="Arial" w:eastAsia="Arial" w:hAnsi="Arial"/>
                <w:sz w:val="12"/>
                <w:szCs w:val="12"/>
                <w:b w:val="1"/>
                <w:bCs w:val="1"/>
                <w:color w:val="auto"/>
              </w:rPr>
              <w:t>2025</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2"/>
                <w:szCs w:val="12"/>
                <w:b w:val="1"/>
                <w:bCs w:val="1"/>
                <w:color w:val="auto"/>
              </w:rPr>
              <w:t>2024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67"/>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47"/>
              <w:spacing w:after="0" w:line="129"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55"/>
        </w:trPr>
        <w:tc>
          <w:tcPr>
            <w:tcW w:w="44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Adjusted EBITDA margin:</w:t>
            </w:r>
          </w:p>
        </w:tc>
        <w:tc>
          <w:tcPr>
            <w:tcW w:w="200" w:type="dxa"/>
            <w:vAlign w:val="bottom"/>
            <w:tcBorders>
              <w:top w:val="single" w:sz="8" w:color="CCEEFF"/>
            </w:tcBorders>
            <w:gridSpan w:val="2"/>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gridSpan w:val="3"/>
          </w:tcPr>
          <w:p>
            <w:pPr>
              <w:ind w:left="120"/>
              <w:spacing w:after="0"/>
              <w:rPr>
                <w:sz w:val="20"/>
                <w:szCs w:val="20"/>
                <w:color w:val="auto"/>
              </w:rPr>
            </w:pPr>
            <w:r>
              <w:rPr>
                <w:rFonts w:ascii="Arial" w:cs="Arial" w:eastAsia="Arial" w:hAnsi="Arial"/>
                <w:sz w:val="14"/>
                <w:szCs w:val="14"/>
                <w:color w:val="auto"/>
              </w:rPr>
              <w:t>Net income (loss) margin</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4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Other interest expense, net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4620" w:type="dxa"/>
            <w:vAlign w:val="bottom"/>
            <w:gridSpan w:val="3"/>
          </w:tcPr>
          <w:p>
            <w:pPr>
              <w:ind w:left="1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46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Income tax expense (benefit)</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5"/>
        </w:trPr>
        <w:tc>
          <w:tcPr>
            <w:tcW w:w="462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Subtotal EBITDA margin</w:t>
            </w: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Long-lived asset impairment (a)</w:t>
            </w:r>
          </w:p>
        </w:tc>
        <w:tc>
          <w:tcPr>
            <w:tcW w:w="16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4620" w:type="dxa"/>
            <w:vAlign w:val="bottom"/>
            <w:gridSpan w:val="3"/>
          </w:tcPr>
          <w:p>
            <w:pPr>
              <w:ind w:left="340"/>
              <w:spacing w:after="0"/>
              <w:rPr>
                <w:sz w:val="20"/>
                <w:szCs w:val="20"/>
                <w:color w:val="auto"/>
              </w:rPr>
            </w:pPr>
            <w:r>
              <w:rPr>
                <w:rFonts w:ascii="Arial" w:cs="Arial" w:eastAsia="Arial" w:hAnsi="Arial"/>
                <w:sz w:val="14"/>
                <w:szCs w:val="14"/>
                <w:color w:val="auto"/>
              </w:rPr>
              <w:t>Lease termination (b)</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Loss (gain) on sale or disposal of assets, net (c)</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4620" w:type="dxa"/>
            <w:vAlign w:val="bottom"/>
            <w:gridSpan w:val="3"/>
          </w:tcPr>
          <w:p>
            <w:pPr>
              <w:ind w:left="340"/>
              <w:spacing w:after="0"/>
              <w:rPr>
                <w:sz w:val="20"/>
                <w:szCs w:val="20"/>
                <w:color w:val="auto"/>
              </w:rPr>
            </w:pPr>
            <w:r>
              <w:rPr>
                <w:rFonts w:ascii="Arial" w:cs="Arial" w:eastAsia="Arial" w:hAnsi="Arial"/>
                <w:sz w:val="14"/>
                <w:szCs w:val="14"/>
                <w:color w:val="auto"/>
              </w:rPr>
              <w:t>SBC (d)</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462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Loss and/or impairment on investments in equity securities (e)</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5"/>
        </w:trPr>
        <w:tc>
          <w:tcPr>
            <w:tcW w:w="4620" w:type="dxa"/>
            <w:vAlign w:val="bottom"/>
            <w:gridSpan w:val="3"/>
          </w:tcPr>
          <w:p>
            <w:pPr>
              <w:ind w:left="440"/>
              <w:spacing w:after="0" w:line="155" w:lineRule="exact"/>
              <w:rPr>
                <w:sz w:val="20"/>
                <w:szCs w:val="20"/>
                <w:color w:val="auto"/>
              </w:rPr>
            </w:pPr>
            <w:r>
              <w:rPr>
                <w:rFonts w:ascii="Arial" w:cs="Arial" w:eastAsia="Arial" w:hAnsi="Arial"/>
                <w:sz w:val="14"/>
                <w:szCs w:val="14"/>
                <w:color w:val="auto"/>
              </w:rPr>
              <w:t>Adjusted EBITDA margin</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460" w:right="79" w:hanging="329"/>
        <w:spacing w:after="0" w:line="285" w:lineRule="auto"/>
        <w:tabs>
          <w:tab w:leader="none" w:pos="460" w:val="left"/>
        </w:tabs>
        <w:numPr>
          <w:ilvl w:val="0"/>
          <w:numId w:val="28"/>
        </w:numPr>
        <w:rPr>
          <w:rFonts w:ascii="Arial" w:cs="Arial" w:eastAsia="Arial" w:hAnsi="Arial"/>
          <w:sz w:val="14"/>
          <w:szCs w:val="14"/>
          <w:color w:val="231F20"/>
        </w:rPr>
      </w:pPr>
      <w:r>
        <w:rPr>
          <w:rFonts w:ascii="Arial" w:cs="Arial" w:eastAsia="Arial" w:hAnsi="Arial"/>
          <w:sz w:val="14"/>
          <w:szCs w:val="14"/>
          <w:color w:val="auto"/>
        </w:rPr>
        <w:t>Represents long-lived asset impairment charges related to the RV and Outdoor Retail segment. See Note 4 – Long-Lived Asset Impairment to our condensed consolidated financial statements included in Part I, Item 1 of this Form 10-Q for additional information.</w:t>
      </w:r>
    </w:p>
    <w:p>
      <w:pPr>
        <w:spacing w:after="0" w:line="2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28"/>
        </w:numPr>
        <w:rPr>
          <w:rFonts w:ascii="Arial" w:cs="Arial" w:eastAsia="Arial" w:hAnsi="Arial"/>
          <w:sz w:val="14"/>
          <w:szCs w:val="14"/>
          <w:color w:val="231F20"/>
        </w:rPr>
      </w:pPr>
      <w:r>
        <w:rPr>
          <w:rFonts w:ascii="Arial" w:cs="Arial" w:eastAsia="Arial" w:hAnsi="Arial"/>
          <w:sz w:val="14"/>
          <w:szCs w:val="14"/>
          <w:color w:val="auto"/>
        </w:rPr>
        <w:t>Represents the (gain) loss on termination of operating leases resulting from lease termination fees and the derecognition of the operating lease assets and liabilities.</w:t>
      </w:r>
    </w:p>
    <w:p>
      <w:pPr>
        <w:spacing w:after="0" w:line="9" w:lineRule="exact"/>
        <w:rPr>
          <w:rFonts w:ascii="Arial" w:cs="Arial" w:eastAsia="Arial" w:hAnsi="Arial"/>
          <w:sz w:val="14"/>
          <w:szCs w:val="14"/>
          <w:color w:val="231F20"/>
        </w:rPr>
      </w:pPr>
    </w:p>
    <w:p>
      <w:pPr>
        <w:ind w:left="460" w:hanging="329"/>
        <w:spacing w:after="0"/>
        <w:tabs>
          <w:tab w:leader="none" w:pos="460" w:val="left"/>
        </w:tabs>
        <w:numPr>
          <w:ilvl w:val="0"/>
          <w:numId w:val="28"/>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68" w:lineRule="exact"/>
        <w:rPr>
          <w:rFonts w:ascii="Arial" w:cs="Arial" w:eastAsia="Arial" w:hAnsi="Arial"/>
          <w:sz w:val="14"/>
          <w:szCs w:val="14"/>
          <w:color w:val="231F20"/>
        </w:rPr>
      </w:pPr>
    </w:p>
    <w:p>
      <w:pPr>
        <w:ind w:left="460" w:hanging="329"/>
        <w:spacing w:after="0"/>
        <w:tabs>
          <w:tab w:leader="none" w:pos="460" w:val="left"/>
        </w:tabs>
        <w:numPr>
          <w:ilvl w:val="0"/>
          <w:numId w:val="28"/>
        </w:numPr>
        <w:rPr>
          <w:rFonts w:ascii="Arial" w:cs="Arial" w:eastAsia="Arial" w:hAnsi="Arial"/>
          <w:sz w:val="14"/>
          <w:szCs w:val="14"/>
          <w:color w:val="231F20"/>
        </w:rPr>
      </w:pPr>
      <w:r>
        <w:rPr>
          <w:rFonts w:ascii="Arial" w:cs="Arial" w:eastAsia="Arial" w:hAnsi="Arial"/>
          <w:sz w:val="14"/>
          <w:szCs w:val="14"/>
          <w:color w:val="auto"/>
        </w:rPr>
        <w:t>Represents noncash SBC expense relating to employees, directors, and consultants of the Company.</w:t>
      </w:r>
    </w:p>
    <w:p>
      <w:pPr>
        <w:spacing w:after="0" w:line="8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28"/>
        </w:numPr>
        <w:rPr>
          <w:rFonts w:ascii="Arial" w:cs="Arial" w:eastAsia="Arial" w:hAnsi="Arial"/>
          <w:sz w:val="14"/>
          <w:szCs w:val="14"/>
          <w:color w:val="231F20"/>
        </w:rPr>
      </w:pPr>
      <w:r>
        <w:rPr>
          <w:rFonts w:ascii="Arial" w:cs="Arial" w:eastAsia="Arial" w:hAnsi="Arial"/>
          <w:sz w:val="14"/>
          <w:szCs w:val="14"/>
          <w:color w:val="auto"/>
        </w:rPr>
        <w:t>Represents losses and gains and impairment on investments in equity securities and interest income relating to any notes receivables with those investments.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8"/>
          <w:szCs w:val="18"/>
          <w:i w:val="1"/>
          <w:iCs w:val="1"/>
          <w:color w:val="auto"/>
        </w:rPr>
        <w:t>Adjusted Net Income (Loss) Attributable to Camping World Holdings, Inc. and Adjusted Earnings (Loss) Per Share</w:t>
      </w:r>
    </w:p>
    <w:p>
      <w:pPr>
        <w:spacing w:after="0" w:line="15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define “Adjusted Net Income (Loss) Attributable to Camping World Holdings, Inc. – Basic” as net income (loss) attributable to Camping World Holdings, Inc. adjusted for the impact of certain noncash and other items that we do not consider in our evaluation of ongoing operating performance. These items include, among other things, long-lived asset impairment, lease termination costs, gains and losses on sale or disposal of assets, net, SBC, loss and impairment on investments in equity securities, other unusual or one-time items, the income tax benefit effect of these adjustments, and the effect of net income (loss) attributable to non-controlling interests from these adjustments.</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define “Adjusted Net Income (Loss) Attributable to Camping World Holdings, Inc. – Diluted” as Adjusted Net Income (Loss) Attributable to Camping World Holdings, Inc. – Basic adjusted for the reallocation of net income (loss) attributable to non-controlling interests from stock options and restricted stock units, if dilutive, or the assumed redemption, if dilutive, of all outstanding common units in CWGS, LLC for shares of newly-issued Class A common stock of Camping World Holdings, Inc.</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define “Adjusted Earnings (Loss) Per Share – Basic” as Adjusted Net Income (Loss) Attributable to Camping World Holdings, Inc. - Basic divided by the weighted-average shares of Class A common stock outstanding. We define “Adjusted Earnings (Loss) Per Share – Diluted” as Adjusted Net Income (Loss) Attributable to Camping World Holdings, Inc. – Diluted divided by the weighted-average shares of Class A common stock outstanding, assuming (i) the redemption of all outstanding common units in CWGS, LLC for newly-issued shares of Class A common stock of Camping World Holdings, Inc., if dilutive, and (ii) the dilutive effect of stock options and restricted stock units, if any. We present Adjusted Net Income (Loss) Attributable to Camping World Holdings, Inc. – Basic, Adjusted Net Income (Loss) Attributable to Camping World Holdings, Inc. – Diluted, Adjusted Earnings (Loss) Per Share – Basic, and Adjusted Earnings (Loss)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Adjusted Net Income (Loss) Attributable to Camping World Holdings, Inc.</w:t>
      </w:r>
    </w:p>
    <w:p>
      <w:pPr>
        <w:spacing w:after="0" w:line="1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 Basic, Adjusted Net Income (Loss) Attributable to Camping World Holdings, Inc. – Diluted, Adjusted Earnings (Loss) Per Share – Basic, and Adjusted Earnings (Loss) Per Share – Diluted to the most directly comparable GAAP financial performance measure:</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860" w:type="dxa"/>
            <w:vAlign w:val="bottom"/>
            <w:gridSpan w:val="2"/>
            <w:vMerge w:val="restart"/>
          </w:tcPr>
          <w:p>
            <w:pPr>
              <w:ind w:left="20"/>
              <w:spacing w:after="0"/>
              <w:rPr>
                <w:sz w:val="20"/>
                <w:szCs w:val="20"/>
                <w:color w:val="auto"/>
              </w:rPr>
            </w:pPr>
            <w:r>
              <w:rPr>
                <w:rFonts w:ascii="Arial" w:cs="Arial" w:eastAsia="Arial" w:hAnsi="Arial"/>
                <w:sz w:val="11"/>
                <w:szCs w:val="11"/>
                <w:color w:val="auto"/>
              </w:rPr>
              <w:t>(In thousands except per share amounts)</w:t>
            </w:r>
          </w:p>
        </w:tc>
        <w:tc>
          <w:tcPr>
            <w:tcW w:w="120" w:type="dxa"/>
            <w:vAlign w:val="bottom"/>
          </w:tcPr>
          <w:p>
            <w:pPr>
              <w:spacing w:after="0"/>
              <w:rPr>
                <w:sz w:val="12"/>
                <w:szCs w:val="12"/>
                <w:color w:val="auto"/>
              </w:rPr>
            </w:pPr>
          </w:p>
        </w:tc>
        <w:tc>
          <w:tcPr>
            <w:tcW w:w="2000" w:type="dxa"/>
            <w:vAlign w:val="bottom"/>
            <w:gridSpan w:val="5"/>
          </w:tcPr>
          <w:p>
            <w:pPr>
              <w:ind w:left="20"/>
              <w:spacing w:after="0"/>
              <w:rPr>
                <w:sz w:val="20"/>
                <w:szCs w:val="20"/>
                <w:color w:val="auto"/>
              </w:rPr>
            </w:pPr>
            <w:r>
              <w:rPr>
                <w:rFonts w:ascii="Arial" w:cs="Arial" w:eastAsia="Arial" w:hAnsi="Arial"/>
                <w:sz w:val="12"/>
                <w:szCs w:val="12"/>
                <w:b w:val="1"/>
                <w:bCs w:val="1"/>
                <w:color w:val="auto"/>
              </w:rPr>
              <w:t>Three Months Ended June 30,</w:t>
            </w:r>
          </w:p>
        </w:tc>
        <w:tc>
          <w:tcPr>
            <w:tcW w:w="160" w:type="dxa"/>
            <w:vAlign w:val="bottom"/>
          </w:tcPr>
          <w:p>
            <w:pPr>
              <w:spacing w:after="0"/>
              <w:rPr>
                <w:sz w:val="12"/>
                <w:szCs w:val="12"/>
                <w:color w:val="auto"/>
              </w:rPr>
            </w:pPr>
          </w:p>
        </w:tc>
        <w:tc>
          <w:tcPr>
            <w:tcW w:w="1780" w:type="dxa"/>
            <w:vAlign w:val="bottom"/>
            <w:gridSpan w:val="5"/>
          </w:tcPr>
          <w:p>
            <w:pPr>
              <w:jc w:val="right"/>
              <w:ind w:right="220"/>
              <w:spacing w:after="0"/>
              <w:rPr>
                <w:sz w:val="20"/>
                <w:szCs w:val="20"/>
                <w:color w:val="auto"/>
              </w:rPr>
            </w:pPr>
            <w:r>
              <w:rPr>
                <w:rFonts w:ascii="Arial" w:cs="Arial" w:eastAsia="Arial" w:hAnsi="Arial"/>
                <w:sz w:val="12"/>
                <w:szCs w:val="12"/>
                <w:b w:val="1"/>
                <w:bCs w:val="1"/>
                <w:color w:val="auto"/>
                <w:w w:val="99"/>
              </w:rPr>
              <w:t>Six Months Ended June 30,</w:t>
            </w:r>
          </w:p>
        </w:tc>
        <w:tc>
          <w:tcPr>
            <w:tcW w:w="0" w:type="dxa"/>
            <w:vAlign w:val="bottom"/>
          </w:tcPr>
          <w:p>
            <w:pPr>
              <w:spacing w:after="0"/>
              <w:rPr>
                <w:sz w:val="1"/>
                <w:szCs w:val="1"/>
                <w:color w:val="auto"/>
              </w:rPr>
            </w:pPr>
          </w:p>
        </w:tc>
      </w:tr>
      <w:tr>
        <w:trPr>
          <w:trHeight w:val="129"/>
        </w:trPr>
        <w:tc>
          <w:tcPr>
            <w:tcW w:w="486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229"/>
              <w:spacing w:after="0" w:line="129" w:lineRule="exact"/>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7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120"/>
              <w:spacing w:after="0"/>
              <w:rPr>
                <w:sz w:val="20"/>
                <w:szCs w:val="20"/>
                <w:color w:val="auto"/>
              </w:rPr>
            </w:pPr>
            <w:r>
              <w:rPr>
                <w:rFonts w:ascii="Arial" w:cs="Arial" w:eastAsia="Arial" w:hAnsi="Arial"/>
                <w:sz w:val="14"/>
                <w:szCs w:val="14"/>
                <w:color w:val="auto"/>
              </w:rPr>
              <w:t>Net income (loss) attributable to Camping World Holdings, Inc.</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30,216</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9,771</w:t>
            </w: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17,936</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(12,536)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basic calculation:</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 (a):</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(607)</w:t>
            </w:r>
          </w:p>
        </w:tc>
        <w:tc>
          <w:tcPr>
            <w:tcW w:w="1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Lease termination (c):</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benefit (expense) for above adjustment (b)</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Loss (gain) on sale or disposal of assets (d):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(638)</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340"/>
              <w:spacing w:after="0"/>
              <w:rPr>
                <w:sz w:val="20"/>
                <w:szCs w:val="20"/>
                <w:color w:val="auto"/>
              </w:rPr>
            </w:pPr>
            <w:r>
              <w:rPr>
                <w:rFonts w:ascii="Arial" w:cs="Arial" w:eastAsia="Arial" w:hAnsi="Arial"/>
                <w:sz w:val="14"/>
                <w:szCs w:val="14"/>
                <w:color w:val="auto"/>
              </w:rPr>
              <w:t>Income tax (expense) benefit for above adjustment (b)</w:t>
            </w: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(180)</w:t>
            </w:r>
          </w:p>
        </w:tc>
        <w:tc>
          <w:tcPr>
            <w:tcW w:w="2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(1,052)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SBC (e):</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8,444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5,397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15,714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(1,290)</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(722)</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(2,404)</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Loss and/or impairment on investments in equity securities (f):</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(397)</w:t>
            </w:r>
          </w:p>
        </w:tc>
        <w:tc>
          <w:tcPr>
            <w:tcW w:w="2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(421)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6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Adjustment to net income (loss) attributable to non-controlling interests</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resulting from the above adjustments (g)</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(4,719)</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(8,481)</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(7,139)</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6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Adjusted net income (loss) attributable to Camping World Holdings,</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60" w:type="dxa"/>
            <w:vAlign w:val="bottom"/>
            <w:gridSpan w:val="2"/>
          </w:tcPr>
          <w:p>
            <w:pPr>
              <w:ind w:left="340"/>
              <w:spacing w:after="0"/>
              <w:rPr>
                <w:sz w:val="20"/>
                <w:szCs w:val="20"/>
                <w:color w:val="auto"/>
              </w:rPr>
            </w:pPr>
            <w:r>
              <w:rPr>
                <w:rFonts w:ascii="Arial" w:cs="Arial" w:eastAsia="Arial" w:hAnsi="Arial"/>
                <w:sz w:val="14"/>
                <w:szCs w:val="14"/>
                <w:color w:val="auto"/>
              </w:rPr>
              <w:t>Inc. – basic</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35,768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16,940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26,337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6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Reallocation  of  net  income  (loss)  attributable  to  non-controlling</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interests from the dilutive effect of stock options and restricted stock</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units (h)</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3"/>
        </w:trPr>
        <w:tc>
          <w:tcPr>
            <w:tcW w:w="486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Income tax on reallocation of net income (loss) attributable to non-</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controlling interests from the dilutive effect of stock options and</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restricted stock units (i)</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6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Reallocation  of  net  income  (loss)  attributable  to  non-controlling</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interests from the dilutive redemption of common units in CWGS, LLC</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(h)</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22,043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86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Income tax on reallocation of net income (loss) attributable to non-</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controlling interests from the dilutive redemption of common units in</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CWGS, LLC (i)</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(5,637)</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6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Adjusted net income (loss) attributable to Camping World Holdings,</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60" w:type="dxa"/>
            <w:vAlign w:val="bottom"/>
            <w:gridSpan w:val="2"/>
          </w:tcPr>
          <w:p>
            <w:pPr>
              <w:ind w:left="340"/>
              <w:spacing w:after="0"/>
              <w:rPr>
                <w:sz w:val="20"/>
                <w:szCs w:val="20"/>
                <w:color w:val="auto"/>
              </w:rPr>
            </w:pPr>
            <w:r>
              <w:rPr>
                <w:rFonts w:ascii="Arial" w:cs="Arial" w:eastAsia="Arial" w:hAnsi="Arial"/>
                <w:sz w:val="14"/>
                <w:szCs w:val="14"/>
                <w:color w:val="auto"/>
              </w:rPr>
              <w:t>Inc. – diluted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35,800</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16,970</w:t>
            </w: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42,743</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55"/>
        </w:trPr>
        <w:tc>
          <w:tcPr>
            <w:tcW w:w="486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Denominator:</w:t>
            </w: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120"/>
              <w:spacing w:after="0"/>
              <w:rPr>
                <w:sz w:val="20"/>
                <w:szCs w:val="20"/>
                <w:color w:val="auto"/>
              </w:rPr>
            </w:pPr>
            <w:r>
              <w:rPr>
                <w:rFonts w:ascii="Arial" w:cs="Arial" w:eastAsia="Arial" w:hAnsi="Arial"/>
                <w:sz w:val="14"/>
                <w:szCs w:val="14"/>
                <w:color w:val="auto"/>
              </w:rPr>
              <w:t>Weighted-average Class A common shares outstanding – basic</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62,610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45,093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62,571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6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Dilutive redemption of common units in CWGS, LLC for shares of</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Class A common stock (j)</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39,895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options to purchase Class A common stock (j)</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Dilutive restricted stock units (j)</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6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rPr>
              <w:t>Adjusted weighted average Class A common shares outstanding –</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62,747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45,244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102,661</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earnings (loss) per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Adjusted earnings (loss) per share - diluted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0.57</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0.38</w:t>
            </w: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0.42</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Anti-dilutive amounts (k):</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Numerator:</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6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Reallocation  of  net  income  (loss)  attributable  to  non-controlling</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interests from the anti-dilutive redemption of common units in CWGS,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tcPr>
          <w:p>
            <w:pPr>
              <w:ind w:left="220"/>
              <w:spacing w:after="0"/>
              <w:rPr>
                <w:sz w:val="20"/>
                <w:szCs w:val="20"/>
                <w:color w:val="auto"/>
              </w:rPr>
            </w:pPr>
            <w:r>
              <w:rPr>
                <w:rFonts w:ascii="Arial" w:cs="Arial" w:eastAsia="Arial" w:hAnsi="Arial"/>
                <w:sz w:val="14"/>
                <w:szCs w:val="14"/>
                <w:color w:val="auto"/>
              </w:rPr>
              <w:t>LLC (h)</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31,983</w:t>
            </w:r>
          </w:p>
        </w:tc>
        <w:tc>
          <w:tcPr>
            <w:tcW w:w="2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22,085</w:t>
            </w: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53"/>
        </w:trPr>
        <w:tc>
          <w:tcPr>
            <w:tcW w:w="486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Income tax on reallocation of net income (loss) attributable to non-</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controlling interests from the anti-dilutive redemption of common units</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 CWGS, LLC (i)</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(8,236)</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(5,126)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Denominator:</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6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Anti-dilutive redemption of common units in CWGS, LLC for shares of</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Class A common stock (j)</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860" w:type="dxa"/>
            <w:vAlign w:val="bottom"/>
            <w:gridSpan w:val="2"/>
            <w:vMerge w:val="restart"/>
          </w:tcPr>
          <w:p>
            <w:pPr>
              <w:ind w:left="20"/>
              <w:spacing w:after="0"/>
              <w:rPr>
                <w:sz w:val="20"/>
                <w:szCs w:val="20"/>
                <w:color w:val="auto"/>
              </w:rPr>
            </w:pPr>
            <w:r>
              <w:rPr>
                <w:rFonts w:ascii="Arial" w:cs="Arial" w:eastAsia="Arial" w:hAnsi="Arial"/>
                <w:sz w:val="11"/>
                <w:szCs w:val="11"/>
                <w:color w:val="auto"/>
              </w:rPr>
              <w:t>(In thousands except per share amounts)</w:t>
            </w:r>
          </w:p>
        </w:tc>
        <w:tc>
          <w:tcPr>
            <w:tcW w:w="120" w:type="dxa"/>
            <w:vAlign w:val="bottom"/>
          </w:tcPr>
          <w:p>
            <w:pPr>
              <w:spacing w:after="0"/>
              <w:rPr>
                <w:sz w:val="12"/>
                <w:szCs w:val="12"/>
                <w:color w:val="auto"/>
              </w:rPr>
            </w:pPr>
          </w:p>
        </w:tc>
        <w:tc>
          <w:tcPr>
            <w:tcW w:w="2000" w:type="dxa"/>
            <w:vAlign w:val="bottom"/>
            <w:gridSpan w:val="5"/>
          </w:tcPr>
          <w:p>
            <w:pPr>
              <w:ind w:left="20"/>
              <w:spacing w:after="0"/>
              <w:rPr>
                <w:sz w:val="20"/>
                <w:szCs w:val="20"/>
                <w:color w:val="auto"/>
              </w:rPr>
            </w:pPr>
            <w:r>
              <w:rPr>
                <w:rFonts w:ascii="Arial" w:cs="Arial" w:eastAsia="Arial" w:hAnsi="Arial"/>
                <w:sz w:val="12"/>
                <w:szCs w:val="12"/>
                <w:b w:val="1"/>
                <w:bCs w:val="1"/>
                <w:color w:val="auto"/>
              </w:rPr>
              <w:t>Three Months Ended June 30,</w:t>
            </w:r>
          </w:p>
        </w:tc>
        <w:tc>
          <w:tcPr>
            <w:tcW w:w="140" w:type="dxa"/>
            <w:vAlign w:val="bottom"/>
          </w:tcPr>
          <w:p>
            <w:pPr>
              <w:spacing w:after="0"/>
              <w:rPr>
                <w:sz w:val="12"/>
                <w:szCs w:val="12"/>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29"/>
        </w:trPr>
        <w:tc>
          <w:tcPr>
            <w:tcW w:w="486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31"/>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30"/>
              <w:spacing w:after="0" w:line="129" w:lineRule="exact"/>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1"/>
              <w:spacing w:after="0" w:line="129" w:lineRule="exact"/>
              <w:rPr>
                <w:sz w:val="20"/>
                <w:szCs w:val="20"/>
                <w:color w:val="auto"/>
              </w:rPr>
            </w:pPr>
            <w:r>
              <w:rPr>
                <w:rFonts w:ascii="Arial" w:cs="Arial" w:eastAsia="Arial" w:hAnsi="Arial"/>
                <w:sz w:val="12"/>
                <w:szCs w:val="12"/>
                <w:b w:val="1"/>
                <w:bCs w:val="1"/>
                <w:color w:val="auto"/>
              </w:rPr>
              <w:t>2025</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230"/>
              <w:spacing w:after="0" w:line="129" w:lineRule="exact"/>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7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Reconciliation of per share amounts:</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120"/>
              <w:spacing w:after="0"/>
              <w:rPr>
                <w:sz w:val="20"/>
                <w:szCs w:val="20"/>
                <w:color w:val="auto"/>
              </w:rPr>
            </w:pPr>
            <w:r>
              <w:rPr>
                <w:rFonts w:ascii="Arial" w:cs="Arial" w:eastAsia="Arial" w:hAnsi="Arial"/>
                <w:sz w:val="14"/>
                <w:szCs w:val="14"/>
                <w:color w:val="auto"/>
              </w:rPr>
              <w:t>Earnings (loss) per share of Class A common stock — basic</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0.48</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0.22</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0.29</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Non-GAAP Adjustments (l)</w:t>
            </w: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6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Adjusted earnings (loss) per share - basic</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0.57</w:t>
            </w:r>
          </w:p>
        </w:tc>
        <w:tc>
          <w:tcPr>
            <w:tcW w:w="20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0.38</w:t>
            </w:r>
          </w:p>
        </w:tc>
        <w:tc>
          <w:tcPr>
            <w:tcW w:w="20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0.42</w:t>
            </w:r>
          </w:p>
        </w:tc>
        <w:tc>
          <w:tcPr>
            <w:tcW w:w="200" w:type="dxa"/>
            <w:vAlign w:val="bottom"/>
          </w:tcPr>
          <w:p>
            <w:pPr>
              <w:spacing w:after="0"/>
              <w:rPr>
                <w:sz w:val="13"/>
                <w:szCs w:val="13"/>
                <w:color w:val="auto"/>
              </w:rPr>
            </w:pP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(0.01)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tcPr>
          <w:p>
            <w:pPr>
              <w:ind w:left="120"/>
              <w:spacing w:after="0"/>
              <w:rPr>
                <w:sz w:val="20"/>
                <w:szCs w:val="20"/>
                <w:color w:val="auto"/>
              </w:rPr>
            </w:pPr>
            <w:r>
              <w:rPr>
                <w:rFonts w:ascii="Arial" w:cs="Arial" w:eastAsia="Arial" w:hAnsi="Arial"/>
                <w:sz w:val="14"/>
                <w:szCs w:val="14"/>
                <w:color w:val="auto"/>
              </w:rPr>
              <w:t>Earnings (loss) per share of Class A common stock — diluted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0.48</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0.22</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0.28</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(0.28)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Non-GAAP Adjustments (l)</w:t>
            </w: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gridSpan w:val="2"/>
          </w:tcPr>
          <w:p>
            <w:pPr>
              <w:ind w:left="340"/>
              <w:spacing w:after="0"/>
              <w:rPr>
                <w:sz w:val="20"/>
                <w:szCs w:val="20"/>
                <w:color w:val="auto"/>
              </w:rPr>
            </w:pPr>
            <w:r>
              <w:rPr>
                <w:rFonts w:ascii="Arial" w:cs="Arial" w:eastAsia="Arial" w:hAnsi="Arial"/>
                <w:sz w:val="14"/>
                <w:szCs w:val="14"/>
                <w:color w:val="auto"/>
              </w:rPr>
              <w:t>Adjusted earnings (loss) per share - diluted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0.57</w:t>
            </w:r>
          </w:p>
        </w:tc>
        <w:tc>
          <w:tcPr>
            <w:tcW w:w="2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0.38</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0.42</w:t>
            </w:r>
          </w:p>
        </w:tc>
        <w:tc>
          <w:tcPr>
            <w:tcW w:w="2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460" w:right="479" w:hanging="329"/>
        <w:spacing w:after="0" w:line="325" w:lineRule="auto"/>
        <w:tabs>
          <w:tab w:leader="none" w:pos="460" w:val="left"/>
        </w:tabs>
        <w:numPr>
          <w:ilvl w:val="0"/>
          <w:numId w:val="30"/>
        </w:numPr>
        <w:rPr>
          <w:rFonts w:ascii="Arial" w:cs="Arial" w:eastAsia="Arial" w:hAnsi="Arial"/>
          <w:sz w:val="13"/>
          <w:szCs w:val="13"/>
          <w:color w:val="231F20"/>
        </w:rPr>
      </w:pPr>
      <w:r>
        <w:rPr>
          <w:rFonts w:ascii="Arial" w:cs="Arial" w:eastAsia="Arial" w:hAnsi="Arial"/>
          <w:sz w:val="13"/>
          <w:szCs w:val="13"/>
          <w:color w:val="auto"/>
        </w:rPr>
        <w:t>Represents long-lived asset impairment charges related to the RV and Outdoor Retail segment. See Note 4 – Long-Lived Asset Impairment to our condensed consolidated financial statements included in Part I, Item 1 of this Form 10-Q for additional information.</w:t>
      </w:r>
    </w:p>
    <w:p>
      <w:pPr>
        <w:jc w:val="both"/>
        <w:ind w:left="460" w:right="79" w:hanging="329"/>
        <w:spacing w:after="0" w:line="263"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current and deferred income tax expense or benefit effect of the above adjustments. This assumption uses a blended statutory tax rate of 25.0% for the adjustments for the 2025 and 2024 periods, which represent the estimated tax rates that would apply had the above adjustments been included in the determination of our non-GAAP metric.</w:t>
      </w:r>
    </w:p>
    <w:p>
      <w:pPr>
        <w:spacing w:after="0" w:line="24"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(gain) loss on termination of operating leases resulting from lease termination fees and the derecognition of the operating lease assets and liabilities.</w:t>
      </w:r>
    </w:p>
    <w:p>
      <w:pPr>
        <w:spacing w:after="0" w:line="9" w:lineRule="exact"/>
        <w:rPr>
          <w:rFonts w:ascii="Arial" w:cs="Arial" w:eastAsia="Arial" w:hAnsi="Arial"/>
          <w:sz w:val="14"/>
          <w:szCs w:val="14"/>
          <w:color w:val="231F20"/>
        </w:rPr>
      </w:pPr>
    </w:p>
    <w:p>
      <w:pPr>
        <w:ind w:left="460" w:hanging="329"/>
        <w:spacing w:after="0"/>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82" w:lineRule="exact"/>
        <w:rPr>
          <w:rFonts w:ascii="Arial" w:cs="Arial" w:eastAsia="Arial" w:hAnsi="Arial"/>
          <w:sz w:val="14"/>
          <w:szCs w:val="14"/>
          <w:color w:val="231F20"/>
        </w:rPr>
      </w:pPr>
    </w:p>
    <w:p>
      <w:pPr>
        <w:ind w:left="460" w:hanging="329"/>
        <w:spacing w:after="0"/>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noncash SBC expense relating to employees, directors, and consultants of the Company.</w:t>
      </w:r>
    </w:p>
    <w:p>
      <w:pPr>
        <w:spacing w:after="0" w:line="68"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losses and/or impairment on investments in equity securities and interest income relating to any notes receivables with those investments.</w:t>
      </w:r>
    </w:p>
    <w:p>
      <w:pPr>
        <w:spacing w:after="0" w:line="9" w:lineRule="exact"/>
        <w:rPr>
          <w:rFonts w:ascii="Arial" w:cs="Arial" w:eastAsia="Arial" w:hAnsi="Arial"/>
          <w:sz w:val="14"/>
          <w:szCs w:val="14"/>
          <w:color w:val="231F20"/>
        </w:rPr>
      </w:pPr>
    </w:p>
    <w:p>
      <w:pPr>
        <w:jc w:val="both"/>
        <w:ind w:left="460" w:right="79" w:hanging="329"/>
        <w:spacing w:after="0" w:line="256"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adjustment to net income (loss) attributable to non-controlling interests resulting from the above adjustments that impact the net income (loss) of CWGS, LLC. This adjustment uses the non-controlling interest’s weighted average ownership of CWGS, LLC of 38.9% and 47.0% for the three months ended June 30, 2025 and 2024, respectively, and 38.9% and 47.0% for the six months ended June 30, 2025 and 2024, respectively.</w:t>
      </w:r>
    </w:p>
    <w:p>
      <w:pPr>
        <w:spacing w:after="0" w:line="42"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reallocation of net income (loss) attributable to non-controlling interests from the impact of the assumed change in ownership of CWGS, LLC from stock options, restricted stock units, and/or common units of CWGS, LLC.</w:t>
      </w:r>
    </w:p>
    <w:p>
      <w:pPr>
        <w:spacing w:after="0" w:line="9"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income tax expense effect of the above adjustment for reallocation of net income (loss) attributable to non-controlling interests. This assumption uses a blended statutory tax rate of 25.0% for the adjustments for the 2025 and 2024 periods.</w:t>
      </w:r>
    </w:p>
    <w:p>
      <w:pPr>
        <w:spacing w:after="0" w:line="9" w:lineRule="exact"/>
        <w:rPr>
          <w:rFonts w:ascii="Arial" w:cs="Arial" w:eastAsia="Arial" w:hAnsi="Arial"/>
          <w:sz w:val="14"/>
          <w:szCs w:val="14"/>
          <w:color w:val="231F20"/>
        </w:rPr>
      </w:pPr>
    </w:p>
    <w:p>
      <w:pPr>
        <w:ind w:left="460" w:hanging="329"/>
        <w:spacing w:after="0"/>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impact to the denominator for stock options, restricted stock units, and/or common units of CWGS, LLC.</w:t>
      </w:r>
    </w:p>
    <w:p>
      <w:pPr>
        <w:spacing w:after="0" w:line="82" w:lineRule="exact"/>
        <w:rPr>
          <w:rFonts w:ascii="Arial" w:cs="Arial" w:eastAsia="Arial" w:hAnsi="Arial"/>
          <w:sz w:val="14"/>
          <w:szCs w:val="14"/>
          <w:color w:val="231F20"/>
        </w:rPr>
      </w:pPr>
    </w:p>
    <w:p>
      <w:pPr>
        <w:ind w:left="460" w:right="119" w:hanging="329"/>
        <w:spacing w:after="0" w:line="252" w:lineRule="auto"/>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The below amounts have not been considered in our adjusted earnings (loss) per share – diluted amounts as the effect of these items are anti-dilutive. Additionally, 750,000 performance stock units granted in January 2025 were excluded from the calculation of our adjusted earnings (loss) per share– diluted, since they represent contingently issuable shares for which all of the necessary conditions had not been satisfied (see Note 16 — Stock-Based Compensation Plans to our condensed consolidated financial statements included in Part I, Item 1 of this Form 10-Q).</w:t>
      </w:r>
    </w:p>
    <w:p>
      <w:pPr>
        <w:spacing w:after="0" w:line="32" w:lineRule="exact"/>
        <w:rPr>
          <w:rFonts w:ascii="Arial" w:cs="Arial" w:eastAsia="Arial" w:hAnsi="Arial"/>
          <w:sz w:val="14"/>
          <w:szCs w:val="14"/>
          <w:color w:val="231F20"/>
        </w:rPr>
      </w:pPr>
    </w:p>
    <w:p>
      <w:pPr>
        <w:ind w:left="460" w:hanging="329"/>
        <w:spacing w:after="0"/>
        <w:tabs>
          <w:tab w:leader="none" w:pos="460" w:val="left"/>
        </w:tabs>
        <w:numPr>
          <w:ilvl w:val="0"/>
          <w:numId w:val="30"/>
        </w:numPr>
        <w:rPr>
          <w:rFonts w:ascii="Arial" w:cs="Arial" w:eastAsia="Arial" w:hAnsi="Arial"/>
          <w:sz w:val="14"/>
          <w:szCs w:val="14"/>
          <w:color w:val="231F20"/>
        </w:rPr>
      </w:pPr>
      <w:r>
        <w:rPr>
          <w:rFonts w:ascii="Arial" w:cs="Arial" w:eastAsia="Arial" w:hAnsi="Arial"/>
          <w:sz w:val="14"/>
          <w:szCs w:val="14"/>
          <w:color w:val="auto"/>
        </w:rPr>
        <w:t>Represents the per share impact of the Non-GAAP adjustments to net income (loss) detailed above (see (a) through (g) above).</w:t>
      </w: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SG&amp;A Excluding SBC</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define “SG&amp;A Excluding SBC” as SG&amp;A before SBC relating to SG&amp;A. We caution investors that amounts presented in accordance with our definition of SG&amp;A Excluding SBC may not be comparable to similar measures disclosed by our competitors, because not all companies and analysts calculate SG&amp;A Excluding SBC in the same manner. We present SG&amp;A Excluding SBC because we believe that investors’ understanding of our performance and drivers of our other Non-GAAP Financial Measures, such as Adjusted EBITDA, is enhanced by including this Non-GAAP Financial Measure. We believe it provides a reasonable basis for comparing our ongoing results of operations.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reconciles SG&amp;A Excluding SBC to the most directly comparable GAAP financial performance measure: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4380" w:type="dxa"/>
            <w:vAlign w:val="bottom"/>
            <w:gridSpan w:val="2"/>
            <w:vMerge w:val="restart"/>
          </w:tcPr>
          <w:p>
            <w:pPr>
              <w:ind w:left="20"/>
              <w:spacing w:after="0"/>
              <w:rPr>
                <w:sz w:val="20"/>
                <w:szCs w:val="20"/>
                <w:color w:val="auto"/>
              </w:rPr>
            </w:pPr>
            <w:r>
              <w:rPr>
                <w:rFonts w:ascii="Arial" w:cs="Arial" w:eastAsia="Arial" w:hAnsi="Arial"/>
                <w:sz w:val="11"/>
                <w:szCs w:val="11"/>
                <w:color w:val="auto"/>
              </w:rPr>
              <w:t>($ in thousands)</w:t>
            </w:r>
          </w:p>
        </w:tc>
        <w:tc>
          <w:tcPr>
            <w:tcW w:w="160" w:type="dxa"/>
            <w:vAlign w:val="bottom"/>
          </w:tcPr>
          <w:p>
            <w:pPr>
              <w:spacing w:after="0"/>
              <w:rPr>
                <w:sz w:val="12"/>
                <w:szCs w:val="12"/>
                <w:color w:val="auto"/>
              </w:rPr>
            </w:pPr>
          </w:p>
        </w:tc>
        <w:tc>
          <w:tcPr>
            <w:tcW w:w="220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Three Months Ended June 30,</w:t>
            </w:r>
          </w:p>
        </w:tc>
        <w:tc>
          <w:tcPr>
            <w:tcW w:w="220" w:type="dxa"/>
            <w:vAlign w:val="bottom"/>
          </w:tcPr>
          <w:p>
            <w:pPr>
              <w:spacing w:after="0"/>
              <w:rPr>
                <w:sz w:val="12"/>
                <w:szCs w:val="12"/>
                <w:color w:val="auto"/>
              </w:rPr>
            </w:pPr>
          </w:p>
        </w:tc>
        <w:tc>
          <w:tcPr>
            <w:tcW w:w="1940" w:type="dxa"/>
            <w:vAlign w:val="bottom"/>
            <w:gridSpan w:val="4"/>
          </w:tcPr>
          <w:p>
            <w:pPr>
              <w:jc w:val="right"/>
              <w:ind w:right="251"/>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29"/>
        </w:trPr>
        <w:tc>
          <w:tcPr>
            <w:tcW w:w="438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73"/>
              <w:spacing w:after="0" w:line="129"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71"/>
              <w:spacing w:after="0" w:line="129" w:lineRule="exact"/>
              <w:rPr>
                <w:sz w:val="20"/>
                <w:szCs w:val="20"/>
                <w:color w:val="auto"/>
              </w:rPr>
            </w:pPr>
            <w:r>
              <w:rPr>
                <w:rFonts w:ascii="Arial" w:cs="Arial" w:eastAsia="Arial" w:hAnsi="Arial"/>
                <w:sz w:val="12"/>
                <w:szCs w:val="12"/>
                <w:b w:val="1"/>
                <w:bCs w:val="1"/>
                <w:color w:val="auto"/>
              </w:rPr>
              <w:t>2024</w:t>
            </w: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93"/>
              <w:spacing w:after="0" w:line="129" w:lineRule="exact"/>
              <w:rPr>
                <w:sz w:val="20"/>
                <w:szCs w:val="20"/>
                <w:color w:val="auto"/>
              </w:rPr>
            </w:pPr>
            <w:r>
              <w:rPr>
                <w:rFonts w:ascii="Arial" w:cs="Arial" w:eastAsia="Arial" w:hAnsi="Arial"/>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71"/>
              <w:spacing w:after="0" w:line="129" w:lineRule="exact"/>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83"/>
        </w:trPr>
        <w:tc>
          <w:tcPr>
            <w:tcW w:w="41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SG&amp;A Excluding SBC:</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80" w:type="dxa"/>
            <w:vAlign w:val="bottom"/>
            <w:gridSpan w:val="2"/>
          </w:tcPr>
          <w:p>
            <w:pPr>
              <w:ind w:left="120"/>
              <w:spacing w:after="0"/>
              <w:rPr>
                <w:sz w:val="20"/>
                <w:szCs w:val="20"/>
                <w:color w:val="auto"/>
              </w:rPr>
            </w:pPr>
            <w:r>
              <w:rPr>
                <w:rFonts w:ascii="Arial" w:cs="Arial" w:eastAsia="Arial" w:hAnsi="Arial"/>
                <w:sz w:val="16"/>
                <w:szCs w:val="16"/>
                <w:color w:val="auto"/>
              </w:rPr>
              <w:t>SG&amp;A</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437,489</w:t>
            </w:r>
          </w:p>
        </w:tc>
        <w:tc>
          <w:tcPr>
            <w:tcW w:w="22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419,676</w:t>
            </w:r>
          </w:p>
        </w:tc>
        <w:tc>
          <w:tcPr>
            <w:tcW w:w="220" w:type="dxa"/>
            <w:vAlign w:val="bottom"/>
          </w:tcPr>
          <w:p>
            <w:pPr>
              <w:spacing w:after="0"/>
              <w:rPr>
                <w:sz w:val="16"/>
                <w:szCs w:val="16"/>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824,934</w:t>
            </w:r>
          </w:p>
        </w:tc>
        <w:tc>
          <w:tcPr>
            <w:tcW w:w="220" w:type="dxa"/>
            <w:vAlign w:val="bottom"/>
          </w:tcPr>
          <w:p>
            <w:pPr>
              <w:spacing w:after="0"/>
              <w:rPr>
                <w:sz w:val="16"/>
                <w:szCs w:val="16"/>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791,149</w:t>
            </w: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SBC - SG&amp;A</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(8,344)</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(5,308)</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(15,489)</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CCEEFF"/>
            </w:tcBorders>
            <w:gridSpan w:val="2"/>
          </w:tcPr>
          <w:p>
            <w:pPr>
              <w:ind w:left="340"/>
              <w:spacing w:after="0" w:line="155" w:lineRule="exact"/>
              <w:rPr>
                <w:sz w:val="20"/>
                <w:szCs w:val="20"/>
                <w:color w:val="auto"/>
              </w:rPr>
            </w:pPr>
            <w:r>
              <w:rPr>
                <w:rFonts w:ascii="Arial" w:cs="Arial" w:eastAsia="Arial" w:hAnsi="Arial"/>
                <w:sz w:val="16"/>
                <w:szCs w:val="16"/>
                <w:color w:val="auto"/>
              </w:rPr>
              <w:t>SG&amp;A Excluding SBC:</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429,145</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414,368</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809,445</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780,736</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6"/>
                <w:szCs w:val="16"/>
                <w:color w:val="auto"/>
              </w:rPr>
              <w:t>As a percentage of gross profit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72.5%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75.7%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79.2%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primary requirements for liquidity and capital have been working capital, inventory management, acquiring and building new store locations, the improvement and expansion of existing store locations, debt service, distributions/dividends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 Item 1 of this Form 10-Q), borrowings under our Floor Plan Facility (as defined in Part I, Item 1 of this Form 10-Q), and borrowings under our Real Estate Facilities (as defined in Part I, Item 1 of this Form 10-Q).</w:t>
      </w:r>
    </w:p>
    <w:p>
      <w:pPr>
        <w:spacing w:after="0" w:line="18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additional liquidity needs are expected to include public company costs, payment of cash dividends, any exercise of the redemption right by the Continuing Equity Owners from time to time (should we elect to redeem common units for a cash payment), our stock repurchase program as described below, payments under the Tax Receivable Agreement, and state and federal taxes to the extent not reduced as a result of the tax deductions generated by (i) payments under the Tax Receivable Agreement and (ii) redemptions of common units by the Continuing Equity Owners.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will be significant.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For a discussion of the Tax Receivable Agreement, see Note 13 — Income Taxes to our condensed consolidated financial statements included in Part I, Item 1 of this Form 10-Q.</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5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three months ended June 30, 2025, we did not repurchase Class A common stock under our stock repurchase program, which expires on December 31, 2025. As of June 30, 2025, $120.2 million was available under the stock repurchase program to repurchase additional shares of our Class A common stock.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Since December 2016, we have paid our quarterly cash dividend to holders of Class A common stock. Since September 2023, the quarterly cash dividend has been $0.125 per share of Class A common stock, and we paid $7.8 million, in the aggregate, for dividends for the second quarter of 2025. This dividend was funded entirely from the Excess Tax Distribution (as defined under “Dividend Policy” included in Part II, Item 5 of our Annual Report), with no portion funded by other common unit cash distributions from CWGS, LLC. Since CWGS, LLC has not funded these recent quarterly cash dividends with dividend distributions outside of required tax distributions, we believe that this will help us utilize our capital to pay down debt, engage in other deleveraging activities, and continue to execute our expansion plans through accretive RV dealership acquisitions.</w:t>
      </w:r>
    </w:p>
    <w:p>
      <w:pPr>
        <w:spacing w:after="0" w:line="18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Our dividend policy has certain risks and limitations particularly with respect to liquidity, and we may not pay future dividends according to our policy, or at all. See “Dividend Policy” included in Part II, Item 5 of our Annual Report and “Risk Factors ─ Risks Relating to Ownership of Our Class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 Common Stock ─ Our ability to pay regular and special dividends on our Class A common stock is subject to the discretion of our Board of Directors and may be limited by our structure and statutory restrictions” included in Part I, Item 1A of our Annual Report.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Acquisitions and Capital Expenditures</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During the six months ended June 30, 2025, the RV and Outdoor Retail segment purchased real property for an aggregate purchase price of $72.4 million.</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Over the next twelve months, our expansion of existing and new dealerships through construction and acquisition is expected to cost between $60.0 million and $77.0 million from a combination of business acquisitions and capital expenditures relating to land, buildings, and improvements. These cost estimates exclude amounts for acquired inventories, which are primarily financed through our Floor Plan Facility. Additionally, the cost estimates do not consider potential funding received through sale leaseback transactions or other means for real estate and construction activities. We will update our cost estimates in future periodic reports, if necessary, as there are further developments.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to fund these acquisitions and new locations; and availability of financing.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Cash Requirements or Commitments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Substantially all of our new RV inventory and, at times, certain of our used RV inventory is financed under our Floor Plan Facility (defined in Note 3 – Inventories and Floor Plan Payables to our condensed consolidated financial statements included in Part I, Item 1 of this Form 10-Q). See “Summary of Credit Facilities, Other Long-Term Debt, and Finance Lease Arrangements” for a summary of the cash requirements related to our indebtedness.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Cash requirements relating to the Tax Receivable Agreement liability, Supplier Agreement, operating and finance lease obligations, and service and marketing sponsorship agreements have not materially changed since our Annual Report.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 and Capital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believe that our sources of liquidity and capital including cash provided by operating activities, equity offerings and borrowings under our various credit facilities, other long-term debt, and finance lease arrangements (see “Summary of Credit Facilities, Other Long-Term Debt, and Finance Lease Arrangements” below), including additional borrowing capacity where applicable, will be sufficient to finance our continued operations, growth strategy, including the opening of any additional store locations, quarterly cash dividends (as described above), required payments for our obligations under the Tax Receivable Agreement, and additional expenses we expect to incur for at least the next twelve months.</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However, we cannot assure you that our cash provided by operating activities, cash and cash equivalents, registered offerings of equity under our Registration Statement on Form S-3,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and our Real Estate Facilities is not sufficient, we may have to obtain additional financing.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on favorable terms or at all, including the expected additional borrowings noted above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our Annual Report.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As of June 30, 2025, December 31, 2024, and June 30, 2024, we had working capital of $524.9 million, $590.3 million, and $379.1 million, respectively, including $118.1 million, $208.4 million, and $23.7 million, respectively, of cash and cash equivalents. Within current liabilities, which are deducted from current assets to calculate our working capital, we had deferred revenues of $94.0 million, $92.1 million, and $99.0 million as of June 30, 2025, December 31, 2024, and June 30, 2024, respectively. Deferred revenues primarily consists of cash collected for club memberships and roadside assistance contracts in advance of services to be provided, which is deferred and recognized as revenue over the life of the membership, deferred revenues for the annual campground guide, and our Good Sam Club loyalty points liability. We use net proceeds from this deferred membership revenue to lower our long-term borrowings and finance our working capital needs. Our Floor Plan Facility includes a flooring line aggregate interest reduction (“FLAIR”) offset account that allows us to transfer cash as an offset to the payables under the Floor Plan Facility. The FLAIR offset account was less than $0.1 million at June 30, 2025. Cash may be transferred from the FLAIR offset account to cash and cash equivalents at our discretion.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142"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We have experienced, and expect to continue to experience, variability in revenue, net income, and cash flows as a result of annual seasonality in our business (see Note 1 — Summary of Significant Accounting</w:t>
      </w:r>
    </w:p>
    <w:p>
      <w:pPr>
        <w:jc w:val="both"/>
        <w:ind w:left="60" w:right="79"/>
        <w:spacing w:after="0" w:line="237" w:lineRule="auto"/>
        <w:rPr>
          <w:sz w:val="20"/>
          <w:szCs w:val="20"/>
          <w:color w:val="auto"/>
        </w:rPr>
      </w:pPr>
      <w:r>
        <w:rPr>
          <w:rFonts w:ascii="Arial" w:cs="Arial" w:eastAsia="Arial" w:hAnsi="Arial"/>
          <w:sz w:val="18"/>
          <w:szCs w:val="18"/>
          <w:color w:val="auto"/>
        </w:rPr>
        <w:t>Policies — Seasonality to our condensed consolidated financial statements included in Part I, Item 1 of this Form 10-Q).</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summary cash flow information for the six months ended June 30, 2025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11"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500" w:type="dxa"/>
        <w:tblCellMar>
          <w:top w:w="0" w:type="dxa"/>
          <w:left w:w="0" w:type="dxa"/>
          <w:bottom w:w="0" w:type="dxa"/>
          <w:right w:w="0" w:type="dxa"/>
        </w:tblCellMar>
      </w:tblPr>
      <w:tr>
        <w:trPr>
          <w:trHeight w:val="155"/>
        </w:trPr>
        <w:tc>
          <w:tcPr>
            <w:tcW w:w="57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operating activities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(44,595)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84,341</w:t>
            </w:r>
          </w:p>
        </w:tc>
        <w:tc>
          <w:tcPr>
            <w:tcW w:w="180" w:type="dxa"/>
            <w:vAlign w:val="bottom"/>
            <w:shd w:val="clear" w:color="auto" w:fill="CCEEFF"/>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(180,078)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(54,931)</w:t>
            </w:r>
          </w:p>
        </w:tc>
        <w:tc>
          <w:tcPr>
            <w:tcW w:w="180" w:type="dxa"/>
            <w:vAlign w:val="bottom"/>
          </w:tcPr>
          <w:p>
            <w:pPr>
              <w:spacing w:after="0"/>
              <w:rPr>
                <w:sz w:val="17"/>
                <w:szCs w:val="17"/>
                <w:color w:val="auto"/>
              </w:rPr>
            </w:pPr>
          </w:p>
        </w:tc>
      </w:tr>
      <w:tr>
        <w:trPr>
          <w:trHeight w:val="203"/>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134,335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(45,314)</w:t>
            </w:r>
          </w:p>
        </w:tc>
        <w:tc>
          <w:tcPr>
            <w:tcW w:w="180" w:type="dxa"/>
            <w:vAlign w:val="bottom"/>
            <w:shd w:val="clear" w:color="auto" w:fill="CCEEFF"/>
          </w:tcPr>
          <w:p>
            <w:pPr>
              <w:spacing w:after="0"/>
              <w:rPr>
                <w:sz w:val="17"/>
                <w:szCs w:val="17"/>
                <w:color w:val="auto"/>
              </w:rPr>
            </w:pP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Net decrease in cash and cash equivalents</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(90,338)</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(15,904)</w:t>
            </w:r>
          </w:p>
        </w:tc>
        <w:tc>
          <w:tcPr>
            <w:tcW w:w="18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from operating activities are primarily collections from contracts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and customers following the sale of new and used vehicles, as well as from the sale of retail products and services and Good Sam services and plans. Contracts in transit represent amounts due from third -party lenders from whom pre-arranged agreements have been determined, and to whom the retail installment sales contracts have been assigned. Our primary uses of cash from operating activities are repayments of vehicle floor plan payables, payments to retail product suppliers, personnel-related expenditures, payments related to leased property, advertising, and various services and program costs.</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cash used in operating activities was $44.6 million in the six months ended June 30, 2025, a decrease of $128.9 million from $84.3 million of net cash provided by operating activities in the six months ended June 30, 2024. The decrease was primarily due to a $210.7 million decrease in the working capital adjustment for inventory, an $18.1 million decrease in the working capital adjustment for receivables and contracts in transit, a $10.2 million increase in gain on sale or disposal of assets, a $9.8 million decrease in long-lived asset impairment, a $5.3 million decrease in the working capital adjustment for deferred revenue, and a $3.5 million decrease in deferred income taxes, partially offset by a $60.2 million increase in net income, a $35.8 million increase in working capital adjustment for accounts payable and other accrued expenses, an $18.7 million increase in working capital adjustment for prepaid expenses and other assets, a $ 12.9 million increase in working capital adjustment related to the Tax Receivable Agreement, a $6.6 million increase in depreciation and amortization and a $5.1 million increase in SBC.</w:t>
      </w:r>
    </w:p>
    <w:p>
      <w:pPr>
        <w:spacing w:after="0" w:line="18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investment in business activities primarily consists of expanding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organic growth and the acquisition of RV dealership locations. Substantially all of our new RV dealership locations and capital expenditures have been financed using cash provided by operating activities and borrowings under our various credit facilities, other long-term debt, proceeds from registered offerings of our Class A common stock, and finance lease arrangements, as applicable (see Liquidity and Capital</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Resources — Summary of Credit Facilities, Other Long-Term Debt, and Finance Lease Arrangements in Part I, Item 2 of this Form 10-Q).</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our capital expenditures for the six months ended June 30, 2025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2024:</w:t>
      </w:r>
    </w:p>
    <w:p>
      <w:pPr>
        <w:spacing w:after="0" w:line="11" w:lineRule="exact"/>
        <w:rPr>
          <w:sz w:val="20"/>
          <w:szCs w:val="20"/>
          <w:color w:val="auto"/>
        </w:rPr>
      </w:pPr>
    </w:p>
    <w:p>
      <w:pPr>
        <w:ind w:left="6000"/>
        <w:spacing w:after="0"/>
        <w:rPr>
          <w:sz w:val="20"/>
          <w:szCs w:val="20"/>
          <w:color w:val="auto"/>
        </w:rPr>
      </w:pPr>
      <w:r>
        <w:rPr>
          <w:rFonts w:ascii="Arial" w:cs="Arial" w:eastAsia="Arial" w:hAnsi="Arial"/>
          <w:sz w:val="14"/>
          <w:szCs w:val="14"/>
          <w:b w:val="1"/>
          <w:bCs w:val="1"/>
          <w:color w:val="auto"/>
        </w:rPr>
        <w:t>Six Months Ended June 30,</w:t>
      </w:r>
    </w:p>
    <w:tbl>
      <w:tblPr>
        <w:tblLayout w:type="fixed"/>
        <w:tblInd w:w="940" w:type="dxa"/>
        <w:tblCellMar>
          <w:top w:w="0" w:type="dxa"/>
          <w:left w:w="0" w:type="dxa"/>
          <w:bottom w:w="0" w:type="dxa"/>
          <w:right w:w="0" w:type="dxa"/>
        </w:tblCellMar>
      </w:tblPr>
      <w:tr>
        <w:trPr>
          <w:trHeight w:val="156"/>
        </w:trPr>
        <w:tc>
          <w:tcPr>
            <w:tcW w:w="490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IT hardware and software</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10,305</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9,064</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Greenfield and acquired dealership locations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8,277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18,389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store locations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30,891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17,246</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3,854</w:t>
            </w:r>
          </w:p>
        </w:tc>
        <w:tc>
          <w:tcPr>
            <w:tcW w:w="16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capital expenditures</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49,696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48,553</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capital expenditures consist primarily of investing in acquired and greenfield retail and RV dealership locations, existing retail locations, information technology, hardware, and software. The expected minimum capital expenditures relating to new dealerships and real estate purchases through June 30, 2026 are discussed above. As of June 30, 2025, we had entered into contracts for construction of new dealership buildings for an aggregate future commitment of capital expenditures of $4.4 million. There were no other material commitments for capital expenditures as of June 30, 2025.</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used in investing activities was $180.1 million for the six months ended June 30, 2025. The $180.1 million of cash used in investing activities was primarily comprised of $81.2 million for the acquisition of RV dealerships, net of cash acquired and the $11.0 million of deposits paid in 2024 for these 2025 acquisitions, $72.4 million for the purchase of real property, and $49.7 million of capital expenditures primarily related to retail locations, partially offset by $10.3 million of proceeds from a business divestiture and $9.8 million of proceeds from the sale of real property.</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used in investing activities was $54.9 million for the six months ended June 30, 2024. The $54.9 million of cash used in investing activities was comprised of $62.3 million for the acquisition of RV dealerships and a tire delivery service business, net of cash acquired, and $48.6 million of capital expenditures primarily related to retail locations, partially offset by $31.2 million of proceeds from the sale of real property, $20.0 million in proceeds from the divestiture of a business, $3.6 million of proceeds from the sale of property and equipment.</w:t>
      </w:r>
    </w:p>
    <w:p>
      <w:pPr>
        <w:spacing w:after="0" w:line="17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financing activities primarily consist of proceeds from the issuance of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principal, cash dividends to holders of Class A common stock, and cash distributions to holders of CWGS, LLC common units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net cash provided by financing activities was $134.3 million for the six months ended June 30, 2025. The $ 134.3 million of cash provided by financing activities was primarily due to $168.1 million of net proceeds on borrowings under the Floor Plan Facility, partially offset by $15.7 million of dividends paid on Class A common stock, $12.5 million of payments on long-term debt, and $3.6 million for finance lease payments.</w:t>
      </w:r>
    </w:p>
    <w:p>
      <w:pPr>
        <w:spacing w:after="0" w:line="17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net cash used in financing activities was $ 45.3 million for the six months ended June 30, 2024. The $45.3 million of cash used in financing activities was primarily due to $57.4 million of payments on long-term debt, $32.0 million of payments on the revolving line of credit, $19.2 million of net payments on borrowings under the Floor Plan Facility, $18.8 million of member distributions, $ 11.3 million of dividends paid on Class A common stock, and $3.7 million for finance lease payments, partially offset by $55.6 million of proceeds from long-term debt and $43.0 million from borrowings on revolving line of credit.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Credit Facilities, Other Long-Term Debt, and Finance Lease Arrangements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June 30, 2025,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w:t>
      </w:r>
    </w:p>
    <w:p>
      <w:pPr>
        <w:spacing w:after="0" w:line="68"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The following table shows a summary of the outstanding balances, current portion, and remaining available borrowings under our credit facilities, other long-term debt and finance lease arrangements (see definitions and further details in Note 3 – Inventories and Floor Plan Payables, Note 7 – Long-Term Debt, and Note 8 – Lease Obligations to our condensed consolidated financial statements included in Part I, Item 1 of this Form 10-Q) at June 30, 2025:</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ind w:right="134"/>
              <w:spacing w:after="0"/>
              <w:rPr>
                <w:sz w:val="20"/>
                <w:szCs w:val="20"/>
                <w:color w:val="auto"/>
              </w:rPr>
            </w:pPr>
            <w:r>
              <w:rPr>
                <w:rFonts w:ascii="Arial" w:cs="Arial" w:eastAsia="Arial" w:hAnsi="Arial"/>
                <w:sz w:val="16"/>
                <w:szCs w:val="16"/>
                <w:b w:val="1"/>
                <w:bCs w:val="1"/>
                <w:color w:val="auto"/>
              </w:rPr>
              <w:t>Current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7"/>
                <w:szCs w:val="17"/>
                <w:color w:val="auto"/>
              </w:rPr>
            </w:pPr>
          </w:p>
        </w:tc>
      </w:tr>
      <w:tr>
        <w:trPr>
          <w:trHeight w:val="20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Portion</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Available</w:t>
            </w:r>
          </w:p>
        </w:tc>
        <w:tc>
          <w:tcPr>
            <w:tcW w:w="200" w:type="dxa"/>
            <w:vAlign w:val="bottom"/>
            <w:tcBorders>
              <w:bottom w:val="single" w:sz="8" w:color="CCEEFF"/>
            </w:tcBorders>
          </w:tcPr>
          <w:p>
            <w:pPr>
              <w:spacing w:after="0"/>
              <w:rPr>
                <w:sz w:val="17"/>
                <w:szCs w:val="17"/>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Floor Plan Facility:</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5220" w:type="dxa"/>
            <w:vAlign w:val="bottom"/>
          </w:tcPr>
          <w:p>
            <w:pPr>
              <w:ind w:left="100"/>
              <w:spacing w:after="0" w:line="202" w:lineRule="exact"/>
              <w:rPr>
                <w:sz w:val="20"/>
                <w:szCs w:val="20"/>
                <w:color w:val="auto"/>
              </w:rPr>
            </w:pPr>
            <w:r>
              <w:rPr>
                <w:rFonts w:ascii="Arial" w:cs="Arial" w:eastAsia="Arial" w:hAnsi="Arial"/>
                <w:sz w:val="18"/>
                <w:szCs w:val="18"/>
                <w:color w:val="auto"/>
              </w:rPr>
              <w:t>Notes payable - floor plan</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$ 1,280,102</w:t>
            </w:r>
          </w:p>
        </w:tc>
        <w:tc>
          <w:tcPr>
            <w:tcW w:w="1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$ 1,280,102</w:t>
            </w:r>
          </w:p>
        </w:tc>
        <w:tc>
          <w:tcPr>
            <w:tcW w:w="1260" w:type="dxa"/>
            <w:vAlign w:val="bottom"/>
            <w:gridSpan w:val="3"/>
          </w:tcPr>
          <w:p>
            <w:pPr>
              <w:jc w:val="right"/>
              <w:spacing w:after="0" w:line="202" w:lineRule="exact"/>
              <w:rPr>
                <w:sz w:val="20"/>
                <w:szCs w:val="20"/>
                <w:color w:val="auto"/>
              </w:rPr>
            </w:pPr>
            <w:r>
              <w:rPr>
                <w:rFonts w:ascii="Arial" w:cs="Arial" w:eastAsia="Arial" w:hAnsi="Arial"/>
                <w:sz w:val="16"/>
                <w:szCs w:val="16"/>
                <w:color w:val="auto"/>
              </w:rPr>
              <w:t xml:space="preserve">$ 760,104 </w:t>
            </w:r>
            <w:r>
              <w:rPr>
                <w:rFonts w:ascii="Arial" w:cs="Arial" w:eastAsia="Arial" w:hAnsi="Arial"/>
                <w:sz w:val="23"/>
                <w:szCs w:val="23"/>
                <w:color w:val="auto"/>
                <w:vertAlign w:val="superscript"/>
              </w:rPr>
              <w:t>(1)</w:t>
            </w:r>
          </w:p>
        </w:tc>
      </w:tr>
      <w:tr>
        <w:trPr>
          <w:trHeight w:val="203"/>
        </w:trPr>
        <w:tc>
          <w:tcPr>
            <w:tcW w:w="5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Revolving line of credit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Senior Secured Credit Facilities: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5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Term Loan Facility</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1,330,401</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14,015</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r>
      <w:tr>
        <w:trPr>
          <w:trHeight w:val="203"/>
        </w:trPr>
        <w:tc>
          <w:tcPr>
            <w:tcW w:w="5220" w:type="dxa"/>
            <w:vAlign w:val="bottom"/>
          </w:tcPr>
          <w:p>
            <w:pPr>
              <w:ind w:left="100"/>
              <w:spacing w:after="0" w:line="202" w:lineRule="exact"/>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22,750</w:t>
            </w:r>
          </w:p>
        </w:tc>
        <w:tc>
          <w:tcPr>
            <w:tcW w:w="2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5220" w:type="dxa"/>
            <w:vAlign w:val="bottom"/>
          </w:tcPr>
          <w:p>
            <w:pPr>
              <w:ind w:left="100"/>
              <w:spacing w:after="0" w:line="202" w:lineRule="exact"/>
              <w:rPr>
                <w:sz w:val="20"/>
                <w:szCs w:val="20"/>
                <w:color w:val="auto"/>
              </w:rPr>
            </w:pPr>
            <w:r>
              <w:rPr>
                <w:rFonts w:ascii="Arial" w:cs="Arial" w:eastAsia="Arial" w:hAnsi="Arial"/>
                <w:sz w:val="18"/>
                <w:szCs w:val="18"/>
                <w:color w:val="auto"/>
              </w:rPr>
              <w:t>Real Estate Facilities</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168,332</w:t>
            </w: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8,663</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57,390</w:t>
            </w:r>
          </w:p>
        </w:tc>
        <w:tc>
          <w:tcPr>
            <w:tcW w:w="2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02"/>
        </w:trPr>
        <w:tc>
          <w:tcPr>
            <w:tcW w:w="5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long-term debt</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7,760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r>
      <w:tr>
        <w:trPr>
          <w:trHeight w:val="203"/>
        </w:trPr>
        <w:tc>
          <w:tcPr>
            <w:tcW w:w="5220" w:type="dxa"/>
            <w:vAlign w:val="bottom"/>
          </w:tcPr>
          <w:p>
            <w:pPr>
              <w:ind w:left="100"/>
              <w:spacing w:after="0" w:line="202" w:lineRule="exact"/>
              <w:rPr>
                <w:sz w:val="20"/>
                <w:szCs w:val="20"/>
                <w:color w:val="auto"/>
              </w:rPr>
            </w:pPr>
            <w:r>
              <w:rPr>
                <w:rFonts w:ascii="Arial" w:cs="Arial" w:eastAsia="Arial" w:hAnsi="Arial"/>
                <w:sz w:val="18"/>
                <w:szCs w:val="18"/>
                <w:color w:val="auto"/>
              </w:rPr>
              <w:t>Finance lease obligations</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148,112</w:t>
            </w:r>
          </w:p>
        </w:tc>
        <w:tc>
          <w:tcPr>
            <w:tcW w:w="1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19,514</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r>
      <w:tr>
        <w:trPr>
          <w:trHeight w:val="196"/>
        </w:trPr>
        <w:tc>
          <w:tcPr>
            <w:tcW w:w="5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$ 2,934,707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$ 1,322,639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$ 910,244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left="380" w:right="79" w:hanging="330"/>
        <w:spacing w:after="0" w:line="246" w:lineRule="auto"/>
        <w:tabs>
          <w:tab w:leader="none" w:pos="380" w:val="left"/>
        </w:tabs>
        <w:numPr>
          <w:ilvl w:val="0"/>
          <w:numId w:val="31"/>
        </w:numPr>
        <w:rPr>
          <w:rFonts w:ascii="Arial" w:cs="Arial" w:eastAsia="Arial" w:hAnsi="Arial"/>
          <w:sz w:val="13"/>
          <w:szCs w:val="13"/>
          <w:color w:val="231F20"/>
        </w:rPr>
      </w:pPr>
      <w:r>
        <w:rPr>
          <w:rFonts w:ascii="Arial" w:cs="Arial" w:eastAsia="Arial" w:hAnsi="Arial"/>
          <w:sz w:val="14"/>
          <w:szCs w:val="14"/>
          <w:color w:val="auto"/>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 In February 2025, FreedomRoads, LLC entered into an amendment to the Floor Plan Facility, which (a) increased the commitment for floor plan borrowings by $300.0 million to $2.15 billion, (b) increased the commitment for the letter of credit facility by $15.0 million to $45.0 million, and (c) extended the maturity date from September 30, 2026 to the earlier of, if applicable, (i) February 18, 2030 or (ii) March 5, 2028, if the Company’s Term Loan Facility (as defined and discussed in Note 7 — Long-Term Debt) has not been repaid, refinanced, or defeased and the maturity has not been extended by at least 180 days after February 18, 2030.</w:t>
      </w:r>
    </w:p>
    <w:p>
      <w:pPr>
        <w:spacing w:after="0" w:line="23" w:lineRule="exact"/>
        <w:rPr>
          <w:rFonts w:ascii="Arial" w:cs="Arial" w:eastAsia="Arial" w:hAnsi="Arial"/>
          <w:sz w:val="13"/>
          <w:szCs w:val="13"/>
          <w:color w:val="231F20"/>
        </w:rPr>
      </w:pPr>
    </w:p>
    <w:p>
      <w:pPr>
        <w:ind w:left="380" w:hanging="330"/>
        <w:spacing w:after="0"/>
        <w:tabs>
          <w:tab w:leader="none" w:pos="380" w:val="left"/>
        </w:tabs>
        <w:numPr>
          <w:ilvl w:val="0"/>
          <w:numId w:val="31"/>
        </w:numPr>
        <w:rPr>
          <w:rFonts w:ascii="Arial" w:cs="Arial" w:eastAsia="Arial" w:hAnsi="Arial"/>
          <w:sz w:val="13"/>
          <w:szCs w:val="13"/>
          <w:color w:val="231F20"/>
        </w:rPr>
      </w:pPr>
      <w:r>
        <w:rPr>
          <w:rFonts w:ascii="Arial" w:cs="Arial" w:eastAsia="Arial" w:hAnsi="Arial"/>
          <w:sz w:val="14"/>
          <w:szCs w:val="14"/>
          <w:color w:val="auto"/>
        </w:rPr>
        <w:t>The revolving line of credit borrowings are subject to a borrowing base calculation but were not limited as of June 30, 2025.</w:t>
      </w:r>
    </w:p>
    <w:p>
      <w:pPr>
        <w:spacing w:after="0" w:line="55" w:lineRule="exact"/>
        <w:rPr>
          <w:rFonts w:ascii="Arial" w:cs="Arial" w:eastAsia="Arial" w:hAnsi="Arial"/>
          <w:sz w:val="13"/>
          <w:szCs w:val="13"/>
          <w:color w:val="231F20"/>
        </w:rPr>
      </w:pPr>
    </w:p>
    <w:p>
      <w:pPr>
        <w:jc w:val="both"/>
        <w:ind w:left="380" w:right="79" w:hanging="330"/>
        <w:spacing w:after="0" w:line="287" w:lineRule="auto"/>
        <w:tabs>
          <w:tab w:leader="none" w:pos="380" w:val="left"/>
        </w:tabs>
        <w:numPr>
          <w:ilvl w:val="0"/>
          <w:numId w:val="31"/>
        </w:numPr>
        <w:rPr>
          <w:rFonts w:ascii="Arial" w:cs="Arial" w:eastAsia="Arial" w:hAnsi="Arial"/>
          <w:sz w:val="13"/>
          <w:szCs w:val="13"/>
          <w:color w:val="231F20"/>
        </w:rPr>
      </w:pPr>
      <w:r>
        <w:rPr>
          <w:rFonts w:ascii="Arial" w:cs="Arial" w:eastAsia="Arial" w:hAnsi="Arial"/>
          <w:sz w:val="14"/>
          <w:szCs w:val="14"/>
          <w:color w:val="auto"/>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is over a 35%, or $22.8 million, threshold (Note 7 – Long-Term Debt to our condensed consolidated financial statements included in Part I, Item 1 of this Form 10-Q). The otherwise remaining available borrowings of $60.1 million were reduced by $37.3 million to $22.8 million in light of this financial covenant at June 30, 2025.</w:t>
      </w:r>
    </w:p>
    <w:p>
      <w:pPr>
        <w:spacing w:after="0" w:line="9" w:lineRule="exact"/>
        <w:rPr>
          <w:rFonts w:ascii="Arial" w:cs="Arial" w:eastAsia="Arial" w:hAnsi="Arial"/>
          <w:sz w:val="13"/>
          <w:szCs w:val="13"/>
          <w:color w:val="231F20"/>
        </w:rPr>
      </w:pPr>
    </w:p>
    <w:p>
      <w:pPr>
        <w:jc w:val="both"/>
        <w:ind w:left="380" w:right="79" w:hanging="330"/>
        <w:spacing w:after="0" w:line="289" w:lineRule="auto"/>
        <w:tabs>
          <w:tab w:leader="none" w:pos="380" w:val="left"/>
        </w:tabs>
        <w:numPr>
          <w:ilvl w:val="0"/>
          <w:numId w:val="31"/>
        </w:numPr>
        <w:rPr>
          <w:rFonts w:ascii="Arial" w:cs="Arial" w:eastAsia="Arial" w:hAnsi="Arial"/>
          <w:sz w:val="13"/>
          <w:szCs w:val="13"/>
          <w:color w:val="231F20"/>
        </w:rPr>
      </w:pPr>
      <w:r>
        <w:rPr>
          <w:rFonts w:ascii="Arial" w:cs="Arial" w:eastAsia="Arial" w:hAnsi="Arial"/>
          <w:sz w:val="14"/>
          <w:szCs w:val="14"/>
          <w:color w:val="auto"/>
        </w:rPr>
        <w:t>Additional borrowings on the Real Estate Facilities are subject to a debt service coverage ratio covenant and to the property collateral requirements under the Real Estate Facilities. In August 2024, we amended the M&amp;T Real Estate Facility to increase the borrowing capacity by $50.0 million, which was not deducted from our option to request an additional $100.0 million of principal capacity. The lenders under the M&amp;T Real Estate Facility are not under any obligation to provide commitments in respect of any such increase.</w:t>
      </w:r>
    </w:p>
    <w:p>
      <w:pPr>
        <w:spacing w:after="0" w:line="227"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June 30, 2025 and 2024, the applicable interest rate for the floor plan notes payable under the Floor Plan Facility was 6.49% and 7.87%, respectively. As of June 30, 2025 and 2024, the average interest rate for the Term Loan Facility was 6.94% and 7.96%, respectively. The decrease in interest rates and lower average outstanding principal balances for our floor plan, Real Estate Facilities, and revolving line of credit have resulted in a combined year-over-year decrease of our floor plan interest expense and other interest expense, net of $ 12.1 million and $27.3 million for the three and six months ended June 30, 2025 compared to the three and six months ended June 30, 2024, respectively.</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21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have in the past and may in the future enter into sale-leaseback transactions to finance certain property acquisitions and capital expenditures, pursuant to which we sell property and/or leasehold improvements to third parties and agree to lease those assets back for a certain period of time. Such sales generate proceeds which vary from period to period. In the six months ended June 30, 2025 and 2024, we entered into sale-leaseback transactions for one and two properties, respectively, associated with store locations in the RV and Outdoor Retail segment and received consideration of $3.5 million and $23.5 million of cash, respectively. We recorded no gain for the six months ended June 30, 2025 and recorded a gain of $0.1 million for the six months ended June 30, 2024 that was included in loss (gain) on sale or disposal of assets in the condensed consolidated statements of income. We entered into a 19-year lease agreement as the lessee with the buyer of the property in 2025 and 20-year lease agreements as the lessee with each buyer of the properties in 2024.</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Deferred revenue consists of our sales for products not yet recognized as revenue at the end of a given period. Our deferred revenue as of June 30, 2025 was $157.4 million.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prepare our condensed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estimates used in the preparation of our condensed consolidated financial statements, which, in turn, could change our results from those reported. We evaluate our critical accounting estimates, assumptions and judgments on an ongoing basis.</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There has been no material change in our critical accounting policies and estimates from those previously reported and disclosed in our Annual Report.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See Note 1 – Summary of Significant Accounting Policies to our condensed consolidated financial statements in Item 1, Part I of this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Annual Report. As of June 30, 2025, there have been no material changes in this information.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reflect the fact that there are resource constraints and that management is required to apply judgment in evaluating the benefits of possible controls and procedures relative to their costs.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carried out an evaluation, under the supervision and participation of our Chief Executive Officer (principal executive officer) and our Chief Financial Officer (principal financial officer), of the effectiveness of our disclosure controls and procedures (as defined in Rules 13a-15(e) and 15d-15(e) under the Securities Exchange Act of 1934, as amended (the “Exchange Act”)) as of the end of the period covered by this Form 10-Q. Based on our management’s evaluation, our Chief Executive Officer (principal executive officer) and our Chief Financial Officer (principal financial officer) concluded that our disclosure controls and procedures were not effective as of June 30, 2025 as a result of the material weakness described in our Annual Report and below.</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connection with the preparation of our financial statements for the year ended December 31, 2024, we identified a material weakness in the design and operation of our income tax controls, including over the review of the measurement of the realizable portion of the Company’s outside basis difference deferred tax asset in the operating partnership, CWGS, LLC. This material weakness remains unremediated as of June 30, 2025.</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Remediation Efforts to Address Material Weakness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management is committed to maintaining a strong internal control environment. In response to the identified material weakness above, management with the oversight of the Audit Committee of the Board of Directors, is taking comprehensive actions to remediate the above material weakness. Our remediation plans include the following:</w:t>
      </w:r>
    </w:p>
    <w:p>
      <w:pPr>
        <w:spacing w:after="0" w:line="174" w:lineRule="exact"/>
        <w:rPr>
          <w:sz w:val="20"/>
          <w:szCs w:val="20"/>
          <w:color w:val="auto"/>
        </w:rPr>
      </w:pPr>
    </w:p>
    <w:p>
      <w:pPr>
        <w:ind w:left="1380" w:right="99" w:hanging="331"/>
        <w:spacing w:after="0" w:line="270" w:lineRule="auto"/>
        <w:tabs>
          <w:tab w:leader="none" w:pos="13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Implementing separate specific controls over the review of the quantification of realizable tax basis in CWGS, LLC;</w:t>
      </w:r>
    </w:p>
    <w:p>
      <w:pPr>
        <w:spacing w:after="0" w:line="154" w:lineRule="exact"/>
        <w:rPr>
          <w:rFonts w:ascii="Times New Roman" w:cs="Times New Roman" w:eastAsia="Times New Roman" w:hAnsi="Times New Roman"/>
          <w:sz w:val="18"/>
          <w:szCs w:val="18"/>
          <w:color w:val="auto"/>
        </w:rPr>
      </w:pPr>
    </w:p>
    <w:p>
      <w:pPr>
        <w:ind w:left="1380" w:right="739" w:hanging="331"/>
        <w:spacing w:after="0" w:line="270" w:lineRule="auto"/>
        <w:tabs>
          <w:tab w:leader="none" w:pos="13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Redesigning the reports utilized to calculate the gross outside basis difference to enhance management’s review of the calculation; and</w:t>
      </w:r>
    </w:p>
    <w:p>
      <w:pPr>
        <w:spacing w:after="0" w:line="154" w:lineRule="exact"/>
        <w:rPr>
          <w:rFonts w:ascii="Times New Roman" w:cs="Times New Roman" w:eastAsia="Times New Roman" w:hAnsi="Times New Roman"/>
          <w:sz w:val="18"/>
          <w:szCs w:val="18"/>
          <w:color w:val="auto"/>
        </w:rPr>
      </w:pPr>
    </w:p>
    <w:p>
      <w:pPr>
        <w:ind w:left="1380" w:right="639" w:hanging="331"/>
        <w:spacing w:after="0" w:line="270" w:lineRule="auto"/>
        <w:tabs>
          <w:tab w:leader="none" w:pos="138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and conducting training for individuals responsible for reviewing calculation and measurement of the realizable tax basis in CWGS, LLC.</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may also conclude that additional measures may be required to remediate the material weakness in our internal control over financial reporting, which may necessitate additional implementation and evaluation time. We will continue to assess the effectiveness of our internal control over financial reporting and take steps to remediate the material weakness expeditiously. The material weakness will not be considered remediated until the applicable remediated controls operate for a sufficient period of time and management has concluded, through testing, that these controls are operating effectively.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as described above. Except as discussed above, there were no changes in our internal control over financial reporting (as defined in Rules 13a-15(f) and 15d-15(f) under the Exchange Act) identified in connection with the evaluation of our internal control performed during the fiscal quarter ended June 30, 2025, that has materially affected, or is reasonably likely to materially affect, our internal control over financial reporting.</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See Note 10 – Commitments and Contingencies to our condensed consolidated financial statements in Item 1, Part I of this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8"/>
          <w:szCs w:val="18"/>
          <w:color w:val="auto"/>
        </w:rPr>
        <w:t>There have been no material changes to our risk factors as previously disclosed in Item 1A of Part I of our Annual Report.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following table presents information related to our repurchases of Class A common stock for the periods indicated:</w:t>
      </w:r>
    </w:p>
    <w:tbl>
      <w:tblPr>
        <w:tblLayout w:type="fixed"/>
        <w:tblInd w:w="40" w:type="dxa"/>
        <w:tblCellMar>
          <w:top w:w="0" w:type="dxa"/>
          <w:left w:w="0" w:type="dxa"/>
          <w:bottom w:w="0" w:type="dxa"/>
          <w:right w:w="0" w:type="dxa"/>
        </w:tblCellMar>
      </w:tblPr>
      <w:tr>
        <w:trPr>
          <w:trHeight w:val="124"/>
        </w:trPr>
        <w:tc>
          <w:tcPr>
            <w:tcW w:w="3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5"/>
              </w:rPr>
              <w:t>Total Number of</w:t>
            </w:r>
          </w:p>
        </w:tc>
        <w:tc>
          <w:tcPr>
            <w:tcW w:w="1260" w:type="dxa"/>
            <w:vAlign w:val="bottom"/>
          </w:tcPr>
          <w:p>
            <w:pPr>
              <w:spacing w:after="0"/>
              <w:rPr>
                <w:sz w:val="10"/>
                <w:szCs w:val="10"/>
                <w:color w:val="auto"/>
              </w:rPr>
            </w:pPr>
          </w:p>
        </w:tc>
      </w:tr>
      <w:tr>
        <w:trPr>
          <w:trHeight w:val="135"/>
        </w:trPr>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7"/>
              </w:rPr>
              <w:t>Shares Purchased as</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Approximate Dollar</w:t>
            </w:r>
          </w:p>
        </w:tc>
      </w:tr>
      <w:tr>
        <w:trPr>
          <w:trHeight w:val="135"/>
        </w:trPr>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Part of Publicly</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Value of Shares that</w:t>
            </w:r>
          </w:p>
        </w:tc>
      </w:tr>
      <w:tr>
        <w:trPr>
          <w:trHeight w:val="125"/>
        </w:trPr>
        <w:tc>
          <w:tcPr>
            <w:tcW w:w="3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ind w:left="160"/>
              <w:spacing w:after="0" w:line="125" w:lineRule="exact"/>
              <w:rPr>
                <w:sz w:val="20"/>
                <w:szCs w:val="20"/>
                <w:color w:val="auto"/>
              </w:rPr>
            </w:pPr>
            <w:r>
              <w:rPr>
                <w:rFonts w:ascii="Arial" w:cs="Arial" w:eastAsia="Arial" w:hAnsi="Arial"/>
                <w:sz w:val="12"/>
                <w:szCs w:val="12"/>
                <w:b w:val="1"/>
                <w:bCs w:val="1"/>
                <w:color w:val="auto"/>
              </w:rPr>
              <w:t>Total Number of</w:t>
            </w:r>
          </w:p>
        </w:tc>
        <w:tc>
          <w:tcPr>
            <w:tcW w:w="130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7"/>
              </w:rPr>
              <w:t>Average Price Paid</w:t>
            </w:r>
          </w:p>
        </w:tc>
        <w:tc>
          <w:tcPr>
            <w:tcW w:w="132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6"/>
              </w:rPr>
              <w:t>Announced</w:t>
            </w:r>
          </w:p>
        </w:tc>
        <w:tc>
          <w:tcPr>
            <w:tcW w:w="12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6"/>
              </w:rPr>
              <w:t>May Yet Be Purchased</w:t>
            </w:r>
          </w:p>
        </w:tc>
      </w:tr>
      <w:tr>
        <w:trPr>
          <w:trHeight w:val="155"/>
        </w:trPr>
        <w:tc>
          <w:tcPr>
            <w:tcW w:w="3700" w:type="dxa"/>
            <w:vAlign w:val="bottom"/>
            <w:gridSpan w:val="2"/>
          </w:tcPr>
          <w:p>
            <w:pPr>
              <w:ind w:left="20"/>
              <w:spacing w:after="0"/>
              <w:rPr>
                <w:sz w:val="20"/>
                <w:szCs w:val="20"/>
                <w:color w:val="auto"/>
              </w:rPr>
            </w:pPr>
            <w:r>
              <w:rPr>
                <w:rFonts w:ascii="Arial" w:cs="Arial" w:eastAsia="Arial" w:hAnsi="Arial"/>
                <w:sz w:val="12"/>
                <w:szCs w:val="12"/>
                <w:b w:val="1"/>
                <w:bCs w:val="1"/>
                <w:color w:val="auto"/>
              </w:rPr>
              <w:t>Period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 Purchased</w:t>
            </w:r>
          </w:p>
        </w:tc>
        <w:tc>
          <w:tcPr>
            <w:tcW w:w="13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per Share</w:t>
            </w:r>
          </w:p>
        </w:tc>
        <w:tc>
          <w:tcPr>
            <w:tcW w:w="1320" w:type="dxa"/>
            <w:vAlign w:val="bottom"/>
            <w:gridSpan w:val="2"/>
          </w:tcPr>
          <w:p>
            <w:pPr>
              <w:jc w:val="center"/>
              <w:ind w:right="120"/>
              <w:spacing w:after="0" w:line="155" w:lineRule="exact"/>
              <w:rPr>
                <w:sz w:val="20"/>
                <w:szCs w:val="20"/>
                <w:color w:val="auto"/>
              </w:rPr>
            </w:pPr>
            <w:r>
              <w:rPr>
                <w:rFonts w:ascii="Arial" w:cs="Arial" w:eastAsia="Arial" w:hAnsi="Arial"/>
                <w:sz w:val="12"/>
                <w:szCs w:val="12"/>
                <w:b w:val="1"/>
                <w:bCs w:val="1"/>
                <w:color w:val="auto"/>
                <w:w w:val="91"/>
              </w:rPr>
              <w:t>Programs</w:t>
            </w:r>
            <w:r>
              <w:rPr>
                <w:rFonts w:ascii="Arial" w:cs="Arial" w:eastAsia="Arial" w:hAnsi="Arial"/>
                <w:sz w:val="17"/>
                <w:szCs w:val="17"/>
                <w:b w:val="1"/>
                <w:bCs w:val="1"/>
                <w:color w:val="auto"/>
                <w:w w:val="91"/>
                <w:vertAlign w:val="superscript"/>
              </w:rPr>
              <w:t>(1)</w:t>
            </w:r>
          </w:p>
        </w:tc>
        <w:tc>
          <w:tcPr>
            <w:tcW w:w="1260" w:type="dxa"/>
            <w:vAlign w:val="bottom"/>
          </w:tcPr>
          <w:p>
            <w:pPr>
              <w:jc w:val="center"/>
              <w:spacing w:after="0" w:line="155" w:lineRule="exact"/>
              <w:rPr>
                <w:sz w:val="20"/>
                <w:szCs w:val="20"/>
                <w:color w:val="auto"/>
              </w:rPr>
            </w:pPr>
            <w:r>
              <w:rPr>
                <w:rFonts w:ascii="Arial" w:cs="Arial" w:eastAsia="Arial" w:hAnsi="Arial"/>
                <w:sz w:val="12"/>
                <w:szCs w:val="12"/>
                <w:b w:val="1"/>
                <w:bCs w:val="1"/>
                <w:color w:val="auto"/>
                <w:w w:val="95"/>
              </w:rPr>
              <w:t>Under the Programs</w:t>
            </w:r>
            <w:r>
              <w:rPr>
                <w:rFonts w:ascii="Arial" w:cs="Arial" w:eastAsia="Arial" w:hAnsi="Arial"/>
                <w:sz w:val="17"/>
                <w:szCs w:val="17"/>
                <w:b w:val="1"/>
                <w:bCs w:val="1"/>
                <w:color w:val="auto"/>
                <w:w w:val="95"/>
                <w:vertAlign w:val="superscript"/>
              </w:rPr>
              <w:t>(1)</w:t>
            </w:r>
          </w:p>
        </w:tc>
      </w:tr>
      <w:tr>
        <w:trPr>
          <w:trHeight w:val="196"/>
        </w:trPr>
        <w:tc>
          <w:tcPr>
            <w:tcW w:w="3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April 1, 2025 to April 30, 2025</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6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96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$ 120,166,000</w:t>
            </w:r>
          </w:p>
        </w:tc>
      </w:tr>
      <w:tr>
        <w:trPr>
          <w:trHeight w:val="203"/>
        </w:trPr>
        <w:tc>
          <w:tcPr>
            <w:tcW w:w="3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1, 2025 to May 31, 2025</w:t>
            </w:r>
          </w:p>
        </w:tc>
        <w:tc>
          <w:tcPr>
            <w:tcW w:w="132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120,166,000</w:t>
            </w:r>
          </w:p>
        </w:tc>
      </w:tr>
      <w:tr>
        <w:trPr>
          <w:trHeight w:val="203"/>
        </w:trPr>
        <w:tc>
          <w:tcPr>
            <w:tcW w:w="37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June 1, 2025 to June 30, 2025</w:t>
            </w:r>
          </w:p>
        </w:tc>
        <w:tc>
          <w:tcPr>
            <w:tcW w:w="13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120,166,000</w:t>
            </w:r>
          </w:p>
        </w:tc>
      </w:tr>
      <w:tr>
        <w:trPr>
          <w:trHeight w:val="196"/>
        </w:trPr>
        <w:tc>
          <w:tcPr>
            <w:tcW w:w="37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ind w:left="9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ind w:left="96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120,166,000</w:t>
            </w: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380" w:right="79" w:hanging="330"/>
        <w:spacing w:after="0" w:line="250" w:lineRule="auto"/>
        <w:tabs>
          <w:tab w:leader="none" w:pos="3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October 30, 2020, our Board of Directors authorized a stock repurchase program for the repurchase of up to $100.0 million of the Company’s Class A common stock, expiring on October 31, 2022. In August 2021 and January 2022, our Board of Directors authorized increases to the stock repurchase program for the repurchase of up to an additional $125.0 million and $152.7 million of the Company’s Class A common stock, respectively. Following these extensions, the stock repurchase program now expires on December 31, 2025. This program does not obligate the Company to acquire any particular amount of Class A common stock and the program may be extended, modified, suspended or discontinued at any time at the board’s discretion.</w:t>
      </w:r>
    </w:p>
    <w:p>
      <w:pPr>
        <w:spacing w:after="0" w:line="6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table above excludes shares net settled by the Company in connection with tax withholdings associated with the vesting of restricted stock units as these shares were not issued and outstanding.</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Since we are a holding company, our ability to pay cash dividends on our Class A common stock depends on our receipt of cash distributions from CWGS, LLC and, through CWGS, LLC, cash distributions and dividends from its operating subsidiaries, which may restrict our ability to pay dividends as a result of the laws of their jurisdiction of organization, agreements of our subsidiaries or covenants under any existing and future outstanding indebtedness we or our subsidiaries incur. In particular, our ability to pay any cash dividends on our Class A common stock is limited by restrictions on the ability of CWGS, LLC and our other subsidiaries and us to pay dividends or make distributions to us under the terms of our Senior Secured Credit Facilities and Floor Plan Facility. See “Dividend Policy” included in Part II, Item 5 of our Annual Report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our Annual Report.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right="3439" w:hanging="650"/>
        <w:spacing w:after="0" w:line="485"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ind w:left="700" w:right="279" w:hanging="650"/>
        <w:spacing w:after="0" w:line="271"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w:t>
      </w:r>
    </w:p>
    <w:p>
      <w:pPr>
        <w:spacing w:after="0" w:line="15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00" w:hanging="650"/>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During the three months ended June 30, 2025, no director or officer of the Company adopted or terminated a “Rule 10b5-1 trading arrangement” or “non-Rule 10b5-1 trading arrangement,” as each term is defined in Item 408(a) of Regulation S-K.</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 Index</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80" w:type="dxa"/>
            <w:vAlign w:val="bottom"/>
            <w:gridSpan w:val="19"/>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auto"/>
            </w:tcBorders>
            <w:gridSpan w:val="20"/>
          </w:tcPr>
          <w:p>
            <w:pPr>
              <w:spacing w:after="0" w:line="169" w:lineRule="exact"/>
              <w:rPr>
                <w:rFonts w:ascii="Arial" w:cs="Arial" w:eastAsia="Arial" w:hAnsi="Arial"/>
                <w:sz w:val="18"/>
                <w:szCs w:val="18"/>
                <w:color w:val="0000EE"/>
              </w:rPr>
            </w:pPr>
            <w:hyperlink r:id="rId69">
              <w:r>
                <w:rPr>
                  <w:rFonts w:ascii="Arial" w:cs="Arial" w:eastAsia="Arial" w:hAnsi="Arial"/>
                  <w:sz w:val="18"/>
                  <w:szCs w:val="18"/>
                  <w:color w:val="0000EE"/>
                </w:rPr>
                <w:t>Amended and Restated Certificate of</w:t>
              </w:r>
            </w:hyperlink>
          </w:p>
        </w:tc>
        <w:tc>
          <w:tcPr>
            <w:tcW w:w="18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10-Q</w:t>
            </w:r>
          </w:p>
        </w:tc>
        <w:tc>
          <w:tcPr>
            <w:tcW w:w="20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6"/>
              </w:rPr>
              <w:t>11/10/16</w:t>
            </w: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69">
              <w:r>
                <w:rPr>
                  <w:rFonts w:ascii="Arial" w:cs="Arial" w:eastAsia="Arial" w:hAnsi="Arial"/>
                  <w:sz w:val="18"/>
                  <w:szCs w:val="18"/>
                  <w:color w:val="0000EE"/>
                </w:rPr>
                <w:t>Incorporation of Camping World</w:t>
              </w:r>
            </w:hyperlink>
          </w:p>
        </w:tc>
        <w:tc>
          <w:tcPr>
            <w:tcW w:w="2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69">
              <w:r>
                <w:rPr>
                  <w:rFonts w:ascii="Arial" w:cs="Arial" w:eastAsia="Arial" w:hAnsi="Arial"/>
                  <w:sz w:val="18"/>
                  <w:szCs w:val="18"/>
                  <w:color w:val="0000EE"/>
                  <w:w w:val="98"/>
                </w:rPr>
                <w:t>Holdings, Inc.</w:t>
              </w:r>
            </w:hyperlink>
          </w:p>
        </w:tc>
        <w:tc>
          <w:tcPr>
            <w:tcW w:w="144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240" w:type="dxa"/>
            <w:vAlign w:val="bottom"/>
            <w:tcBorders>
              <w:bottom w:val="single" w:sz="8" w:color="0000EE"/>
            </w:tcBorders>
            <w:gridSpan w:val="8"/>
          </w:tcPr>
          <w:p>
            <w:pPr>
              <w:spacing w:after="0"/>
              <w:rPr>
                <w:rFonts w:ascii="Arial" w:cs="Arial" w:eastAsia="Arial" w:hAnsi="Arial"/>
                <w:sz w:val="18"/>
                <w:szCs w:val="18"/>
                <w:color w:val="0000EE"/>
                <w:w w:val="99"/>
              </w:rPr>
            </w:pPr>
            <w:hyperlink r:id="rId70">
              <w:r>
                <w:rPr>
                  <w:rFonts w:ascii="Arial" w:cs="Arial" w:eastAsia="Arial" w:hAnsi="Arial"/>
                  <w:sz w:val="18"/>
                  <w:szCs w:val="18"/>
                  <w:color w:val="0000EE"/>
                  <w:w w:val="99"/>
                </w:rPr>
                <w:t>Certificate of Amendment to</w:t>
              </w:r>
            </w:hyperlink>
          </w:p>
        </w:tc>
        <w:tc>
          <w:tcPr>
            <w:tcW w:w="980" w:type="dxa"/>
            <w:vAlign w:val="bottom"/>
            <w:gridSpan w:val="14"/>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5/19/25</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22"/>
          </w:tcPr>
          <w:p>
            <w:pPr>
              <w:spacing w:after="0" w:line="182" w:lineRule="exact"/>
              <w:rPr>
                <w:rFonts w:ascii="Arial" w:cs="Arial" w:eastAsia="Arial" w:hAnsi="Arial"/>
                <w:sz w:val="18"/>
                <w:szCs w:val="18"/>
                <w:color w:val="0000EE"/>
              </w:rPr>
            </w:pPr>
            <w:hyperlink r:id="rId70">
              <w:r>
                <w:rPr>
                  <w:rFonts w:ascii="Arial" w:cs="Arial" w:eastAsia="Arial" w:hAnsi="Arial"/>
                  <w:sz w:val="18"/>
                  <w:szCs w:val="18"/>
                  <w:color w:val="0000EE"/>
                </w:rPr>
                <w:t>Amended and Restated Certificate of</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70">
              <w:r>
                <w:rPr>
                  <w:rFonts w:ascii="Arial" w:cs="Arial" w:eastAsia="Arial" w:hAnsi="Arial"/>
                  <w:sz w:val="18"/>
                  <w:szCs w:val="18"/>
                  <w:color w:val="0000EE"/>
                  <w:w w:val="99"/>
                </w:rPr>
                <w:t>Incorporation of Camping World</w:t>
              </w:r>
            </w:hyperlink>
          </w:p>
        </w:tc>
        <w:tc>
          <w:tcPr>
            <w:tcW w:w="400" w:type="dxa"/>
            <w:vAlign w:val="bottom"/>
            <w:tcBorders>
              <w:top w:val="single" w:sz="8" w:color="0000EE"/>
            </w:tcBorders>
            <w:gridSpan w:val="8"/>
          </w:tcPr>
          <w:p>
            <w:pPr>
              <w:spacing w:after="0"/>
              <w:rPr>
                <w:sz w:val="15"/>
                <w:szCs w:val="15"/>
                <w:color w:val="auto"/>
              </w:rPr>
            </w:pPr>
          </w:p>
        </w:tc>
        <w:tc>
          <w:tcPr>
            <w:tcW w:w="2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22"/>
          </w:tcPr>
          <w:p>
            <w:pPr>
              <w:spacing w:after="0" w:line="182" w:lineRule="exact"/>
              <w:rPr>
                <w:rFonts w:ascii="Arial" w:cs="Arial" w:eastAsia="Arial" w:hAnsi="Arial"/>
                <w:sz w:val="18"/>
                <w:szCs w:val="18"/>
                <w:color w:val="0000EE"/>
              </w:rPr>
            </w:pPr>
            <w:hyperlink r:id="rId70">
              <w:r>
                <w:rPr>
                  <w:rFonts w:ascii="Arial" w:cs="Arial" w:eastAsia="Arial" w:hAnsi="Arial"/>
                  <w:sz w:val="18"/>
                  <w:szCs w:val="18"/>
                  <w:color w:val="0000EE"/>
                </w:rPr>
                <w:t>Holdings, Inc., dated May 16, 2025</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2780" w:type="dxa"/>
            <w:vAlign w:val="bottom"/>
            <w:tcBorders>
              <w:top w:val="single" w:sz="8" w:color="0000EE"/>
            </w:tcBorders>
            <w:gridSpan w:val="17"/>
          </w:tcPr>
          <w:p>
            <w:pPr>
              <w:spacing w:after="0"/>
              <w:rPr>
                <w:rFonts w:ascii="Arial" w:cs="Arial" w:eastAsia="Arial" w:hAnsi="Arial"/>
                <w:sz w:val="18"/>
                <w:szCs w:val="18"/>
                <w:color w:val="0000EE"/>
              </w:rPr>
            </w:pPr>
            <w:hyperlink r:id="rId71">
              <w:r>
                <w:rPr>
                  <w:rFonts w:ascii="Arial" w:cs="Arial" w:eastAsia="Arial" w:hAnsi="Arial"/>
                  <w:sz w:val="18"/>
                  <w:szCs w:val="18"/>
                  <w:color w:val="0000EE"/>
                </w:rPr>
                <w:t>Amended and Restated Bylaws of</w:t>
              </w:r>
            </w:hyperlink>
          </w:p>
        </w:tc>
        <w:tc>
          <w:tcPr>
            <w:tcW w:w="440" w:type="dxa"/>
            <w:vAlign w:val="bottom"/>
            <w:gridSpan w:val="5"/>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5/1/25</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71">
              <w:r>
                <w:rPr>
                  <w:rFonts w:ascii="Arial" w:cs="Arial" w:eastAsia="Arial" w:hAnsi="Arial"/>
                  <w:sz w:val="18"/>
                  <w:szCs w:val="18"/>
                  <w:color w:val="0000EE"/>
                </w:rPr>
                <w:t>Camping World Holdings, Inc.</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380" w:type="dxa"/>
            <w:vAlign w:val="bottom"/>
            <w:tcBorders>
              <w:top w:val="single" w:sz="8" w:color="0000EE"/>
            </w:tcBorders>
            <w:gridSpan w:val="9"/>
          </w:tcPr>
          <w:p>
            <w:pPr>
              <w:spacing w:after="0"/>
              <w:rPr>
                <w:rFonts w:ascii="Arial" w:cs="Arial" w:eastAsia="Arial" w:hAnsi="Arial"/>
                <w:sz w:val="18"/>
                <w:szCs w:val="18"/>
                <w:color w:val="0000EE"/>
              </w:rPr>
            </w:pPr>
            <w:hyperlink r:id="rId72">
              <w:r>
                <w:rPr>
                  <w:rFonts w:ascii="Arial" w:cs="Arial" w:eastAsia="Arial" w:hAnsi="Arial"/>
                  <w:sz w:val="18"/>
                  <w:szCs w:val="18"/>
                  <w:color w:val="0000EE"/>
                </w:rPr>
                <w:t>Specimen Stock Certificate</w:t>
              </w:r>
            </w:hyperlink>
          </w:p>
        </w:tc>
        <w:tc>
          <w:tcPr>
            <w:tcW w:w="840" w:type="dxa"/>
            <w:vAlign w:val="bottom"/>
            <w:gridSpan w:val="13"/>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333-211977</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9/13/16</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22"/>
          </w:tcPr>
          <w:p>
            <w:pPr>
              <w:spacing w:after="0" w:line="182" w:lineRule="exact"/>
              <w:rPr>
                <w:rFonts w:ascii="Arial" w:cs="Arial" w:eastAsia="Arial" w:hAnsi="Arial"/>
                <w:sz w:val="18"/>
                <w:szCs w:val="18"/>
                <w:color w:val="0000EE"/>
              </w:rPr>
            </w:pPr>
            <w:hyperlink r:id="rId72">
              <w:r>
                <w:rPr>
                  <w:rFonts w:ascii="Arial" w:cs="Arial" w:eastAsia="Arial" w:hAnsi="Arial"/>
                  <w:sz w:val="18"/>
                  <w:szCs w:val="18"/>
                  <w:color w:val="0000EE"/>
                </w:rPr>
                <w:t>evidencing the shares of Class A</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72">
              <w:r>
                <w:rPr>
                  <w:rFonts w:ascii="Arial" w:cs="Arial" w:eastAsia="Arial" w:hAnsi="Arial"/>
                  <w:sz w:val="18"/>
                  <w:szCs w:val="18"/>
                  <w:color w:val="0000EE"/>
                </w:rPr>
                <w:t>common stock</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3220" w:type="dxa"/>
            <w:vAlign w:val="bottom"/>
            <w:gridSpan w:val="22"/>
          </w:tcPr>
          <w:p>
            <w:pPr>
              <w:spacing w:after="0"/>
              <w:rPr>
                <w:rFonts w:ascii="Arial" w:cs="Arial" w:eastAsia="Arial" w:hAnsi="Arial"/>
                <w:sz w:val="18"/>
                <w:szCs w:val="18"/>
                <w:color w:val="0000EE"/>
              </w:rPr>
            </w:pPr>
            <w:hyperlink r:id="rId73">
              <w:r>
                <w:rPr>
                  <w:rFonts w:ascii="Arial" w:cs="Arial" w:eastAsia="Arial" w:hAnsi="Arial"/>
                  <w:sz w:val="18"/>
                  <w:szCs w:val="18"/>
                  <w:color w:val="0000EE"/>
                </w:rPr>
                <w:t>Amended and Restated Camping</w:t>
              </w:r>
            </w:hyperlink>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5/19/25</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World Holdings, Inc. 2016 Incentive</w:t>
              </w:r>
            </w:hyperlink>
          </w:p>
        </w:tc>
        <w:tc>
          <w:tcPr>
            <w:tcW w:w="40" w:type="dxa"/>
            <w:vAlign w:val="bottom"/>
            <w:tcBorders>
              <w:bottom w:val="single" w:sz="8" w:color="0000EE"/>
            </w:tcBorders>
          </w:tcPr>
          <w:p>
            <w:pPr>
              <w:spacing w:after="0"/>
              <w:rPr>
                <w:sz w:val="15"/>
                <w:szCs w:val="15"/>
                <w:color w:val="auto"/>
              </w:rPr>
            </w:pPr>
          </w:p>
        </w:tc>
        <w:tc>
          <w:tcPr>
            <w:tcW w:w="12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8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19"/>
          </w:tcPr>
          <w:p>
            <w:pPr>
              <w:spacing w:after="0" w:line="182" w:lineRule="exact"/>
              <w:rPr>
                <w:rFonts w:ascii="Arial" w:cs="Arial" w:eastAsia="Arial" w:hAnsi="Arial"/>
                <w:sz w:val="18"/>
                <w:szCs w:val="18"/>
                <w:color w:val="0000EE"/>
              </w:rPr>
            </w:pPr>
            <w:hyperlink r:id="rId73">
              <w:r>
                <w:rPr>
                  <w:rFonts w:ascii="Arial" w:cs="Arial" w:eastAsia="Arial" w:hAnsi="Arial"/>
                  <w:sz w:val="18"/>
                  <w:szCs w:val="18"/>
                  <w:color w:val="0000EE"/>
                </w:rPr>
                <w:t>Award Plan</w:t>
              </w:r>
            </w:hyperlink>
          </w:p>
        </w:tc>
        <w:tc>
          <w:tcPr>
            <w:tcW w:w="38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3220" w:type="dxa"/>
            <w:vAlign w:val="bottom"/>
            <w:gridSpan w:val="22"/>
          </w:tcPr>
          <w:p>
            <w:pPr>
              <w:spacing w:after="0"/>
              <w:rPr>
                <w:sz w:val="20"/>
                <w:szCs w:val="20"/>
                <w:color w:val="auto"/>
              </w:rPr>
            </w:pPr>
            <w:r>
              <w:rPr>
                <w:rFonts w:ascii="Arial" w:cs="Arial" w:eastAsia="Arial" w:hAnsi="Arial"/>
                <w:sz w:val="18"/>
                <w:szCs w:val="18"/>
                <w:color w:val="0000EE"/>
              </w:rPr>
              <w:t>Camping World Holdings, Inc. Non-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Employee Director Compensation</w:t>
            </w:r>
          </w:p>
        </w:tc>
        <w:tc>
          <w:tcPr>
            <w:tcW w:w="400" w:type="dxa"/>
            <w:vAlign w:val="bottom"/>
            <w:gridSpan w:val="4"/>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Policy</w:t>
            </w:r>
          </w:p>
        </w:tc>
        <w:tc>
          <w:tcPr>
            <w:tcW w:w="520" w:type="dxa"/>
            <w:vAlign w:val="bottom"/>
            <w:gridSpan w:val="7"/>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1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Rule 13a-14(a) / 15d-14(a)</w:t>
            </w:r>
          </w:p>
        </w:tc>
        <w:tc>
          <w:tcPr>
            <w:tcW w:w="1060" w:type="dxa"/>
            <w:vAlign w:val="bottom"/>
            <w:gridSpan w:val="15"/>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22"/>
          </w:tcPr>
          <w:p>
            <w:pPr>
              <w:spacing w:after="0" w:line="182" w:lineRule="exact"/>
              <w:rPr>
                <w:sz w:val="20"/>
                <w:szCs w:val="20"/>
                <w:color w:val="auto"/>
              </w:rPr>
            </w:pPr>
            <w:r>
              <w:rPr>
                <w:rFonts w:ascii="Arial" w:cs="Arial" w:eastAsia="Arial" w:hAnsi="Arial"/>
                <w:sz w:val="18"/>
                <w:szCs w:val="18"/>
                <w:color w:val="0000EE"/>
              </w:rPr>
              <w:t>Certification of Chief Executive</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Officer</w:t>
            </w:r>
          </w:p>
        </w:tc>
        <w:tc>
          <w:tcPr>
            <w:tcW w:w="1920" w:type="dxa"/>
            <w:vAlign w:val="bottom"/>
            <w:tcBorders>
              <w:top w:val="single" w:sz="8" w:color="0000EE"/>
            </w:tcBorders>
            <w:gridSpan w:val="7"/>
          </w:tcPr>
          <w:p>
            <w:pPr>
              <w:spacing w:after="0"/>
              <w:rPr>
                <w:sz w:val="15"/>
                <w:szCs w:val="15"/>
                <w:color w:val="auto"/>
              </w:rPr>
            </w:pPr>
          </w:p>
        </w:tc>
        <w:tc>
          <w:tcPr>
            <w:tcW w:w="760" w:type="dxa"/>
            <w:vAlign w:val="bottom"/>
            <w:gridSpan w:val="1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6"/>
          </w:tcPr>
          <w:p>
            <w:pPr>
              <w:ind w:left="84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120" w:type="dxa"/>
            <w:vAlign w:val="bottom"/>
            <w:tcBorders>
              <w:top w:val="single" w:sz="8" w:color="auto"/>
              <w:bottom w:val="single" w:sz="8" w:color="0000EE"/>
            </w:tcBorders>
            <w:gridSpan w:val="2"/>
          </w:tcPr>
          <w:p>
            <w:pPr>
              <w:spacing w:after="0" w:line="169" w:lineRule="exact"/>
              <w:rPr>
                <w:sz w:val="20"/>
                <w:szCs w:val="20"/>
                <w:color w:val="auto"/>
              </w:rPr>
            </w:pPr>
            <w:r>
              <w:rPr>
                <w:rFonts w:ascii="Arial" w:cs="Arial" w:eastAsia="Arial" w:hAnsi="Arial"/>
                <w:sz w:val="18"/>
                <w:szCs w:val="18"/>
                <w:color w:val="0000EE"/>
                <w:w w:val="98"/>
              </w:rPr>
              <w:t>Rule 13a-14(a) / 15d-14(a)</w:t>
            </w:r>
          </w:p>
        </w:tc>
        <w:tc>
          <w:tcPr>
            <w:tcW w:w="900" w:type="dxa"/>
            <w:vAlign w:val="bottom"/>
            <w:tcBorders>
              <w:top w:val="single" w:sz="8" w:color="auto"/>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Certification of Chief Financial Officer</w:t>
            </w: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0000EE"/>
              </w:rPr>
              <w:t>Section 1350 Certification of Chief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Executive Officer</w:t>
            </w:r>
          </w:p>
        </w:tc>
        <w:tc>
          <w:tcPr>
            <w:tcW w:w="5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920" w:type="dxa"/>
            <w:vAlign w:val="bottom"/>
            <w:tcBorders>
              <w:left w:val="single" w:sz="8" w:color="0000EE"/>
            </w:tcBorders>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0000EE"/>
              </w:rPr>
              <w:t>Section 1350 Certification of Chief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Financial Officer</w:t>
            </w:r>
          </w:p>
        </w:tc>
        <w:tc>
          <w:tcPr>
            <w:tcW w:w="5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Inline XBRL Instance Document – the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7"/>
          </w:tcPr>
          <w:p>
            <w:pPr>
              <w:spacing w:after="0" w:line="202" w:lineRule="exact"/>
              <w:rPr>
                <w:sz w:val="20"/>
                <w:szCs w:val="20"/>
                <w:color w:val="auto"/>
              </w:rPr>
            </w:pPr>
            <w:r>
              <w:rPr>
                <w:rFonts w:ascii="Arial" w:cs="Arial" w:eastAsia="Arial" w:hAnsi="Arial"/>
                <w:sz w:val="18"/>
                <w:szCs w:val="18"/>
                <w:color w:val="auto"/>
              </w:rPr>
              <w:t>instance document does not appear</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7"/>
          </w:tcPr>
          <w:p>
            <w:pPr>
              <w:spacing w:after="0" w:line="202" w:lineRule="exact"/>
              <w:rPr>
                <w:sz w:val="20"/>
                <w:szCs w:val="20"/>
                <w:color w:val="auto"/>
              </w:rPr>
            </w:pPr>
            <w:r>
              <w:rPr>
                <w:rFonts w:ascii="Arial" w:cs="Arial" w:eastAsia="Arial" w:hAnsi="Arial"/>
                <w:sz w:val="18"/>
                <w:szCs w:val="18"/>
                <w:color w:val="auto"/>
              </w:rPr>
              <w:t>in the Interactive Data File because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7"/>
          </w:tcPr>
          <w:p>
            <w:pPr>
              <w:spacing w:after="0" w:line="202" w:lineRule="exact"/>
              <w:rPr>
                <w:sz w:val="20"/>
                <w:szCs w:val="20"/>
                <w:color w:val="auto"/>
              </w:rPr>
            </w:pPr>
            <w:r>
              <w:rPr>
                <w:rFonts w:ascii="Arial" w:cs="Arial" w:eastAsia="Arial" w:hAnsi="Arial"/>
                <w:sz w:val="18"/>
                <w:szCs w:val="18"/>
                <w:color w:val="auto"/>
              </w:rPr>
              <w:t>its XBRL tags are embedded within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the Inline XBRL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Schema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Calculation 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Inline XBRL Extension Definition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Inline XBRL Taxonomy Label</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Presentation 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Cover Page Interactive Data File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7"/>
          </w:tcPr>
          <w:p>
            <w:pPr>
              <w:spacing w:after="0" w:line="202" w:lineRule="exact"/>
              <w:rPr>
                <w:sz w:val="20"/>
                <w:szCs w:val="20"/>
                <w:color w:val="auto"/>
              </w:rPr>
            </w:pPr>
            <w:r>
              <w:rPr>
                <w:rFonts w:ascii="Arial" w:cs="Arial" w:eastAsia="Arial" w:hAnsi="Arial"/>
                <w:sz w:val="18"/>
                <w:szCs w:val="18"/>
                <w:color w:val="auto"/>
              </w:rPr>
              <w:t>(formatted as Inline XBRL and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7"/>
          </w:tcPr>
          <w:p>
            <w:pPr>
              <w:spacing w:after="0"/>
              <w:rPr>
                <w:sz w:val="20"/>
                <w:szCs w:val="20"/>
                <w:color w:val="auto"/>
              </w:rPr>
            </w:pPr>
            <w:r>
              <w:rPr>
                <w:rFonts w:ascii="Arial" w:cs="Arial" w:eastAsia="Arial" w:hAnsi="Arial"/>
                <w:sz w:val="18"/>
                <w:szCs w:val="18"/>
                <w:color w:val="auto"/>
              </w:rPr>
              <w:t>contained in Exhibit 101)</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270"/>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9" w:lineRule="exact"/>
        <w:rPr>
          <w:sz w:val="20"/>
          <w:szCs w:val="20"/>
          <w:color w:val="auto"/>
        </w:rPr>
      </w:pPr>
    </w:p>
    <w:p>
      <w:pPr>
        <w:ind w:left="320" w:hanging="270"/>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rFonts w:ascii="Arial" w:cs="Arial" w:eastAsia="Arial" w:hAnsi="Arial"/>
          <w:sz w:val="14"/>
          <w:szCs w:val="14"/>
          <w:color w:val="auto"/>
        </w:rPr>
      </w:pPr>
    </w:p>
    <w:p>
      <w:pPr>
        <w:ind w:left="320" w:hanging="270"/>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6080" w:type="dxa"/>
            <w:vAlign w:val="bottom"/>
            <w:gridSpan w:val="2"/>
          </w:tcPr>
          <w:p>
            <w:pPr>
              <w:ind w:left="1300"/>
              <w:spacing w:after="0"/>
              <w:rPr>
                <w:sz w:val="20"/>
                <w:szCs w:val="20"/>
                <w:color w:val="auto"/>
              </w:rPr>
            </w:pPr>
            <w:r>
              <w:rPr>
                <w:rFonts w:ascii="Arial" w:cs="Arial" w:eastAsia="Arial" w:hAnsi="Arial"/>
                <w:sz w:val="18"/>
                <w:szCs w:val="18"/>
                <w:b w:val="1"/>
                <w:bCs w:val="1"/>
                <w:color w:val="auto"/>
              </w:rPr>
              <w:t>Camping World Holdings, Inc</w:t>
            </w:r>
            <w:r>
              <w:rPr>
                <w:rFonts w:ascii="Arial" w:cs="Arial" w:eastAsia="Arial" w:hAnsi="Arial"/>
                <w:sz w:val="18"/>
                <w:szCs w:val="18"/>
                <w:color w:val="auto"/>
              </w:rPr>
              <w:t>.</w:t>
            </w:r>
          </w:p>
        </w:tc>
      </w:tr>
      <w:tr>
        <w:trPr>
          <w:trHeight w:val="221"/>
        </w:trPr>
        <w:tc>
          <w:tcPr>
            <w:tcW w:w="2820" w:type="dxa"/>
            <w:vAlign w:val="bottom"/>
          </w:tcPr>
          <w:p>
            <w:pPr>
              <w:spacing w:after="0"/>
              <w:rPr>
                <w:sz w:val="20"/>
                <w:szCs w:val="20"/>
                <w:color w:val="auto"/>
              </w:rPr>
            </w:pPr>
            <w:r>
              <w:rPr>
                <w:rFonts w:ascii="Arial" w:cs="Arial" w:eastAsia="Arial" w:hAnsi="Arial"/>
                <w:sz w:val="18"/>
                <w:szCs w:val="18"/>
                <w:color w:val="auto"/>
              </w:rPr>
              <w:t>Date: July 30, 2025</w:t>
            </w:r>
          </w:p>
        </w:tc>
        <w:tc>
          <w:tcPr>
            <w:tcW w:w="6080" w:type="dxa"/>
            <w:vAlign w:val="bottom"/>
            <w:gridSpan w:val="2"/>
          </w:tcPr>
          <w:p>
            <w:pPr>
              <w:ind w:left="1300"/>
              <w:spacing w:after="0"/>
              <w:rPr>
                <w:sz w:val="20"/>
                <w:szCs w:val="20"/>
                <w:color w:val="auto"/>
              </w:rPr>
            </w:pPr>
            <w:r>
              <w:rPr>
                <w:rFonts w:ascii="Arial" w:cs="Arial" w:eastAsia="Arial" w:hAnsi="Arial"/>
                <w:sz w:val="18"/>
                <w:szCs w:val="18"/>
                <w:color w:val="auto"/>
              </w:rPr>
              <w:t>By: /s/ Thomas E. Kirn</w:t>
            </w:r>
          </w:p>
        </w:tc>
      </w:tr>
      <w:tr>
        <w:trPr>
          <w:trHeight w:val="177"/>
        </w:trPr>
        <w:tc>
          <w:tcPr>
            <w:tcW w:w="2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Thomas E. Kirn</w:t>
            </w:r>
          </w:p>
        </w:tc>
      </w:tr>
      <w:tr>
        <w:trPr>
          <w:trHeight w:val="203"/>
        </w:trPr>
        <w:tc>
          <w:tcPr>
            <w:tcW w:w="2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(Principal Financial Officer and Principal</w:t>
            </w:r>
          </w:p>
        </w:tc>
      </w:tr>
      <w:tr>
        <w:trPr>
          <w:trHeight w:val="239"/>
        </w:trPr>
        <w:tc>
          <w:tcPr>
            <w:tcW w:w="2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w:t>
      </w:r>
      <w:r>
        <w:rPr>
          <w:rFonts w:ascii="Times New Roman" w:cs="Times New Roman" w:eastAsia="Times New Roman" w:hAnsi="Times New Roman"/>
          <w:sz w:val="17"/>
          <w:szCs w:val="17"/>
          <w:b w:val="1"/>
          <w:bCs w:val="1"/>
          <w:color w:val="auto"/>
        </w:rPr>
        <w:t>amping</w:t>
      </w:r>
      <w:r>
        <w:rPr>
          <w:rFonts w:ascii="Times New Roman" w:cs="Times New Roman" w:eastAsia="Times New Roman" w:hAnsi="Times New Roman"/>
          <w:sz w:val="25"/>
          <w:szCs w:val="25"/>
          <w:b w:val="1"/>
          <w:bCs w:val="1"/>
          <w:color w:val="auto"/>
        </w:rPr>
        <w:t xml:space="preserve"> W</w:t>
      </w:r>
      <w:r>
        <w:rPr>
          <w:rFonts w:ascii="Times New Roman" w:cs="Times New Roman" w:eastAsia="Times New Roman" w:hAnsi="Times New Roman"/>
          <w:sz w:val="17"/>
          <w:szCs w:val="17"/>
          <w:b w:val="1"/>
          <w:bCs w:val="1"/>
          <w:color w:val="auto"/>
        </w:rPr>
        <w:t>orld</w:t>
      </w:r>
      <w:r>
        <w:rPr>
          <w:rFonts w:ascii="Times New Roman" w:cs="Times New Roman" w:eastAsia="Times New Roman" w:hAnsi="Times New Roman"/>
          <w:sz w:val="25"/>
          <w:szCs w:val="25"/>
          <w:b w:val="1"/>
          <w:bCs w:val="1"/>
          <w:color w:val="auto"/>
        </w:rPr>
        <w:t xml:space="preserve"> H</w:t>
      </w:r>
      <w:r>
        <w:rPr>
          <w:rFonts w:ascii="Times New Roman" w:cs="Times New Roman" w:eastAsia="Times New Roman" w:hAnsi="Times New Roman"/>
          <w:sz w:val="17"/>
          <w:szCs w:val="17"/>
          <w:b w:val="1"/>
          <w:bCs w:val="1"/>
          <w:color w:val="auto"/>
        </w:rPr>
        <w:t>oldings</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w:t>
      </w:r>
      <w:r>
        <w:rPr>
          <w:rFonts w:ascii="Times New Roman" w:cs="Times New Roman" w:eastAsia="Times New Roman" w:hAnsi="Times New Roman"/>
          <w:sz w:val="17"/>
          <w:szCs w:val="17"/>
          <w:b w:val="1"/>
          <w:bCs w:val="1"/>
          <w:color w:val="auto"/>
        </w:rPr>
        <w:t>on</w:t>
      </w:r>
      <w:r>
        <w:rPr>
          <w:rFonts w:ascii="Times New Roman" w:cs="Times New Roman" w:eastAsia="Times New Roman" w:hAnsi="Times New Roman"/>
          <w:sz w:val="25"/>
          <w:szCs w:val="25"/>
          <w:b w:val="1"/>
          <w:bCs w:val="1"/>
          <w:color w:val="auto"/>
        </w:rPr>
        <w:t>-E</w:t>
      </w:r>
      <w:r>
        <w:rPr>
          <w:rFonts w:ascii="Times New Roman" w:cs="Times New Roman" w:eastAsia="Times New Roman" w:hAnsi="Times New Roman"/>
          <w:sz w:val="17"/>
          <w:szCs w:val="17"/>
          <w:b w:val="1"/>
          <w:bCs w:val="1"/>
          <w:color w:val="auto"/>
        </w:rPr>
        <w:t>mployee</w:t>
      </w:r>
      <w:r>
        <w:rPr>
          <w:rFonts w:ascii="Times New Roman" w:cs="Times New Roman" w:eastAsia="Times New Roman" w:hAnsi="Times New Roman"/>
          <w:sz w:val="25"/>
          <w:szCs w:val="25"/>
          <w:b w:val="1"/>
          <w:bCs w:val="1"/>
          <w:color w:val="auto"/>
        </w:rPr>
        <w:t xml:space="preserve"> D</w:t>
      </w:r>
      <w:r>
        <w:rPr>
          <w:rFonts w:ascii="Times New Roman" w:cs="Times New Roman" w:eastAsia="Times New Roman" w:hAnsi="Times New Roman"/>
          <w:sz w:val="17"/>
          <w:szCs w:val="17"/>
          <w:b w:val="1"/>
          <w:bCs w:val="1"/>
          <w:color w:val="auto"/>
        </w:rPr>
        <w:t>irector</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ompensation</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olicy</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9"/>
          <w:szCs w:val="19"/>
          <w:b w:val="1"/>
          <w:bCs w:val="1"/>
          <w:color w:val="auto"/>
        </w:rPr>
        <w:t>as amended effective as of March 24, 2025)</w:t>
      </w:r>
    </w:p>
    <w:p>
      <w:pPr>
        <w:spacing w:after="0" w:line="25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Non-employee members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Camping World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 receive cash and equity compensation as set forth in this Non-Employee Director Compensation Policy (as amended from time to time,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which was adopted effective as of October 6, 2016, and is hereby amended effective as of March 24, 2025.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who may be eligible to receive such cash or equity compensation, unless such Non-Employee Director declines the receipt of such cash or equity compensation by written notice to the Company. This Policy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 No Non-Employee Director shall have any rights hereunder, except with respect to restricted stock units granted pursuant to this Policy.</w:t>
      </w:r>
    </w:p>
    <w:p>
      <w:pPr>
        <w:spacing w:after="0" w:line="189"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 Each Non-Employee Director shall receive an annual retainer of $100,000 for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on the Board.</w:t>
      </w:r>
    </w:p>
    <w:p>
      <w:pPr>
        <w:spacing w:after="0" w:line="19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In addition, a Non-Employee Director shall receive the following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retainers:</w:t>
      </w:r>
    </w:p>
    <w:p>
      <w:pPr>
        <w:spacing w:after="0" w:line="193" w:lineRule="exact"/>
        <w:rPr>
          <w:rFonts w:ascii="Times New Roman" w:cs="Times New Roman" w:eastAsia="Times New Roman" w:hAnsi="Times New Roman"/>
          <w:sz w:val="20"/>
          <w:szCs w:val="20"/>
          <w:color w:val="auto"/>
        </w:rPr>
      </w:pPr>
    </w:p>
    <w:p>
      <w:pPr>
        <w:jc w:val="both"/>
        <w:ind w:right="20" w:firstLine="1952"/>
        <w:spacing w:after="0" w:line="249" w:lineRule="auto"/>
        <w:tabs>
          <w:tab w:leader="none" w:pos="2592"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 Non-Employee Director serving as Chairperson of the Audit Committee shall receive an additional annual retainer of $30,000 for such service. A Non-Employee Director serving as a member of the Audit Committee (other than the Chairperson) shall receive an additional annual retainer of $17,500 for such service.</w:t>
      </w:r>
    </w:p>
    <w:p>
      <w:pPr>
        <w:spacing w:after="0" w:line="179"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 Non-Employee Director serving as Chairperson of the Compensation Committee shall receive an additional annual retainer of $20,000 for such service. A Non-Employee Director serving as a member of the Compensation Committee (other than the Chairperson) shall receive an additional annual retainer of $12,500 for such service.</w:t>
      </w:r>
    </w:p>
    <w:p>
      <w:pPr>
        <w:spacing w:after="0" w:line="179"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 Non-Employee Director serving as Chairperson of the Nominating and Corporate Governance Committee shall receive an additional annual retainer of $15,000 for such service. A Non-Employee Director serving as a member of the Nominating and Corporate Governance Committee (other than the Chairperson) shall receive an additional annual retainer of $7,500 for such service.</w:t>
      </w:r>
    </w:p>
    <w:p>
      <w:pPr>
        <w:spacing w:after="0" w:line="179"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Lead Independent Director</w:t>
      </w:r>
      <w:r>
        <w:rPr>
          <w:rFonts w:ascii="Times New Roman" w:cs="Times New Roman" w:eastAsia="Times New Roman" w:hAnsi="Times New Roman"/>
          <w:sz w:val="20"/>
          <w:szCs w:val="20"/>
          <w:color w:val="auto"/>
        </w:rPr>
        <w:t>. A Non-Employee Director serving as the lead independent director shall receive an additional annual retainer of $50,000 for such service.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63" w:name="page64"/>
    <w:bookmarkEnd w:id="63"/>
    <w:p>
      <w:pPr>
        <w:jc w:val="both"/>
        <w:ind w:firstLine="1304"/>
        <w:spacing w:after="0" w:line="243" w:lineRule="auto"/>
        <w:tabs>
          <w:tab w:leader="none" w:pos="194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185"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 Effective as of May 13, 2022, Non-Employee Directors shall be granted the equity awards described below. The awards described below shall be granted under and shall be subject to the terms and provisions of the Company’s 2016 Incentive Award Plan or any other applicable Company equity incentive plan then-maintained by the Company (such plan, as may be amended from time to time,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18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RSU Awards</w:t>
      </w:r>
      <w:r>
        <w:rPr>
          <w:rFonts w:ascii="Times New Roman" w:cs="Times New Roman" w:eastAsia="Times New Roman" w:hAnsi="Times New Roman"/>
          <w:sz w:val="20"/>
          <w:szCs w:val="20"/>
          <w:color w:val="auto"/>
        </w:rPr>
        <w:t>. Each Non-Employee Director who (i) serves on the Board as of the date of any annual meeting of the Company’s stockholders (an “</w:t>
      </w:r>
      <w:r>
        <w:rPr>
          <w:rFonts w:ascii="Times New Roman" w:cs="Times New Roman" w:eastAsia="Times New Roman" w:hAnsi="Times New Roman"/>
          <w:sz w:val="20"/>
          <w:szCs w:val="20"/>
          <w:b w:val="1"/>
          <w:bCs w:val="1"/>
          <w:i w:val="1"/>
          <w:iCs w:val="1"/>
          <w:color w:val="auto"/>
        </w:rPr>
        <w:t>Annual Meeting</w:t>
      </w:r>
      <w:r>
        <w:rPr>
          <w:rFonts w:ascii="Times New Roman" w:cs="Times New Roman" w:eastAsia="Times New Roman" w:hAnsi="Times New Roman"/>
          <w:sz w:val="20"/>
          <w:szCs w:val="20"/>
          <w:color w:val="auto"/>
        </w:rPr>
        <w:t>”) on or after May 13, 2022 and (ii) will continue to serve as a Non-Employee Director immediately following such Annual Meeting shall be automatically granted, on the date of such Annual Meeting, restricted stock units that have an aggregate fair value on the date of grant of $150,000 (as determined in accordance with FASB Accounting Codification Topic 718 (“</w:t>
      </w:r>
      <w:r>
        <w:rPr>
          <w:rFonts w:ascii="Times New Roman" w:cs="Times New Roman" w:eastAsia="Times New Roman" w:hAnsi="Times New Roman"/>
          <w:sz w:val="20"/>
          <w:szCs w:val="20"/>
          <w:b w:val="1"/>
          <w:bCs w:val="1"/>
          <w:i w:val="1"/>
          <w:iCs w:val="1"/>
          <w:color w:val="auto"/>
        </w:rPr>
        <w:t>ASC 718</w:t>
      </w:r>
      <w:r>
        <w:rPr>
          <w:rFonts w:ascii="Times New Roman" w:cs="Times New Roman" w:eastAsia="Times New Roman" w:hAnsi="Times New Roman"/>
          <w:sz w:val="20"/>
          <w:szCs w:val="20"/>
          <w:color w:val="auto"/>
        </w:rPr>
        <w:t>”) and subject to adjustment as provided in the Equity Plan (the “</w:t>
      </w:r>
      <w:r>
        <w:rPr>
          <w:rFonts w:ascii="Times New Roman" w:cs="Times New Roman" w:eastAsia="Times New Roman" w:hAnsi="Times New Roman"/>
          <w:sz w:val="20"/>
          <w:szCs w:val="20"/>
          <w:b w:val="1"/>
          <w:bCs w:val="1"/>
          <w:i w:val="1"/>
          <w:iCs w:val="1"/>
          <w:color w:val="auto"/>
        </w:rPr>
        <w:t>Annual Awards</w:t>
      </w:r>
      <w:r>
        <w:rPr>
          <w:rFonts w:ascii="Times New Roman" w:cs="Times New Roman" w:eastAsia="Times New Roman" w:hAnsi="Times New Roman"/>
          <w:sz w:val="20"/>
          <w:szCs w:val="20"/>
          <w:color w:val="auto"/>
        </w:rPr>
        <w:t>”)). Additionally, a Non-Employee Director who serves on the Board as the Vice Chairperson of the Board as of the date of any Annual Meeting and will continue to serve as the Vice Chairperson of the Board immediately following such Annual Meeting shall be automatically granted, on the date of such Annual Meeting, additional restricted stock units that have an aggregate fair value on the date of grant of $100,000 (as determined in accordance with ASC 718 and subject to adjustment as provided in the Equity Plan).</w:t>
      </w:r>
    </w:p>
    <w:p>
      <w:pPr>
        <w:spacing w:after="0" w:line="192"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Except as otherwise determined by the Board, each Non-Employee Director who is initially elected or appointed to the Board after May 13, 2022 on any date other than the date of an Annual Meeting shall be automatically granted, on the date of such Non-Employee Director’s initial election or appointment (such Non-Employee Director’s “</w:t>
      </w:r>
      <w:r>
        <w:rPr>
          <w:rFonts w:ascii="Times New Roman" w:cs="Times New Roman" w:eastAsia="Times New Roman" w:hAnsi="Times New Roman"/>
          <w:sz w:val="20"/>
          <w:szCs w:val="20"/>
          <w:b w:val="1"/>
          <w:bCs w:val="1"/>
          <w:i w:val="1"/>
          <w:iCs w:val="1"/>
          <w:color w:val="auto"/>
        </w:rPr>
        <w:t>Start Date</w:t>
      </w:r>
      <w:r>
        <w:rPr>
          <w:rFonts w:ascii="Times New Roman" w:cs="Times New Roman" w:eastAsia="Times New Roman" w:hAnsi="Times New Roman"/>
          <w:sz w:val="20"/>
          <w:szCs w:val="20"/>
          <w:color w:val="auto"/>
        </w:rPr>
        <w:t>”), restricted stock units that have an aggregate fair value on such Non-Employee Director’s Start Date equal to the product of (i) $150,000 (as determined in accordance with ASC 718) and (ii) a fraction, the numerator of which is (x) 365 minus (y) the number of days in the period beginning on the date of the Annual Meeting immediately preceding such Non-Employee Director’s Start Date and ending on such Non-Employee Director’s Start Date and the denominator of which is 365 (with the number of units or shares of Common Stock underlying each such award subject to adjustment as provided in the Equity Plan in each case). The awards described in this Section 2(b) shall be referred to as “</w:t>
      </w:r>
      <w:r>
        <w:rPr>
          <w:rFonts w:ascii="Times New Roman" w:cs="Times New Roman" w:eastAsia="Times New Roman" w:hAnsi="Times New Roman"/>
          <w:sz w:val="20"/>
          <w:szCs w:val="20"/>
          <w:b w:val="1"/>
          <w:bCs w:val="1"/>
          <w:i w:val="1"/>
          <w:iCs w:val="1"/>
          <w:color w:val="auto"/>
        </w:rPr>
        <w:t>Initial Awards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For the avoidance of doubt, no Non-Employee Director shall be granted more than one Initial Award.</w:t>
      </w:r>
    </w:p>
    <w:p>
      <w:pPr>
        <w:spacing w:after="0" w:line="192"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of Employee Directors</w:t>
      </w:r>
      <w:r>
        <w:rPr>
          <w:rFonts w:ascii="Times New Roman" w:cs="Times New Roman" w:eastAsia="Times New Roman" w:hAnsi="Times New Roman"/>
          <w:sz w:val="20"/>
          <w:szCs w:val="20"/>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64" w:name="page65"/>
    <w:bookmarkEnd w:id="64"/>
    <w:p>
      <w:pPr>
        <w:spacing w:after="0" w:line="269" w:lineRule="auto"/>
        <w:rPr>
          <w:sz w:val="20"/>
          <w:szCs w:val="20"/>
          <w:color w:val="auto"/>
        </w:rPr>
      </w:pPr>
      <w:r>
        <w:rPr>
          <w:rFonts w:ascii="Times New Roman" w:cs="Times New Roman" w:eastAsia="Times New Roman" w:hAnsi="Times New Roman"/>
          <w:sz w:val="20"/>
          <w:szCs w:val="20"/>
          <w:color w:val="auto"/>
        </w:rPr>
        <w:t>eligible, will be eligible to receive, after termination from service with the Company and any parent or subsidiary of the Company, Annual Awards as described in Section 2(a) above.</w:t>
      </w:r>
    </w:p>
    <w:p>
      <w:pPr>
        <w:spacing w:after="0" w:line="159" w:lineRule="exact"/>
        <w:rPr>
          <w:sz w:val="20"/>
          <w:szCs w:val="20"/>
          <w:color w:val="auto"/>
        </w:rPr>
      </w:pPr>
    </w:p>
    <w:p>
      <w:pPr>
        <w:jc w:val="both"/>
        <w:ind w:firstLine="1304"/>
        <w:spacing w:after="0" w:line="244" w:lineRule="auto"/>
        <w:tabs>
          <w:tab w:leader="none" w:pos="194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Awards Granted to Non-Employee Directors</w:t>
      </w:r>
      <w:r>
        <w:rPr>
          <w:rFonts w:ascii="Times New Roman" w:cs="Times New Roman" w:eastAsia="Times New Roman" w:hAnsi="Times New Roman"/>
          <w:sz w:val="20"/>
          <w:szCs w:val="20"/>
          <w:color w:val="auto"/>
        </w:rPr>
        <w:t>. Each Initial Award and Annual Award (collectively, the “</w:t>
      </w:r>
      <w:r>
        <w:rPr>
          <w:rFonts w:ascii="Times New Roman" w:cs="Times New Roman" w:eastAsia="Times New Roman" w:hAnsi="Times New Roman"/>
          <w:sz w:val="20"/>
          <w:szCs w:val="20"/>
          <w:b w:val="1"/>
          <w:bCs w:val="1"/>
          <w:i w:val="1"/>
          <w:iCs w:val="1"/>
          <w:color w:val="auto"/>
        </w:rPr>
        <w:t>Awards</w:t>
      </w:r>
      <w:r>
        <w:rPr>
          <w:rFonts w:ascii="Times New Roman" w:cs="Times New Roman" w:eastAsia="Times New Roman" w:hAnsi="Times New Roman"/>
          <w:sz w:val="20"/>
          <w:szCs w:val="20"/>
          <w:color w:val="auto"/>
        </w:rPr>
        <w:t>”) shall vest on the first anniversary of the date of grant, subject in each case to the Non-Employee Director continuing in service through such vesting date. All of a Non-Employee Director’s Awards shall vest in full on the date such Non-Employee Director’s service is terminated due to a failure to be reelected, to the extent outstanding on the last date of such Non-Employee Director’s service on the Board. All of a Non-Employee Director’s Awards shall vest in full immediately prior to the occurrence of a Change in Control (as defined in the Equity Plan), to the extent outstanding at such time.</w:t>
      </w:r>
    </w:p>
    <w:p>
      <w:pPr>
        <w:spacing w:after="0" w:line="190" w:lineRule="exact"/>
        <w:rPr>
          <w:rFonts w:ascii="Times New Roman" w:cs="Times New Roman" w:eastAsia="Times New Roman" w:hAnsi="Times New Roman"/>
          <w:sz w:val="20"/>
          <w:szCs w:val="20"/>
          <w:color w:val="auto"/>
        </w:rPr>
      </w:pPr>
    </w:p>
    <w:p>
      <w:pPr>
        <w:ind w:left="4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Marcus A. Lemonis, certify that:</w:t>
      </w:r>
    </w:p>
    <w:p>
      <w:pPr>
        <w:spacing w:after="0" w:line="225" w:lineRule="exact"/>
        <w:rPr>
          <w:sz w:val="20"/>
          <w:szCs w:val="20"/>
          <w:color w:val="auto"/>
        </w:rPr>
      </w:pPr>
    </w:p>
    <w:p>
      <w:pPr>
        <w:ind w:left="240" w:hanging="196"/>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80" w:firstLine="4"/>
        <w:spacing w:after="0" w:line="268" w:lineRule="auto"/>
        <w:tabs>
          <w:tab w:leader="none" w:pos="2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80" w:firstLine="4"/>
        <w:spacing w:after="0" w:line="268" w:lineRule="auto"/>
        <w:tabs>
          <w:tab w:leader="none" w:pos="2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80" w:firstLine="4"/>
        <w:spacing w:after="0" w:line="261" w:lineRule="auto"/>
        <w:tabs>
          <w:tab w:leader="none" w:pos="2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80" w:hanging="8"/>
        <w:spacing w:after="0" w:line="262" w:lineRule="auto"/>
        <w:tabs>
          <w:tab w:leader="none" w:pos="103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80" w:hanging="8"/>
        <w:spacing w:after="0" w:line="262" w:lineRule="auto"/>
        <w:tabs>
          <w:tab w:leader="none" w:pos="97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80" w:hanging="8"/>
        <w:spacing w:after="0" w:line="268" w:lineRule="auto"/>
        <w:tabs>
          <w:tab w:leader="none" w:pos="971"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80" w:hanging="8"/>
        <w:spacing w:after="0" w:line="262" w:lineRule="auto"/>
        <w:tabs>
          <w:tab w:leader="none" w:pos="99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80" w:firstLine="4"/>
        <w:spacing w:after="0" w:line="261" w:lineRule="auto"/>
        <w:tabs>
          <w:tab w:leader="none" w:pos="2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80" w:hanging="8"/>
        <w:spacing w:after="0" w:line="268" w:lineRule="auto"/>
        <w:tabs>
          <w:tab w:leader="none" w:pos="99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80" w:hanging="8"/>
        <w:spacing w:after="0" w:line="287" w:lineRule="auto"/>
        <w:tabs>
          <w:tab w:leader="none" w:pos="100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80"/>
        <w:spacing w:after="0"/>
        <w:tabs>
          <w:tab w:leader="none" w:pos="4580" w:val="left"/>
        </w:tabs>
        <w:rPr>
          <w:sz w:val="20"/>
          <w:szCs w:val="20"/>
          <w:color w:val="auto"/>
        </w:rPr>
      </w:pPr>
      <w:r>
        <w:rPr>
          <w:rFonts w:ascii="Arial" w:cs="Arial" w:eastAsia="Arial" w:hAnsi="Arial"/>
          <w:sz w:val="18"/>
          <w:szCs w:val="18"/>
          <w:color w:val="auto"/>
        </w:rPr>
        <w:t>Date: July 30, 2025</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122" w:right="14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Thomas E. Kirn, certify that:</w:t>
      </w:r>
    </w:p>
    <w:p>
      <w:pPr>
        <w:spacing w:after="0" w:line="225" w:lineRule="exact"/>
        <w:rPr>
          <w:sz w:val="20"/>
          <w:szCs w:val="20"/>
          <w:color w:val="auto"/>
        </w:rPr>
      </w:pPr>
    </w:p>
    <w:p>
      <w:pPr>
        <w:ind w:left="240" w:hanging="196"/>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160" w:firstLine="4"/>
        <w:spacing w:after="0" w:line="268" w:lineRule="auto"/>
        <w:tabs>
          <w:tab w:leader="none" w:pos="2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160" w:firstLine="4"/>
        <w:spacing w:after="0" w:line="268" w:lineRule="auto"/>
        <w:tabs>
          <w:tab w:leader="none" w:pos="2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160" w:firstLine="4"/>
        <w:spacing w:after="0" w:line="261" w:lineRule="auto"/>
        <w:tabs>
          <w:tab w:leader="none" w:pos="27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160" w:hanging="8"/>
        <w:spacing w:after="0" w:line="262" w:lineRule="auto"/>
        <w:tabs>
          <w:tab w:leader="none" w:pos="103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160" w:hanging="8"/>
        <w:spacing w:after="0" w:line="262" w:lineRule="auto"/>
        <w:tabs>
          <w:tab w:leader="none" w:pos="97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160" w:hanging="8"/>
        <w:spacing w:after="0" w:line="268" w:lineRule="auto"/>
        <w:tabs>
          <w:tab w:leader="none" w:pos="971"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160" w:hanging="8"/>
        <w:spacing w:after="0" w:line="262" w:lineRule="auto"/>
        <w:tabs>
          <w:tab w:leader="none" w:pos="9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160" w:firstLine="4"/>
        <w:spacing w:after="0" w:line="261" w:lineRule="auto"/>
        <w:tabs>
          <w:tab w:leader="none" w:pos="2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160" w:hanging="8"/>
        <w:spacing w:after="0" w:line="268" w:lineRule="auto"/>
        <w:tabs>
          <w:tab w:leader="none" w:pos="9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160" w:hanging="8"/>
        <w:spacing w:after="0" w:line="287" w:lineRule="auto"/>
        <w:tabs>
          <w:tab w:leader="none" w:pos="10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July 30, 2025</w:t>
      </w:r>
      <w:r>
        <w:rPr>
          <w:sz w:val="20"/>
          <w:szCs w:val="20"/>
          <w:color w:val="auto"/>
        </w:rPr>
        <w:tab/>
      </w:r>
      <w:r>
        <w:rPr>
          <w:rFonts w:ascii="Arial" w:cs="Arial" w:eastAsia="Arial" w:hAnsi="Arial"/>
          <w:sz w:val="18"/>
          <w:szCs w:val="18"/>
          <w:color w:val="auto"/>
        </w:rPr>
        <w:t>By: /s/ Thomas E.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E. Kirn</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 and Principal</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20"/>
          </w:cols>
          <w:pgMar w:left="1440" w:top="122" w:right="1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right="20" w:firstLine="648"/>
        <w:spacing w:after="0" w:line="257"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June 30, 2025, as filed with the U.S. Securities and Exchange Commission on the date hereof (the “Report”), I, Marcus A. Lemonis, Chairman and Chief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40" w:right="20" w:firstLine="652"/>
        <w:spacing w:after="0" w:line="28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right="20" w:firstLine="652"/>
        <w:spacing w:after="0" w:line="287" w:lineRule="auto"/>
        <w:tabs>
          <w:tab w:leader="none" w:pos="9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July 30, 2025</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5203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460"/>
          </w:cols>
          <w:pgMar w:left="1440" w:top="122" w:right="999" w:bottom="1440" w:gutter="0" w:footer="0" w:header="0"/>
        </w:sectPr>
      </w:pPr>
    </w:p>
    <w:bookmarkStart w:id="68" w:name="page69"/>
    <w:bookmarkEnd w:id="68"/>
    <w:p>
      <w:pPr>
        <w:ind w:left="8280"/>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firstLine="648"/>
        <w:spacing w:after="0" w:line="257"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June 30, 2025, as filed with the U.S. Securities and Exchange Commission on the date hereof (the “Report”), I, Thomas E. Kirn,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40" w:firstLine="652"/>
        <w:spacing w:after="0" w:line="287" w:lineRule="auto"/>
        <w:tabs>
          <w:tab w:leader="none" w:pos="9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firstLine="652"/>
        <w:spacing w:after="0" w:line="287" w:lineRule="auto"/>
        <w:tabs>
          <w:tab w:leader="none" w:pos="9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020" w:type="dxa"/>
            <w:vAlign w:val="bottom"/>
          </w:tcPr>
          <w:p>
            <w:pPr>
              <w:spacing w:after="0"/>
              <w:rPr>
                <w:sz w:val="20"/>
                <w:szCs w:val="20"/>
                <w:color w:val="auto"/>
              </w:rPr>
            </w:pPr>
            <w:r>
              <w:rPr>
                <w:rFonts w:ascii="Arial" w:cs="Arial" w:eastAsia="Arial" w:hAnsi="Arial"/>
                <w:sz w:val="18"/>
                <w:szCs w:val="18"/>
                <w:color w:val="auto"/>
              </w:rPr>
              <w:t>Date: July 30, 2025</w:t>
            </w:r>
          </w:p>
        </w:tc>
        <w:tc>
          <w:tcPr>
            <w:tcW w:w="5900" w:type="dxa"/>
            <w:vAlign w:val="bottom"/>
            <w:gridSpan w:val="2"/>
          </w:tcPr>
          <w:p>
            <w:pPr>
              <w:ind w:left="1460"/>
              <w:spacing w:after="0"/>
              <w:rPr>
                <w:sz w:val="20"/>
                <w:szCs w:val="20"/>
                <w:color w:val="auto"/>
              </w:rPr>
            </w:pPr>
            <w:r>
              <w:rPr>
                <w:rFonts w:ascii="Arial" w:cs="Arial" w:eastAsia="Arial" w:hAnsi="Arial"/>
                <w:sz w:val="18"/>
                <w:szCs w:val="18"/>
                <w:color w:val="auto"/>
              </w:rPr>
              <w:t>By:  /s/ Thomas E. Kirn</w:t>
            </w:r>
          </w:p>
        </w:tc>
      </w:tr>
      <w:tr>
        <w:trPr>
          <w:trHeight w:val="191"/>
        </w:trPr>
        <w:tc>
          <w:tcPr>
            <w:tcW w:w="30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Thomas E. Kirn</w:t>
            </w:r>
          </w:p>
        </w:tc>
      </w:tr>
      <w:tr>
        <w:trPr>
          <w:trHeight w:val="216"/>
        </w:trPr>
        <w:tc>
          <w:tcPr>
            <w:tcW w:w="3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9"/>
        </w:trPr>
        <w:tc>
          <w:tcPr>
            <w:tcW w:w="3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813"/>
        </w:trPr>
        <w:tc>
          <w:tcPr>
            <w:tcW w:w="30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360"/>
      </w:cols>
      <w:pgMar w:left="1440" w:top="122"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2"/>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6"/>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0"/>
    </w:lvl>
  </w:abstractNum>
  <w:abstractNum w:abstractNumId="16">
    <w:nsid w:val="7C3DBD3D"/>
    <w:multiLevelType w:val="hybridMultilevel"/>
    <w:lvl w:ilvl="0">
      <w:lvlJc w:val="left"/>
      <w:lvlText w:val="(%1)"/>
      <w:numFmt w:val="lowerRoman"/>
      <w:start w:val="7"/>
    </w:lvl>
  </w:abstractNum>
  <w:abstractNum w:abstractNumId="17">
    <w:nsid w:val="737B8DDC"/>
    <w:multiLevelType w:val="hybridMultilevel"/>
    <w:lvl w:ilvl="0">
      <w:lvlJc w:val="left"/>
      <w:lvlText w:val="%1"/>
      <w:numFmt w:val="upperLetter"/>
      <w:start w:val="35"/>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5"/>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endash "/>
      <w:numFmt w:val="bullet"/>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8">
    <w:nsid w:val="70A64E2A"/>
    <w:multiLevelType w:val="hybridMultilevel"/>
    <w:lvl w:ilvl="0">
      <w:lvlJc w:val="left"/>
      <w:lvlText w:val="%1"/>
      <w:numFmt w:val="decimal"/>
      <w:start w:val="1"/>
    </w:lvl>
    <w:lvl w:ilvl="1">
      <w:lvlJc w:val="left"/>
      <w:lvlText w:val="(%2)"/>
      <w:numFmt w:val="lowerLetter"/>
      <w:start w:val="3"/>
    </w:lvl>
  </w:abstractNum>
  <w:abstractNum w:abstractNumId="39">
    <w:nsid w:val="6A2342EC"/>
    <w:multiLevelType w:val="hybridMultilevel"/>
    <w:lvl w:ilvl="0">
      <w:lvlJc w:val="left"/>
      <w:lvlText w:val="%1."/>
      <w:numFmt w:val="decimal"/>
      <w:start w:val="2"/>
    </w:lvl>
    <w:lvl w:ilvl="1">
      <w:lvlJc w:val="left"/>
      <w:lvlText w:val="(%2)"/>
      <w:numFmt w:val="lowerLetter"/>
      <w:start w:val="1"/>
    </w:lvl>
  </w:abstractNum>
  <w:abstractNum w:abstractNumId="40">
    <w:nsid w:val="2A487CB0"/>
    <w:multiLevelType w:val="hybridMultilevel"/>
    <w:lvl w:ilvl="0">
      <w:lvlJc w:val="left"/>
      <w:lvlText w:val="(%1)"/>
      <w:numFmt w:val="lowerLetter"/>
      <w:start w:val="4"/>
    </w:lvl>
    <w:lvl w:ilvl="1">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69" Type="http://schemas.openxmlformats.org/officeDocument/2006/relationships/hyperlink" Target="http://www.sec.gov/Archives/edgar/data/1669779/000155837016009958/cwh-20160930ex31ff0a1e6.htm" TargetMode="External"/><Relationship Id="rId70" Type="http://schemas.openxmlformats.org/officeDocument/2006/relationships/hyperlink" Target="https://www.sec.gov/Archives/edgar/data/1669779/000155837025007964/cwh-20250515xex3d1.htm" TargetMode="External"/><Relationship Id="rId71" Type="http://schemas.openxmlformats.org/officeDocument/2006/relationships/hyperlink" Target="https://www.sec.gov/Archives/edgar/data/1669779/000155837025006122/cwh-20250331xex3d2.htm" TargetMode="External"/><Relationship Id="rId72" Type="http://schemas.openxmlformats.org/officeDocument/2006/relationships/hyperlink" Target="http://www.sec.gov/Archives/edgar/data/1669779/000104746916015424/a2229683zex-4_1.htm" TargetMode="External"/><Relationship Id="rId73" Type="http://schemas.openxmlformats.org/officeDocument/2006/relationships/hyperlink" Target="https://www.sec.gov/Archives/edgar/data/1669779/000155837025007964/cwh-20250515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2025-07-30T15:22:54Z</dcterms:created>
  <dcterms:modified xsi:type="dcterms:W3CDTF">2025-07-30T15:22:54Z</dcterms:modified>
</cp:coreProperties>
</file>