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223520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UNITED STATES</w:t>
      </w:r>
    </w:p>
    <w:p>
      <w:pPr>
        <w:spacing w:after="0" w:line="8" w:lineRule="exact"/>
        <w:rPr>
          <w:sz w:val="24"/>
          <w:szCs w:val="24"/>
          <w:color w:val="auto"/>
        </w:rPr>
      </w:pPr>
    </w:p>
    <w:p>
      <w:pPr>
        <w:jc w:val="center"/>
        <w:ind w:right="14"/>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4"/>
        <w:spacing w:after="0"/>
        <w:rPr>
          <w:sz w:val="20"/>
          <w:szCs w:val="20"/>
          <w:color w:val="auto"/>
        </w:rPr>
      </w:pPr>
      <w:r>
        <w:rPr>
          <w:rFonts w:ascii="Arial" w:cs="Arial" w:eastAsia="Arial" w:hAnsi="Arial"/>
          <w:sz w:val="18"/>
          <w:szCs w:val="18"/>
          <w:b w:val="1"/>
          <w:bCs w:val="1"/>
          <w:color w:val="auto"/>
        </w:rPr>
        <w:t>Washington, D.C. 20549</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9"/>
          <w:szCs w:val="29"/>
          <w:b w:val="1"/>
          <w:bCs w:val="1"/>
          <w:color w:val="auto"/>
        </w:rPr>
        <w:t>FORM 10-Q</w:t>
      </w:r>
    </w:p>
    <w:p>
      <w:pPr>
        <w:spacing w:after="0" w:line="141" w:lineRule="exact"/>
        <w:rPr>
          <w:sz w:val="24"/>
          <w:szCs w:val="24"/>
          <w:color w:val="auto"/>
        </w:rPr>
      </w:pPr>
    </w:p>
    <w:p>
      <w:pPr>
        <w:ind w:left="3246" w:right="340" w:hanging="3246"/>
        <w:spacing w:after="0" w:line="310" w:lineRule="auto"/>
        <w:tabs>
          <w:tab w:leader="none" w:pos="658" w:val="left"/>
        </w:tabs>
        <w:numPr>
          <w:ilvl w:val="0"/>
          <w:numId w:val="1"/>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March 31, 2024</w:t>
      </w:r>
    </w:p>
    <w:p>
      <w:pPr>
        <w:spacing w:after="0" w:line="1" w:lineRule="exact"/>
        <w:rPr>
          <w:sz w:val="24"/>
          <w:szCs w:val="24"/>
          <w:color w:val="auto"/>
        </w:rPr>
      </w:pPr>
    </w:p>
    <w:p>
      <w:pPr>
        <w:jc w:val="center"/>
        <w:ind w:right="14"/>
        <w:spacing w:after="0"/>
        <w:rPr>
          <w:sz w:val="20"/>
          <w:szCs w:val="20"/>
          <w:color w:val="auto"/>
        </w:rPr>
      </w:pPr>
      <w:r>
        <w:rPr>
          <w:rFonts w:ascii="Arial" w:cs="Arial" w:eastAsia="Arial" w:hAnsi="Arial"/>
          <w:sz w:val="18"/>
          <w:szCs w:val="18"/>
          <w:color w:val="auto"/>
        </w:rPr>
        <w:t>or</w:t>
      </w:r>
    </w:p>
    <w:p>
      <w:pPr>
        <w:spacing w:after="0" w:line="90" w:lineRule="exact"/>
        <w:rPr>
          <w:sz w:val="24"/>
          <w:szCs w:val="24"/>
          <w:color w:val="auto"/>
        </w:rPr>
      </w:pPr>
    </w:p>
    <w:p>
      <w:pPr>
        <w:ind w:left="2406" w:right="340" w:hanging="2406"/>
        <w:spacing w:after="0" w:line="310" w:lineRule="auto"/>
        <w:tabs>
          <w:tab w:leader="none" w:pos="664"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 to _______________</w:t>
      </w:r>
    </w:p>
    <w:p>
      <w:pPr>
        <w:spacing w:after="0" w:line="1" w:lineRule="exact"/>
        <w:rPr>
          <w:rFonts w:ascii="MS PGothic" w:cs="MS PGothic" w:eastAsia="MS PGothic" w:hAnsi="MS PGothic"/>
          <w:sz w:val="20"/>
          <w:szCs w:val="20"/>
          <w:color w:val="auto"/>
        </w:rPr>
      </w:pPr>
    </w:p>
    <w:p>
      <w:pPr>
        <w:ind w:left="3646"/>
        <w:spacing w:after="0"/>
        <w:rPr>
          <w:rFonts w:ascii="MS PGothic" w:cs="MS PGothic" w:eastAsia="MS PGothic" w:hAnsi="MS PGothic"/>
          <w:sz w:val="20"/>
          <w:szCs w:val="20"/>
          <w:color w:val="auto"/>
        </w:rPr>
      </w:pPr>
      <w:r>
        <w:rPr>
          <w:rFonts w:ascii="Arial" w:cs="Arial" w:eastAsia="Arial" w:hAnsi="Arial"/>
          <w:sz w:val="18"/>
          <w:szCs w:val="18"/>
          <w:color w:val="auto"/>
        </w:rPr>
        <w:t>Commission file number: 001-37908</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25"/>
          <w:szCs w:val="25"/>
          <w:b w:val="1"/>
          <w:bCs w:val="1"/>
          <w:color w:val="auto"/>
        </w:rPr>
        <w:t>CAMPING WORLD HOLDINGS, INC.</w:t>
      </w:r>
    </w:p>
    <w:p>
      <w:pPr>
        <w:spacing w:after="0" w:line="30" w:lineRule="exact"/>
        <w:rPr>
          <w:sz w:val="24"/>
          <w:szCs w:val="24"/>
          <w:color w:val="auto"/>
        </w:rPr>
      </w:pPr>
    </w:p>
    <w:p>
      <w:pPr>
        <w:jc w:val="center"/>
        <w:ind w:right="14"/>
        <w:spacing w:after="0"/>
        <w:rPr>
          <w:sz w:val="20"/>
          <w:szCs w:val="20"/>
          <w:color w:val="auto"/>
        </w:rPr>
      </w:pPr>
      <w:r>
        <w:rPr>
          <w:rFonts w:ascii="Arial" w:cs="Arial" w:eastAsia="Arial" w:hAnsi="Arial"/>
          <w:sz w:val="20"/>
          <w:szCs w:val="20"/>
          <w:color w:val="auto"/>
        </w:rPr>
        <w:t>(Exact name of registrant as specified in its charter)</w:t>
      </w:r>
    </w:p>
    <w:p>
      <w:pPr>
        <w:sectPr>
          <w:pgSz w:w="11900" w:h="16838" w:orient="portrait"/>
          <w:cols w:equalWidth="0" w:num="1">
            <w:col w:w="10226"/>
          </w:cols>
          <w:pgMar w:left="834" w:top="661" w:right="839" w:bottom="1440" w:gutter="0" w:footer="0" w:header="0"/>
        </w:sectPr>
      </w:pPr>
    </w:p>
    <w:p>
      <w:pPr>
        <w:spacing w:after="0" w:line="79" w:lineRule="exact"/>
        <w:rPr>
          <w:sz w:val="24"/>
          <w:szCs w:val="24"/>
          <w:color w:val="auto"/>
        </w:rPr>
      </w:pPr>
    </w:p>
    <w:p>
      <w:pPr>
        <w:jc w:val="center"/>
        <w:ind w:right="394"/>
        <w:spacing w:after="0"/>
        <w:rPr>
          <w:sz w:val="20"/>
          <w:szCs w:val="20"/>
          <w:color w:val="auto"/>
        </w:rPr>
      </w:pPr>
      <w:r>
        <w:rPr>
          <w:rFonts w:ascii="Arial" w:cs="Arial" w:eastAsia="Arial" w:hAnsi="Arial"/>
          <w:sz w:val="18"/>
          <w:szCs w:val="18"/>
          <w:b w:val="1"/>
          <w:bCs w:val="1"/>
          <w:color w:val="auto"/>
        </w:rPr>
        <w:t>Delaware</w:t>
      </w:r>
    </w:p>
    <w:p>
      <w:pPr>
        <w:spacing w:after="0" w:line="14" w:lineRule="exact"/>
        <w:rPr>
          <w:sz w:val="24"/>
          <w:szCs w:val="24"/>
          <w:color w:val="auto"/>
        </w:rPr>
      </w:pPr>
    </w:p>
    <w:p>
      <w:pPr>
        <w:jc w:val="center"/>
        <w:ind w:right="394"/>
        <w:spacing w:after="0"/>
        <w:rPr>
          <w:sz w:val="20"/>
          <w:szCs w:val="20"/>
          <w:color w:val="auto"/>
        </w:rPr>
      </w:pPr>
      <w:r>
        <w:rPr>
          <w:rFonts w:ascii="Arial" w:cs="Arial" w:eastAsia="Arial" w:hAnsi="Arial"/>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81-1737145</w:t>
      </w:r>
    </w:p>
    <w:p>
      <w:pPr>
        <w:spacing w:after="0" w:line="14"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(I.R.S. Employer Identification No.)</w:t>
      </w:r>
    </w:p>
    <w:p>
      <w:pPr>
        <w:spacing w:after="0" w:line="151" w:lineRule="exact"/>
        <w:rPr>
          <w:sz w:val="24"/>
          <w:szCs w:val="24"/>
          <w:color w:val="auto"/>
        </w:rPr>
      </w:pPr>
    </w:p>
    <w:p>
      <w:pPr>
        <w:sectPr>
          <w:pgSz w:w="11900" w:h="16838" w:orient="portrait"/>
          <w:cols w:equalWidth="0" w:num="2">
            <w:col w:w="5606" w:space="720"/>
            <w:col w:w="3900"/>
          </w:cols>
          <w:pgMar w:left="834" w:top="661" w:right="839" w:bottom="1440" w:gutter="0" w:footer="0" w:header="0"/>
          <w:type w:val="continuous"/>
        </w:sectPr>
      </w:pPr>
    </w:p>
    <w:p>
      <w:pPr>
        <w:jc w:val="center"/>
        <w:ind w:right="-5"/>
        <w:spacing w:after="0"/>
        <w:rPr>
          <w:sz w:val="20"/>
          <w:szCs w:val="20"/>
          <w:color w:val="auto"/>
        </w:rPr>
      </w:pPr>
      <w:r>
        <w:rPr>
          <w:rFonts w:ascii="Arial" w:cs="Arial" w:eastAsia="Arial" w:hAnsi="Arial"/>
          <w:sz w:val="18"/>
          <w:szCs w:val="18"/>
          <w:b w:val="1"/>
          <w:bCs w:val="1"/>
          <w:color w:val="auto"/>
        </w:rPr>
        <w:t>2 Marriott Drive</w:t>
      </w:r>
    </w:p>
    <w:p>
      <w:pPr>
        <w:spacing w:after="0" w:line="9"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Lincolnshire, IL 60069</w:t>
      </w:r>
    </w:p>
    <w:p>
      <w:pPr>
        <w:jc w:val="center"/>
        <w:ind w:right="-5"/>
        <w:spacing w:after="0"/>
        <w:rPr>
          <w:sz w:val="20"/>
          <w:szCs w:val="20"/>
          <w:color w:val="auto"/>
        </w:rPr>
      </w:pPr>
      <w:r>
        <w:rPr>
          <w:rFonts w:ascii="Arial" w:cs="Arial" w:eastAsia="Arial" w:hAnsi="Arial"/>
          <w:sz w:val="18"/>
          <w:szCs w:val="18"/>
          <w:color w:val="auto"/>
        </w:rPr>
        <w:t>(Address of principal executive offices) (Zip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Telephone: (847) 808-3000</w:t>
      </w:r>
    </w:p>
    <w:p>
      <w:pPr>
        <w:spacing w:after="0" w:line="14" w:lineRule="exact"/>
        <w:rPr>
          <w:sz w:val="24"/>
          <w:szCs w:val="24"/>
          <w:color w:val="auto"/>
        </w:rPr>
      </w:pPr>
    </w:p>
    <w:p>
      <w:pPr>
        <w:jc w:val="center"/>
        <w:ind w:right="-5"/>
        <w:spacing w:after="0"/>
        <w:rPr>
          <w:sz w:val="20"/>
          <w:szCs w:val="20"/>
          <w:color w:val="auto"/>
        </w:rPr>
      </w:pPr>
      <w:r>
        <w:rPr>
          <w:rFonts w:ascii="Arial" w:cs="Arial" w:eastAsia="Arial" w:hAnsi="Arial"/>
          <w:sz w:val="18"/>
          <w:szCs w:val="18"/>
          <w:color w:val="auto"/>
        </w:rPr>
        <w:t>(Registrant’s telephone number, including area code)</w:t>
      </w:r>
    </w:p>
    <w:p>
      <w:pPr>
        <w:spacing w:after="0" w:line="86" w:lineRule="exact"/>
        <w:rPr>
          <w:sz w:val="24"/>
          <w:szCs w:val="24"/>
          <w:color w:val="auto"/>
        </w:rPr>
      </w:pPr>
    </w:p>
    <w:p>
      <w:pPr>
        <w:jc w:val="center"/>
        <w:ind w:right="-5"/>
        <w:spacing w:after="0"/>
        <w:rPr>
          <w:sz w:val="20"/>
          <w:szCs w:val="20"/>
          <w:color w:val="auto"/>
        </w:rPr>
      </w:pPr>
      <w:r>
        <w:rPr>
          <w:rFonts w:ascii="Arial" w:cs="Arial" w:eastAsia="Arial" w:hAnsi="Arial"/>
          <w:sz w:val="18"/>
          <w:szCs w:val="18"/>
          <w:b w:val="1"/>
          <w:bCs w:val="1"/>
          <w:color w:val="auto"/>
        </w:rPr>
        <w:t>N/A</w:t>
      </w:r>
    </w:p>
    <w:p>
      <w:pPr>
        <w:spacing w:after="0" w:line="14" w:lineRule="exact"/>
        <w:rPr>
          <w:sz w:val="24"/>
          <w:szCs w:val="24"/>
          <w:color w:val="auto"/>
        </w:rPr>
      </w:pPr>
    </w:p>
    <w:p>
      <w:pPr>
        <w:ind w:left="1846"/>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45" w:lineRule="exact"/>
        <w:rPr>
          <w:sz w:val="24"/>
          <w:szCs w:val="24"/>
          <w:color w:val="auto"/>
        </w:rPr>
      </w:pPr>
    </w:p>
    <w:p>
      <w:pPr>
        <w:ind w:left="246"/>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6" w:lineRule="exact"/>
        <w:rPr>
          <w:sz w:val="24"/>
          <w:szCs w:val="24"/>
          <w:color w:val="auto"/>
        </w:rPr>
      </w:pPr>
    </w:p>
    <w:tbl>
      <w:tblPr>
        <w:tblLayout w:type="fixed"/>
        <w:tblInd w:w="376" w:type="dxa"/>
        <w:tblCellMar>
          <w:top w:w="0" w:type="dxa"/>
          <w:left w:w="0" w:type="dxa"/>
          <w:bottom w:w="0" w:type="dxa"/>
          <w:right w:w="0" w:type="dxa"/>
        </w:tblCellMar>
      </w:tblPr>
      <w:tr>
        <w:trPr>
          <w:trHeight w:val="216"/>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177"/>
        </w:trPr>
        <w:tc>
          <w:tcPr>
            <w:tcW w:w="308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Class A Common Stock,</w:t>
            </w:r>
          </w:p>
        </w:tc>
        <w:tc>
          <w:tcPr>
            <w:tcW w:w="196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rPr>
              <w:t>CWH</w:t>
            </w:r>
          </w:p>
        </w:tc>
        <w:tc>
          <w:tcPr>
            <w:tcW w:w="44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New York Stock Exchange</w:t>
            </w:r>
          </w:p>
        </w:tc>
      </w:tr>
      <w:tr>
        <w:trPr>
          <w:trHeight w:val="221"/>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$0.01 par value per share</w:t>
            </w:r>
          </w:p>
        </w:tc>
        <w:tc>
          <w:tcPr>
            <w:tcW w:w="1960" w:type="dxa"/>
            <w:vAlign w:val="bottom"/>
            <w:tcBorders>
              <w:bottom w:val="single" w:sz="8" w:color="auto"/>
              <w:right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r>
    </w:tbl>
    <w:p>
      <w:pPr>
        <w:spacing w:after="0" w:line="89"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3" w:lineRule="exact"/>
        <w:rPr>
          <w:sz w:val="24"/>
          <w:szCs w:val="24"/>
          <w:color w:val="auto"/>
        </w:rPr>
      </w:pPr>
    </w:p>
    <w:p>
      <w:pPr>
        <w:jc w:val="both"/>
        <w:ind w:left="6" w:firstLine="247"/>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 w:lineRule="exact"/>
        <w:rPr>
          <w:sz w:val="24"/>
          <w:szCs w:val="24"/>
          <w:color w:val="auto"/>
        </w:rPr>
      </w:pPr>
    </w:p>
    <w:tbl>
      <w:tblPr>
        <w:tblLayout w:type="fixed"/>
        <w:tblInd w:w="1026"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60" w:type="dxa"/>
            <w:vAlign w:val="bottom"/>
          </w:tcPr>
          <w:p>
            <w:pPr>
              <w:ind w:left="6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160" w:type="dxa"/>
            <w:vAlign w:val="bottom"/>
          </w:tcPr>
          <w:p>
            <w:pPr>
              <w:ind w:left="4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120" w:type="dxa"/>
            <w:vAlign w:val="bottom"/>
          </w:tcPr>
          <w:p>
            <w:pPr>
              <w:ind w:left="92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jc w:val="right"/>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324"/>
        </w:trPr>
        <w:tc>
          <w:tcPr>
            <w:tcW w:w="1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20" w:type="dxa"/>
            <w:vAlign w:val="bottom"/>
            <w:gridSpan w:val="2"/>
          </w:tcPr>
          <w:p>
            <w:pPr>
              <w:ind w:left="920"/>
              <w:spacing w:after="0" w:line="242" w:lineRule="exact"/>
              <w:rPr>
                <w:sz w:val="20"/>
                <w:szCs w:val="20"/>
                <w:color w:val="auto"/>
              </w:rPr>
            </w:pPr>
            <w:r>
              <w:rPr>
                <w:rFonts w:ascii="Arial" w:cs="Arial" w:eastAsia="Arial" w:hAnsi="Arial"/>
                <w:sz w:val="18"/>
                <w:szCs w:val="18"/>
                <w:color w:val="auto"/>
              </w:rPr>
              <w:t xml:space="preserve">Emerging growth company </w:t>
            </w:r>
            <w:r>
              <w:rPr>
                <w:rFonts w:ascii="Arial Unicode MS" w:cs="Arial Unicode MS" w:eastAsia="Arial Unicode MS" w:hAnsi="Arial Unicode MS"/>
                <w:sz w:val="18"/>
                <w:szCs w:val="18"/>
                <w:color w:val="auto"/>
              </w:rPr>
              <w:t>☐</w:t>
            </w:r>
          </w:p>
        </w:tc>
      </w:tr>
    </w:tbl>
    <w:p>
      <w:pPr>
        <w:spacing w:after="0" w:line="75" w:lineRule="exact"/>
        <w:rPr>
          <w:sz w:val="24"/>
          <w:szCs w:val="24"/>
          <w:color w:val="auto"/>
        </w:rPr>
      </w:pPr>
    </w:p>
    <w:p>
      <w:pPr>
        <w:jc w:val="both"/>
        <w:ind w:left="6" w:firstLine="247"/>
        <w:spacing w:after="0" w:line="24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46"/>
        <w:spacing w:after="0" w:line="242" w:lineRule="exact"/>
        <w:rPr>
          <w:sz w:val="20"/>
          <w:szCs w:val="20"/>
          <w:color w:val="auto"/>
        </w:rPr>
      </w:pPr>
      <w:r>
        <w:rPr>
          <w:rFonts w:ascii="Arial Unicode MS" w:cs="Arial Unicode MS" w:eastAsia="Arial Unicode MS" w:hAnsi="Arial Unicode MS"/>
          <w:sz w:val="18"/>
          <w:szCs w:val="18"/>
          <w:color w:val="auto"/>
        </w:rPr>
        <w:t>☐</w:t>
      </w:r>
    </w:p>
    <w:p>
      <w:pPr>
        <w:spacing w:after="0" w:line="42" w:lineRule="exact"/>
        <w:rPr>
          <w:sz w:val="24"/>
          <w:szCs w:val="24"/>
          <w:color w:val="auto"/>
        </w:rPr>
      </w:pPr>
    </w:p>
    <w:p>
      <w:pPr>
        <w:ind w:left="6" w:firstLine="247"/>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62" w:lineRule="exact"/>
        <w:rPr>
          <w:sz w:val="24"/>
          <w:szCs w:val="24"/>
          <w:color w:val="auto"/>
        </w:rPr>
      </w:pPr>
    </w:p>
    <w:p>
      <w:pPr>
        <w:ind w:left="6" w:right="100" w:firstLine="247"/>
        <w:spacing w:after="0" w:line="271" w:lineRule="auto"/>
        <w:rPr>
          <w:sz w:val="20"/>
          <w:szCs w:val="20"/>
          <w:color w:val="auto"/>
        </w:rPr>
      </w:pPr>
      <w:r>
        <w:rPr>
          <w:rFonts w:ascii="Arial" w:cs="Arial" w:eastAsia="Arial" w:hAnsi="Arial"/>
          <w:sz w:val="18"/>
          <w:szCs w:val="18"/>
          <w:color w:val="auto"/>
        </w:rPr>
        <w:t>As of April 26, 2024, the registrant had 45,072,058 shares of Class A common stock, 39,466,964 shares of Class B common stock and one share of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443865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57785</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226"/>
          </w:cols>
          <w:pgMar w:left="834" w:top="661" w:right="83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Camping World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w:t>
      </w: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60" w:type="dxa"/>
            <w:vAlign w:val="bottom"/>
            <w:tcBorders>
              <w:bottom w:val="single" w:sz="8" w:color="0000EE"/>
            </w:tcBorders>
            <w:gridSpan w:val="8"/>
          </w:tcPr>
          <w:p>
            <w:pPr>
              <w:jc w:val="center"/>
              <w:spacing w:after="0"/>
              <w:rPr>
                <w:sz w:val="20"/>
                <w:szCs w:val="20"/>
                <w:color w:val="auto"/>
              </w:rPr>
            </w:pPr>
            <w:r>
              <w:rPr>
                <w:rFonts w:ascii="Arial" w:cs="Arial" w:eastAsia="Arial" w:hAnsi="Arial"/>
                <w:sz w:val="18"/>
                <w:szCs w:val="18"/>
                <w:b w:val="1"/>
                <w:bCs w:val="1"/>
                <w:color w:val="0000EE"/>
                <w:w w:val="99"/>
              </w:rPr>
              <w:t>PART I. FINANCIAL INFORMATION</w:t>
            </w:r>
          </w:p>
        </w:tc>
        <w:tc>
          <w:tcPr>
            <w:tcW w:w="2700" w:type="dxa"/>
            <w:vAlign w:val="bottom"/>
            <w:gridSpan w:val="8"/>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Item 1</w:t>
            </w:r>
          </w:p>
        </w:tc>
        <w:tc>
          <w:tcPr>
            <w:tcW w:w="7420" w:type="dxa"/>
            <w:vAlign w:val="bottom"/>
            <w:gridSpan w:val="23"/>
          </w:tcPr>
          <w:p>
            <w:pPr>
              <w:spacing w:after="0"/>
              <w:rPr>
                <w:sz w:val="20"/>
                <w:szCs w:val="20"/>
                <w:color w:val="auto"/>
              </w:rPr>
            </w:pPr>
            <w:r>
              <w:rPr>
                <w:rFonts w:ascii="Arial" w:cs="Arial" w:eastAsia="Arial" w:hAnsi="Arial"/>
                <w:sz w:val="18"/>
                <w:szCs w:val="18"/>
                <w:color w:val="0000EE"/>
              </w:rPr>
              <w:t>Financial Statements (unaudited)</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4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0"/>
              </w:rPr>
              <w:t>Unaudited Condensed Consolidated</w:t>
            </w:r>
          </w:p>
        </w:tc>
        <w:tc>
          <w:tcPr>
            <w:tcW w:w="4780" w:type="dxa"/>
            <w:vAlign w:val="bottom"/>
            <w:gridSpan w:val="11"/>
          </w:tcPr>
          <w:p>
            <w:pPr>
              <w:ind w:left="300"/>
              <w:spacing w:after="0" w:line="182" w:lineRule="exact"/>
              <w:rPr>
                <w:sz w:val="20"/>
                <w:szCs w:val="20"/>
                <w:color w:val="auto"/>
              </w:rPr>
            </w:pPr>
            <w:r>
              <w:rPr>
                <w:rFonts w:ascii="Arial" w:cs="Arial" w:eastAsia="Arial" w:hAnsi="Arial"/>
                <w:sz w:val="18"/>
                <w:szCs w:val="18"/>
                <w:color w:val="0000EE"/>
              </w:rPr>
              <w:t>Balance Sheets – March 31, 2024, December 31, 2023,</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38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and March 31, 2023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tcBorders>
              <w:top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88"/>
              </w:rPr>
              <w:t>Unaudited Condensed</w:t>
            </w:r>
          </w:p>
        </w:tc>
        <w:tc>
          <w:tcPr>
            <w:tcW w:w="5820" w:type="dxa"/>
            <w:vAlign w:val="bottom"/>
            <w:gridSpan w:val="17"/>
          </w:tcPr>
          <w:p>
            <w:pPr>
              <w:ind w:left="240"/>
              <w:spacing w:after="0" w:line="182" w:lineRule="exact"/>
              <w:rPr>
                <w:sz w:val="20"/>
                <w:szCs w:val="20"/>
                <w:color w:val="auto"/>
              </w:rPr>
            </w:pPr>
            <w:r>
              <w:rPr>
                <w:rFonts w:ascii="Arial" w:cs="Arial" w:eastAsia="Arial" w:hAnsi="Arial"/>
                <w:sz w:val="18"/>
                <w:szCs w:val="18"/>
                <w:color w:val="0000EE"/>
                <w:w w:val="99"/>
              </w:rPr>
              <w:t>Consolidated Statements of Operations – Three Months Ended March</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8"/>
              </w:rPr>
              <w:t>31, 2024 and 2023</w:t>
            </w:r>
          </w:p>
        </w:tc>
        <w:tc>
          <w:tcPr>
            <w:tcW w:w="59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Stockholders’ Equity – Three Months</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20" w:type="dxa"/>
            <w:vAlign w:val="bottom"/>
            <w:tcBorders>
              <w:top w:val="single" w:sz="8" w:color="0000EE"/>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Ended March 31, 2024 and 2023</w:t>
            </w:r>
          </w:p>
        </w:tc>
        <w:tc>
          <w:tcPr>
            <w:tcW w:w="4420" w:type="dxa"/>
            <w:vAlign w:val="bottom"/>
            <w:tcBorders>
              <w:top w:val="single" w:sz="8" w:color="0000EE"/>
            </w:tcBorders>
            <w:gridSpan w:val="8"/>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Unaudited Condensed Consolidated Statements of Cash Flows –Three Months Ended</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6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March 31, 2024 and 2023</w:t>
            </w:r>
          </w:p>
        </w:tc>
        <w:tc>
          <w:tcPr>
            <w:tcW w:w="220" w:type="dxa"/>
            <w:vAlign w:val="bottom"/>
            <w:gridSpan w:val="2"/>
          </w:tcPr>
          <w:p>
            <w:pPr>
              <w:spacing w:after="0"/>
              <w:rPr>
                <w:sz w:val="15"/>
                <w:szCs w:val="15"/>
                <w:color w:val="auto"/>
              </w:rPr>
            </w:pPr>
          </w:p>
        </w:tc>
        <w:tc>
          <w:tcPr>
            <w:tcW w:w="340" w:type="dxa"/>
            <w:vAlign w:val="bottom"/>
            <w:gridSpan w:val="3"/>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20" w:type="dxa"/>
            <w:vAlign w:val="bottom"/>
            <w:gridSpan w:val="23"/>
          </w:tcPr>
          <w:p>
            <w:pPr>
              <w:spacing w:after="0" w:line="182" w:lineRule="exact"/>
              <w:rPr>
                <w:sz w:val="20"/>
                <w:szCs w:val="20"/>
                <w:color w:val="auto"/>
              </w:rPr>
            </w:pPr>
            <w:r>
              <w:rPr>
                <w:rFonts w:ascii="Arial" w:cs="Arial" w:eastAsia="Arial" w:hAnsi="Arial"/>
                <w:sz w:val="18"/>
                <w:szCs w:val="18"/>
                <w:color w:val="0000EE"/>
              </w:rPr>
              <w:t>Notes to Unaudited Condensed Consolidated Financial Statements</w:t>
            </w: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2</w:t>
            </w:r>
          </w:p>
        </w:tc>
        <w:tc>
          <w:tcPr>
            <w:tcW w:w="53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Management’s Discussion and Analysis of Financial Condition and</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Results of Operations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8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340" w:type="dxa"/>
            <w:vAlign w:val="bottom"/>
            <w:gridSpan w:val="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95"/>
              </w:rPr>
              <w:t>Item 4</w:t>
            </w:r>
          </w:p>
        </w:tc>
        <w:tc>
          <w:tcPr>
            <w:tcW w:w="2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7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Controls and Procedures</w:t>
            </w:r>
          </w:p>
        </w:tc>
        <w:tc>
          <w:tcPr>
            <w:tcW w:w="140" w:type="dxa"/>
            <w:vAlign w:val="bottom"/>
            <w:gridSpan w:val="2"/>
          </w:tcPr>
          <w:p>
            <w:pPr>
              <w:spacing w:after="0"/>
              <w:rPr>
                <w:sz w:val="15"/>
                <w:szCs w:val="15"/>
                <w:color w:val="auto"/>
              </w:rPr>
            </w:pP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9"/>
              </w:rPr>
              <w:t>PART II. OTHER INFORMATION</w:t>
            </w:r>
          </w:p>
        </w:tc>
        <w:tc>
          <w:tcPr>
            <w:tcW w:w="2840" w:type="dxa"/>
            <w:vAlign w:val="bottom"/>
            <w:gridSpan w:val="10"/>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Arial" w:cs="Arial" w:eastAsia="Arial" w:hAnsi="Arial"/>
                <w:sz w:val="18"/>
                <w:szCs w:val="18"/>
                <w:color w:val="0000EE"/>
                <w:w w:val="99"/>
              </w:rPr>
              <w:t>Item 1</w:t>
            </w:r>
          </w:p>
        </w:tc>
        <w:tc>
          <w:tcPr>
            <w:tcW w:w="400" w:type="dxa"/>
            <w:vAlign w:val="bottom"/>
            <w:gridSpan w:val="3"/>
          </w:tcPr>
          <w:p>
            <w:pPr>
              <w:spacing w:after="0"/>
              <w:rPr>
                <w:sz w:val="24"/>
                <w:szCs w:val="24"/>
                <w:color w:val="auto"/>
              </w:rPr>
            </w:pPr>
          </w:p>
        </w:tc>
        <w:tc>
          <w:tcPr>
            <w:tcW w:w="7420" w:type="dxa"/>
            <w:vAlign w:val="bottom"/>
            <w:gridSpan w:val="23"/>
          </w:tcPr>
          <w:p>
            <w:pPr>
              <w:spacing w:after="0"/>
              <w:rPr>
                <w:sz w:val="20"/>
                <w:szCs w:val="20"/>
                <w:color w:val="auto"/>
              </w:rPr>
            </w:pPr>
            <w:r>
              <w:rPr>
                <w:rFonts w:ascii="Arial" w:cs="Arial" w:eastAsia="Arial" w:hAnsi="Arial"/>
                <w:sz w:val="18"/>
                <w:szCs w:val="18"/>
                <w:color w:val="0000EE"/>
              </w:rPr>
              <w:t>Legal Proceedings</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gridSpan w:val="5"/>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300" w:type="dxa"/>
            <w:vAlign w:val="bottom"/>
            <w:gridSpan w:val="6"/>
            <w:vMerge w:val="restart"/>
          </w:tcPr>
          <w:p>
            <w:pPr>
              <w:spacing w:after="0" w:line="20" w:lineRule="exact"/>
              <w:rPr>
                <w:sz w:val="1"/>
                <w:szCs w:val="1"/>
                <w:color w:val="auto"/>
              </w:rPr>
            </w:pPr>
          </w:p>
        </w:tc>
        <w:tc>
          <w:tcPr>
            <w:tcW w:w="2580" w:type="dxa"/>
            <w:vAlign w:val="bottom"/>
            <w:gridSpan w:val="7"/>
            <w:vMerge w:val="restart"/>
          </w:tcPr>
          <w:p>
            <w:pPr>
              <w:spacing w:after="0" w:line="20" w:lineRule="exact"/>
              <w:rPr>
                <w:sz w:val="1"/>
                <w:szCs w:val="1"/>
                <w:color w:val="auto"/>
              </w:rPr>
            </w:pPr>
          </w:p>
        </w:tc>
        <w:tc>
          <w:tcPr>
            <w:tcW w:w="560" w:type="dxa"/>
            <w:vAlign w:val="bottom"/>
            <w:vMerge w:val="restart"/>
          </w:tcPr>
          <w:p>
            <w:pPr>
              <w:jc w:val="center"/>
              <w:spacing w:after="0" w:line="202"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20" w:type="dxa"/>
            <w:vAlign w:val="bottom"/>
            <w:gridSpan w:val="5"/>
          </w:tcPr>
          <w:p>
            <w:pPr>
              <w:spacing w:after="0" w:line="182" w:lineRule="exact"/>
              <w:rPr>
                <w:sz w:val="20"/>
                <w:szCs w:val="20"/>
                <w:color w:val="auto"/>
              </w:rPr>
            </w:pPr>
            <w:r>
              <w:rPr>
                <w:rFonts w:ascii="Arial" w:cs="Arial" w:eastAsia="Arial" w:hAnsi="Arial"/>
                <w:sz w:val="18"/>
                <w:szCs w:val="18"/>
                <w:color w:val="0000EE"/>
              </w:rPr>
              <w:t>Item 1A</w:t>
            </w:r>
          </w:p>
        </w:tc>
        <w:tc>
          <w:tcPr>
            <w:tcW w:w="1480" w:type="dxa"/>
            <w:vAlign w:val="bottom"/>
            <w:gridSpan w:val="4"/>
          </w:tcPr>
          <w:p>
            <w:pPr>
              <w:spacing w:after="0" w:line="182" w:lineRule="exact"/>
              <w:rPr>
                <w:sz w:val="20"/>
                <w:szCs w:val="20"/>
                <w:color w:val="auto"/>
              </w:rPr>
            </w:pPr>
            <w:r>
              <w:rPr>
                <w:rFonts w:ascii="Arial" w:cs="Arial" w:eastAsia="Arial" w:hAnsi="Arial"/>
                <w:sz w:val="18"/>
                <w:szCs w:val="18"/>
                <w:color w:val="0000EE"/>
              </w:rPr>
              <w:t>Risk Factors</w:t>
            </w:r>
          </w:p>
        </w:tc>
        <w:tc>
          <w:tcPr>
            <w:tcW w:w="500" w:type="dxa"/>
            <w:vAlign w:val="bottom"/>
            <w:gridSpan w:val="5"/>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2300" w:type="dxa"/>
            <w:vAlign w:val="bottom"/>
            <w:gridSpan w:val="6"/>
            <w:vMerge w:val="continue"/>
          </w:tcPr>
          <w:p>
            <w:pPr>
              <w:spacing w:after="0"/>
              <w:rPr>
                <w:sz w:val="15"/>
                <w:szCs w:val="15"/>
                <w:color w:val="auto"/>
              </w:rPr>
            </w:pPr>
          </w:p>
        </w:tc>
        <w:tc>
          <w:tcPr>
            <w:tcW w:w="2580" w:type="dxa"/>
            <w:vAlign w:val="bottom"/>
            <w:gridSpan w:val="7"/>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2</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Unregistered</w:t>
            </w:r>
          </w:p>
        </w:tc>
        <w:tc>
          <w:tcPr>
            <w:tcW w:w="6420" w:type="dxa"/>
            <w:vAlign w:val="bottom"/>
            <w:gridSpan w:val="21"/>
          </w:tcPr>
          <w:p>
            <w:pPr>
              <w:ind w:left="80"/>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3</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484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Defaults Upon Senior Securities</w:t>
            </w:r>
          </w:p>
        </w:tc>
        <w:tc>
          <w:tcPr>
            <w:tcW w:w="2580" w:type="dxa"/>
            <w:vAlign w:val="bottom"/>
            <w:gridSpan w:val="7"/>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4</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5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Mine Safety Disclosures</w:t>
            </w:r>
          </w:p>
        </w:tc>
        <w:tc>
          <w:tcPr>
            <w:tcW w:w="4880" w:type="dxa"/>
            <w:vAlign w:val="bottom"/>
            <w:gridSpan w:val="13"/>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5</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Other Information</w:t>
            </w:r>
          </w:p>
        </w:tc>
        <w:tc>
          <w:tcPr>
            <w:tcW w:w="5440" w:type="dxa"/>
            <w:vAlign w:val="bottom"/>
            <w:gridSpan w:val="14"/>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Item 6</w:t>
            </w:r>
          </w:p>
        </w:tc>
        <w:tc>
          <w:tcPr>
            <w:tcW w:w="3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Exhibits</w:t>
            </w:r>
          </w:p>
        </w:tc>
        <w:tc>
          <w:tcPr>
            <w:tcW w:w="6020" w:type="dxa"/>
            <w:vAlign w:val="bottom"/>
            <w:gridSpan w:val="20"/>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920" w:type="dxa"/>
            <w:vAlign w:val="bottom"/>
            <w:gridSpan w:val="5"/>
          </w:tcPr>
          <w:p>
            <w:pPr>
              <w:spacing w:after="0"/>
              <w:rPr>
                <w:sz w:val="20"/>
                <w:szCs w:val="20"/>
                <w:color w:val="auto"/>
              </w:rPr>
            </w:pPr>
            <w:r>
              <w:rPr>
                <w:rFonts w:ascii="Arial" w:cs="Arial" w:eastAsia="Arial" w:hAnsi="Arial"/>
                <w:sz w:val="18"/>
                <w:szCs w:val="18"/>
                <w:color w:val="0000EE"/>
              </w:rPr>
              <w:t>Signatures</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1188"/>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8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As used in this Quarterly Report on Form 10-Q (this “Form 10-Q”), unless the context otherwise requires, references to:</w:t>
      </w:r>
    </w:p>
    <w:p>
      <w:pPr>
        <w:spacing w:after="0" w:line="113" w:lineRule="exact"/>
        <w:rPr>
          <w:sz w:val="20"/>
          <w:szCs w:val="20"/>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“us,” “our,” “CWH,” the “Company,” “Camping World” and similar references refer to Camping World Holdings, Inc., and, unless referenced as “CWH” or otherwise stated, all of its subsidiaries, including CWGS Enterprises, LLC, which we refer to as “CWGS, LLC” and, unless otherwise stated, all of its subsidiaries.</w:t>
      </w:r>
    </w:p>
    <w:p>
      <w:pPr>
        <w:spacing w:after="0" w:line="136" w:lineRule="exact"/>
        <w:rPr>
          <w:rFonts w:ascii="Times New Roman" w:cs="Times New Roman" w:eastAsia="Times New Roman" w:hAnsi="Times New Roman"/>
          <w:sz w:val="18"/>
          <w:szCs w:val="18"/>
          <w:color w:val="auto"/>
        </w:rPr>
      </w:pPr>
    </w:p>
    <w:p>
      <w:pPr>
        <w:jc w:val="both"/>
        <w:ind w:left="1380" w:right="79" w:hanging="331"/>
        <w:spacing w:after="0" w:line="246"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"Active Customer" refers to a customer who has transacted with us in any of the eight most recently completed fiscal quarters prior to the date of measurement. Unless otherwise indicated, the date of measurement is March 31, 2024, our most recently completed fiscal quarter.</w:t>
      </w:r>
    </w:p>
    <w:p>
      <w:pPr>
        <w:spacing w:after="0" w:line="149"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“Annual Report” refers to our Annual Report on Form 10-K for the year ended December 31, 2023 filed with the Securities and Exchange Commission (“SEC”) on February 26, 2024.</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39"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“Continuing Equity Owners” refers collectively to ML Acquisition, funds controlled by Crestview Partners II GP, L.P. and the Former Profits Unit Holders and each of their permitted transferees that own common units in CWGS, LLC and who may redeem at each of their options their common units for, at our election (determined solely by our independent directors within the meaning of the rules of the New York Stock Exchange who are disinterested), cash or newly-issued shares of our Class A common stock. Direct exchanges of common units in CWGS, LLC by the Continuing Equity Owners with CWH for Class A common stock are included in the reference to “redemptions” in relation to common units in CWGS, LLC.</w:t>
      </w:r>
    </w:p>
    <w:p>
      <w:pPr>
        <w:spacing w:after="0" w:line="145"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“Crestview” refers to Crestview Advisors, L.L.C., a registered investment adviser to private equity funds, including funds affiliated with Crestview Partners II GP, L.P.</w:t>
      </w:r>
    </w:p>
    <w:p>
      <w:pPr>
        <w:spacing w:after="0" w:line="127"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“CWGS LLC Agreement” refers to CWGS, LLC’s amended and restated limited liability company agreement, as amended.</w:t>
      </w:r>
    </w:p>
    <w:p>
      <w:pPr>
        <w:spacing w:after="0" w:line="113" w:lineRule="exact"/>
        <w:rPr>
          <w:rFonts w:ascii="Times New Roman" w:cs="Times New Roman" w:eastAsia="Times New Roman" w:hAnsi="Times New Roman"/>
          <w:sz w:val="18"/>
          <w:szCs w:val="18"/>
          <w:color w:val="auto"/>
        </w:rPr>
      </w:pPr>
    </w:p>
    <w:p>
      <w:pPr>
        <w:jc w:val="both"/>
        <w:ind w:left="1380" w:right="79" w:hanging="331"/>
        <w:spacing w:after="0" w:line="24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“Former Profits Unit Holders” refers collectively to Brent L. Moody and Karin L. Bell, who are executive officers; Andris A. Baltins and K. Dillon Schickli, who are members of our Board of Directors, and certain other current and former non-executive employees, former executive officers, and former directors, in each case, who held common units of CWGS, LLC pursuant to CWGS, LLC’s equity incentive plan that was in existence prior to our IPO and received common units of CWGS, LLC in exchange for their profits units in CWGS, LLC.</w:t>
      </w:r>
    </w:p>
    <w:p>
      <w:pPr>
        <w:spacing w:after="0" w:line="137" w:lineRule="exact"/>
        <w:rPr>
          <w:rFonts w:ascii="Times New Roman" w:cs="Times New Roman" w:eastAsia="Times New Roman" w:hAnsi="Times New Roman"/>
          <w:sz w:val="18"/>
          <w:szCs w:val="18"/>
          <w:color w:val="auto"/>
        </w:rPr>
      </w:pPr>
    </w:p>
    <w:p>
      <w:pPr>
        <w:ind w:left="1380" w:right="7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Acquisition” refers to ML Acquisition Company, LLC, a Delaware limited liability company, indirectly controlled by our Chairman and Chief Executive Officer, Marcus A. Lemonis.</w:t>
      </w:r>
    </w:p>
    <w:p>
      <w:pPr>
        <w:spacing w:after="0" w:line="127" w:lineRule="exact"/>
        <w:rPr>
          <w:rFonts w:ascii="Times New Roman" w:cs="Times New Roman" w:eastAsia="Times New Roman" w:hAnsi="Times New Roman"/>
          <w:sz w:val="18"/>
          <w:szCs w:val="18"/>
          <w:color w:val="auto"/>
        </w:rPr>
      </w:pPr>
    </w:p>
    <w:p>
      <w:pPr>
        <w:ind w:left="1380" w:right="539" w:hanging="331"/>
        <w:spacing w:after="0" w:line="270"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“ML RV Group” refers to ML RV Group, LLC, a Delaware limited liability company, wholly-owned by our Chairman and Chief Executive Officer, Marcus Lemonis.</w:t>
      </w:r>
    </w:p>
    <w:p>
      <w:pPr>
        <w:spacing w:after="0" w:line="113"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“RV” refers to recreational vehicles.</w:t>
      </w:r>
    </w:p>
    <w:p>
      <w:pPr>
        <w:spacing w:after="0" w:line="183" w:lineRule="exact"/>
        <w:rPr>
          <w:rFonts w:ascii="Times New Roman" w:cs="Times New Roman" w:eastAsia="Times New Roman" w:hAnsi="Times New Roman"/>
          <w:sz w:val="18"/>
          <w:szCs w:val="18"/>
          <w:color w:val="auto"/>
        </w:rPr>
      </w:pPr>
    </w:p>
    <w:p>
      <w:pPr>
        <w:ind w:left="1380" w:right="159" w:hanging="331"/>
        <w:spacing w:after="0" w:line="252" w:lineRule="auto"/>
        <w:tabs>
          <w:tab w:leader="none" w:pos="1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“Tax Receivable Agreement” refers to the tax receivable agreement that the Company entered into with CWGS, LLC, each of the Continuing Equity Owners and Crestview Partners II GP, L.P. in connection with the Company’s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This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Form 10-Q may be forward-looking statements. Statements regarding our future results of operations and financial position, business strategy and plans and objectives of management for future operations, including, among others, statements regarding the timeline for and benefits of our restructuring activities; expected new store location openings and closures, including greenfield locations and acquired locations; the impact of COVID-19 on our business; sufficiency of our sources of liquidity and capital and potential need for additional financing; our stock repurchase program; future capital expenditures, including with respect to our expansion of dealerships through acquisition and construction, and debt service obligations; refinancing, retirement or exchange of outstanding debt; expectations regarding industry trends and consumer behavior and growth; expectations regarding the impact of our inventory on our gross margins; industry trends or forecasts predicted by us or third parties; our ability to capture positive industry trends and pursue growth; our product offerings and strategy; inventory management; volatility in sales and potential impact of miscalculating the demand for our products or our product mix; expectations regarding increase of certain expenses in connection with our growth; cost reduction initiatives and expected cost savings; enhancements of wages and benefits of employees; expectations regarding our pending litigation, and our plans related to dividend payments, are forward-looking statements. In some cases, you can identify forward-looking statements by terms such as “anticipate,” “believe,” “can,” “continue,” “could,” “designed,” “estimate,” “expect,” “forecast,” “goal,” “intend,” “may,” “might,” “plan,” “possible,” “potential,” “predict,” “project,” “should,” “target,” “will,” “would” or the negative of these terms or other similar expressions.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but not limited to, the following:</w:t>
      </w:r>
    </w:p>
    <w:p>
      <w:pPr>
        <w:spacing w:after="0" w:line="149" w:lineRule="exact"/>
        <w:rPr>
          <w:sz w:val="20"/>
          <w:szCs w:val="20"/>
          <w:color w:val="auto"/>
        </w:rPr>
      </w:pPr>
    </w:p>
    <w:p>
      <w:pPr>
        <w:ind w:left="1040" w:right="73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conditions in our markets, including inflation and interest rates, and ongoing economic and financial uncertainties;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financing to us and our customers;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fuel shortages, or high prices for fuel;</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well-being, as well as the continued popularity and reputation for quality, of our manufacturers;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trends in the RV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consumer preferences or our failure to gauge those preferences;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strategic review of our Good Sam business and any potential resulting transaction;</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in the market for services, protection plans, products and resources targeting the RV lifestyle or RV enthusiast;</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expansion into new, unfamiliar markets, businesses, or product lines or categories, as well as delays in opening or acquiring new RV dealership locations;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expenses, difficulties, and delays frequently encountered in connection with expansion through acquisitions;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the strength and value of our brands;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order and manage our inventory to reflect consumer demand in a volatile market and anticipate changing consumer preferences and buying trends;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our same store revenue and whether such revenue will be a meaningful indicator of future performance;</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cyclical and seasonal nature of our business;</w:t>
      </w:r>
    </w:p>
    <w:p>
      <w:pPr>
        <w:spacing w:after="0" w:line="224" w:lineRule="exact"/>
        <w:rPr>
          <w:rFonts w:ascii="Times New Roman" w:cs="Times New Roman" w:eastAsia="Times New Roman" w:hAnsi="Times New Roman"/>
          <w:sz w:val="18"/>
          <w:szCs w:val="18"/>
          <w:color w:val="auto"/>
        </w:rPr>
      </w:pPr>
    </w:p>
    <w:p>
      <w:pPr>
        <w:ind w:left="1040" w:right="9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disruptions to or breaches of our or our third party providers’ information technology systems, including the February 2022 Cybersecurity Incident;</w:t>
      </w:r>
    </w:p>
    <w:p>
      <w:pPr>
        <w:spacing w:after="0" w:line="154" w:lineRule="exact"/>
        <w:rPr>
          <w:rFonts w:ascii="Times New Roman" w:cs="Times New Roman" w:eastAsia="Times New Roman" w:hAnsi="Times New Roman"/>
          <w:sz w:val="18"/>
          <w:szCs w:val="18"/>
          <w:color w:val="auto"/>
        </w:rPr>
      </w:pPr>
    </w:p>
    <w:p>
      <w:pPr>
        <w:ind w:left="1040" w:right="3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operate and expand our business and to respond to changing business and economic conditions, which depends on the availability of adequate capital;</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restrictive covenants imposed by our Senior Secured Credit Facilities and Floor Plan Facility;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COVID-19 and related impacts on our business;</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execute and achieve the expected benefits of our restructuring activities or cost cutting initiatives and costs and impairment charges incurred in connection with these activities or initiatives may be materially higher than expected or anticipated;</w:t>
      </w:r>
    </w:p>
    <w:p>
      <w:pPr>
        <w:spacing w:after="0" w:line="17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our fulfillment and distribution centers for our retail and e-commerce businesses;</w:t>
      </w:r>
    </w:p>
    <w:p>
      <w:pPr>
        <w:spacing w:after="0" w:line="224" w:lineRule="exact"/>
        <w:rPr>
          <w:rFonts w:ascii="Times New Roman" w:cs="Times New Roman" w:eastAsia="Times New Roman" w:hAnsi="Times New Roman"/>
          <w:sz w:val="18"/>
          <w:szCs w:val="18"/>
          <w:color w:val="auto"/>
        </w:rPr>
      </w:pPr>
    </w:p>
    <w:p>
      <w:pPr>
        <w:ind w:left="1040" w:right="15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ongoing class action lawsuits against us and certain of our officers and directors, as well as any potential future class action litigation;</w:t>
      </w:r>
    </w:p>
    <w:p>
      <w:pPr>
        <w:spacing w:after="0" w:line="154" w:lineRule="exact"/>
        <w:rPr>
          <w:rFonts w:ascii="Times New Roman" w:cs="Times New Roman" w:eastAsia="Times New Roman" w:hAnsi="Times New Roman"/>
          <w:sz w:val="18"/>
          <w:szCs w:val="18"/>
          <w:color w:val="auto"/>
        </w:rPr>
      </w:pPr>
    </w:p>
    <w:p>
      <w:pPr>
        <w:ind w:left="1040" w:right="4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whether or not caused by climate change, unusual weather conditions, epidemic outbreaks, terrorist acts and political events;</w:t>
      </w:r>
    </w:p>
    <w:p>
      <w:pPr>
        <w:spacing w:after="0" w:line="154" w:lineRule="exact"/>
        <w:rPr>
          <w:rFonts w:ascii="Times New Roman" w:cs="Times New Roman" w:eastAsia="Times New Roman" w:hAnsi="Times New Roman"/>
          <w:sz w:val="18"/>
          <w:szCs w:val="18"/>
          <w:color w:val="auto"/>
        </w:rPr>
      </w:pPr>
    </w:p>
    <w:p>
      <w:pPr>
        <w:ind w:left="1040" w:right="23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dependence on our relationships with third party providers of services, protection plans, products and resources and a disruption of these relationships or of these providers’ operations;</w:t>
      </w:r>
    </w:p>
    <w:p>
      <w:pPr>
        <w:spacing w:after="0" w:line="154" w:lineRule="exact"/>
        <w:rPr>
          <w:rFonts w:ascii="Times New Roman" w:cs="Times New Roman" w:eastAsia="Times New Roman" w:hAnsi="Times New Roman"/>
          <w:sz w:val="18"/>
          <w:szCs w:val="18"/>
          <w:color w:val="auto"/>
        </w:rPr>
      </w:pPr>
    </w:p>
    <w:p>
      <w:pPr>
        <w:ind w:left="1040" w:right="17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any delays, new or increased tariffs, increased cost or quality control deficiencies in the importation of our products manufactured abroad;</w:t>
      </w:r>
    </w:p>
    <w:p>
      <w:pPr>
        <w:spacing w:after="0" w:line="154" w:lineRule="exact"/>
        <w:rPr>
          <w:rFonts w:ascii="Times New Roman" w:cs="Times New Roman" w:eastAsia="Times New Roman" w:hAnsi="Times New Roman"/>
          <w:sz w:val="18"/>
          <w:szCs w:val="18"/>
          <w:color w:val="auto"/>
        </w:rPr>
      </w:pPr>
    </w:p>
    <w:p>
      <w:pPr>
        <w:ind w:left="1040" w:right="219" w:hanging="315"/>
        <w:spacing w:after="0" w:line="270"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whether third party lending institutions and insurance companies will continue to provide financing for RV purchases;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retain senior executives and attract and retain other qualified employees;</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leasing substantial amounts of space, including our inability to maintain the leases for our RV dealership locations or locate alternative sites for our stores in our target markets and on terms that are acceptable to us;</w:t>
      </w:r>
    </w:p>
    <w:p>
      <w:pPr>
        <w:spacing w:after="0" w:line="170"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private brand offerings exposing us to various risks;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being subject to numerous federal, state and local regulations;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 policies and legislation;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comply with certain environmental regulations;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climate change and other environmental, social, and governance matters;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a failure in our e-commerce operations, security breaches and cybersecurity risks;</w:t>
      </w:r>
    </w:p>
    <w:p>
      <w:pPr>
        <w:spacing w:after="0" w:line="224" w:lineRule="exact"/>
        <w:rPr>
          <w:rFonts w:ascii="Times New Roman" w:cs="Times New Roman" w:eastAsia="Times New Roman" w:hAnsi="Times New Roman"/>
          <w:sz w:val="18"/>
          <w:szCs w:val="18"/>
          <w:color w:val="auto"/>
        </w:rPr>
      </w:pPr>
    </w:p>
    <w:p>
      <w:pPr>
        <w:ind w:left="1040" w:right="61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enforce our intellectual property rights and accusations of our infringement on the intellectual property rights of third parties;</w:t>
      </w:r>
    </w:p>
    <w:p>
      <w:pPr>
        <w:spacing w:after="0" w:line="154" w:lineRule="exact"/>
        <w:rPr>
          <w:rFonts w:ascii="Times New Roman" w:cs="Times New Roman" w:eastAsia="Times New Roman" w:hAnsi="Times New Roman"/>
          <w:sz w:val="18"/>
          <w:szCs w:val="18"/>
          <w:color w:val="auto"/>
        </w:rPr>
      </w:pPr>
    </w:p>
    <w:p>
      <w:pPr>
        <w:ind w:left="1040" w:right="39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maintain or upgrade our information technology systems or our inability to convert to alternate systems in an efficient and timely manner;</w:t>
      </w:r>
    </w:p>
    <w:p>
      <w:pPr>
        <w:spacing w:after="0" w:line="154" w:lineRule="exact"/>
        <w:rPr>
          <w:rFonts w:ascii="Times New Roman" w:cs="Times New Roman" w:eastAsia="Times New Roman" w:hAnsi="Times New Roman"/>
          <w:sz w:val="18"/>
          <w:szCs w:val="18"/>
          <w:color w:val="auto"/>
        </w:rPr>
      </w:pPr>
    </w:p>
    <w:p>
      <w:pPr>
        <w:ind w:left="1040" w:right="63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 of product liability claims if people or property are harmed by the products we sell and other litigation risks;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pending litigation;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risks associated with our private brand offerings;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7"/>
          <w:szCs w:val="17"/>
          <w:color w:val="auto"/>
        </w:rPr>
      </w:pPr>
      <w:r>
        <w:rPr>
          <w:rFonts w:ascii="Arial" w:cs="Arial" w:eastAsia="Arial" w:hAnsi="Arial"/>
          <w:sz w:val="17"/>
          <w:szCs w:val="17"/>
          <w:color w:val="auto"/>
        </w:rPr>
        <w:t>possibility of future asset impairment charges for goodwill, intangible assets or other long-lived assets;</w:t>
      </w:r>
    </w:p>
    <w:p>
      <w:pPr>
        <w:spacing w:after="0" w:line="235" w:lineRule="exact"/>
        <w:rPr>
          <w:rFonts w:ascii="Times New Roman" w:cs="Times New Roman" w:eastAsia="Times New Roman" w:hAnsi="Times New Roman"/>
          <w:sz w:val="17"/>
          <w:szCs w:val="17"/>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litigation relating to products we sell or sold;</w:t>
      </w:r>
    </w:p>
    <w:p>
      <w:pPr>
        <w:spacing w:after="0" w:line="22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Marcus Lemonis, through his beneficial ownership of our shares directly or indirectly held by ML Acquisition Company, LLC and ML RV Group, LLC, has substantial control over us including matters requiring approval by our stockholders;</w:t>
      </w:r>
    </w:p>
    <w:p>
      <w:pPr>
        <w:spacing w:after="0" w:line="170" w:lineRule="exact"/>
        <w:rPr>
          <w:rFonts w:ascii="Times New Roman" w:cs="Times New Roman" w:eastAsia="Times New Roman" w:hAnsi="Times New Roman"/>
          <w:sz w:val="18"/>
          <w:szCs w:val="18"/>
          <w:color w:val="auto"/>
        </w:rPr>
      </w:pPr>
    </w:p>
    <w:p>
      <w:pPr>
        <w:ind w:left="1040" w:right="79" w:hanging="315"/>
        <w:spacing w:after="0" w:line="252"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exemptions from certain corporate governance requirements that we qualify for, and rely on, due to the fact that we are a ‘‘controlled company’’ within the meaning of the New York Stock Exchange, or NYSE, listing requirements;</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are able to realize any tax benefits that may arise from our organizational structure and any redemptions of CWGS Enterprises, LLC common units for cash or stock;</w:t>
      </w:r>
    </w:p>
    <w:p>
      <w:pPr>
        <w:spacing w:after="0" w:line="154" w:lineRule="exact"/>
        <w:rPr>
          <w:rFonts w:ascii="Times New Roman" w:cs="Times New Roman" w:eastAsia="Times New Roman" w:hAnsi="Times New Roman"/>
          <w:sz w:val="18"/>
          <w:szCs w:val="18"/>
          <w:color w:val="auto"/>
        </w:rPr>
      </w:pPr>
    </w:p>
    <w:p>
      <w:pPr>
        <w:ind w:left="1040" w:right="19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relating to our organizational structure and to ownership of shares of our Class A common stock;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set forth under ‘‘Risk Factors’’ in Item 1A of Part I of our Annual Report, in Item 1A of Part II of this Form 10-Q, and in our other filings with the SEC.</w:t>
      </w:r>
    </w:p>
    <w:p>
      <w:pPr>
        <w:spacing w:after="0" w:line="15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These risks may cause our actual results, performance or achievements to differ materially and adversely from those expressed or implied by the forward-looking statements.</w:t>
      </w:r>
    </w:p>
    <w:p>
      <w:pPr>
        <w:spacing w:after="0" w:line="12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Any forward-looking statements made herein speak only as of the date of this Form 10-Q, and you should not rely on forward-looking statements as predictions of future events. Although we believe that the expectations reflected in the forward-looking statements are reasonable, we cannot guarantee that the future effects, results, performance, or achievements reflected in the forward-looking statements will be achieved or occur. We undertake no obligation to update any of these forward-looking statements for any reason after the date of this Form 10-Q or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 – FINANCIAL INFORMATION</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1. Financial Statements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Camping World Holdings, Inc.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 Except Per Share Amounts)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March 31,</w:t>
            </w:r>
          </w:p>
        </w:tc>
        <w:tc>
          <w:tcPr>
            <w:tcW w:w="13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29,718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39,647</w:t>
            </w:r>
          </w:p>
        </w:tc>
        <w:tc>
          <w:tcPr>
            <w:tcW w:w="18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Contracts in transit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154,231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60,229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104,148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Accounts receivable,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100,246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128,070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109,105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2,077,592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2,042,949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1,980,106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Prepaid expenses and other assets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68,833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Assets held for sale</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6,276</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29,864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2,436,896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2,349,112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2,338,919</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878,956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834,426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751,287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Operating lease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768,903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740,052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729,958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Deferred tax assets,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153,716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157,326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12,998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13,717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15,381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735,680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711,222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36,013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39,829</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5,023,162</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4,845,684</w:t>
            </w:r>
          </w:p>
        </w:tc>
        <w:tc>
          <w:tcPr>
            <w:tcW w:w="1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4,630,513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Accounts payable</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205,006</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133,516</w:t>
            </w:r>
          </w:p>
        </w:tc>
        <w:tc>
          <w:tcPr>
            <w:tcW w:w="180" w:type="dxa"/>
            <w:vAlign w:val="bottom"/>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185,652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148,674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172,428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Deferred revenues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95,854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92,366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94,166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Current portion of operating lease liabilities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60,663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63,695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Current portion of finance lease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19,014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17,133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Current portion of Tax Receivable Agreement liability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12,943</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Current portion of long-term debt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25,651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22,121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26,969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Notes payable – floor plan,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1,414,696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1,371,145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1,042,099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Other current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72,783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68,536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77,924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Liabilities related to assets held for sale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17,288</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7,650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2,055,284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1,947,839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4"/>
                <w:szCs w:val="14"/>
                <w:color w:val="auto"/>
              </w:rPr>
              <w:t>1,684,834</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Operating lease liabilities, net of current portion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796,770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763,958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753,451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Finance lease liabilities, net of current portion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136,284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97,751</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100,701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Tax Receivable Agreement liability, net of current portion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149,866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149,866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165,054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Revolving line of credit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20,885</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Long-term debt, net of current portion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1,545,165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1,498,958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1,525,304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65,970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66,780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89,528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85,440</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liabilities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4,870,752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4,631,477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4,404,760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40" w:type="dxa"/>
            <w:vAlign w:val="bottom"/>
          </w:tcPr>
          <w:p>
            <w:pPr>
              <w:ind w:left="80"/>
              <w:spacing w:after="0" w:line="153" w:lineRule="exact"/>
              <w:rPr>
                <w:sz w:val="20"/>
                <w:szCs w:val="20"/>
                <w:color w:val="auto"/>
              </w:rPr>
            </w:pPr>
            <w:r>
              <w:rPr>
                <w:rFonts w:ascii="Arial" w:cs="Arial" w:eastAsia="Arial" w:hAnsi="Arial"/>
                <w:sz w:val="14"/>
                <w:szCs w:val="14"/>
                <w:color w:val="auto"/>
              </w:rPr>
              <w:t>Preferred stock, par value $0.01 per share – 20,000 shares authorized; none issued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and outstanding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4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Class A common stock, par value $0.01 per share – 250,000 shares authorized;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49,571, 49,571 and 49,571 shares issued, respectively; 45,072, 45,020 and 44,467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shares outstanding,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40" w:type="dxa"/>
            <w:vAlign w:val="bottom"/>
          </w:tcPr>
          <w:p>
            <w:pPr>
              <w:ind w:left="80"/>
              <w:spacing w:after="0" w:line="153" w:lineRule="exact"/>
              <w:rPr>
                <w:sz w:val="20"/>
                <w:szCs w:val="20"/>
                <w:color w:val="auto"/>
              </w:rPr>
            </w:pPr>
            <w:r>
              <w:rPr>
                <w:rFonts w:ascii="Arial" w:cs="Arial" w:eastAsia="Arial" w:hAnsi="Arial"/>
                <w:sz w:val="14"/>
                <w:szCs w:val="14"/>
                <w:color w:val="auto"/>
              </w:rPr>
              <w:t>Class B common stock, par value $0.0001 per share – 75,000 shares authorized;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39,466, 39,466 and 39,466 shares issued, respectively; 39,466, 39,466 and 39,466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shares outstanding, respectively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40" w:type="dxa"/>
            <w:vAlign w:val="bottom"/>
            <w:shd w:val="clear" w:color="auto" w:fill="CCEEFF"/>
          </w:tcPr>
          <w:p>
            <w:pPr>
              <w:ind w:left="80"/>
              <w:spacing w:after="0" w:line="153" w:lineRule="exact"/>
              <w:rPr>
                <w:sz w:val="20"/>
                <w:szCs w:val="20"/>
                <w:color w:val="auto"/>
              </w:rPr>
            </w:pPr>
            <w:r>
              <w:rPr>
                <w:rFonts w:ascii="Arial" w:cs="Arial" w:eastAsia="Arial" w:hAnsi="Arial"/>
                <w:sz w:val="14"/>
                <w:szCs w:val="14"/>
                <w:color w:val="auto"/>
              </w:rPr>
              <w:t>Class C common stock, par value $0.0001 per share – 0.001 share authorized,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issued and outstanding</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Pr>
          <w:p>
            <w:pPr>
              <w:ind w:left="80"/>
              <w:spacing w:after="0"/>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98,828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98,280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114,017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at cost; 4,499, 4,551, and 5,104 shares, respectively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(157,631)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(159,440)</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(178,832)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Retained earnings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157,303</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185,244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196,409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stockholders' equity attributable to Camping World Holdings, Inc.</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99,000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124,584</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132,094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Non-controlling interests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53,410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89,623</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5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stockholders' equity</w:t>
            </w:r>
          </w:p>
        </w:tc>
        <w:tc>
          <w:tcPr>
            <w:tcW w:w="1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152,410</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214,207</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225,753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540" w:type="dxa"/>
            <w:vAlign w:val="bottom"/>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5,023,162</w:t>
            </w:r>
          </w:p>
        </w:tc>
        <w:tc>
          <w:tcPr>
            <w:tcW w:w="1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4,845,684</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4,630,513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45,681</w:t>
            </w:r>
          </w:p>
        </w:tc>
        <w:tc>
          <w:tcPr>
            <w:tcW w:w="58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46,367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656,086</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646,752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337,685</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444,746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177,894</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207,661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Finance and insurance, net</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135,454</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129,772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Good Sam Club</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11,217</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6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1,318,336</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1,440,513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Pr>
          <w:p>
            <w:pPr>
              <w:spacing w:after="0" w:line="155" w:lineRule="exact"/>
              <w:rPr>
                <w:sz w:val="20"/>
                <w:szCs w:val="20"/>
                <w:color w:val="auto"/>
              </w:rPr>
            </w:pPr>
            <w:r>
              <w:rPr>
                <w:rFonts w:ascii="Arial" w:cs="Arial" w:eastAsia="Arial" w:hAnsi="Arial"/>
                <w:sz w:val="14"/>
                <w:szCs w:val="14"/>
                <w:color w:val="auto"/>
              </w:rPr>
              <w:t>Total revenue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1,364,017</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1,486,880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Costs applicable to revenue (exclusive of depreciation and amortization shown separately below):</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Good Sam Services and Plans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15,183</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RV and Outdoor Retail</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200"/>
              <w:spacing w:after="0"/>
              <w:rPr>
                <w:sz w:val="20"/>
                <w:szCs w:val="20"/>
                <w:color w:val="auto"/>
              </w:rPr>
            </w:pPr>
            <w:r>
              <w:rPr>
                <w:rFonts w:ascii="Arial" w:cs="Arial" w:eastAsia="Arial" w:hAnsi="Arial"/>
                <w:sz w:val="14"/>
                <w:szCs w:val="14"/>
                <w:color w:val="auto"/>
              </w:rPr>
              <w:t>New vehicles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565,039</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557,542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Used vehicles</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278,533</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341,947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200"/>
              <w:spacing w:after="0"/>
              <w:rPr>
                <w:sz w:val="20"/>
                <w:szCs w:val="20"/>
                <w:color w:val="auto"/>
              </w:rPr>
            </w:pPr>
            <w:r>
              <w:rPr>
                <w:rFonts w:ascii="Arial" w:cs="Arial" w:eastAsia="Arial" w:hAnsi="Arial"/>
                <w:sz w:val="14"/>
                <w:szCs w:val="14"/>
                <w:color w:val="auto"/>
              </w:rPr>
              <w:t>Products, service and other</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101,675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129,018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Good Sam Club</w:t>
            </w:r>
          </w:p>
        </w:tc>
        <w:tc>
          <w:tcPr>
            <w:tcW w:w="6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bottom w:val="single" w:sz="8" w:color="CCEEFF"/>
            </w:tcBorders>
          </w:tcPr>
          <w:p>
            <w:pPr>
              <w:ind w:left="200"/>
              <w:spacing w:after="0" w:line="155" w:lineRule="exact"/>
              <w:rPr>
                <w:sz w:val="20"/>
                <w:szCs w:val="20"/>
                <w:color w:val="auto"/>
              </w:rPr>
            </w:pPr>
            <w:r>
              <w:rPr>
                <w:rFonts w:ascii="Arial" w:cs="Arial" w:eastAsia="Arial" w:hAnsi="Arial"/>
                <w:sz w:val="14"/>
                <w:szCs w:val="14"/>
                <w:color w:val="auto"/>
              </w:rPr>
              <w:t>Subtotal</w:t>
            </w:r>
          </w:p>
        </w:tc>
        <w:tc>
          <w:tcPr>
            <w:tcW w:w="6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946,437</w:t>
            </w:r>
          </w:p>
        </w:tc>
        <w:tc>
          <w:tcPr>
            <w:tcW w:w="2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1,029,708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costs applicable to revenue</w:t>
            </w: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961,620</w:t>
            </w: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1,045,860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spacing w:after="0"/>
              <w:rPr>
                <w:sz w:val="20"/>
                <w:szCs w:val="20"/>
                <w:color w:val="auto"/>
              </w:rPr>
            </w:pPr>
            <w:r>
              <w:rPr>
                <w:rFonts w:ascii="Arial" w:cs="Arial" w:eastAsia="Arial" w:hAnsi="Arial"/>
                <w:sz w:val="14"/>
                <w:szCs w:val="14"/>
                <w:color w:val="auto"/>
              </w:rPr>
              <w:t>Operating expenses:</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Selling, general, and administrative</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371,473</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365,726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19,290</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14,637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Long-lived asset impairment</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Loss (gain) on sale or disposal of assets</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1,585</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(4,987)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operating expenses</w:t>
            </w:r>
          </w:p>
        </w:tc>
        <w:tc>
          <w:tcPr>
            <w:tcW w:w="6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398,175</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382,421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tcPr>
          <w:p>
            <w:pPr>
              <w:spacing w:after="0" w:line="155" w:lineRule="exact"/>
              <w:rPr>
                <w:sz w:val="20"/>
                <w:szCs w:val="20"/>
                <w:color w:val="auto"/>
              </w:rPr>
            </w:pPr>
            <w:r>
              <w:rPr>
                <w:rFonts w:ascii="Arial" w:cs="Arial" w:eastAsia="Arial" w:hAnsi="Arial"/>
                <w:sz w:val="14"/>
                <w:szCs w:val="14"/>
                <w:color w:val="auto"/>
              </w:rPr>
              <w:t>Income from operations</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4,222</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58,599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Floor plan interest expense</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(27,882)</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(20,810)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interest expense, net</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(36,094)</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expense, net</w:t>
            </w:r>
          </w:p>
        </w:tc>
        <w:tc>
          <w:tcPr>
            <w:tcW w:w="6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other expense</w:t>
            </w:r>
          </w:p>
        </w:tc>
        <w:tc>
          <w:tcPr>
            <w:tcW w:w="64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(64,070)</w:t>
            </w:r>
          </w:p>
        </w:tc>
        <w:tc>
          <w:tcPr>
            <w:tcW w:w="2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(53,423)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tcPr>
          <w:p>
            <w:pPr>
              <w:spacing w:after="0" w:line="155" w:lineRule="exact"/>
              <w:rPr>
                <w:sz w:val="20"/>
                <w:szCs w:val="20"/>
                <w:color w:val="auto"/>
              </w:rPr>
            </w:pPr>
            <w:r>
              <w:rPr>
                <w:rFonts w:ascii="Arial" w:cs="Arial" w:eastAsia="Arial" w:hAnsi="Arial"/>
                <w:sz w:val="14"/>
                <w:szCs w:val="14"/>
                <w:color w:val="auto"/>
              </w:rPr>
              <w:t>(Loss) income before income taxes</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(59,848)</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5,176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Income tax benefit (expense)</w:t>
            </w:r>
          </w:p>
        </w:tc>
        <w:tc>
          <w:tcPr>
            <w:tcW w:w="6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9,042</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40" w:type="dxa"/>
            <w:vAlign w:val="bottom"/>
          </w:tcPr>
          <w:p>
            <w:pPr>
              <w:spacing w:after="0" w:line="155" w:lineRule="exact"/>
              <w:rPr>
                <w:sz w:val="20"/>
                <w:szCs w:val="20"/>
                <w:color w:val="auto"/>
              </w:rPr>
            </w:pPr>
            <w:r>
              <w:rPr>
                <w:rFonts w:ascii="Arial" w:cs="Arial" w:eastAsia="Arial" w:hAnsi="Arial"/>
                <w:sz w:val="14"/>
                <w:szCs w:val="14"/>
                <w:color w:val="auto"/>
              </w:rPr>
              <w:t>Net (loss) income</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(50,806)</w:t>
            </w: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Less: net (loss) income attributable to non-controlling interests</w:t>
            </w:r>
          </w:p>
        </w:tc>
        <w:tc>
          <w:tcPr>
            <w:tcW w:w="6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28,499</w:t>
            </w:r>
          </w:p>
        </w:tc>
        <w:tc>
          <w:tcPr>
            <w:tcW w:w="2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Net (loss) income attributable to Camping World Holdings, Inc.</w:t>
            </w:r>
          </w:p>
        </w:tc>
        <w:tc>
          <w:tcPr>
            <w:tcW w:w="6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(22,307)</w:t>
            </w:r>
          </w:p>
        </w:tc>
        <w:tc>
          <w:tcPr>
            <w:tcW w:w="2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8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40" w:type="dxa"/>
            <w:vAlign w:val="bottom"/>
          </w:tcPr>
          <w:p>
            <w:pPr>
              <w:spacing w:after="0"/>
              <w:rPr>
                <w:sz w:val="20"/>
                <w:szCs w:val="20"/>
                <w:color w:val="auto"/>
              </w:rPr>
            </w:pPr>
            <w:r>
              <w:rPr>
                <w:rFonts w:ascii="Arial" w:cs="Arial" w:eastAsia="Arial" w:hAnsi="Arial"/>
                <w:sz w:val="14"/>
                <w:szCs w:val="14"/>
                <w:color w:val="auto"/>
              </w:rPr>
              <w:t>(Loss) earnings per share of Class A common stock:</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Basic</w:t>
            </w: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w:t>
            </w:r>
          </w:p>
        </w:tc>
        <w:tc>
          <w:tcPr>
            <w:tcW w:w="580" w:type="dxa"/>
            <w:vAlign w:val="bottom"/>
            <w:gridSpan w:val="2"/>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Diluted</w:t>
            </w:r>
          </w:p>
        </w:tc>
        <w:tc>
          <w:tcPr>
            <w:tcW w:w="9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(0.51)</w:t>
            </w:r>
          </w:p>
        </w:tc>
        <w:tc>
          <w:tcPr>
            <w:tcW w:w="580" w:type="dxa"/>
            <w:vAlign w:val="bottom"/>
            <w:gridSpan w:val="2"/>
          </w:tcPr>
          <w:p>
            <w:pPr>
              <w:jc w:val="right"/>
              <w:ind w:right="20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4"/>
                <w:szCs w:val="14"/>
                <w:color w:val="auto"/>
              </w:rPr>
              <w:t>Weighted average shares of Class A common stock outstanding:</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tcPr>
          <w:p>
            <w:pPr>
              <w:ind w:left="100"/>
              <w:spacing w:after="0"/>
              <w:rPr>
                <w:sz w:val="20"/>
                <w:szCs w:val="20"/>
                <w:color w:val="auto"/>
              </w:rPr>
            </w:pPr>
            <w:r>
              <w:rPr>
                <w:rFonts w:ascii="Arial" w:cs="Arial" w:eastAsia="Arial" w:hAnsi="Arial"/>
                <w:sz w:val="14"/>
                <w:szCs w:val="14"/>
                <w:color w:val="auto"/>
              </w:rPr>
              <w:t>Basic</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45,047</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44,455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Diluted</w:t>
            </w: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85,092</w:t>
            </w: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84,717</w:t>
            </w:r>
          </w:p>
        </w:tc>
        <w:tc>
          <w:tcPr>
            <w:tcW w:w="0" w:type="dxa"/>
            <w:vAlign w:val="bottom"/>
          </w:tcPr>
          <w:p>
            <w:pPr>
              <w:spacing w:after="0"/>
              <w:rPr>
                <w:sz w:val="1"/>
                <w:szCs w:val="1"/>
                <w:color w:val="auto"/>
              </w:rPr>
            </w:pPr>
          </w:p>
        </w:tc>
      </w:tr>
    </w:tbl>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20" w:top="512" w:right="8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8"/>
              </w:rPr>
              <w:t>Additional</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Non-</w:t>
            </w: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7"/>
        </w:trPr>
        <w:tc>
          <w:tcPr>
            <w:tcW w:w="2680" w:type="dxa"/>
            <w:vAlign w:val="bottom"/>
          </w:tcPr>
          <w:p>
            <w:pPr>
              <w:spacing w:after="0"/>
              <w:rPr>
                <w:sz w:val="11"/>
                <w:szCs w:val="11"/>
                <w:color w:val="auto"/>
              </w:rPr>
            </w:pPr>
          </w:p>
        </w:tc>
        <w:tc>
          <w:tcPr>
            <w:tcW w:w="118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C Common Stock</w:t>
            </w:r>
          </w:p>
        </w:tc>
        <w:tc>
          <w:tcPr>
            <w:tcW w:w="8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Paid-In</w:t>
            </w:r>
          </w:p>
        </w:tc>
        <w:tc>
          <w:tcPr>
            <w:tcW w:w="1280" w:type="dxa"/>
            <w:vAlign w:val="bottom"/>
            <w:gridSpan w:val="5"/>
          </w:tcPr>
          <w:p>
            <w:pPr>
              <w:jc w:val="right"/>
              <w:ind w:right="320"/>
              <w:spacing w:after="0"/>
              <w:rPr>
                <w:sz w:val="20"/>
                <w:szCs w:val="20"/>
                <w:color w:val="auto"/>
              </w:rPr>
            </w:pPr>
            <w:r>
              <w:rPr>
                <w:rFonts w:ascii="Arial" w:cs="Arial" w:eastAsia="Arial" w:hAnsi="Arial"/>
                <w:sz w:val="10"/>
                <w:szCs w:val="10"/>
                <w:b w:val="1"/>
                <w:bCs w:val="1"/>
                <w:color w:val="auto"/>
              </w:rPr>
              <w:t>Treasury Stock</w:t>
            </w:r>
          </w:p>
        </w:tc>
        <w:tc>
          <w:tcPr>
            <w:tcW w:w="100" w:type="dxa"/>
            <w:vAlign w:val="bottom"/>
          </w:tcPr>
          <w:p>
            <w:pPr>
              <w:spacing w:after="0"/>
              <w:rPr>
                <w:sz w:val="11"/>
                <w:szCs w:val="1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w w:val="99"/>
              </w:rPr>
              <w:t>Retained</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7"/>
              </w:rPr>
              <w:t>Controlling</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80" w:type="dxa"/>
            <w:vAlign w:val="bottom"/>
          </w:tcPr>
          <w:p>
            <w:pPr>
              <w:spacing w:after="0"/>
              <w:rPr>
                <w:sz w:val="10"/>
                <w:szCs w:val="10"/>
                <w:color w:val="auto"/>
              </w:rPr>
            </w:pPr>
          </w:p>
        </w:tc>
        <w:tc>
          <w:tcPr>
            <w:tcW w:w="460" w:type="dxa"/>
            <w:vAlign w:val="bottom"/>
            <w:tcBorders>
              <w:top w:val="single" w:sz="8" w:color="auto"/>
            </w:tcBorders>
          </w:tcPr>
          <w:p>
            <w:pPr>
              <w:jc w:val="right"/>
              <w:ind w:right="7"/>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Capital</w:t>
            </w:r>
          </w:p>
        </w:tc>
        <w:tc>
          <w:tcPr>
            <w:tcW w:w="56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b w:val="1"/>
                <w:bCs w:val="1"/>
                <w:color w:val="auto"/>
              </w:rPr>
              <w:t>Earnings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Interest</w:t>
            </w:r>
          </w:p>
        </w:tc>
        <w:tc>
          <w:tcPr>
            <w:tcW w:w="140" w:type="dxa"/>
            <w:vAlign w:val="bottom"/>
          </w:tcPr>
          <w:p>
            <w:pPr>
              <w:spacing w:after="0"/>
              <w:rPr>
                <w:sz w:val="10"/>
                <w:szCs w:val="10"/>
                <w:color w:val="auto"/>
              </w:rPr>
            </w:pPr>
          </w:p>
        </w:tc>
        <w:tc>
          <w:tcPr>
            <w:tcW w:w="540" w:type="dxa"/>
            <w:vAlign w:val="bottom"/>
          </w:tcPr>
          <w:p>
            <w:pPr>
              <w:jc w:val="right"/>
              <w:ind w:right="16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8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2023</w:t>
            </w: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98,280</w:t>
            </w:r>
          </w:p>
        </w:tc>
        <w:tc>
          <w:tcPr>
            <w:tcW w:w="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(4,551)</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(159,440)</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185,244</w:t>
            </w: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89,623</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214,207</w:t>
            </w:r>
          </w:p>
        </w:tc>
      </w:tr>
      <w:tr>
        <w:trPr>
          <w:trHeight w:val="135"/>
        </w:trPr>
        <w:tc>
          <w:tcPr>
            <w:tcW w:w="268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2,751</w:t>
            </w:r>
          </w:p>
        </w:tc>
        <w:tc>
          <w:tcPr>
            <w:tcW w:w="6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2,446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5,197</w:t>
            </w:r>
          </w:p>
        </w:tc>
      </w:tr>
      <w:tr>
        <w:trPr>
          <w:trHeight w:val="121"/>
        </w:trPr>
        <w:tc>
          <w:tcPr>
            <w:tcW w:w="26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(30)</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81</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w:t>
            </w:r>
          </w:p>
        </w:tc>
      </w:tr>
      <w:tr>
        <w:trPr>
          <w:trHeight w:val="108"/>
        </w:trPr>
        <w:tc>
          <w:tcPr>
            <w:tcW w:w="268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8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80" w:type="dxa"/>
            <w:vAlign w:val="bottom"/>
          </w:tcPr>
          <w:p>
            <w:pPr>
              <w:ind w:left="100"/>
              <w:spacing w:after="0"/>
              <w:rPr>
                <w:sz w:val="20"/>
                <w:szCs w:val="20"/>
                <w:color w:val="auto"/>
              </w:rPr>
            </w:pPr>
            <w:r>
              <w:rPr>
                <w:rFonts w:ascii="Arial" w:cs="Arial" w:eastAsia="Arial" w:hAnsi="Arial"/>
                <w:sz w:val="11"/>
                <w:szCs w:val="11"/>
                <w:color w:val="auto"/>
              </w:rPr>
              <w:t>options</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(22)</w:t>
            </w: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1"/>
        </w:trPr>
        <w:tc>
          <w:tcPr>
            <w:tcW w:w="26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(2,234)</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2,595</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(361)</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8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8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ind w:left="3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209</w:t>
            </w:r>
          </w:p>
        </w:tc>
        <w:tc>
          <w:tcPr>
            <w:tcW w:w="60" w:type="dxa"/>
            <w:vAlign w:val="bottom"/>
          </w:tcPr>
          <w:p>
            <w:pPr>
              <w:spacing w:after="0"/>
              <w:rPr>
                <w:sz w:val="11"/>
                <w:szCs w:val="1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(867)</w:t>
            </w:r>
          </w:p>
        </w:tc>
        <w:tc>
          <w:tcPr>
            <w:tcW w:w="100" w:type="dxa"/>
            <w:vAlign w:val="bottom"/>
          </w:tcPr>
          <w:p>
            <w:pPr>
              <w:spacing w:after="0"/>
              <w:rPr>
                <w:sz w:val="11"/>
                <w:szCs w:val="1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(658)</w:t>
            </w:r>
          </w:p>
        </w:tc>
      </w:tr>
      <w:tr>
        <w:trPr>
          <w:trHeight w:val="122"/>
        </w:trPr>
        <w:tc>
          <w:tcPr>
            <w:tcW w:w="26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(9,947)</w:t>
            </w: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(9,947)</w:t>
            </w:r>
          </w:p>
        </w:tc>
      </w:tr>
      <w:tr>
        <w:trPr>
          <w:trHeight w:val="122"/>
        </w:trPr>
        <w:tc>
          <w:tcPr>
            <w:tcW w:w="2680" w:type="dxa"/>
            <w:vAlign w:val="bottom"/>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(5,634)</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(5,634)</w:t>
            </w:r>
          </w:p>
        </w:tc>
      </w:tr>
      <w:tr>
        <w:trPr>
          <w:trHeight w:val="121"/>
        </w:trPr>
        <w:tc>
          <w:tcPr>
            <w:tcW w:w="26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(126)</w:t>
            </w:r>
          </w:p>
        </w:tc>
        <w:tc>
          <w:tcPr>
            <w:tcW w:w="5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126</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80" w:type="dxa"/>
            <w:vAlign w:val="bottom"/>
          </w:tcPr>
          <w:p>
            <w:pPr>
              <w:ind w:left="100"/>
              <w:spacing w:after="0" w:line="122" w:lineRule="exact"/>
              <w:rPr>
                <w:sz w:val="20"/>
                <w:szCs w:val="20"/>
                <w:color w:val="auto"/>
              </w:rPr>
            </w:pPr>
            <w:r>
              <w:rPr>
                <w:rFonts w:ascii="Arial" w:cs="Arial" w:eastAsia="Arial" w:hAnsi="Arial"/>
                <w:sz w:val="11"/>
                <w:szCs w:val="11"/>
                <w:color w:val="auto"/>
              </w:rPr>
              <w:t>Net loss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ind w:left="34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ind w:left="38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(22,307)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(28,499)</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(50,806)</w:t>
            </w:r>
          </w:p>
        </w:tc>
      </w:tr>
      <w:tr>
        <w:trPr>
          <w:trHeight w:val="115"/>
        </w:trPr>
        <w:tc>
          <w:tcPr>
            <w:tcW w:w="26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2024</w:t>
            </w: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ind w:left="34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98,828</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(4,499)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(157,631)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157,303</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53,410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152,410</w:t>
            </w:r>
          </w:p>
        </w:tc>
      </w:tr>
      <w:tr>
        <w:trPr>
          <w:trHeight w:val="20"/>
        </w:trPr>
        <w:tc>
          <w:tcPr>
            <w:tcW w:w="2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rPr>
              <w:t>Non-</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7"/>
        </w:trPr>
        <w:tc>
          <w:tcPr>
            <w:tcW w:w="2640" w:type="dxa"/>
            <w:vAlign w:val="bottom"/>
          </w:tcPr>
          <w:p>
            <w:pPr>
              <w:spacing w:after="0"/>
              <w:rPr>
                <w:sz w:val="11"/>
                <w:szCs w:val="11"/>
                <w:color w:val="auto"/>
              </w:rPr>
            </w:pPr>
          </w:p>
        </w:tc>
        <w:tc>
          <w:tcPr>
            <w:tcW w:w="122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Class A Common Stock</w:t>
            </w:r>
          </w:p>
        </w:tc>
        <w:tc>
          <w:tcPr>
            <w:tcW w:w="1200" w:type="dxa"/>
            <w:vAlign w:val="bottom"/>
            <w:gridSpan w:val="5"/>
          </w:tcPr>
          <w:p>
            <w:pPr>
              <w:jc w:val="center"/>
              <w:ind w:right="80"/>
              <w:spacing w:after="0"/>
              <w:rPr>
                <w:sz w:val="20"/>
                <w:szCs w:val="20"/>
                <w:color w:val="auto"/>
              </w:rPr>
            </w:pPr>
            <w:r>
              <w:rPr>
                <w:rFonts w:ascii="Arial" w:cs="Arial" w:eastAsia="Arial" w:hAnsi="Arial"/>
                <w:sz w:val="10"/>
                <w:szCs w:val="10"/>
                <w:b w:val="1"/>
                <w:bCs w:val="1"/>
                <w:color w:val="auto"/>
                <w:w w:val="99"/>
              </w:rPr>
              <w:t>Class B Common Stock</w:t>
            </w:r>
          </w:p>
        </w:tc>
        <w:tc>
          <w:tcPr>
            <w:tcW w:w="1140" w:type="dxa"/>
            <w:vAlign w:val="bottom"/>
            <w:gridSpan w:val="4"/>
          </w:tcPr>
          <w:p>
            <w:pPr>
              <w:jc w:val="center"/>
              <w:spacing w:after="0"/>
              <w:rPr>
                <w:sz w:val="20"/>
                <w:szCs w:val="20"/>
                <w:color w:val="auto"/>
              </w:rPr>
            </w:pPr>
            <w:r>
              <w:rPr>
                <w:rFonts w:ascii="Arial" w:cs="Arial" w:eastAsia="Arial" w:hAnsi="Arial"/>
                <w:sz w:val="10"/>
                <w:szCs w:val="10"/>
                <w:b w:val="1"/>
                <w:bCs w:val="1"/>
                <w:color w:val="auto"/>
                <w:w w:val="99"/>
              </w:rPr>
              <w:t>Class C Common Stock</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Paid-In</w:t>
            </w:r>
          </w:p>
        </w:tc>
        <w:tc>
          <w:tcPr>
            <w:tcW w:w="1200" w:type="dxa"/>
            <w:vAlign w:val="bottom"/>
            <w:gridSpan w:val="4"/>
          </w:tcPr>
          <w:p>
            <w:pPr>
              <w:jc w:val="right"/>
              <w:ind w:right="206"/>
              <w:spacing w:after="0"/>
              <w:rPr>
                <w:sz w:val="20"/>
                <w:szCs w:val="20"/>
                <w:color w:val="auto"/>
              </w:rPr>
            </w:pPr>
            <w:r>
              <w:rPr>
                <w:rFonts w:ascii="Arial" w:cs="Arial" w:eastAsia="Arial" w:hAnsi="Arial"/>
                <w:sz w:val="10"/>
                <w:szCs w:val="10"/>
                <w:b w:val="1"/>
                <w:bCs w:val="1"/>
                <w:color w:val="auto"/>
              </w:rPr>
              <w:t>Treasury Stock</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87"/>
              <w:spacing w:after="0"/>
              <w:rPr>
                <w:sz w:val="20"/>
                <w:szCs w:val="20"/>
                <w:color w:val="auto"/>
              </w:rPr>
            </w:pPr>
            <w:r>
              <w:rPr>
                <w:rFonts w:ascii="Arial" w:cs="Arial" w:eastAsia="Arial" w:hAnsi="Arial"/>
                <w:sz w:val="10"/>
                <w:szCs w:val="10"/>
                <w:b w:val="1"/>
                <w:bCs w:val="1"/>
                <w:color w:val="auto"/>
                <w:w w:val="99"/>
              </w:rPr>
              <w:t>Retained</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7"/>
              </w:rPr>
              <w:t>Controlling</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5"/>
        </w:trPr>
        <w:tc>
          <w:tcPr>
            <w:tcW w:w="2640" w:type="dxa"/>
            <w:vAlign w:val="bottom"/>
          </w:tcPr>
          <w:p>
            <w:pPr>
              <w:spacing w:after="0"/>
              <w:rPr>
                <w:sz w:val="10"/>
                <w:szCs w:val="10"/>
                <w:color w:val="auto"/>
              </w:rPr>
            </w:pPr>
          </w:p>
        </w:tc>
        <w:tc>
          <w:tcPr>
            <w:tcW w:w="500" w:type="dxa"/>
            <w:vAlign w:val="bottom"/>
            <w:tcBorders>
              <w:top w:val="single" w:sz="8" w:color="auto"/>
            </w:tcBorders>
          </w:tcPr>
          <w:p>
            <w:pPr>
              <w:jc w:val="right"/>
              <w:ind w:right="47"/>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48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rPr>
                <w:sz w:val="20"/>
                <w:szCs w:val="20"/>
                <w:color w:val="auto"/>
              </w:rPr>
            </w:pPr>
            <w:r>
              <w:rPr>
                <w:rFonts w:ascii="Arial" w:cs="Arial" w:eastAsia="Arial" w:hAnsi="Arial"/>
                <w:sz w:val="10"/>
                <w:szCs w:val="10"/>
                <w:b w:val="1"/>
                <w:bCs w:val="1"/>
                <w:color w:val="auto"/>
                <w:w w:val="96"/>
              </w:rPr>
              <w:t>Amounts</w:t>
            </w:r>
          </w:p>
        </w:tc>
        <w:tc>
          <w:tcPr>
            <w:tcW w:w="60" w:type="dxa"/>
            <w:vAlign w:val="bottom"/>
          </w:tcPr>
          <w:p>
            <w:pPr>
              <w:spacing w:after="0"/>
              <w:rPr>
                <w:sz w:val="10"/>
                <w:szCs w:val="10"/>
                <w:color w:val="auto"/>
              </w:rPr>
            </w:pPr>
          </w:p>
        </w:tc>
        <w:tc>
          <w:tcPr>
            <w:tcW w:w="600" w:type="dxa"/>
            <w:vAlign w:val="bottom"/>
            <w:tcBorders>
              <w:top w:val="single" w:sz="8" w:color="auto"/>
            </w:tcBorders>
            <w:gridSpan w:val="3"/>
          </w:tcPr>
          <w:p>
            <w:pPr>
              <w:ind w:left="60"/>
              <w:spacing w:after="0"/>
              <w:rPr>
                <w:sz w:val="20"/>
                <w:szCs w:val="20"/>
                <w:color w:val="auto"/>
              </w:rPr>
            </w:pPr>
            <w:r>
              <w:rPr>
                <w:rFonts w:ascii="Arial" w:cs="Arial" w:eastAsia="Arial" w:hAnsi="Arial"/>
                <w:sz w:val="10"/>
                <w:szCs w:val="10"/>
                <w:b w:val="1"/>
                <w:bCs w:val="1"/>
                <w:color w:val="auto"/>
              </w:rPr>
              <w:t>Shares</w:t>
            </w:r>
          </w:p>
        </w:tc>
        <w:tc>
          <w:tcPr>
            <w:tcW w:w="540" w:type="dxa"/>
            <w:vAlign w:val="bottom"/>
            <w:tcBorders>
              <w:top w:val="single" w:sz="8" w:color="auto"/>
            </w:tcBorders>
          </w:tcPr>
          <w:p>
            <w:pPr>
              <w:ind w:left="20"/>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460" w:type="dxa"/>
            <w:vAlign w:val="bottom"/>
            <w:tcBorders>
              <w:top w:val="single" w:sz="8" w:color="auto"/>
            </w:tcBorders>
          </w:tcPr>
          <w:p>
            <w:pPr>
              <w:jc w:val="right"/>
              <w:ind w:right="27"/>
              <w:spacing w:after="0"/>
              <w:rPr>
                <w:sz w:val="20"/>
                <w:szCs w:val="20"/>
                <w:color w:val="auto"/>
              </w:rPr>
            </w:pPr>
            <w:r>
              <w:rPr>
                <w:rFonts w:ascii="Arial" w:cs="Arial" w:eastAsia="Arial" w:hAnsi="Arial"/>
                <w:sz w:val="10"/>
                <w:szCs w:val="10"/>
                <w:b w:val="1"/>
                <w:bCs w:val="1"/>
                <w:color w:val="auto"/>
              </w:rPr>
              <w:t>Shares</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0"/>
                <w:szCs w:val="10"/>
                <w:b w:val="1"/>
                <w:bCs w:val="1"/>
                <w:color w:val="auto"/>
              </w:rPr>
              <w:t>Amounts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ind w:right="87"/>
              <w:spacing w:after="0"/>
              <w:rPr>
                <w:sz w:val="20"/>
                <w:szCs w:val="20"/>
                <w:color w:val="auto"/>
              </w:rPr>
            </w:pPr>
            <w:r>
              <w:rPr>
                <w:rFonts w:ascii="Arial" w:cs="Arial" w:eastAsia="Arial" w:hAnsi="Arial"/>
                <w:sz w:val="10"/>
                <w:szCs w:val="10"/>
                <w:b w:val="1"/>
                <w:bCs w:val="1"/>
                <w:color w:val="auto"/>
                <w:w w:val="98"/>
              </w:rPr>
              <w:t>Earnings</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7"/>
              <w:spacing w:after="0"/>
              <w:rPr>
                <w:sz w:val="20"/>
                <w:szCs w:val="20"/>
                <w:color w:val="auto"/>
              </w:rPr>
            </w:pPr>
            <w:r>
              <w:rPr>
                <w:rFonts w:ascii="Arial" w:cs="Arial" w:eastAsia="Arial" w:hAnsi="Arial"/>
                <w:sz w:val="10"/>
                <w:szCs w:val="10"/>
                <w:b w:val="1"/>
                <w:bCs w:val="1"/>
                <w:color w:val="auto"/>
                <w:w w:val="99"/>
              </w:rPr>
              <w:t>Interest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0"/>
                <w:szCs w:val="10"/>
                <w:b w:val="1"/>
                <w:bCs w:val="1"/>
                <w:color w:val="auto"/>
              </w:rPr>
              <w:t>Total</w:t>
            </w:r>
          </w:p>
        </w:tc>
      </w:tr>
      <w:tr>
        <w:trPr>
          <w:trHeight w:val="115"/>
        </w:trPr>
        <w:tc>
          <w:tcPr>
            <w:tcW w:w="2640" w:type="dxa"/>
            <w:vAlign w:val="bottom"/>
            <w:tcBorders>
              <w:top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December 31, 2022</w:t>
            </w:r>
          </w:p>
        </w:tc>
        <w:tc>
          <w:tcPr>
            <w:tcW w:w="5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47,571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476</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41,466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106,051</w:t>
            </w: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(5,130)</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(179,732)</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221,031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99,856</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247,686</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Equity-based compensation</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3,345</w:t>
            </w:r>
          </w:p>
        </w:tc>
        <w:tc>
          <w:tcPr>
            <w:tcW w:w="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3,013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6,358</w:t>
            </w:r>
          </w:p>
        </w:tc>
      </w:tr>
      <w:tr>
        <w:trPr>
          <w:trHeight w:val="121"/>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Exercise of stock options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66</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Non-controlling  interest  adjustment  for  capital</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contribution of proceeds from the exercise of stock</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options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Vesting of restricted stock units</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(1,104)</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1,300</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Repurchases  of  Class  A  common  stock  for</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withholding taxes on vested RSUs</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128</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(338)</w:t>
            </w:r>
          </w:p>
        </w:tc>
      </w:tr>
      <w:tr>
        <w:trPr>
          <w:trHeight w:val="108"/>
        </w:trPr>
        <w:tc>
          <w:tcPr>
            <w:tcW w:w="2640" w:type="dxa"/>
            <w:vAlign w:val="bottom"/>
            <w:shd w:val="clear" w:color="auto" w:fill="CCEEFF"/>
          </w:tcPr>
          <w:p>
            <w:pPr>
              <w:ind w:left="100"/>
              <w:spacing w:after="0" w:line="109" w:lineRule="exact"/>
              <w:rPr>
                <w:sz w:val="20"/>
                <w:szCs w:val="20"/>
                <w:color w:val="auto"/>
              </w:rPr>
            </w:pPr>
            <w:r>
              <w:rPr>
                <w:rFonts w:ascii="Arial" w:cs="Arial" w:eastAsia="Arial" w:hAnsi="Arial"/>
                <w:sz w:val="11"/>
                <w:szCs w:val="11"/>
                <w:color w:val="auto"/>
              </w:rPr>
              <w:t>Redemption of LLC common units for Class A</w:t>
            </w: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r>
      <w:tr>
        <w:trPr>
          <w:trHeight w:val="135"/>
        </w:trPr>
        <w:tc>
          <w:tcPr>
            <w:tcW w:w="26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9,673</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(4,739)</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4,954</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Distributions to holders of LLC common units</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(6,046)</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(6,046)</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0"/>
                <w:szCs w:val="10"/>
                <w:color w:val="auto"/>
              </w:rPr>
              <w:t>Dividends</w:t>
            </w:r>
            <w:r>
              <w:rPr>
                <w:rFonts w:ascii="Arial" w:cs="Arial" w:eastAsia="Arial" w:hAnsi="Arial"/>
                <w:sz w:val="14"/>
                <w:szCs w:val="14"/>
                <w:color w:val="auto"/>
                <w:vertAlign w:val="superscript"/>
              </w:rPr>
              <w:t>(1)</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(27,791)</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(27,791)</w:t>
            </w:r>
          </w:p>
        </w:tc>
      </w:tr>
      <w:tr>
        <w:trPr>
          <w:trHeight w:val="108"/>
        </w:trPr>
        <w:tc>
          <w:tcPr>
            <w:tcW w:w="2640" w:type="dxa"/>
            <w:vAlign w:val="bottom"/>
          </w:tcPr>
          <w:p>
            <w:pPr>
              <w:ind w:left="100"/>
              <w:spacing w:after="0" w:line="109" w:lineRule="exact"/>
              <w:rPr>
                <w:sz w:val="20"/>
                <w:szCs w:val="20"/>
                <w:color w:val="auto"/>
              </w:rPr>
            </w:pPr>
            <w:r>
              <w:rPr>
                <w:rFonts w:ascii="Arial" w:cs="Arial" w:eastAsia="Arial" w:hAnsi="Arial"/>
                <w:sz w:val="11"/>
                <w:szCs w:val="11"/>
                <w:color w:val="auto"/>
              </w:rPr>
              <w:t>Establishment   of   liabilities   under   the   Tax</w:t>
            </w: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21"/>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Receivable  Agreement  and  related  changes  to</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35"/>
        </w:trPr>
        <w:tc>
          <w:tcPr>
            <w:tcW w:w="2640" w:type="dxa"/>
            <w:vAlign w:val="bottom"/>
          </w:tcPr>
          <w:p>
            <w:pPr>
              <w:ind w:left="100"/>
              <w:spacing w:after="0"/>
              <w:rPr>
                <w:sz w:val="20"/>
                <w:szCs w:val="20"/>
                <w:color w:val="auto"/>
              </w:rPr>
            </w:pPr>
            <w:r>
              <w:rPr>
                <w:rFonts w:ascii="Arial" w:cs="Arial" w:eastAsia="Arial" w:hAnsi="Arial"/>
                <w:sz w:val="11"/>
                <w:szCs w:val="11"/>
                <w:color w:val="auto"/>
              </w:rPr>
              <w:t>deferred tax assets associated with that liability</w:t>
            </w: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rPr>
                <w:sz w:val="20"/>
                <w:szCs w:val="20"/>
                <w:color w:val="auto"/>
              </w:rPr>
            </w:pPr>
            <w:r>
              <w:rPr>
                <w:rFonts w:ascii="Arial" w:cs="Arial" w:eastAsia="Arial" w:hAnsi="Arial"/>
                <w:sz w:val="11"/>
                <w:szCs w:val="11"/>
                <w:color w:val="auto"/>
              </w:rPr>
              <w:t>—</w:t>
            </w:r>
          </w:p>
        </w:tc>
        <w:tc>
          <w:tcPr>
            <w:tcW w:w="540" w:type="dxa"/>
            <w:vAlign w:val="bottom"/>
          </w:tcPr>
          <w:p>
            <w:pPr>
              <w:ind w:left="3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(4,014)</w:t>
            </w:r>
          </w:p>
        </w:tc>
        <w:tc>
          <w:tcPr>
            <w:tcW w:w="8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(4,014)</w:t>
            </w:r>
          </w:p>
        </w:tc>
      </w:tr>
      <w:tr>
        <w:trPr>
          <w:trHeight w:val="122"/>
        </w:trPr>
        <w:tc>
          <w:tcPr>
            <w:tcW w:w="264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Non-controlling interest adjustment</w:t>
            </w:r>
          </w:p>
        </w:tc>
        <w:tc>
          <w:tcPr>
            <w:tcW w:w="5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40" w:type="dxa"/>
            <w:vAlign w:val="bottom"/>
          </w:tcPr>
          <w:p>
            <w:pPr>
              <w:ind w:left="100"/>
              <w:spacing w:after="0" w:line="122" w:lineRule="exact"/>
              <w:rPr>
                <w:sz w:val="20"/>
                <w:szCs w:val="20"/>
                <w:color w:val="auto"/>
              </w:rPr>
            </w:pPr>
            <w:r>
              <w:rPr>
                <w:rFonts w:ascii="Arial" w:cs="Arial" w:eastAsia="Arial" w:hAnsi="Arial"/>
                <w:sz w:val="11"/>
                <w:szCs w:val="11"/>
                <w:color w:val="auto"/>
              </w:rPr>
              <w:t>Net income</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3"/>
          </w:tcPr>
          <w:p>
            <w:pPr>
              <w:ind w:left="32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3,169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1,734</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4,903</w:t>
            </w:r>
          </w:p>
        </w:tc>
      </w:tr>
      <w:tr>
        <w:trPr>
          <w:trHeight w:val="115"/>
        </w:trPr>
        <w:tc>
          <w:tcPr>
            <w:tcW w:w="264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Arial" w:cs="Arial" w:eastAsia="Arial" w:hAnsi="Arial"/>
                <w:sz w:val="11"/>
                <w:szCs w:val="11"/>
                <w:color w:val="auto"/>
              </w:rPr>
              <w:t>Balance at March 31, 2023</w:t>
            </w:r>
          </w:p>
        </w:tc>
        <w:tc>
          <w:tcPr>
            <w:tcW w:w="5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49,571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496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39,466</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center"/>
              <w:spacing w:after="0" w:line="115" w:lineRule="exact"/>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ind w:left="32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ind w:left="380"/>
              <w:spacing w:after="0" w:line="115"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114,017</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(5,104)</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(178,832)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196,409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93,659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225,753</w:t>
            </w:r>
          </w:p>
        </w:tc>
      </w:tr>
      <w:tr>
        <w:trPr>
          <w:trHeight w:val="20"/>
        </w:trPr>
        <w:tc>
          <w:tcPr>
            <w:tcW w:w="2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760" w:hanging="333"/>
        <w:spacing w:after="0"/>
        <w:tabs>
          <w:tab w:leader="none" w:pos="760" w:val="left"/>
        </w:tabs>
        <w:numPr>
          <w:ilvl w:val="0"/>
          <w:numId w:val="7"/>
        </w:numPr>
        <w:rPr>
          <w:rFonts w:ascii="Arial" w:cs="Arial" w:eastAsia="Arial" w:hAnsi="Arial"/>
          <w:sz w:val="16"/>
          <w:szCs w:val="16"/>
          <w:color w:val="auto"/>
          <w:vertAlign w:val="superscript"/>
        </w:rPr>
      </w:pPr>
      <w:r>
        <w:rPr>
          <w:rFonts w:ascii="Arial" w:cs="Arial" w:eastAsia="Arial" w:hAnsi="Arial"/>
          <w:sz w:val="11"/>
          <w:szCs w:val="11"/>
          <w:color w:val="auto"/>
        </w:rPr>
        <w:t>The Company declared dividends per share of Class A common stock of $0.125 and $0.625 for the three months ended March 31, 2024 and 2023,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351790</wp:posOffset>
            </wp:positionV>
            <wp:extent cx="6635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35115" cy="17145"/>
                    </a:xfrm>
                    <a:prstGeom prst="rect">
                      <a:avLst/>
                    </a:prstGeom>
                    <a:noFill/>
                  </pic:spPr>
                </pic:pic>
              </a:graphicData>
            </a:graphic>
          </wp:anchor>
        </w:drawing>
      </w:r>
    </w:p>
    <w:p>
      <w:pPr>
        <w:sectPr>
          <w:pgSz w:w="11900" w:h="16838" w:orient="portrait"/>
          <w:cols w:equalWidth="0" w:num="1">
            <w:col w:w="10440"/>
          </w:cols>
          <w:pgMar w:left="720" w:top="512" w:right="7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2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Net (loss) income</w:t>
            </w:r>
          </w:p>
        </w:tc>
        <w:tc>
          <w:tcPr>
            <w:tcW w:w="40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(50,806)</w:t>
            </w:r>
          </w:p>
        </w:tc>
        <w:tc>
          <w:tcPr>
            <w:tcW w:w="4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520" w:type="dxa"/>
            <w:vAlign w:val="bottom"/>
          </w:tcPr>
          <w:p>
            <w:pPr>
              <w:spacing w:after="0" w:line="183" w:lineRule="exact"/>
              <w:rPr>
                <w:sz w:val="20"/>
                <w:szCs w:val="20"/>
                <w:color w:val="auto"/>
              </w:rPr>
            </w:pPr>
            <w:r>
              <w:rPr>
                <w:rFonts w:ascii="Arial" w:cs="Arial" w:eastAsia="Arial" w:hAnsi="Arial"/>
                <w:sz w:val="18"/>
                <w:szCs w:val="18"/>
                <w:color w:val="auto"/>
              </w:rPr>
              <w:t>Adjustments  to  reconcile  net  income  to  net  cash  provided  by  operating</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54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19,290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Equity-based compensation</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5,197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Long-lived asset impairment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Loss (gain) on sale or disposal of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1,585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Provision for losses on accounts receivable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Non-cash lease expense</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14,037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15,039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Accretion of original debt issuance discount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Change in assets and liabilities, net of acquisitions: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Receivables and contracts in transit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(66,222)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300"/>
              <w:spacing w:after="0" w:line="202"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6,026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143,675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(20,713)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7,961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300"/>
              <w:spacing w:after="0" w:line="202" w:lineRule="exact"/>
              <w:rPr>
                <w:sz w:val="20"/>
                <w:szCs w:val="20"/>
                <w:color w:val="auto"/>
              </w:rPr>
            </w:pPr>
            <w:r>
              <w:rPr>
                <w:rFonts w:ascii="Arial" w:cs="Arial" w:eastAsia="Arial" w:hAnsi="Arial"/>
                <w:sz w:val="18"/>
                <w:szCs w:val="18"/>
                <w:color w:val="auto"/>
              </w:rPr>
              <w:t>Accounts payable and other accrued expenses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25,194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64,699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2,678</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300"/>
              <w:spacing w:after="0" w:line="202" w:lineRule="exact"/>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(14,440)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(14,609)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ind w:left="300"/>
              <w:spacing w:after="0" w:line="202" w:lineRule="exact"/>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2,787</w:t>
            </w:r>
          </w:p>
        </w:tc>
        <w:tc>
          <w:tcPr>
            <w:tcW w:w="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Pr>
          <w:p>
            <w:pPr>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(67,982)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199,217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(25,927)</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real property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(18,236)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Proceeds from the sale of real property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23,853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22,703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Purchases of businesses, net of cash acquired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Purchases of intangible assets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Borders>
              <w:lef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intangible assets</w:t>
            </w: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1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(59,498)</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(20,687)</w:t>
            </w:r>
          </w:p>
        </w:tc>
        <w:tc>
          <w:tcPr>
            <w:tcW w:w="0" w:type="dxa"/>
            <w:vAlign w:val="bottom"/>
          </w:tcPr>
          <w:p>
            <w:pPr>
              <w:spacing w:after="0"/>
              <w:rPr>
                <w:sz w:val="1"/>
                <w:szCs w:val="1"/>
                <w:color w:val="auto"/>
              </w:rPr>
            </w:pPr>
          </w:p>
        </w:tc>
      </w:tr>
      <w:tr>
        <w:trPr>
          <w:trHeight w:val="832"/>
        </w:trPr>
        <w:tc>
          <w:tcPr>
            <w:tcW w:w="6540" w:type="dxa"/>
            <w:vAlign w:val="bottom"/>
            <w:gridSpan w:val="2"/>
          </w:tcPr>
          <w:p>
            <w:pPr>
              <w:jc w:val="right"/>
              <w:ind w:right="191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 Thousands)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2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64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Proceeds from long-term debt</w:t>
            </w:r>
          </w:p>
        </w:tc>
        <w:tc>
          <w:tcPr>
            <w:tcW w:w="114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55,624</w:t>
            </w:r>
          </w:p>
        </w:tc>
        <w:tc>
          <w:tcPr>
            <w:tcW w:w="220" w:type="dxa"/>
            <w:vAlign w:val="bottom"/>
          </w:tcPr>
          <w:p>
            <w:pPr>
              <w:spacing w:after="0"/>
              <w:rPr>
                <w:sz w:val="17"/>
                <w:szCs w:val="17"/>
                <w:color w:val="auto"/>
              </w:rPr>
            </w:pPr>
          </w:p>
        </w:tc>
        <w:tc>
          <w:tcPr>
            <w:tcW w:w="20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59,227</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long-term debt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(23,406)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(9,058)</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Net proceeds (payments) on notes payable – floor plan, net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93,273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(249,822)</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Borrowings on revolving line of credit</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Payments on revolving line of credit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Payments on finance leases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Payments on sale-leaseback arrangement</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(46)</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debt issuance costs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(767)</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Dividends on Class A common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(5,634)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(27,791)</w:t>
            </w:r>
          </w:p>
        </w:tc>
      </w:tr>
      <w:tr>
        <w:trPr>
          <w:trHeight w:val="202"/>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RSU shares withheld for tax</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(338)</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Distributions to holders of LLC common units</w:t>
            </w:r>
          </w:p>
        </w:tc>
        <w:tc>
          <w:tcPr>
            <w:tcW w:w="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(6,046)</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117,551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(235,833)</w:t>
            </w:r>
          </w:p>
        </w:tc>
      </w:tr>
      <w:tr>
        <w:trPr>
          <w:trHeight w:val="203"/>
        </w:trPr>
        <w:tc>
          <w:tcPr>
            <w:tcW w:w="5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Decrease in cash and cash equivalents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(9,929)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(57,303)</w:t>
            </w:r>
          </w:p>
        </w:tc>
      </w:tr>
      <w:tr>
        <w:trPr>
          <w:trHeight w:val="203"/>
        </w:trPr>
        <w:tc>
          <w:tcPr>
            <w:tcW w:w="5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at beginning of the period</w:t>
            </w:r>
          </w:p>
        </w:tc>
        <w:tc>
          <w:tcPr>
            <w:tcW w:w="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39,647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130,131</w:t>
            </w: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color w:val="auto"/>
              </w:rPr>
              <w:t>Cash and cash equivalents at end of the period</w:t>
            </w:r>
          </w:p>
        </w:tc>
        <w:tc>
          <w:tcPr>
            <w:tcW w:w="94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29,718</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72,828</w:t>
            </w:r>
          </w:p>
        </w:tc>
      </w:tr>
      <w:tr>
        <w:trPr>
          <w:trHeight w:val="20"/>
        </w:trPr>
        <w:tc>
          <w:tcPr>
            <w:tcW w:w="5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Camping World Holdings,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2024</w:t>
      </w:r>
    </w:p>
    <w:p>
      <w:pPr>
        <w:spacing w:after="0" w:line="198" w:lineRule="exact"/>
        <w:rPr>
          <w:sz w:val="20"/>
          <w:szCs w:val="20"/>
          <w:color w:val="auto"/>
        </w:rPr>
      </w:pPr>
    </w:p>
    <w:p>
      <w:pPr>
        <w:ind w:left="60" w:right="4379" w:hanging="10"/>
        <w:spacing w:after="0" w:line="513" w:lineRule="auto"/>
        <w:tabs>
          <w:tab w:leader="none" w:pos="26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 and Basis of Presentation</w:t>
      </w:r>
    </w:p>
    <w:p>
      <w:pPr>
        <w:spacing w:after="0" w:line="1"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include the accounts of Camping World Holdings, Inc. and its subsidiaries, and are presented in accordance with accounting principles generally accepted in the United States (“GAAP”) for interim financial information and pursuant to the rules and regulations of the SEC. Accordingly, these interim financial statements do not include all of the information and footnotes required by GAAP for complete financial statements. In the opinion of management, all adjustments (consisting of normal recurring adjustments) necessary for a fair statement of the results of operations, financial position and cash flows for the periods presented have been reflected. All intercompany accounts and transactions of the Company and its subsidiaries have been eliminated in consolidation.</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condensed consolidated financial statements as of and for the three months ended March 31, 2024 and 2023 are unaudited. The condensed consolidated balance sheet as of December 31, 2023 has been derived from the audited financial statements at that date but does not include all of the disclosures required by GAAP. These interim condensed consolidated financial statements should be read in conjunction with the Company’s Annual Report on Form 10-K for the year ended December 31, 2023 filed with the SEC on February 26, 2024. Operating results for interim periods are not necessarily indicative of the results that may be expected for the full year.</w:t>
      </w:r>
    </w:p>
    <w:p>
      <w:pPr>
        <w:spacing w:after="0" w:line="185"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CWH has sole voting power in and control of the management of CWGS, LLC (see Note 15 — Stockholders’ Equity). CWH’s position as sole managing member of CWGS, LLC includes periods where CWH held a minority economic interest in CWGS, LLC. As of March 31, 2024, December 31, 2023, and March 31, 2023, CWH owned 53.0%, 52.9%, and 52.6%, respectively, of CWGS, LLC. Accordingly, the Company consolidates the financial results of CWGS, LLC and reports a non-controlling interest in its condensed consolidated financial statements.</w:t>
      </w:r>
    </w:p>
    <w:p>
      <w:pPr>
        <w:spacing w:after="0" w:line="17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has experienced, and expects to continue to experience, variability in revenue, net income, and cash flows as a result of annual seasonality in its business. Because RVs are used primarily by vacationers and campers, demand for services, protection plans, products, and resources generally declines during the winter season, while sales and profits are generally highest during the spring and summer months. In addition, unusually severe weather conditions in some geographic areas may impact demand.</w:t>
      </w:r>
    </w:p>
    <w:p>
      <w:pPr>
        <w:spacing w:after="0" w:line="68"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generates a disproportionately higher amount of its annual revenue in its second and third fiscal quarters, which include the spring and summer months. The Company incurs additional expenses in the second and third fiscal quarters due to higher sale volumes, increased staffing in its store locations and program costs. If, for any reason, the Company miscalculates the demand for its products or its product mix during the second and third fiscal quarters, its sales in these quarters could decline, resulting in higher labor costs as a percentage of gross profit, lower margins and excess inventory, which could cause the Company’s annual results of operations to suffer and its stock price to decline.</w:t>
      </w:r>
    </w:p>
    <w:p>
      <w:pPr>
        <w:spacing w:after="0" w:line="7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Additionally, selling, general, and administrative (“SG&amp;A”) expenses as a percentage of gross profit tend to be higher in the first and fourth quarters due to the seasonality of the Company’s business.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Due to the Company’s seasonality, the possible adverse impact from other risks associated with its business, including atypical weather, consumer spending levels and general business conditions, is potentially greater if any such risks occur during the Company’s peak sales seasons.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March 2023, the Financial Accounting Standards Board (“FASB”) issued Accounting Standards Update (“ASU”) 2023-01, Leases (Topic 842): Common Control Arrangements. For public companies, this standard requires the amortization of leasehold improvements associated with common control leases over the useful life to the common control group. The standard is effective for fiscal years, and interim periods within those fiscal years, beginning after December 15, 2023, with early adoption permitted. The Company’s adoption of the provisions of this ASU as of January 1, 2023 did not materially impact on the Company’s condensed consolidated financial statements.</w:t>
      </w:r>
    </w:p>
    <w:p>
      <w:pPr>
        <w:spacing w:after="0" w:line="185"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2023, the FASB issued ASU 2023-05, Business Combinations―Joint Venture Formations (Subtopic 805-60): Recognition and Initial Measurement. This ASU requires joint ventures to recognize a new basis of accounting for contributed net assets as of the formation date, to measure the contributed identifiable net assets at fair value on the formation date using the business combination guidance in ASC 805-20 (with certain exceptions) regardless of whether an investor contributes a business, to measure the net assets’ fair value based on 100% of the joint venture’s equity immediately following formation, to record goodwill (or an equity adjustment, if negative) for the difference between the fair value of the joint venture’s equity and its net assets and to provide disclosures about the nature and financial effect of the formation transaction. The standard is effective prospectively for all joint venture formations with a formation date on or after January 1, 2025, with early adoption permitted. Additionally, for joint ventures that were formed before January 1, 2025, the Company may elect to apply the standard retrospectively. The Company’s early adoption of the provisions of this ASU as of January 1, 2023 did not materially impact on the Company’s condensed consolidated financial statements.</w:t>
      </w:r>
    </w:p>
    <w:p>
      <w:pPr>
        <w:spacing w:after="0" w:line="18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disclose significant segment expenses that are regularly provided to the chief operating decision maker (CODM) and included within each reported measure of segment profit or loss. The title and position of the CODM must be disclosed with an explanation of how the CODM uses the reported measure(s) of segment profit or loss in assessing segment performance and deciding how to allocate resources. If the CODM uses more than one measure of a segment’s profit or loss in assessing segment performance, and deciding how to allocate resources, an entity may report one or more of those additional measures of segment profit. Additionally, public entities must disclose an amount for “other segment items” by reportable segment representing the difference between segment revenue less the significant expenses disclosed and each reported measure of segment profit or loss, and a description of its composition. Moreover, all annual disclosures about a reportable segment's profit or loss and assets are to be presented in interim periods. The standard should be applied retrospectively to all prior periods presented in the financial statements. Upon transition, the segment expense categories and amounts disclosed in the prior periods should be based on the significant expense categories identified and disclosed in the period of adoption. The standard is effective for fiscal years beginning after December 15, 2023 and interim periods within fiscal years beginning after December 15, 2024, with early adoption permitted. The Company adopted the provisions of this ASU as of January 1, 2024, with respect to the annual disclosures beginning with the year ending December 31, 2024 and interim disclosures beginning with the three months ending March 31, 2025, including the presentation of the comparable prior periods. The adoption of this ASU will result in additional segment reporting disclosures and does not otherwise have a material impact on the Company’s condensed consolidated financial statements.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This ASU requires that public business entities on an annual basis disclose (1) consistent categories and greater disaggregation of information in the rate reconciliation, and (2) income taxes paid disaggregated by jurisdiction. The standard is effective for fiscal years beginning after December 15, 2024,</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with early adoption permitted. The Company is currently evaluating the impact that the adoption of the provisions of the ASU will have on its condensed consolidated financial statements.</w:t>
      </w:r>
    </w:p>
    <w:p>
      <w:pPr>
        <w:spacing w:after="0" w:line="370" w:lineRule="exact"/>
        <w:rPr>
          <w:sz w:val="20"/>
          <w:szCs w:val="20"/>
          <w:color w:val="auto"/>
        </w:rPr>
      </w:pPr>
    </w:p>
    <w:p>
      <w:pPr>
        <w:ind w:left="60" w:right="7579" w:hanging="10"/>
        <w:spacing w:after="0" w:line="513" w:lineRule="auto"/>
        <w:tabs>
          <w:tab w:leader="none" w:pos="26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Revenue Contract Assets</w:t>
      </w:r>
    </w:p>
    <w:p>
      <w:pPr>
        <w:spacing w:after="0" w:line="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2024, December 31, 2023, and March 31, 2023 contract assets of $13.4 million, $16.1 million and $17.4 million, respectively, relating to RV service revenues, were included in accounts receivable in the accompanying condensed consolidated balance sheets.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Revenues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records deferred revenues when cash payments are received or due in advance of the Company’s performance, net of estimated refunds that are presented separately as a component of accrued liabilities. For the three months ended March 31, 2024, the Company estimates approximately $31.7 million of revenues recognized were included in the deferred revenue balance at the beginning of the period. These estimates consider factors including, but not limited to, average service term, cash received for the period, cancellations, contract extensions, and upgrades.</w:t>
      </w:r>
    </w:p>
    <w:p>
      <w:pPr>
        <w:spacing w:after="0" w:line="165" w:lineRule="exact"/>
        <w:rPr>
          <w:sz w:val="20"/>
          <w:szCs w:val="20"/>
          <w:color w:val="auto"/>
        </w:rPr>
      </w:pPr>
    </w:p>
    <w:p>
      <w:pPr>
        <w:jc w:val="both"/>
        <w:ind w:left="60" w:right="59" w:firstLine="648"/>
        <w:spacing w:after="0" w:line="243" w:lineRule="auto"/>
        <w:rPr>
          <w:sz w:val="20"/>
          <w:szCs w:val="20"/>
          <w:color w:val="auto"/>
        </w:rPr>
      </w:pPr>
      <w:r>
        <w:rPr>
          <w:rFonts w:ascii="Arial" w:cs="Arial" w:eastAsia="Arial" w:hAnsi="Arial"/>
          <w:sz w:val="18"/>
          <w:szCs w:val="18"/>
          <w:color w:val="auto"/>
        </w:rPr>
        <w:t>As of March 31, 2024, the Company had unsatisfied performance obligations primarily relating to plans for its roadside assistance, Good Sam Club memberships and loyalty point program, Coast to Coast memberships, the annual campground guide, and magazine publication revenue streams. The total unsatisfied performance obligations for these revenue streams at March 31, 2024 and the periods during which the Company expects to recognize the amounts as revenue are presented as follows (in thousands):</w:t>
      </w:r>
    </w:p>
    <w:tbl>
      <w:tblPr>
        <w:tblLayout w:type="fixed"/>
        <w:tblInd w:w="760" w:type="dxa"/>
        <w:tblCellMar>
          <w:top w:w="0" w:type="dxa"/>
          <w:left w:w="0" w:type="dxa"/>
          <w:bottom w:w="0" w:type="dxa"/>
          <w:right w:w="0" w:type="dxa"/>
        </w:tblCellMar>
      </w:tblPr>
      <w:tr>
        <w:trPr>
          <w:trHeight w:val="150"/>
        </w:trPr>
        <w:tc>
          <w:tcPr>
            <w:tcW w:w="6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414"/>
              <w:spacing w:after="0" w:line="150" w:lineRule="exact"/>
              <w:rPr>
                <w:sz w:val="20"/>
                <w:szCs w:val="20"/>
                <w:color w:val="auto"/>
              </w:rPr>
            </w:pPr>
            <w:r>
              <w:rPr>
                <w:rFonts w:ascii="Arial" w:cs="Arial" w:eastAsia="Arial" w:hAnsi="Arial"/>
                <w:sz w:val="14"/>
                <w:szCs w:val="14"/>
                <w:b w:val="1"/>
                <w:bCs w:val="1"/>
                <w:color w:val="auto"/>
              </w:rPr>
              <w:t>As of</w:t>
            </w:r>
          </w:p>
        </w:tc>
      </w:tr>
      <w:tr>
        <w:trPr>
          <w:trHeight w:val="171"/>
        </w:trPr>
        <w:tc>
          <w:tcPr>
            <w:tcW w:w="6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March 31, 2024</w:t>
            </w: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79,930</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41,666</w:t>
            </w: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20,872</w:t>
            </w:r>
          </w:p>
        </w:tc>
      </w:tr>
      <w:tr>
        <w:trPr>
          <w:trHeight w:val="203"/>
        </w:trPr>
        <w:tc>
          <w:tcPr>
            <w:tcW w:w="6140" w:type="dxa"/>
            <w:vAlign w:val="bottom"/>
          </w:tcPr>
          <w:p>
            <w:pPr>
              <w:spacing w:after="0" w:line="202" w:lineRule="exact"/>
              <w:rPr>
                <w:sz w:val="20"/>
                <w:szCs w:val="20"/>
                <w:color w:val="auto"/>
              </w:rPr>
            </w:pPr>
            <w:r>
              <w:rPr>
                <w:rFonts w:ascii="Arial" w:cs="Arial" w:eastAsia="Arial" w:hAnsi="Arial"/>
                <w:sz w:val="18"/>
                <w:szCs w:val="18"/>
                <w:color w:val="auto"/>
              </w:rPr>
              <w:t>2027</w:t>
            </w:r>
          </w:p>
        </w:tc>
        <w:tc>
          <w:tcPr>
            <w:tcW w:w="1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10,723</w:t>
            </w:r>
          </w:p>
        </w:tc>
      </w:tr>
      <w:tr>
        <w:trPr>
          <w:trHeight w:val="203"/>
        </w:trPr>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5,247</w:t>
            </w:r>
          </w:p>
        </w:tc>
      </w:tr>
      <w:tr>
        <w:trPr>
          <w:trHeight w:val="203"/>
        </w:trPr>
        <w:tc>
          <w:tcPr>
            <w:tcW w:w="6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3,386</w:t>
            </w:r>
          </w:p>
        </w:tc>
      </w:tr>
      <w:tr>
        <w:trPr>
          <w:trHeight w:val="196"/>
        </w:trPr>
        <w:tc>
          <w:tcPr>
            <w:tcW w:w="6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161,824</w:t>
            </w:r>
          </w:p>
        </w:tc>
      </w:tr>
      <w:tr>
        <w:trPr>
          <w:trHeight w:val="20"/>
        </w:trPr>
        <w:tc>
          <w:tcPr>
            <w:tcW w:w="6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Inventories and Floor Plan Payables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09"/>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jc w:val="right"/>
              <w:ind w:right="149"/>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309"/>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38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r>
      <w:tr>
        <w:trPr>
          <w:trHeight w:val="210"/>
        </w:trPr>
        <w:tc>
          <w:tcPr>
            <w:tcW w:w="3840" w:type="dxa"/>
            <w:vAlign w:val="bottom"/>
            <w:shd w:val="clear" w:color="auto" w:fill="CCEEFF"/>
          </w:tcPr>
          <w:p>
            <w:pPr>
              <w:spacing w:after="0" w:line="209" w:lineRule="exact"/>
              <w:rPr>
                <w:sz w:val="20"/>
                <w:szCs w:val="20"/>
                <w:color w:val="auto"/>
              </w:rPr>
            </w:pPr>
            <w:r>
              <w:rPr>
                <w:rFonts w:ascii="Arial" w:cs="Arial" w:eastAsia="Arial" w:hAnsi="Arial"/>
                <w:sz w:val="20"/>
                <w:szCs w:val="20"/>
                <w:color w:val="auto"/>
              </w:rPr>
              <w:t>Good Sam services and plans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line="209" w:lineRule="exact"/>
              <w:rPr>
                <w:sz w:val="20"/>
                <w:szCs w:val="20"/>
                <w:color w:val="auto"/>
              </w:rPr>
            </w:pPr>
            <w:r>
              <w:rPr>
                <w:rFonts w:ascii="Arial" w:cs="Arial" w:eastAsia="Arial" w:hAnsi="Arial"/>
                <w:sz w:val="20"/>
                <w:szCs w:val="20"/>
                <w:color w:val="auto"/>
                <w:w w:val="71"/>
              </w:rPr>
              <w:t>$</w:t>
            </w:r>
          </w:p>
        </w:tc>
        <w:tc>
          <w:tcPr>
            <w:tcW w:w="11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392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4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452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right"/>
              <w:spacing w:after="0" w:line="209" w:lineRule="exact"/>
              <w:rPr>
                <w:sz w:val="20"/>
                <w:szCs w:val="20"/>
                <w:color w:val="auto"/>
              </w:rPr>
            </w:pPr>
            <w:r>
              <w:rPr>
                <w:rFonts w:ascii="Arial" w:cs="Arial" w:eastAsia="Arial" w:hAnsi="Arial"/>
                <w:sz w:val="20"/>
                <w:szCs w:val="20"/>
                <w:color w:val="auto"/>
              </w:rPr>
              <w:t>530</w:t>
            </w:r>
          </w:p>
        </w:tc>
      </w:tr>
      <w:tr>
        <w:trPr>
          <w:trHeight w:val="216"/>
        </w:trPr>
        <w:tc>
          <w:tcPr>
            <w:tcW w:w="3840" w:type="dxa"/>
            <w:vAlign w:val="bottom"/>
          </w:tcPr>
          <w:p>
            <w:pPr>
              <w:spacing w:after="0" w:line="216" w:lineRule="exact"/>
              <w:rPr>
                <w:sz w:val="20"/>
                <w:szCs w:val="20"/>
                <w:color w:val="auto"/>
              </w:rPr>
            </w:pPr>
            <w:r>
              <w:rPr>
                <w:rFonts w:ascii="Arial" w:cs="Arial" w:eastAsia="Arial" w:hAnsi="Arial"/>
                <w:sz w:val="20"/>
                <w:szCs w:val="20"/>
                <w:color w:val="auto"/>
              </w:rPr>
              <w:t>New RVs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1,469,193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line="216" w:lineRule="exact"/>
              <w:rPr>
                <w:sz w:val="20"/>
                <w:szCs w:val="20"/>
                <w:color w:val="auto"/>
              </w:rPr>
            </w:pPr>
            <w:r>
              <w:rPr>
                <w:rFonts w:ascii="Arial" w:cs="Arial" w:eastAsia="Arial" w:hAnsi="Arial"/>
                <w:sz w:val="20"/>
                <w:szCs w:val="20"/>
                <w:color w:val="auto"/>
              </w:rPr>
              <w:t>1,378,403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line="216" w:lineRule="exact"/>
              <w:rPr>
                <w:sz w:val="20"/>
                <w:szCs w:val="20"/>
                <w:color w:val="auto"/>
              </w:rPr>
            </w:pPr>
            <w:r>
              <w:rPr>
                <w:rFonts w:ascii="Arial" w:cs="Arial" w:eastAsia="Arial" w:hAnsi="Arial"/>
                <w:sz w:val="20"/>
                <w:szCs w:val="20"/>
                <w:color w:val="auto"/>
              </w:rPr>
              <w:t>1,219,889</w:t>
            </w:r>
          </w:p>
        </w:tc>
      </w:tr>
      <w:tr>
        <w:trPr>
          <w:trHeight w:val="216"/>
        </w:trPr>
        <w:tc>
          <w:tcPr>
            <w:tcW w:w="384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rPr>
              <w:t>Used RVs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389,810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464,833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line="216" w:lineRule="exact"/>
              <w:rPr>
                <w:sz w:val="20"/>
                <w:szCs w:val="20"/>
                <w:color w:val="auto"/>
              </w:rPr>
            </w:pPr>
            <w:r>
              <w:rPr>
                <w:rFonts w:ascii="Arial" w:cs="Arial" w:eastAsia="Arial" w:hAnsi="Arial"/>
                <w:sz w:val="20"/>
                <w:szCs w:val="20"/>
                <w:color w:val="auto"/>
              </w:rPr>
              <w:t>510,689</w:t>
            </w:r>
          </w:p>
        </w:tc>
      </w:tr>
      <w:tr>
        <w:trPr>
          <w:trHeight w:val="216"/>
        </w:trPr>
        <w:tc>
          <w:tcPr>
            <w:tcW w:w="3840" w:type="dxa"/>
            <w:vAlign w:val="bottom"/>
            <w:tcBorders>
              <w:bottom w:val="single" w:sz="8" w:color="CCEEFF"/>
            </w:tcBorders>
          </w:tcPr>
          <w:p>
            <w:pPr>
              <w:spacing w:after="0" w:line="216" w:lineRule="exact"/>
              <w:rPr>
                <w:sz w:val="20"/>
                <w:szCs w:val="20"/>
                <w:color w:val="auto"/>
              </w:rPr>
            </w:pPr>
            <w:r>
              <w:rPr>
                <w:rFonts w:ascii="Arial" w:cs="Arial" w:eastAsia="Arial" w:hAnsi="Arial"/>
                <w:sz w:val="20"/>
                <w:szCs w:val="20"/>
                <w:color w:val="auto"/>
              </w:rPr>
              <w:t>Products, parts, accessories and other</w:t>
            </w:r>
          </w:p>
        </w:tc>
        <w:tc>
          <w:tcPr>
            <w:tcW w:w="4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218,197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199,261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6" w:lineRule="exact"/>
              <w:rPr>
                <w:sz w:val="20"/>
                <w:szCs w:val="20"/>
                <w:color w:val="auto"/>
              </w:rPr>
            </w:pPr>
            <w:r>
              <w:rPr>
                <w:rFonts w:ascii="Arial" w:cs="Arial" w:eastAsia="Arial" w:hAnsi="Arial"/>
                <w:sz w:val="20"/>
                <w:szCs w:val="20"/>
                <w:color w:val="auto"/>
              </w:rPr>
              <w:t>248,998</w:t>
            </w:r>
          </w:p>
        </w:tc>
      </w:tr>
      <w:tr>
        <w:trPr>
          <w:trHeight w:val="210"/>
        </w:trPr>
        <w:tc>
          <w:tcPr>
            <w:tcW w:w="38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21"/>
              <w:spacing w:after="0" w:line="209" w:lineRule="exact"/>
              <w:rPr>
                <w:sz w:val="20"/>
                <w:szCs w:val="20"/>
                <w:color w:val="auto"/>
              </w:rPr>
            </w:pPr>
            <w:r>
              <w:rPr>
                <w:rFonts w:ascii="Arial" w:cs="Arial" w:eastAsia="Arial" w:hAnsi="Arial"/>
                <w:sz w:val="20"/>
                <w:szCs w:val="20"/>
                <w:color w:val="auto"/>
                <w:w w:val="71"/>
              </w:rPr>
              <w:t>$</w:t>
            </w:r>
          </w:p>
        </w:tc>
        <w:tc>
          <w:tcPr>
            <w:tcW w:w="118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2,077,592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w w:val="71"/>
              </w:rPr>
              <w:t>$</w:t>
            </w:r>
          </w:p>
        </w:tc>
        <w:tc>
          <w:tcPr>
            <w:tcW w:w="124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2,042,949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
              <w:spacing w:after="0" w:line="209" w:lineRule="exact"/>
              <w:rPr>
                <w:sz w:val="20"/>
                <w:szCs w:val="20"/>
                <w:color w:val="auto"/>
              </w:rPr>
            </w:pPr>
            <w:r>
              <w:rPr>
                <w:rFonts w:ascii="Arial" w:cs="Arial" w:eastAsia="Arial" w:hAnsi="Arial"/>
                <w:sz w:val="20"/>
                <w:szCs w:val="20"/>
                <w:color w:val="auto"/>
                <w:w w:val="89"/>
              </w:rPr>
              <w:t>$</w:t>
            </w:r>
          </w:p>
        </w:tc>
        <w:tc>
          <w:tcPr>
            <w:tcW w:w="1180" w:type="dxa"/>
            <w:vAlign w:val="bottom"/>
            <w:tcBorders>
              <w:bottom w:val="single" w:sz="8" w:color="auto"/>
            </w:tcBorders>
            <w:shd w:val="clear" w:color="auto" w:fill="CCEEFF"/>
          </w:tcPr>
          <w:p>
            <w:pPr>
              <w:jc w:val="right"/>
              <w:spacing w:after="0" w:line="209" w:lineRule="exact"/>
              <w:rPr>
                <w:sz w:val="20"/>
                <w:szCs w:val="20"/>
                <w:color w:val="auto"/>
              </w:rPr>
            </w:pPr>
            <w:r>
              <w:rPr>
                <w:rFonts w:ascii="Arial" w:cs="Arial" w:eastAsia="Arial" w:hAnsi="Arial"/>
                <w:sz w:val="20"/>
                <w:szCs w:val="20"/>
                <w:color w:val="auto"/>
              </w:rPr>
              <w:t>1,980,106</w:t>
            </w:r>
          </w:p>
        </w:tc>
      </w:tr>
      <w:tr>
        <w:trPr>
          <w:trHeight w:val="20"/>
        </w:trPr>
        <w:tc>
          <w:tcPr>
            <w:tcW w:w="3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Substantially all of the Company’s new RV inventory and certain of its used RV inventory, included in the RV and Outdoor Retail segment, is financed by a floor plan credit agreement (“Floor Plan Facility”) with a syndication of banks (“Floor Plan Lenders”).</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2024, December 31, 2023, and March 31, 2023, the applicable interest rate for the floor plan notes payable under the Floor Plan Facility was 7.87%, 7.28%, and 6.63%, respectively. As of March 31, 2024, December 31, 2023, and March 31, 2023, the applicable interest rate for revolving line of credit</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color w:val="auto"/>
        </w:rPr>
        <w:t>borrowings under the Floor Plan Facility was 7.62%, 7.63%, and 6.83%, respectively. Additionally, under the Floor Plan Facility, the revolving line of credit borrowings are limited by a borrowing base calculation, which did not limit the borrowing capacity at March 31, 2024, December 31, 2023, and March 31, 2023.</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Management has determined that the credit agreement governing the Floor Plan Facility includes subjective acceleration clauses, which could impact debt classification. Management believes that no events have occurred at March 31, 2024 that would trigger a subjective acceleration clause. Additionally, the credit agreement governing the Floor Plan Facility contains certain financial covenants. FreedomRoads, LLC was in compliance with all financial debt covenants at March 31, 2024, December 31, 2023, and March 31, 2023.</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Floor Plan Facility as of March 31, 2024 and December 31, 2023, and March 31, 2023 (in thousands):</w:t>
      </w:r>
    </w:p>
    <w:p>
      <w:pPr>
        <w:spacing w:after="0" w:line="17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58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2023</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Floor Plan Facility</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220"/>
              <w:spacing w:after="0" w:line="202" w:lineRule="exact"/>
              <w:rPr>
                <w:sz w:val="20"/>
                <w:szCs w:val="20"/>
                <w:color w:val="auto"/>
              </w:rPr>
            </w:pPr>
            <w:r>
              <w:rPr>
                <w:rFonts w:ascii="Arial" w:cs="Arial" w:eastAsia="Arial" w:hAnsi="Arial"/>
                <w:sz w:val="18"/>
                <w:szCs w:val="18"/>
                <w:color w:val="auto"/>
              </w:rPr>
              <w:t>Notes payable - floor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1,700,000</w:t>
            </w: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Less: borrowings, net of FLAIR offset account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(1,414,696)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(1,371,145)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(1,042,099)</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6"/>
                <w:szCs w:val="16"/>
                <w:color w:val="auto"/>
              </w:rPr>
              <w:t>Less: FLAIR offset account</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(147,654)</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(145,047)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(223,899)</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287,650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333,808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434,002</w:t>
            </w:r>
          </w:p>
        </w:tc>
      </w:tr>
      <w:tr>
        <w:trPr>
          <w:trHeight w:val="203"/>
        </w:trPr>
        <w:tc>
          <w:tcPr>
            <w:tcW w:w="4580" w:type="dxa"/>
            <w:vAlign w:val="bottom"/>
            <w:shd w:val="clear" w:color="auto" w:fill="CCEEFF"/>
          </w:tcPr>
          <w:p>
            <w:pPr>
              <w:ind w:left="420"/>
              <w:spacing w:after="0" w:line="202" w:lineRule="exact"/>
              <w:rPr>
                <w:sz w:val="20"/>
                <w:szCs w:val="20"/>
                <w:color w:val="auto"/>
              </w:rPr>
            </w:pPr>
            <w:r>
              <w:rPr>
                <w:rFonts w:ascii="Arial" w:cs="Arial" w:eastAsia="Arial" w:hAnsi="Arial"/>
                <w:sz w:val="16"/>
                <w:szCs w:val="16"/>
                <w:color w:val="auto"/>
              </w:rPr>
              <w:t>Less: short-term payable for sold inventory</w:t>
            </w:r>
            <w:r>
              <w:rPr>
                <w:rFonts w:ascii="Arial" w:cs="Arial" w:eastAsia="Arial" w:hAnsi="Arial"/>
                <w:sz w:val="23"/>
                <w:szCs w:val="23"/>
                <w:color w:val="auto"/>
                <w:vertAlign w:val="superscript"/>
              </w:rPr>
              <w:t>(2)</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(91,299)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(41,577)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(61,520)</w:t>
            </w:r>
          </w:p>
        </w:tc>
      </w:tr>
      <w:tr>
        <w:trPr>
          <w:trHeight w:val="203"/>
        </w:trPr>
        <w:tc>
          <w:tcPr>
            <w:tcW w:w="4580" w:type="dxa"/>
            <w:vAlign w:val="bottom"/>
            <w:tcBorders>
              <w:bottom w:val="single" w:sz="8" w:color="CCEEFF"/>
            </w:tcBorders>
          </w:tcPr>
          <w:p>
            <w:pPr>
              <w:ind w:left="420"/>
              <w:spacing w:after="0" w:line="202" w:lineRule="exact"/>
              <w:rPr>
                <w:sz w:val="20"/>
                <w:szCs w:val="20"/>
                <w:color w:val="auto"/>
              </w:rPr>
            </w:pPr>
            <w:r>
              <w:rPr>
                <w:rFonts w:ascii="Arial" w:cs="Arial" w:eastAsia="Arial" w:hAnsi="Arial"/>
                <w:sz w:val="16"/>
                <w:szCs w:val="16"/>
                <w:color w:val="auto"/>
              </w:rPr>
              <w:t>Less: purchase commitments</w:t>
            </w:r>
            <w:r>
              <w:rPr>
                <w:rFonts w:ascii="Arial" w:cs="Arial" w:eastAsia="Arial" w:hAnsi="Arial"/>
                <w:sz w:val="23"/>
                <w:szCs w:val="23"/>
                <w:color w:val="auto"/>
                <w:vertAlign w:val="superscript"/>
              </w:rPr>
              <w:t>(3)</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(31,551)</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(27,420)</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(22,991)</w:t>
            </w:r>
          </w:p>
        </w:tc>
      </w:tr>
      <w:tr>
        <w:trPr>
          <w:trHeight w:val="196"/>
        </w:trPr>
        <w:tc>
          <w:tcPr>
            <w:tcW w:w="4580" w:type="dxa"/>
            <w:vAlign w:val="bottom"/>
            <w:tcBorders>
              <w:bottom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Unencumbered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164,800</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264,811</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349,491</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Revolving line of credit:</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c>
          <w:tcPr>
            <w:tcW w:w="2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70,000</w:t>
            </w:r>
          </w:p>
        </w:tc>
      </w:tr>
      <w:tr>
        <w:trPr>
          <w:trHeight w:val="203"/>
        </w:trPr>
        <w:tc>
          <w:tcPr>
            <w:tcW w:w="4580" w:type="dxa"/>
            <w:vAlign w:val="bottom"/>
            <w:tcBorders>
              <w:bottom w:val="single" w:sz="8" w:color="CCEEFF"/>
            </w:tcBorders>
          </w:tcPr>
          <w:p>
            <w:pPr>
              <w:ind w:left="320"/>
              <w:spacing w:after="0" w:line="202" w:lineRule="exact"/>
              <w:rPr>
                <w:sz w:val="20"/>
                <w:szCs w:val="20"/>
                <w:color w:val="auto"/>
              </w:rPr>
            </w:pPr>
            <w:r>
              <w:rPr>
                <w:rFonts w:ascii="Arial" w:cs="Arial" w:eastAsia="Arial" w:hAnsi="Arial"/>
                <w:sz w:val="18"/>
                <w:szCs w:val="18"/>
                <w:color w:val="auto"/>
              </w:rPr>
              <w:t>Less: borrowings</w:t>
            </w:r>
          </w:p>
        </w:tc>
        <w:tc>
          <w:tcPr>
            <w:tcW w:w="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(31,885)</w:t>
            </w: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(20,885)</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(20,885)</w:t>
            </w:r>
          </w:p>
        </w:tc>
      </w:tr>
      <w:tr>
        <w:trPr>
          <w:trHeight w:val="196"/>
        </w:trPr>
        <w:tc>
          <w:tcPr>
            <w:tcW w:w="4580" w:type="dxa"/>
            <w:vAlign w:val="bottom"/>
            <w:tcBorders>
              <w:bottom w:val="single" w:sz="8" w:color="CCEEFF"/>
            </w:tcBorders>
            <w:shd w:val="clear" w:color="auto" w:fill="CCEEFF"/>
          </w:tcPr>
          <w:p>
            <w:pPr>
              <w:ind w:left="420"/>
              <w:spacing w:after="0" w:line="196" w:lineRule="exact"/>
              <w:rPr>
                <w:sz w:val="20"/>
                <w:szCs w:val="20"/>
                <w:color w:val="auto"/>
              </w:rPr>
            </w:pPr>
            <w:r>
              <w:rPr>
                <w:rFonts w:ascii="Arial" w:cs="Arial" w:eastAsia="Arial" w:hAnsi="Arial"/>
                <w:sz w:val="18"/>
                <w:szCs w:val="18"/>
                <w:color w:val="auto"/>
              </w:rPr>
              <w:t>Additional borrowing capacity</w:t>
            </w: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38,115</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49,115</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49,115</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580" w:type="dxa"/>
            <w:vAlign w:val="bottom"/>
          </w:tcPr>
          <w:p>
            <w:pPr>
              <w:ind w:left="320"/>
              <w:spacing w:after="0" w:line="202" w:lineRule="exact"/>
              <w:rPr>
                <w:sz w:val="20"/>
                <w:szCs w:val="20"/>
                <w:color w:val="auto"/>
              </w:rPr>
            </w:pPr>
            <w:r>
              <w:rPr>
                <w:rFonts w:ascii="Arial" w:cs="Arial" w:eastAsia="Arial" w:hAnsi="Arial"/>
                <w:sz w:val="18"/>
                <w:szCs w:val="18"/>
                <w:color w:val="auto"/>
              </w:rPr>
              <w:t>Total commitment</w:t>
            </w:r>
          </w:p>
        </w:tc>
        <w:tc>
          <w:tcPr>
            <w:tcW w:w="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22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4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Less: outstanding letters of credit</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(12,300)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(11,371)</w:t>
            </w:r>
          </w:p>
        </w:tc>
      </w:tr>
      <w:tr>
        <w:trPr>
          <w:trHeight w:val="196"/>
        </w:trPr>
        <w:tc>
          <w:tcPr>
            <w:tcW w:w="4580" w:type="dxa"/>
            <w:vAlign w:val="bottom"/>
          </w:tcPr>
          <w:p>
            <w:pPr>
              <w:ind w:left="420"/>
              <w:spacing w:after="0" w:line="196" w:lineRule="exact"/>
              <w:rPr>
                <w:sz w:val="20"/>
                <w:szCs w:val="20"/>
                <w:color w:val="auto"/>
              </w:rPr>
            </w:pPr>
            <w:r>
              <w:rPr>
                <w:rFonts w:ascii="Arial" w:cs="Arial" w:eastAsia="Arial" w:hAnsi="Arial"/>
                <w:sz w:val="18"/>
                <w:szCs w:val="18"/>
                <w:color w:val="auto"/>
              </w:rPr>
              <w:t>Additional letters of credit capacity</w:t>
            </w:r>
          </w:p>
        </w:tc>
        <w:tc>
          <w:tcPr>
            <w:tcW w:w="6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c>
          <w:tcPr>
            <w:tcW w:w="2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17,700</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18,629</w:t>
            </w:r>
          </w:p>
        </w:tc>
      </w:tr>
      <w:tr>
        <w:trPr>
          <w:trHeight w:val="20"/>
        </w:trPr>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380" w:right="79" w:hanging="330"/>
        <w:spacing w:after="0" w:line="248"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Flooring line aggregate interest reduction (“FLAIR”) offset account that allows the Company to transfer cash to the Floor Plan Lenders as an offset to the payables under the Floor Plan Facility. The FLAIR offset account does not reduce the outstanding amount of loans under the Floor Plan Facility for purposes of determining the unencumbered borrowing capacity under the Floor Plan Facility.</w:t>
      </w:r>
    </w:p>
    <w:p>
      <w:pPr>
        <w:jc w:val="both"/>
        <w:ind w:left="380" w:right="79" w:hanging="330"/>
        <w:spacing w:after="0" w:line="246"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The short-term payable represents the amount due for sold inventory. A payment for any floor plan units sold is due within three to ten business days of sale. Due to the short-term nature of these payables, the Company reclassifies the amounts from notes payable‒floor plan, net to accounts payable in the condensed consolidated balance sheets. Changes in the vehicle floor plan payable are reported as cash flows from financing activities in the condensed consolidated statements of cash flows.</w:t>
      </w:r>
    </w:p>
    <w:p>
      <w:pPr>
        <w:spacing w:after="0" w:line="1" w:lineRule="exact"/>
        <w:rPr>
          <w:rFonts w:ascii="Arial" w:cs="Arial" w:eastAsia="Arial" w:hAnsi="Arial"/>
          <w:sz w:val="13"/>
          <w:szCs w:val="13"/>
          <w:color w:val="auto"/>
        </w:rPr>
      </w:pPr>
    </w:p>
    <w:p>
      <w:pPr>
        <w:ind w:left="380" w:right="79" w:hanging="330"/>
        <w:spacing w:after="0" w:line="264" w:lineRule="auto"/>
        <w:tabs>
          <w:tab w:leader="none" w:pos="380" w:val="left"/>
        </w:tabs>
        <w:numPr>
          <w:ilvl w:val="0"/>
          <w:numId w:val="10"/>
        </w:numPr>
        <w:rPr>
          <w:rFonts w:ascii="Arial" w:cs="Arial" w:eastAsia="Arial" w:hAnsi="Arial"/>
          <w:sz w:val="13"/>
          <w:szCs w:val="13"/>
          <w:color w:val="auto"/>
        </w:rPr>
      </w:pPr>
      <w:r>
        <w:rPr>
          <w:rFonts w:ascii="Arial" w:cs="Arial" w:eastAsia="Arial" w:hAnsi="Arial"/>
          <w:sz w:val="14"/>
          <w:szCs w:val="14"/>
          <w:color w:val="auto"/>
        </w:rPr>
        <w:t>Purchase commitments represent vehicles approved for floor plan financing where the inventory has not yet been received by the Company from the supplier and no floor plan borrowing is outstanding.</w:t>
      </w:r>
    </w:p>
    <w:p>
      <w:pPr>
        <w:spacing w:after="0" w:line="257" w:lineRule="exact"/>
        <w:rPr>
          <w:sz w:val="20"/>
          <w:szCs w:val="20"/>
          <w:color w:val="auto"/>
        </w:rPr>
      </w:pPr>
    </w:p>
    <w:p>
      <w:pPr>
        <w:ind w:left="60" w:right="4639" w:hanging="10"/>
        <w:spacing w:after="0" w:line="485"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Long-Lived Asset Impairment Restructuring – Active Sports</w:t>
      </w:r>
    </w:p>
    <w:p>
      <w:pPr>
        <w:jc w:val="both"/>
        <w:ind w:left="60" w:right="59" w:firstLine="648"/>
        <w:spacing w:after="0"/>
        <w:rPr>
          <w:sz w:val="20"/>
          <w:szCs w:val="20"/>
          <w:color w:val="auto"/>
        </w:rPr>
      </w:pPr>
      <w:r>
        <w:rPr>
          <w:rFonts w:ascii="Arial" w:cs="Arial" w:eastAsia="Arial" w:hAnsi="Arial"/>
          <w:sz w:val="18"/>
          <w:szCs w:val="18"/>
          <w:color w:val="auto"/>
        </w:rPr>
        <w:t>On March 1, 2023, management of the Company determined to implement plans (the “Active Sports Restructuring”) to exit and restructure operations of its indirect subsidiary, Active Sports, LLC, a specialty products retail business (“Active Sports”) as part of its review of underperforming assets and business lines. Upon liquidating a significant amount of inventory and exiting the related distribution centers, the Company reevaluated its exit plan and concluded instead that it would integrate the remaining operations into its existing distribution and fulfillment infrastructure while maintaining lower inventory levels and a smaller fixed cost structure. These plans have resulted in a much smaller operation and included the closure of the specialty retail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location. The incremental inventory reserve charges are based, in part, on the Company’s estimates of the discounting necessary to liquidate the Active Sports inventory.</w:t>
      </w:r>
    </w:p>
    <w:p>
      <w:pPr>
        <w:spacing w:after="0" w:line="4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activities under the Active Sports Restructuring were substantially completed by December 31, 2023. Certain lease costs will continue to be incurred after December 31, 2023 on the remaining leases if the Company is unable to terminate the leases under acceptable terms or offset the lease costs through sublease arrangements. The Company expects that the ongoing lease-related costs relating to the Active Sports Restructuring, net of associated sublease income, will be less than $1.1 million per year.</w:t>
      </w:r>
    </w:p>
    <w:p>
      <w:pPr>
        <w:spacing w:after="0" w:line="176"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March 31, 2024, the total restructuring costs associated with the Active Sports Restructuring were $6.2 million. The breakdown of these restructuring costs is as follows:</w:t>
      </w:r>
    </w:p>
    <w:p>
      <w:pPr>
        <w:spacing w:after="0" w:line="46" w:lineRule="exact"/>
        <w:rPr>
          <w:sz w:val="20"/>
          <w:szCs w:val="20"/>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one-time employee termination benefits relating to the specialty retail store and distribution center closures of $0.2 million;</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incremental inventory reserve charges of $4.3 million;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lease termination charges of $0.4 million;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other associated costs of $1.3 million.</w:t>
      </w:r>
    </w:p>
    <w:p>
      <w:pPr>
        <w:spacing w:after="0" w:line="224"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following table details the costs incurred during the three months ended March 31, 2024 and 2023 associated with the Active Sports Restructuring (in thousands):</w:t>
      </w:r>
    </w:p>
    <w:tbl>
      <w:tblPr>
        <w:tblLayout w:type="fixed"/>
        <w:tblInd w:w="760" w:type="dxa"/>
        <w:tblCellMar>
          <w:top w:w="0" w:type="dxa"/>
          <w:left w:w="0" w:type="dxa"/>
          <w:bottom w:w="0" w:type="dxa"/>
          <w:right w:w="0" w:type="dxa"/>
        </w:tblCellMar>
      </w:tblPr>
      <w:tr>
        <w:trPr>
          <w:trHeight w:val="160"/>
        </w:trPr>
        <w:tc>
          <w:tcPr>
            <w:tcW w:w="4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176"/>
              <w:spacing w:after="0" w:line="159" w:lineRule="exact"/>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40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r>
      <w:tr>
        <w:trPr>
          <w:trHeight w:val="196"/>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Active Sports Restructuring costs: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4060" w:type="dxa"/>
            <w:vAlign w:val="bottom"/>
          </w:tcPr>
          <w:p>
            <w:pPr>
              <w:ind w:left="120"/>
              <w:spacing w:after="0" w:line="202" w:lineRule="exact"/>
              <w:rPr>
                <w:sz w:val="20"/>
                <w:szCs w:val="20"/>
                <w:color w:val="auto"/>
              </w:rPr>
            </w:pPr>
            <w:r>
              <w:rPr>
                <w:rFonts w:ascii="Arial" w:cs="Arial" w:eastAsia="Arial" w:hAnsi="Arial"/>
                <w:sz w:val="16"/>
                <w:szCs w:val="16"/>
                <w:color w:val="auto"/>
              </w:rPr>
              <w:t>Other associated costs</w:t>
            </w:r>
            <w:r>
              <w:rPr>
                <w:rFonts w:ascii="Arial" w:cs="Arial" w:eastAsia="Arial" w:hAnsi="Arial"/>
                <w:sz w:val="23"/>
                <w:szCs w:val="23"/>
                <w:color w:val="auto"/>
                <w:vertAlign w:val="superscript"/>
              </w:rPr>
              <w:t>(1)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4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r>
      <w:tr>
        <w:trPr>
          <w:trHeight w:val="196"/>
        </w:trPr>
        <w:tc>
          <w:tcPr>
            <w:tcW w:w="4060" w:type="dxa"/>
            <w:vAlign w:val="bottom"/>
            <w:tcBorders>
              <w:top w:val="single" w:sz="8" w:color="CCEEFF"/>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Active Sports Restructuring costs</w:t>
            </w:r>
          </w:p>
        </w:tc>
        <w:tc>
          <w:tcPr>
            <w:tcW w:w="7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ind w:left="720"/>
              <w:spacing w:after="0" w:line="196" w:lineRule="exact"/>
              <w:rPr>
                <w:sz w:val="20"/>
                <w:szCs w:val="20"/>
                <w:color w:val="auto"/>
              </w:rPr>
            </w:pPr>
            <w:r>
              <w:rPr>
                <w:rFonts w:ascii="Arial" w:cs="Arial" w:eastAsia="Arial" w:hAnsi="Arial"/>
                <w:sz w:val="18"/>
                <w:szCs w:val="18"/>
                <w:color w:val="auto"/>
              </w:rPr>
              <w:t>—</w:t>
            </w:r>
          </w:p>
        </w:tc>
      </w:tr>
      <w:tr>
        <w:trPr>
          <w:trHeight w:val="20"/>
        </w:trPr>
        <w:tc>
          <w:tcPr>
            <w:tcW w:w="4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700" w:right="79" w:hanging="650"/>
        <w:spacing w:after="0" w:line="214" w:lineRule="auto"/>
        <w:tabs>
          <w:tab w:leader="none" w:pos="70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lease and other operating expenses incurred during the post-close wind-down period for the Active Sports Restructuring for the periods presented and were included primarily in selling, general, and administrative expenses in the condensed consolidated statements of operations.</w:t>
      </w:r>
    </w:p>
    <w:p>
      <w:pPr>
        <w:spacing w:after="0" w:line="166" w:lineRule="exact"/>
        <w:rPr>
          <w:sz w:val="20"/>
          <w:szCs w:val="20"/>
          <w:color w:val="auto"/>
        </w:rPr>
      </w:pPr>
    </w:p>
    <w:p>
      <w:pPr>
        <w:ind w:left="60" w:right="659" w:firstLine="648"/>
        <w:spacing w:after="0" w:line="255" w:lineRule="auto"/>
        <w:rPr>
          <w:sz w:val="20"/>
          <w:szCs w:val="20"/>
          <w:color w:val="auto"/>
        </w:rPr>
      </w:pPr>
      <w:r>
        <w:rPr>
          <w:rFonts w:ascii="Arial" w:cs="Arial" w:eastAsia="Arial" w:hAnsi="Arial"/>
          <w:sz w:val="18"/>
          <w:szCs w:val="18"/>
          <w:color w:val="auto"/>
        </w:rPr>
        <w:t>The following table details changes in the restructuring accrual associated with the Active Sports Restructuring (in thousands):</w:t>
      </w:r>
    </w:p>
    <w:tbl>
      <w:tblPr>
        <w:tblLayout w:type="fixed"/>
        <w:tblInd w:w="40" w:type="dxa"/>
        <w:tblCellMar>
          <w:top w:w="0" w:type="dxa"/>
          <w:left w:w="0" w:type="dxa"/>
          <w:bottom w:w="0" w:type="dxa"/>
          <w:right w:w="0" w:type="dxa"/>
        </w:tblCellMar>
      </w:tblPr>
      <w:tr>
        <w:trPr>
          <w:trHeight w:val="150"/>
        </w:trPr>
        <w:tc>
          <w:tcPr>
            <w:tcW w:w="5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380"/>
              <w:spacing w:after="0" w:line="151" w:lineRule="exact"/>
              <w:rPr>
                <w:sz w:val="20"/>
                <w:szCs w:val="20"/>
                <w:color w:val="auto"/>
              </w:rPr>
            </w:pPr>
            <w:r>
              <w:rPr>
                <w:rFonts w:ascii="Arial" w:cs="Arial" w:eastAsia="Arial" w:hAnsi="Arial"/>
                <w:sz w:val="14"/>
                <w:szCs w:val="14"/>
                <w:b w:val="1"/>
                <w:bCs w:val="1"/>
                <w:color w:val="auto"/>
              </w:rPr>
              <w:t>One-time</w:t>
            </w:r>
          </w:p>
        </w:tc>
        <w:tc>
          <w:tcPr>
            <w:tcW w:w="140" w:type="dxa"/>
            <w:vAlign w:val="bottom"/>
          </w:tcPr>
          <w:p>
            <w:pPr>
              <w:spacing w:after="0"/>
              <w:rPr>
                <w:sz w:val="13"/>
                <w:szCs w:val="13"/>
                <w:color w:val="auto"/>
              </w:rPr>
            </w:pPr>
          </w:p>
        </w:tc>
        <w:tc>
          <w:tcPr>
            <w:tcW w:w="1040" w:type="dxa"/>
            <w:vAlign w:val="bottom"/>
            <w:gridSpan w:val="2"/>
          </w:tcPr>
          <w:p>
            <w:pPr>
              <w:jc w:val="center"/>
              <w:ind w:right="400"/>
              <w:spacing w:after="0" w:line="151"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5"/>
        </w:trPr>
        <w:tc>
          <w:tcPr>
            <w:tcW w:w="5520" w:type="dxa"/>
            <w:vAlign w:val="bottom"/>
          </w:tcPr>
          <w:p>
            <w:pPr>
              <w:spacing w:after="0"/>
              <w:rPr>
                <w:sz w:val="16"/>
                <w:szCs w:val="16"/>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Termination</w:t>
            </w:r>
          </w:p>
        </w:tc>
        <w:tc>
          <w:tcPr>
            <w:tcW w:w="11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Associated</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Benefits</w:t>
            </w:r>
          </w:p>
        </w:tc>
        <w:tc>
          <w:tcPr>
            <w:tcW w:w="140" w:type="dxa"/>
            <w:vAlign w:val="bottom"/>
          </w:tcPr>
          <w:p>
            <w:pPr>
              <w:spacing w:after="0"/>
              <w:rPr>
                <w:sz w:val="16"/>
                <w:szCs w:val="16"/>
                <w:color w:val="auto"/>
              </w:rPr>
            </w:pPr>
          </w:p>
        </w:tc>
        <w:tc>
          <w:tcPr>
            <w:tcW w:w="1040" w:type="dxa"/>
            <w:vAlign w:val="bottom"/>
            <w:gridSpan w:val="2"/>
          </w:tcPr>
          <w:p>
            <w:pPr>
              <w:jc w:val="center"/>
              <w:ind w:right="400"/>
              <w:spacing w:after="0" w:line="189" w:lineRule="exact"/>
              <w:rPr>
                <w:sz w:val="20"/>
                <w:szCs w:val="20"/>
                <w:color w:val="auto"/>
              </w:rPr>
            </w:pPr>
            <w:r>
              <w:rPr>
                <w:rFonts w:ascii="Arial" w:cs="Arial" w:eastAsia="Arial" w:hAnsi="Arial"/>
                <w:sz w:val="14"/>
                <w:szCs w:val="14"/>
                <w:b w:val="1"/>
                <w:bCs w:val="1"/>
                <w:color w:val="auto"/>
                <w:w w:val="93"/>
              </w:rPr>
              <w:t xml:space="preserve">Costs </w:t>
            </w:r>
            <w:r>
              <w:rPr>
                <w:rFonts w:ascii="Arial" w:cs="Arial" w:eastAsia="Arial" w:hAnsi="Arial"/>
                <w:sz w:val="21"/>
                <w:szCs w:val="21"/>
                <w:b w:val="1"/>
                <w:bCs w:val="1"/>
                <w:color w:val="auto"/>
                <w:w w:val="93"/>
                <w:vertAlign w:val="superscript"/>
              </w:rPr>
              <w:t>(1)</w:t>
            </w:r>
          </w:p>
        </w:tc>
        <w:tc>
          <w:tcPr>
            <w:tcW w:w="220" w:type="dxa"/>
            <w:vAlign w:val="bottom"/>
          </w:tcPr>
          <w:p>
            <w:pPr>
              <w:spacing w:after="0"/>
              <w:rPr>
                <w:sz w:val="16"/>
                <w:szCs w:val="16"/>
                <w:color w:val="auto"/>
              </w:rPr>
            </w:pPr>
          </w:p>
        </w:tc>
        <w:tc>
          <w:tcPr>
            <w:tcW w:w="82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55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2023</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Charged to expense</w:t>
            </w: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1,003</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1,196</w:t>
            </w:r>
          </w:p>
        </w:tc>
      </w:tr>
      <w:tr>
        <w:trPr>
          <w:trHeight w:val="203"/>
        </w:trPr>
        <w:tc>
          <w:tcPr>
            <w:tcW w:w="5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Paid or otherwise settled</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(1,003)</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r>
      <w:tr>
        <w:trPr>
          <w:trHeight w:val="196"/>
        </w:trPr>
        <w:tc>
          <w:tcPr>
            <w:tcW w:w="552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 2023</w:t>
            </w: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Charged to expense</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203"/>
        </w:trPr>
        <w:tc>
          <w:tcPr>
            <w:tcW w:w="5520" w:type="dxa"/>
            <w:vAlign w:val="bottom"/>
          </w:tcPr>
          <w:p>
            <w:pPr>
              <w:ind w:left="20"/>
              <w:spacing w:after="0" w:line="202" w:lineRule="exact"/>
              <w:rPr>
                <w:sz w:val="20"/>
                <w:szCs w:val="20"/>
                <w:color w:val="auto"/>
              </w:rPr>
            </w:pPr>
            <w:r>
              <w:rPr>
                <w:rFonts w:ascii="Arial" w:cs="Arial" w:eastAsia="Arial" w:hAnsi="Arial"/>
                <w:sz w:val="18"/>
                <w:szCs w:val="18"/>
                <w:color w:val="auto"/>
              </w:rPr>
              <w:t>Paid or otherwise settled</w:t>
            </w:r>
          </w:p>
        </w:tc>
        <w:tc>
          <w:tcPr>
            <w:tcW w:w="120" w:type="dxa"/>
            <w:vAlign w:val="bottom"/>
          </w:tcPr>
          <w:p>
            <w:pPr>
              <w:spacing w:after="0"/>
              <w:rPr>
                <w:sz w:val="17"/>
                <w:szCs w:val="17"/>
                <w:color w:val="auto"/>
              </w:rPr>
            </w:pPr>
          </w:p>
        </w:tc>
        <w:tc>
          <w:tcPr>
            <w:tcW w:w="10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(260)</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r>
      <w:tr>
        <w:trPr>
          <w:trHeight w:val="196"/>
        </w:trPr>
        <w:tc>
          <w:tcPr>
            <w:tcW w:w="55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March 31, 2024</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700" w:right="79" w:hanging="650"/>
        <w:spacing w:after="0" w:line="204" w:lineRule="auto"/>
        <w:tabs>
          <w:tab w:leader="none" w:pos="700" w:val="left"/>
        </w:tabs>
        <w:numPr>
          <w:ilvl w:val="0"/>
          <w:numId w:val="14"/>
        </w:numPr>
        <w:rPr>
          <w:rFonts w:ascii="Arial" w:cs="Arial" w:eastAsia="Arial" w:hAnsi="Arial"/>
          <w:sz w:val="22"/>
          <w:szCs w:val="22"/>
          <w:color w:val="auto"/>
          <w:vertAlign w:val="superscript"/>
        </w:rPr>
      </w:pPr>
      <w:r>
        <w:rPr>
          <w:rFonts w:ascii="Arial" w:cs="Arial" w:eastAsia="Arial" w:hAnsi="Arial"/>
          <w:sz w:val="14"/>
          <w:szCs w:val="14"/>
          <w:color w:val="auto"/>
        </w:rPr>
        <w:t>Other associated costs primarily represent labor, lease and other operating expenses incurred during the post-close wind-down period for the specialty retail location and distribution centers related to the Active Sports Restructuring.</w:t>
      </w: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Long-Lived Asset Impairment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March 31, 2023, the Company recorded an impairment charge totaling $6.6 million related to the Active Sports Restructuring, of which $4.5 million related to intangible assets, and $2.1 million related to other long-lived asset categories.</w:t>
      </w:r>
    </w:p>
    <w:p>
      <w:pPr>
        <w:spacing w:after="0" w:line="61"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Additionally, during the three months ended March 31, 2024 and March 31, 2023, the Company had indicators of impairment of the long-lived assets for certain locations, which were unrelated to the Active Sports Restructuring. Such indicators primarily included decreases in market rental rates or market value of real</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property for closed locations, or based on the Company’s review of location performance in the normal course of business. As a result of updating certain assumptions in the long-lived asset impairment analysis for these locations, the Company determined that the fair value of certain long-lived assets were below their carrying value and were impaired.</w:t>
      </w:r>
    </w:p>
    <w:p>
      <w:pPr>
        <w:spacing w:after="0" w:line="6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long-lived asset impairment charges were calculated as the amount that the carrying value of these locations exceeded the estimated fair value, except that individual assets cannot be impaired below their individual fair values when that fair value can be determined without undue cost and effort. Estimated fair value is typically based on estimated discounted future cash flows, while property appraisals or market rent analyses are utilized for determining the fair value of certain assets related to properties and leases.</w:t>
      </w:r>
    </w:p>
    <w:p>
      <w:pPr>
        <w:spacing w:after="0" w:line="6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details long-lived asset impairment charges by type of long-lived asset and by restructuring activity, all of which relate to the RV and Outdoor Retail segment (in thousands):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2024</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Long-lived asset impairment charges by type of long-lived asset:</w:t>
            </w:r>
          </w:p>
        </w:tc>
        <w:tc>
          <w:tcPr>
            <w:tcW w:w="7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Arial" w:cs="Arial" w:eastAsia="Arial" w:hAnsi="Arial"/>
                <w:sz w:val="16"/>
                <w:szCs w:val="16"/>
                <w:color w:val="auto"/>
              </w:rPr>
              <w:t>Leasehold improvements</w:t>
            </w:r>
          </w:p>
        </w:tc>
        <w:tc>
          <w:tcPr>
            <w:tcW w:w="1500" w:type="dxa"/>
            <w:vAlign w:val="bottom"/>
            <w:gridSpan w:val="2"/>
          </w:tcPr>
          <w:p>
            <w:pPr>
              <w:jc w:val="right"/>
              <w:ind w:right="624"/>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2,285</w:t>
            </w:r>
          </w:p>
        </w:tc>
        <w:tc>
          <w:tcPr>
            <w:tcW w:w="240" w:type="dxa"/>
            <w:vAlign w:val="bottom"/>
          </w:tcPr>
          <w:p>
            <w:pPr>
              <w:spacing w:after="0"/>
              <w:rPr>
                <w:sz w:val="17"/>
                <w:szCs w:val="17"/>
                <w:color w:val="auto"/>
              </w:rPr>
            </w:pPr>
          </w:p>
        </w:tc>
        <w:tc>
          <w:tcPr>
            <w:tcW w:w="800" w:type="dxa"/>
            <w:vAlign w:val="bottom"/>
            <w:gridSpan w:val="2"/>
          </w:tcPr>
          <w:p>
            <w:pPr>
              <w:jc w:val="right"/>
              <w:ind w:right="627"/>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right of use assets</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1,290</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Arial" w:cs="Arial" w:eastAsia="Arial" w:hAnsi="Arial"/>
                <w:sz w:val="16"/>
                <w:szCs w:val="16"/>
                <w:color w:val="auto"/>
              </w:rPr>
              <w:t>Building and improvements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2,252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Furniture and equipment</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Arial" w:cs="Arial" w:eastAsia="Arial" w:hAnsi="Arial"/>
                <w:sz w:val="16"/>
                <w:szCs w:val="16"/>
                <w:color w:val="auto"/>
              </w:rPr>
              <w:t>Software</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1,362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Construction in progress and software in development</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Arial" w:cs="Arial" w:eastAsia="Arial" w:hAnsi="Arial"/>
                <w:sz w:val="16"/>
                <w:szCs w:val="16"/>
                <w:color w:val="auto"/>
              </w:rPr>
              <w:t>Intangible assets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4,501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long-lived asset impairment charges</w:t>
            </w:r>
          </w:p>
        </w:tc>
        <w:tc>
          <w:tcPr>
            <w:tcW w:w="70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624"/>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5,827</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6"/>
                <w:szCs w:val="16"/>
                <w:color w:val="auto"/>
              </w:rPr>
              <w:t>Long-lived asset impairment charges by restructuring activity:</w:t>
            </w: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100"/>
              <w:spacing w:after="0"/>
              <w:rPr>
                <w:sz w:val="20"/>
                <w:szCs w:val="20"/>
                <w:color w:val="auto"/>
              </w:rPr>
            </w:pPr>
            <w:r>
              <w:rPr>
                <w:rFonts w:ascii="Arial" w:cs="Arial" w:eastAsia="Arial" w:hAnsi="Arial"/>
                <w:sz w:val="16"/>
                <w:szCs w:val="16"/>
                <w:color w:val="auto"/>
              </w:rPr>
              <w:t>Active Sports Restructuring</w:t>
            </w:r>
          </w:p>
        </w:tc>
        <w:tc>
          <w:tcPr>
            <w:tcW w:w="1500" w:type="dxa"/>
            <w:vAlign w:val="bottom"/>
            <w:gridSpan w:val="2"/>
          </w:tcPr>
          <w:p>
            <w:pPr>
              <w:jc w:val="right"/>
              <w:ind w:right="624"/>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27"/>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7"/>
              </w:rPr>
              <w:t>6,648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Unrelated to restructuring activities</w:t>
            </w:r>
          </w:p>
        </w:tc>
        <w:tc>
          <w:tcPr>
            <w:tcW w:w="7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5,827</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tcPr>
          <w:p>
            <w:pPr>
              <w:ind w:left="200"/>
              <w:spacing w:after="0"/>
              <w:rPr>
                <w:sz w:val="20"/>
                <w:szCs w:val="20"/>
                <w:color w:val="auto"/>
              </w:rPr>
            </w:pPr>
            <w:r>
              <w:rPr>
                <w:rFonts w:ascii="Arial" w:cs="Arial" w:eastAsia="Arial" w:hAnsi="Arial"/>
                <w:sz w:val="16"/>
                <w:szCs w:val="16"/>
                <w:color w:val="auto"/>
              </w:rPr>
              <w:t>Total long-lived asset impairment charges</w:t>
            </w:r>
          </w:p>
        </w:tc>
        <w:tc>
          <w:tcPr>
            <w:tcW w:w="700" w:type="dxa"/>
            <w:vAlign w:val="bottom"/>
          </w:tcPr>
          <w:p>
            <w:pPr>
              <w:spacing w:after="0"/>
              <w:rPr>
                <w:sz w:val="17"/>
                <w:szCs w:val="17"/>
                <w:color w:val="auto"/>
              </w:rPr>
            </w:pPr>
          </w:p>
        </w:tc>
        <w:tc>
          <w:tcPr>
            <w:tcW w:w="800" w:type="dxa"/>
            <w:vAlign w:val="bottom"/>
            <w:tcBorders>
              <w:bottom w:val="single" w:sz="8" w:color="auto"/>
            </w:tcBorders>
          </w:tcPr>
          <w:p>
            <w:pPr>
              <w:jc w:val="right"/>
              <w:ind w:right="624"/>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5,827</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Assets Held for Sale</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As of March 31, 2024, December 31, 2023, and March 31, 2023, three, five, and two RV and Outdoor Retail segment properties, respectively, met the criteria to be classified as held for sale. Additionally, as of December 31, 2023 and March 31, 2023, certain of these properties had associated secured borrowings under the Company’s Real Estate Facilities (see Note 7 — Long-Term Debt for definition and further details).</w:t>
      </w:r>
    </w:p>
    <w:p>
      <w:pPr>
        <w:spacing w:after="0" w:line="6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the components of assets held for sale and liabilities related to assets held for sale at March 31, 2024, December 31, 2023, and March 31, 2023 (in thousands):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held for sale:</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6,276</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29,864</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6,276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29,864</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13,971</w:t>
            </w:r>
          </w:p>
        </w:tc>
        <w:tc>
          <w:tcPr>
            <w:tcW w:w="0" w:type="dxa"/>
            <w:vAlign w:val="bottom"/>
          </w:tcPr>
          <w:p>
            <w:pPr>
              <w:spacing w:after="0"/>
              <w:rPr>
                <w:sz w:val="1"/>
                <w:szCs w:val="1"/>
                <w:color w:val="auto"/>
              </w:rPr>
            </w:pPr>
          </w:p>
        </w:tc>
      </w:tr>
      <w:tr>
        <w:trPr>
          <w:trHeight w:val="20"/>
        </w:trPr>
        <w:tc>
          <w:tcPr>
            <w:tcW w:w="3780" w:type="dxa"/>
            <w:vAlign w:val="bottom"/>
            <w:gridSpan w:val="2"/>
            <w:vMerge w:val="restart"/>
          </w:tcPr>
          <w:p>
            <w:pPr>
              <w:ind w:left="20"/>
              <w:spacing w:after="0"/>
              <w:rPr>
                <w:sz w:val="20"/>
                <w:szCs w:val="20"/>
                <w:color w:val="auto"/>
              </w:rPr>
            </w:pPr>
            <w:r>
              <w:rPr>
                <w:rFonts w:ascii="Arial" w:cs="Arial" w:eastAsia="Arial" w:hAnsi="Arial"/>
                <w:sz w:val="18"/>
                <w:szCs w:val="18"/>
                <w:color w:val="auto"/>
              </w:rPr>
              <w:t>Liabilities related to assets held for sale:</w:t>
            </w: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gridSpan w:val="2"/>
            <w:vMerge w:val="continue"/>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Current portion of long-term debt</w:t>
            </w:r>
          </w:p>
        </w:tc>
        <w:tc>
          <w:tcPr>
            <w:tcW w:w="1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Long-term debt, net of current portion</w:t>
            </w:r>
          </w:p>
        </w:tc>
        <w:tc>
          <w:tcPr>
            <w:tcW w:w="1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16,424</w:t>
            </w:r>
          </w:p>
        </w:tc>
        <w:tc>
          <w:tcPr>
            <w:tcW w:w="2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6,862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17,288</w:t>
            </w: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100" w:type="dxa"/>
            <w:vAlign w:val="bottom"/>
            <w:vMerge w:val="restart"/>
          </w:tcPr>
          <w:p>
            <w:pPr>
              <w:jc w:val="right"/>
              <w:ind w:right="23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right="6099" w:hanging="10"/>
        <w:spacing w:after="0" w:line="485" w:lineRule="auto"/>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Goodwill</w:t>
      </w:r>
    </w:p>
    <w:p>
      <w:pPr>
        <w:ind w:left="60" w:right="79" w:firstLine="648"/>
        <w:spacing w:after="0" w:line="255" w:lineRule="auto"/>
        <w:rPr>
          <w:sz w:val="20"/>
          <w:szCs w:val="20"/>
          <w:color w:val="auto"/>
        </w:rPr>
      </w:pPr>
      <w:r>
        <w:rPr>
          <w:rFonts w:ascii="Arial" w:cs="Arial" w:eastAsia="Arial" w:hAnsi="Arial"/>
          <w:sz w:val="18"/>
          <w:szCs w:val="18"/>
          <w:color w:val="auto"/>
        </w:rPr>
        <w:t>The following table presents a summary of changes in the Company’s goodwill by segment for the three months ended March 31, 2024 and 2023 (in thousands):</w:t>
      </w:r>
    </w:p>
    <w:tbl>
      <w:tblPr>
        <w:tblLayout w:type="fixed"/>
        <w:tblInd w:w="0" w:type="dxa"/>
        <w:tblCellMar>
          <w:top w:w="0" w:type="dxa"/>
          <w:left w:w="0" w:type="dxa"/>
          <w:bottom w:w="0" w:type="dxa"/>
          <w:right w:w="0" w:type="dxa"/>
        </w:tblCellMar>
      </w:tblPr>
      <w:tr>
        <w:trPr>
          <w:trHeight w:val="150"/>
        </w:trPr>
        <w:tc>
          <w:tcPr>
            <w:tcW w:w="4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ind w:right="41"/>
              <w:spacing w:after="0" w:line="151" w:lineRule="exact"/>
              <w:rPr>
                <w:sz w:val="20"/>
                <w:szCs w:val="20"/>
                <w:color w:val="auto"/>
              </w:rPr>
            </w:pPr>
            <w:r>
              <w:rPr>
                <w:rFonts w:ascii="Arial" w:cs="Arial" w:eastAsia="Arial" w:hAnsi="Arial"/>
                <w:sz w:val="14"/>
                <w:szCs w:val="14"/>
                <w:b w:val="1"/>
                <w:bCs w:val="1"/>
                <w:color w:val="auto"/>
              </w:rPr>
              <w:t>Good Sam</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2"/>
        </w:trPr>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41"/>
              <w:spacing w:after="0"/>
              <w:rPr>
                <w:sz w:val="20"/>
                <w:szCs w:val="20"/>
                <w:color w:val="auto"/>
              </w:rPr>
            </w:pPr>
            <w:r>
              <w:rPr>
                <w:rFonts w:ascii="Arial" w:cs="Arial" w:eastAsia="Arial" w:hAnsi="Arial"/>
                <w:sz w:val="14"/>
                <w:szCs w:val="14"/>
                <w:b w:val="1"/>
                <w:bCs w:val="1"/>
                <w:color w:val="auto"/>
              </w:rPr>
              <w:t>Services and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220"/>
              <w:spacing w:after="0"/>
              <w:rPr>
                <w:sz w:val="20"/>
                <w:szCs w:val="20"/>
                <w:color w:val="auto"/>
              </w:rPr>
            </w:pPr>
            <w:r>
              <w:rPr>
                <w:rFonts w:ascii="Arial" w:cs="Arial" w:eastAsia="Arial" w:hAnsi="Arial"/>
                <w:sz w:val="14"/>
                <w:szCs w:val="14"/>
                <w:b w:val="1"/>
                <w:bCs w:val="1"/>
                <w:color w:val="auto"/>
              </w:rPr>
              <w:t>RV and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rPr>
              <w:t>Plans</w:t>
            </w:r>
          </w:p>
        </w:tc>
        <w:tc>
          <w:tcPr>
            <w:tcW w:w="1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Outdoor Retail</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99"/>
              </w:rPr>
              <w:t>Consolidated</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2022 (excluding impairment charges)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71,118</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793,142</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864,260</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impairment charges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(46,884)</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(194,953)</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(241,837)</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2022</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598,189</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622,423</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March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598,311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622,545</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88,677</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88,677</w:t>
            </w:r>
          </w:p>
        </w:tc>
      </w:tr>
      <w:tr>
        <w:trPr>
          <w:trHeight w:val="183"/>
        </w:trPr>
        <w:tc>
          <w:tcPr>
            <w:tcW w:w="49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at December 31, 2023</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686,988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711,222</w:t>
            </w:r>
          </w:p>
        </w:tc>
      </w:tr>
      <w:tr>
        <w:trPr>
          <w:trHeight w:val="189"/>
        </w:trPr>
        <w:tc>
          <w:tcPr>
            <w:tcW w:w="4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Acquisitions</w:t>
            </w:r>
          </w:p>
        </w:tc>
        <w:tc>
          <w:tcPr>
            <w:tcW w:w="4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24,458</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24,458</w:t>
            </w:r>
          </w:p>
        </w:tc>
      </w:tr>
      <w:tr>
        <w:trPr>
          <w:trHeight w:val="183"/>
        </w:trPr>
        <w:tc>
          <w:tcPr>
            <w:tcW w:w="49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Balance at March 31, 2024</w:t>
            </w: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24,234</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711,446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735,680</w:t>
            </w:r>
          </w:p>
        </w:tc>
      </w:tr>
      <w:tr>
        <w:trPr>
          <w:trHeight w:val="20"/>
        </w:trPr>
        <w:tc>
          <w:tcPr>
            <w:tcW w:w="4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Intangible Assets</w:t>
      </w:r>
    </w:p>
    <w:p>
      <w:pPr>
        <w:spacing w:after="0" w:line="212"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Finite-lived intangible assets and related accumulated amortization consisted of the following at March 31, 2024, December 31, 2023 and March 31, 2023 (in thousands):</w:t>
      </w:r>
    </w:p>
    <w:p>
      <w:pPr>
        <w:spacing w:after="0" w:line="5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March 31, 2024</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Membership, customer lists and other</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9,740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(9,316)</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424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Websites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(1,227)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1,823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Customer lists, domain names and other</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(3,439)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2,104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Supplier lists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Trademarks and trade names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(21,725)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5,526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Websites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753</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$ 55,756</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(42,758)</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12,998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7"/>
          </w:tcPr>
          <w:p>
            <w:pPr>
              <w:jc w:val="center"/>
              <w:ind w:right="7"/>
              <w:spacing w:after="0"/>
              <w:rPr>
                <w:sz w:val="20"/>
                <w:szCs w:val="20"/>
                <w:color w:val="auto"/>
              </w:rPr>
            </w:pPr>
            <w:r>
              <w:rPr>
                <w:rFonts w:ascii="Arial" w:cs="Arial" w:eastAsia="Arial" w:hAnsi="Arial"/>
                <w:sz w:val="14"/>
                <w:szCs w:val="14"/>
                <w:b w:val="1"/>
                <w:bCs w:val="1"/>
                <w:color w:val="auto"/>
              </w:rPr>
              <w:t>December 31, 2023</w:t>
            </w:r>
          </w:p>
        </w:tc>
        <w:tc>
          <w:tcPr>
            <w:tcW w:w="6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Cost or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3"/>
        </w:trPr>
        <w:tc>
          <w:tcPr>
            <w:tcW w:w="280" w:type="dxa"/>
            <w:vAlign w:val="bottom"/>
          </w:tcPr>
          <w:p>
            <w:pPr>
              <w:spacing w:after="0"/>
              <w:rPr>
                <w:sz w:val="15"/>
                <w:szCs w:val="15"/>
                <w:color w:val="auto"/>
              </w:rPr>
            </w:pPr>
          </w:p>
        </w:tc>
        <w:tc>
          <w:tcPr>
            <w:tcW w:w="3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9,640</w:t>
            </w:r>
          </w:p>
        </w:tc>
        <w:tc>
          <w:tcPr>
            <w:tcW w:w="3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(9,246)</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Websites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1,932</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5,543</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(3,269)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2,274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3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(1,102)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594</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(21,390)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5,861</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Pr>
          <w:p>
            <w:pPr>
              <w:spacing w:after="0"/>
              <w:rPr>
                <w:sz w:val="17"/>
                <w:szCs w:val="17"/>
                <w:color w:val="auto"/>
              </w:rPr>
            </w:pPr>
          </w:p>
        </w:tc>
        <w:tc>
          <w:tcPr>
            <w:tcW w:w="37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9"/>
              </w:rPr>
              <w:t>$ 55,637</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(41,920)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13,717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0" w:type="dxa"/>
            <w:vAlign w:val="bottom"/>
            <w:vMerge w:val="restart"/>
          </w:tcPr>
          <w:p>
            <w:pPr>
              <w:jc w:val="right"/>
              <w:ind w:right="119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8"/>
        </w:trPr>
        <w:tc>
          <w:tcPr>
            <w:tcW w:w="2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32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March 31, 2023</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46"/>
        </w:trPr>
        <w:tc>
          <w:tcPr>
            <w:tcW w:w="5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52"/>
              <w:spacing w:after="0" w:line="147" w:lineRule="exact"/>
              <w:rPr>
                <w:sz w:val="20"/>
                <w:szCs w:val="20"/>
                <w:color w:val="auto"/>
              </w:rPr>
            </w:pPr>
            <w:r>
              <w:rPr>
                <w:rFonts w:ascii="Arial" w:cs="Arial" w:eastAsia="Arial" w:hAnsi="Arial"/>
                <w:sz w:val="14"/>
                <w:szCs w:val="14"/>
                <w:b w:val="1"/>
                <w:bCs w:val="1"/>
                <w:color w:val="auto"/>
              </w:rPr>
              <w:t>Cost or</w:t>
            </w:r>
          </w:p>
        </w:tc>
        <w:tc>
          <w:tcPr>
            <w:tcW w:w="160" w:type="dxa"/>
            <w:vAlign w:val="bottom"/>
          </w:tcPr>
          <w:p>
            <w:pPr>
              <w:spacing w:after="0"/>
              <w:rPr>
                <w:sz w:val="12"/>
                <w:szCs w:val="12"/>
                <w:color w:val="auto"/>
              </w:rPr>
            </w:pPr>
          </w:p>
        </w:tc>
        <w:tc>
          <w:tcPr>
            <w:tcW w:w="10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1"/>
        </w:trPr>
        <w:tc>
          <w:tcPr>
            <w:tcW w:w="55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92"/>
              <w:spacing w:after="0"/>
              <w:rPr>
                <w:sz w:val="20"/>
                <w:szCs w:val="20"/>
                <w:color w:val="auto"/>
              </w:rPr>
            </w:pPr>
            <w:r>
              <w:rPr>
                <w:rFonts w:ascii="Arial" w:cs="Arial" w:eastAsia="Arial" w:hAnsi="Arial"/>
                <w:sz w:val="14"/>
                <w:szCs w:val="14"/>
                <w:b w:val="1"/>
                <w:bCs w:val="1"/>
                <w:color w:val="auto"/>
              </w:rPr>
              <w:t>Net</w:t>
            </w:r>
          </w:p>
        </w:tc>
      </w:tr>
      <w:tr>
        <w:trPr>
          <w:trHeight w:val="183"/>
        </w:trPr>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 Sam Services and Plans:</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Membership, customer lists and other</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9,640</w:t>
            </w:r>
          </w:p>
        </w:tc>
        <w:tc>
          <w:tcPr>
            <w:tcW w:w="3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(9,040)</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2,002</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Websites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3,050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(792)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2,258</w:t>
            </w:r>
          </w:p>
        </w:tc>
      </w:tr>
      <w:tr>
        <w:trPr>
          <w:trHeight w:val="203"/>
        </w:trPr>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RV and Outdoor Retail:</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Customer lists and domain names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4,872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1,847</w:t>
            </w:r>
          </w:p>
        </w:tc>
      </w:tr>
      <w:tr>
        <w:trPr>
          <w:trHeight w:val="202"/>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Supplier lists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w:t>
            </w:r>
          </w:p>
        </w:tc>
      </w:tr>
      <w:tr>
        <w:trPr>
          <w:trHeight w:val="203"/>
        </w:trPr>
        <w:tc>
          <w:tcPr>
            <w:tcW w:w="5560" w:type="dxa"/>
            <w:vAlign w:val="bottom"/>
          </w:tcPr>
          <w:p>
            <w:pPr>
              <w:ind w:left="100"/>
              <w:spacing w:after="0" w:line="202" w:lineRule="exact"/>
              <w:rPr>
                <w:sz w:val="20"/>
                <w:szCs w:val="20"/>
                <w:color w:val="auto"/>
              </w:rPr>
            </w:pPr>
            <w:r>
              <w:rPr>
                <w:rFonts w:ascii="Arial" w:cs="Arial" w:eastAsia="Arial" w:hAnsi="Arial"/>
                <w:sz w:val="18"/>
                <w:szCs w:val="18"/>
                <w:color w:val="auto"/>
              </w:rPr>
              <w:t>Trademarks and trade names</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27,251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(20,049)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7,202</w:t>
            </w:r>
          </w:p>
        </w:tc>
      </w:tr>
      <w:tr>
        <w:trPr>
          <w:trHeight w:val="203"/>
        </w:trPr>
        <w:tc>
          <w:tcPr>
            <w:tcW w:w="55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Websites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(5,485)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600</w:t>
            </w:r>
          </w:p>
        </w:tc>
      </w:tr>
      <w:tr>
        <w:trPr>
          <w:trHeight w:val="196"/>
        </w:trPr>
        <w:tc>
          <w:tcPr>
            <w:tcW w:w="55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54,726</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(39,345)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15,381</w:t>
            </w:r>
          </w:p>
        </w:tc>
      </w:tr>
      <w:tr>
        <w:trPr>
          <w:trHeight w:val="20"/>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Long-Term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Outstanding long-term debt consisted of the following (in thousands):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9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r>
      <w:tr>
        <w:trPr>
          <w:trHeight w:val="196"/>
        </w:trPr>
        <w:tc>
          <w:tcPr>
            <w:tcW w:w="2900" w:type="dxa"/>
            <w:vAlign w:val="bottom"/>
            <w:shd w:val="clear" w:color="auto" w:fill="CCEEFF"/>
          </w:tcPr>
          <w:p>
            <w:pPr>
              <w:spacing w:after="0" w:line="195" w:lineRule="exact"/>
              <w:rPr>
                <w:sz w:val="20"/>
                <w:szCs w:val="20"/>
                <w:color w:val="auto"/>
              </w:rPr>
            </w:pPr>
            <w:r>
              <w:rPr>
                <w:rFonts w:ascii="Arial" w:cs="Arial" w:eastAsia="Arial" w:hAnsi="Arial"/>
                <w:sz w:val="16"/>
                <w:szCs w:val="16"/>
                <w:color w:val="auto"/>
              </w:rPr>
              <w:t xml:space="preserve">Term Loan Facility </w:t>
            </w:r>
            <w:r>
              <w:rPr>
                <w:rFonts w:ascii="Arial" w:cs="Arial" w:eastAsia="Arial" w:hAnsi="Arial"/>
                <w:sz w:val="22"/>
                <w:szCs w:val="22"/>
                <w:color w:val="auto"/>
                <w:vertAlign w:val="superscript"/>
              </w:rPr>
              <w:t>(1)</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1,343,580</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1,346,229</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1,354,221</w:t>
            </w:r>
          </w:p>
        </w:tc>
      </w:tr>
      <w:tr>
        <w:trPr>
          <w:trHeight w:val="203"/>
        </w:trPr>
        <w:tc>
          <w:tcPr>
            <w:tcW w:w="2900" w:type="dxa"/>
            <w:vAlign w:val="bottom"/>
          </w:tcPr>
          <w:p>
            <w:pPr>
              <w:spacing w:after="0" w:line="202" w:lineRule="exact"/>
              <w:rPr>
                <w:sz w:val="20"/>
                <w:szCs w:val="20"/>
                <w:color w:val="auto"/>
              </w:rPr>
            </w:pPr>
            <w:r>
              <w:rPr>
                <w:rFonts w:ascii="Arial" w:cs="Arial" w:eastAsia="Arial" w:hAnsi="Arial"/>
                <w:sz w:val="16"/>
                <w:szCs w:val="16"/>
                <w:color w:val="auto"/>
              </w:rPr>
              <w:t xml:space="preserve">Real Estate Facilities </w:t>
            </w:r>
            <w:r>
              <w:rPr>
                <w:rFonts w:ascii="Arial" w:cs="Arial" w:eastAsia="Arial" w:hAnsi="Arial"/>
                <w:sz w:val="23"/>
                <w:szCs w:val="23"/>
                <w:color w:val="auto"/>
                <w:vertAlign w:val="superscript"/>
              </w:rPr>
              <w:t>(2)</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219,068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166,604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194,802</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Long-Term Debt</w:t>
            </w:r>
          </w:p>
        </w:tc>
        <w:tc>
          <w:tcPr>
            <w:tcW w:w="10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8,168</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8,246</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3,250</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Subtotal</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1,570,816</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1,521,079</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1,552,273</w:t>
            </w:r>
          </w:p>
        </w:tc>
      </w:tr>
      <w:tr>
        <w:trPr>
          <w:trHeight w:val="203"/>
        </w:trPr>
        <w:tc>
          <w:tcPr>
            <w:tcW w:w="2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10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(25,651)</w:t>
            </w:r>
          </w:p>
        </w:tc>
        <w:tc>
          <w:tcPr>
            <w:tcW w:w="2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(22,121)</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(26,969)</w:t>
            </w:r>
          </w:p>
        </w:tc>
      </w:tr>
      <w:tr>
        <w:trPr>
          <w:trHeight w:val="196"/>
        </w:trPr>
        <w:tc>
          <w:tcPr>
            <w:tcW w:w="290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1,545,165</w:t>
            </w:r>
          </w:p>
        </w:tc>
        <w:tc>
          <w:tcPr>
            <w:tcW w:w="2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1,498,958</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1,525,304</w:t>
            </w:r>
          </w:p>
        </w:tc>
      </w:tr>
      <w:tr>
        <w:trPr>
          <w:trHeight w:val="20"/>
        </w:trPr>
        <w:tc>
          <w:tcPr>
            <w:tcW w:w="2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jc w:val="both"/>
        <w:ind w:left="380" w:right="79" w:hanging="330"/>
        <w:spacing w:after="0" w:line="214" w:lineRule="auto"/>
        <w:tabs>
          <w:tab w:leader="none" w:pos="380" w:val="left"/>
        </w:tabs>
        <w:numPr>
          <w:ilvl w:val="0"/>
          <w:numId w:val="16"/>
        </w:numPr>
        <w:rPr>
          <w:rFonts w:ascii="Arial" w:cs="Arial" w:eastAsia="Arial" w:hAnsi="Arial"/>
          <w:sz w:val="22"/>
          <w:szCs w:val="22"/>
          <w:color w:val="auto"/>
          <w:vertAlign w:val="superscript"/>
        </w:rPr>
      </w:pPr>
      <w:r>
        <w:rPr>
          <w:rFonts w:ascii="Arial" w:cs="Arial" w:eastAsia="Arial" w:hAnsi="Arial"/>
          <w:sz w:val="14"/>
          <w:szCs w:val="14"/>
          <w:color w:val="auto"/>
        </w:rPr>
        <w:t>Net of $11.4 million, $12.0 million, and $13.7 million of original issue discount at March 31, 2024, December 31, 2023, and March 31, 2023, respectively, and $4.4 million, $4.7 million, and $5.5 million of finance costs at March 31, 2024, December 31, 2023, and March 31, 2023, respectively.</w:t>
      </w:r>
    </w:p>
    <w:p>
      <w:pPr>
        <w:spacing w:after="0" w:line="53" w:lineRule="exact"/>
        <w:rPr>
          <w:rFonts w:ascii="Arial" w:cs="Arial" w:eastAsia="Arial" w:hAnsi="Arial"/>
          <w:sz w:val="22"/>
          <w:szCs w:val="22"/>
          <w:color w:val="auto"/>
          <w:vertAlign w:val="superscript"/>
        </w:rPr>
      </w:pPr>
    </w:p>
    <w:p>
      <w:pPr>
        <w:ind w:left="380" w:hanging="330"/>
        <w:spacing w:after="0"/>
        <w:tabs>
          <w:tab w:leader="none" w:pos="380" w:val="left"/>
        </w:tabs>
        <w:numPr>
          <w:ilvl w:val="0"/>
          <w:numId w:val="16"/>
        </w:numPr>
        <w:rPr>
          <w:rFonts w:ascii="Arial" w:cs="Arial" w:eastAsia="Arial" w:hAnsi="Arial"/>
          <w:sz w:val="19"/>
          <w:szCs w:val="19"/>
          <w:color w:val="auto"/>
          <w:vertAlign w:val="superscript"/>
        </w:rPr>
      </w:pPr>
      <w:r>
        <w:rPr>
          <w:rFonts w:ascii="Arial" w:cs="Arial" w:eastAsia="Arial" w:hAnsi="Arial"/>
          <w:sz w:val="13"/>
          <w:szCs w:val="13"/>
          <w:color w:val="auto"/>
        </w:rPr>
        <w:t>Net of $3.9 million, $3.3 million, and $3.9 million of finance costs at March 31, 2024, December 31, 2023, and March 31, 2023,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Senior Secured Credit Facilities</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As of March 31, 2024, December 31, 2023, and March 31, 2023, CWGS Group, LLC (the “Borrower”), a wholly-owned subsidiary of CWGS, LLC, was party to a credit agreement (the “Credit Agreement”) for a term loan facility (the “Term Loan Facility”) and a revolving credit facility (the “Revolving Credit Facility” and collectively the “Senior Secured Credit Facilities”).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details the outstanding amounts and available borrowings under the Senior Secured Credit Facilities as of (in thousands):</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4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4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Senior Secured Credit Facilities: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line="202" w:lineRule="exact"/>
              <w:rPr>
                <w:sz w:val="20"/>
                <w:szCs w:val="20"/>
                <w:color w:val="auto"/>
              </w:rPr>
            </w:pPr>
            <w:r>
              <w:rPr>
                <w:rFonts w:ascii="Arial" w:cs="Arial" w:eastAsia="Arial" w:hAnsi="Arial"/>
                <w:sz w:val="18"/>
                <w:szCs w:val="18"/>
                <w:color w:val="auto"/>
              </w:rPr>
              <w:t>Term Loan Facility:</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Principal amount of borrowings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Less: cumulative principal payments</w:t>
            </w:r>
          </w:p>
        </w:tc>
        <w:tc>
          <w:tcPr>
            <w:tcW w:w="1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(40,538)</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(37,034)</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(26,523)</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unamortized original issue discount</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(11,433)</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(12,016)</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(13,721)</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Less: unamortized finance costs</w:t>
            </w:r>
          </w:p>
        </w:tc>
        <w:tc>
          <w:tcPr>
            <w:tcW w:w="1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(4,449)</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(4,721)</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1,343,580</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1,346,229</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1,354,221</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(14,015)</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(14,015)</w:t>
            </w:r>
          </w:p>
        </w:tc>
        <w:tc>
          <w:tcPr>
            <w:tcW w:w="0" w:type="dxa"/>
            <w:vAlign w:val="bottom"/>
          </w:tcPr>
          <w:p>
            <w:pPr>
              <w:spacing w:after="0"/>
              <w:rPr>
                <w:sz w:val="1"/>
                <w:szCs w:val="1"/>
                <w:color w:val="auto"/>
              </w:rPr>
            </w:pPr>
          </w:p>
        </w:tc>
      </w:tr>
      <w:tr>
        <w:trPr>
          <w:trHeight w:val="196"/>
        </w:trPr>
        <w:tc>
          <w:tcPr>
            <w:tcW w:w="4800" w:type="dxa"/>
            <w:vAlign w:val="bottom"/>
            <w:tcBorders>
              <w:top w:val="single" w:sz="8" w:color="CCEEFF"/>
              <w:bottom w:val="single" w:sz="8" w:color="CCEEFF"/>
            </w:tcBorders>
            <w:shd w:val="clear" w:color="auto" w:fill="CCEEFF"/>
          </w:tcPr>
          <w:p>
            <w:pPr>
              <w:ind w:left="340"/>
              <w:spacing w:after="0" w:line="196"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1,329,565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1,332,214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1,340,206</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commitment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3"/>
        </w:trPr>
        <w:tc>
          <w:tcPr>
            <w:tcW w:w="4800" w:type="dxa"/>
            <w:vAlign w:val="bottom"/>
          </w:tcPr>
          <w:p>
            <w:pPr>
              <w:ind w:left="220"/>
              <w:spacing w:after="0" w:line="202" w:lineRule="exact"/>
              <w:rPr>
                <w:sz w:val="20"/>
                <w:szCs w:val="20"/>
                <w:color w:val="auto"/>
              </w:rPr>
            </w:pPr>
            <w:r>
              <w:rPr>
                <w:rFonts w:ascii="Arial" w:cs="Arial" w:eastAsia="Arial" w:hAnsi="Arial"/>
                <w:sz w:val="18"/>
                <w:szCs w:val="18"/>
                <w:color w:val="auto"/>
              </w:rPr>
              <w:t>Less: outstanding letters of credit</w:t>
            </w:r>
          </w:p>
        </w:tc>
        <w:tc>
          <w:tcPr>
            <w:tcW w:w="180" w:type="dxa"/>
            <w:vAlign w:val="bottom"/>
          </w:tcPr>
          <w:p>
            <w:pPr>
              <w:spacing w:after="0"/>
              <w:rPr>
                <w:sz w:val="17"/>
                <w:szCs w:val="17"/>
                <w:color w:val="auto"/>
              </w:rPr>
            </w:pPr>
          </w:p>
        </w:tc>
        <w:tc>
          <w:tcPr>
            <w:tcW w:w="12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(4,930)</w:t>
            </w:r>
          </w:p>
        </w:tc>
        <w:tc>
          <w:tcPr>
            <w:tcW w:w="100" w:type="dxa"/>
            <w:vAlign w:val="bottom"/>
          </w:tcPr>
          <w:p>
            <w:pPr>
              <w:spacing w:after="0"/>
              <w:rPr>
                <w:sz w:val="17"/>
                <w:szCs w:val="17"/>
                <w:color w:val="auto"/>
              </w:rPr>
            </w:pP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(4,930)</w:t>
            </w: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(4,930)</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total net leverage ratio borrowing limitation</w:t>
            </w:r>
          </w:p>
        </w:tc>
        <w:tc>
          <w:tcPr>
            <w:tcW w:w="1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(37,320)</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(37,320)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00" w:type="dxa"/>
            <w:vAlign w:val="bottom"/>
          </w:tcPr>
          <w:p>
            <w:pPr>
              <w:ind w:left="340"/>
              <w:spacing w:after="0" w:line="196" w:lineRule="exact"/>
              <w:rPr>
                <w:sz w:val="20"/>
                <w:szCs w:val="20"/>
                <w:color w:val="auto"/>
              </w:rPr>
            </w:pPr>
            <w:r>
              <w:rPr>
                <w:rFonts w:ascii="Arial" w:cs="Arial" w:eastAsia="Arial" w:hAnsi="Arial"/>
                <w:sz w:val="18"/>
                <w:szCs w:val="18"/>
                <w:color w:val="auto"/>
              </w:rPr>
              <w:t>Additional borrowing capacity</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22,750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60,070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2024, December 31, 2023, and March 31, 2023, the average interest rate on the Term Loan Facility was 7.94%, 7.97%, and 7.20%, respectively, and the effective interest rate was 8.18%, 8.21%, and 7.44%, respectively.</w:t>
      </w:r>
    </w:p>
    <w:p>
      <w:pPr>
        <w:spacing w:after="0" w:line="16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Management has determined that the Senior Secured Credit Facilities include subjective acceleration clauses, which could impact debt classification. Management believes that no events have occurred at March 31, 2024 that would trigger a subjective acceleration clause.</w:t>
      </w:r>
    </w:p>
    <w:p>
      <w:pPr>
        <w:spacing w:after="0" w:line="16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Credit Agreement requires the Borrower and its subsidiaries to comply on a quarterly basis with a maximum Total Net Leverage Ratio (as defined in the Credit Agreement), which covenant is in effect only if, as of the end of each calendar quarter, the aggregate amount of borrowings under the revolving credit facility, letters of credit and unreimbursed letter of credit disbursements outstanding at such time is greater than 35% of the total commitment on the Revolving Credit Facility (excluding (i) up to $15.0 million attributable to any outstanding undrawn letters of credit and (ii) any cash collateralized or backstopped letters of credit), as defined in the Credit Agreement. As of March 31, 2024, the Company was not subject to this covenant as borrowings under the Revolving Credit Facility did not exceed the 35% threshold, however the Company’s borrowing capacity was reduced by $37.3 million in light of this covenant. The Company was in compliance with all applicable financial debt covenants at March 31, 2024, December 31, 2023, and March 31, 2023.</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 Estate Facilities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March 31, 2024, December 31, 2023, and March 31, 2023, subsidiaries of FRHP Lincolnshire, LLC (“FRHP”), an indirect wholly-owned subsidiary of CWGS, LLC, were parties to a credit agreement with a syndication of banks for a real estate credit facility (the “M&amp;T Real Estate Facility”). During the three months ended March 31, 2024 and 2023, FRHP borrowed an additional $ 55.6 million and $59.2 million, respectively, under the M&amp;T Real Estate Facility. During the three months ended March 31, 2024, FRHP repaid $15.6 million in conjunction with a sale-leaseback transaction of two properties secured under the M&amp;T Real Estate Facility. Additionally, during the three months ended March 31, 2024, FRHP repaid $ 1.7 million of the M&amp;T Real Estate Facility relating to a separate property of which a portion of that property was sold.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of March 31, 2024, December 31, 2023, and March 31, 2023, Camping World Property, LLC, successor by conversion to Camping World Property, Inc. (the ‘‘Real Estate Borrower’’), an indirect wholly-owned subsidiary of CWGS, LLC, and CIBC Bank USA (“Lender”), were parties to loan and security agreements for real estate credit facilities ((as amended from time to time, the “First CIBC Real Estate Facility”, the “Second CIBC Real Estate Facility”, and the “Third CIBC Real Estate Facility”, respectively, and collectively the “CIBC Real Estate Facilities”) and together with the M&amp;T Real Estate Facility, the “Real Estate Facilities”). In June 2023, the Real Estate Borrower sold one property located in Franklin, Kentucky, which was secured by the Second CIBC Real Estate Facility. As part of the settlement of the property sale, the outstanding balance of the Second CIBC Real Estate Facility of $7.4 million was repaid and terminated by the Real Estate Borrower.</w:t>
      </w:r>
    </w:p>
    <w:p>
      <w:pPr>
        <w:spacing w:after="0" w:line="183"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following table shows a summary of the outstanding balances, remaining available borrowings, and weighted average interest rate under the M&amp;T Real Estate Facility and the CIBC Real Estate Facilities (collectively the “Real Estate Facilities”) at March 31, 2024:</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6"/>
          </w:tcPr>
          <w:p>
            <w:pPr>
              <w:jc w:val="center"/>
              <w:ind w:right="43"/>
              <w:spacing w:after="0"/>
              <w:rPr>
                <w:sz w:val="20"/>
                <w:szCs w:val="20"/>
                <w:color w:val="auto"/>
              </w:rPr>
            </w:pPr>
            <w:r>
              <w:rPr>
                <w:rFonts w:ascii="Arial" w:cs="Arial" w:eastAsia="Arial" w:hAnsi="Arial"/>
                <w:sz w:val="14"/>
                <w:szCs w:val="14"/>
                <w:b w:val="1"/>
                <w:bCs w:val="1"/>
                <w:color w:val="auto"/>
              </w:rPr>
              <w:t>As of March 31, 2024</w:t>
            </w:r>
          </w:p>
        </w:tc>
      </w:tr>
      <w:tr>
        <w:trPr>
          <w:trHeight w:val="129"/>
        </w:trPr>
        <w:tc>
          <w:tcPr>
            <w:tcW w:w="5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1"/>
                <w:szCs w:val="11"/>
                <w:color w:val="auto"/>
              </w:rPr>
            </w:pPr>
          </w:p>
        </w:tc>
        <w:tc>
          <w:tcPr>
            <w:tcW w:w="9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Wtd. Average</w:t>
            </w:r>
          </w:p>
        </w:tc>
      </w:tr>
      <w:tr>
        <w:trPr>
          <w:trHeight w:val="189"/>
        </w:trPr>
        <w:tc>
          <w:tcPr>
            <w:tcW w:w="5780" w:type="dxa"/>
            <w:vAlign w:val="bottom"/>
            <w:gridSpan w:val="2"/>
          </w:tcPr>
          <w:p>
            <w:pPr>
              <w:ind w:left="20"/>
              <w:spacing w:after="0"/>
              <w:rPr>
                <w:sz w:val="20"/>
                <w:szCs w:val="20"/>
                <w:color w:val="auto"/>
              </w:rPr>
            </w:pPr>
            <w:r>
              <w:rPr>
                <w:rFonts w:ascii="Arial" w:cs="Arial" w:eastAsia="Arial" w:hAnsi="Arial"/>
                <w:sz w:val="11"/>
                <w:szCs w:val="11"/>
                <w:color w:val="auto"/>
              </w:rPr>
              <w:t>(In thousands)</w:t>
            </w:r>
          </w:p>
        </w:tc>
        <w:tc>
          <w:tcPr>
            <w:tcW w:w="1140" w:type="dxa"/>
            <w:vAlign w:val="bottom"/>
            <w:gridSpan w:val="3"/>
          </w:tcPr>
          <w:p>
            <w:pPr>
              <w:spacing w:after="0" w:line="189" w:lineRule="exact"/>
              <w:rPr>
                <w:sz w:val="20"/>
                <w:szCs w:val="20"/>
                <w:color w:val="auto"/>
              </w:rPr>
            </w:pPr>
            <w:r>
              <w:rPr>
                <w:rFonts w:ascii="Arial" w:cs="Arial" w:eastAsia="Arial" w:hAnsi="Arial"/>
                <w:sz w:val="14"/>
                <w:szCs w:val="14"/>
                <w:b w:val="1"/>
                <w:bCs w:val="1"/>
                <w:color w:val="auto"/>
              </w:rPr>
              <w:t>Outstanding</w:t>
            </w:r>
            <w:r>
              <w:rPr>
                <w:rFonts w:ascii="Arial" w:cs="Arial" w:eastAsia="Arial" w:hAnsi="Arial"/>
                <w:sz w:val="21"/>
                <w:szCs w:val="21"/>
                <w:b w:val="1"/>
                <w:bCs w:val="1"/>
                <w:color w:val="auto"/>
                <w:vertAlign w:val="superscript"/>
              </w:rPr>
              <w:t>(1)</w:t>
            </w:r>
          </w:p>
        </w:tc>
        <w:tc>
          <w:tcPr>
            <w:tcW w:w="880" w:type="dxa"/>
            <w:vAlign w:val="bottom"/>
            <w:gridSpan w:val="2"/>
          </w:tcPr>
          <w:p>
            <w:pPr>
              <w:jc w:val="center"/>
              <w:spacing w:after="0" w:line="189" w:lineRule="exact"/>
              <w:rPr>
                <w:sz w:val="20"/>
                <w:szCs w:val="20"/>
                <w:color w:val="auto"/>
              </w:rPr>
            </w:pPr>
            <w:r>
              <w:rPr>
                <w:rFonts w:ascii="Arial" w:cs="Arial" w:eastAsia="Arial" w:hAnsi="Arial"/>
                <w:sz w:val="14"/>
                <w:szCs w:val="14"/>
                <w:b w:val="1"/>
                <w:bCs w:val="1"/>
                <w:color w:val="auto"/>
                <w:w w:val="96"/>
              </w:rPr>
              <w:t>Available</w:t>
            </w:r>
            <w:r>
              <w:rPr>
                <w:rFonts w:ascii="Arial" w:cs="Arial" w:eastAsia="Arial" w:hAnsi="Arial"/>
                <w:sz w:val="21"/>
                <w:szCs w:val="21"/>
                <w:b w:val="1"/>
                <w:bCs w:val="1"/>
                <w:color w:val="auto"/>
                <w:w w:val="96"/>
                <w:vertAlign w:val="superscript"/>
              </w:rPr>
              <w:t>(2)</w:t>
            </w: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Interest Rate</w:t>
            </w:r>
          </w:p>
        </w:tc>
      </w:tr>
      <w:tr>
        <w:trPr>
          <w:trHeight w:val="183"/>
        </w:trPr>
        <w:tc>
          <w:tcPr>
            <w:tcW w:w="5620" w:type="dxa"/>
            <w:vAlign w:val="bottom"/>
            <w:tcBorders>
              <w:top w:val="single" w:sz="8" w:color="auto"/>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Real Estate Facilities</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89"/>
        </w:trPr>
        <w:tc>
          <w:tcPr>
            <w:tcW w:w="5780" w:type="dxa"/>
            <w:vAlign w:val="bottom"/>
            <w:gridSpan w:val="2"/>
          </w:tcPr>
          <w:p>
            <w:pPr>
              <w:ind w:left="120"/>
              <w:spacing w:after="0"/>
              <w:rPr>
                <w:sz w:val="20"/>
                <w:szCs w:val="20"/>
                <w:color w:val="auto"/>
              </w:rPr>
            </w:pPr>
            <w:r>
              <w:rPr>
                <w:rFonts w:ascii="Arial" w:cs="Arial" w:eastAsia="Arial" w:hAnsi="Arial"/>
                <w:sz w:val="16"/>
                <w:szCs w:val="16"/>
                <w:color w:val="auto"/>
              </w:rPr>
              <w:t>M&amp;T Real Estate Facility</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206,549</w:t>
            </w:r>
          </w:p>
        </w:tc>
        <w:tc>
          <w:tcPr>
            <w:tcW w:w="160" w:type="dxa"/>
            <w:vAlign w:val="bottom"/>
          </w:tcPr>
          <w:p>
            <w:pPr>
              <w:spacing w:after="0"/>
              <w:rPr>
                <w:sz w:val="16"/>
                <w:szCs w:val="16"/>
                <w:color w:val="auto"/>
              </w:rPr>
            </w:pPr>
          </w:p>
        </w:tc>
        <w:tc>
          <w:tcPr>
            <w:tcW w:w="260" w:type="dxa"/>
            <w:vAlign w:val="bottom"/>
          </w:tcPr>
          <w:p>
            <w:pPr>
              <w:jc w:val="right"/>
              <w:ind w:right="8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7,390</w:t>
            </w:r>
          </w:p>
        </w:tc>
        <w:tc>
          <w:tcPr>
            <w:tcW w:w="160" w:type="dxa"/>
            <w:vAlign w:val="bottom"/>
          </w:tcPr>
          <w:p>
            <w:pPr>
              <w:jc w:val="right"/>
              <w:spacing w:after="0"/>
              <w:rPr>
                <w:sz w:val="20"/>
                <w:szCs w:val="20"/>
                <w:color w:val="auto"/>
              </w:rPr>
            </w:pPr>
            <w:r>
              <w:rPr>
                <w:rFonts w:ascii="Arial" w:cs="Arial" w:eastAsia="Arial" w:hAnsi="Arial"/>
                <w:sz w:val="12"/>
                <w:szCs w:val="12"/>
                <w:color w:val="auto"/>
                <w:w w:val="95"/>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7.63%</w:t>
            </w:r>
          </w:p>
        </w:tc>
      </w:tr>
      <w:tr>
        <w:trPr>
          <w:trHeight w:val="189"/>
        </w:trPr>
        <w:tc>
          <w:tcPr>
            <w:tcW w:w="57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First CIBC Real Estate Facility</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r>
      <w:tr>
        <w:trPr>
          <w:trHeight w:val="189"/>
        </w:trPr>
        <w:tc>
          <w:tcPr>
            <w:tcW w:w="5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Third CIBC Real Estate Facility</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8,934</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8.08%</w:t>
            </w:r>
          </w:p>
        </w:tc>
      </w:tr>
      <w:tr>
        <w:trPr>
          <w:trHeight w:val="183"/>
        </w:trPr>
        <w:tc>
          <w:tcPr>
            <w:tcW w:w="5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219,068</w:t>
            </w:r>
          </w:p>
        </w:tc>
        <w:tc>
          <w:tcPr>
            <w:tcW w:w="1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4"/>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7,390</w:t>
            </w:r>
          </w:p>
        </w:tc>
        <w:tc>
          <w:tcPr>
            <w:tcW w:w="16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6"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Outstanding principal amounts are net of unamortized finance costs.</w:t>
      </w:r>
    </w:p>
    <w:p>
      <w:pPr>
        <w:spacing w:after="0" w:line="66" w:lineRule="exact"/>
        <w:rPr>
          <w:rFonts w:ascii="Arial" w:cs="Arial" w:eastAsia="Arial" w:hAnsi="Arial"/>
          <w:sz w:val="22"/>
          <w:szCs w:val="22"/>
          <w:color w:val="auto"/>
          <w:vertAlign w:val="superscript"/>
        </w:rPr>
      </w:pPr>
    </w:p>
    <w:p>
      <w:pPr>
        <w:ind w:left="380" w:hanging="330"/>
        <w:spacing w:after="0" w:line="183" w:lineRule="auto"/>
        <w:tabs>
          <w:tab w:leader="none" w:pos="380" w:val="left"/>
        </w:tabs>
        <w:numPr>
          <w:ilvl w:val="0"/>
          <w:numId w:val="17"/>
        </w:numPr>
        <w:rPr>
          <w:rFonts w:ascii="Arial" w:cs="Arial" w:eastAsia="Arial" w:hAnsi="Arial"/>
          <w:sz w:val="20"/>
          <w:szCs w:val="20"/>
          <w:color w:val="auto"/>
          <w:vertAlign w:val="superscript"/>
        </w:rPr>
      </w:pPr>
      <w:r>
        <w:rPr>
          <w:rFonts w:ascii="Arial" w:cs="Arial" w:eastAsia="Arial" w:hAnsi="Arial"/>
          <w:sz w:val="14"/>
          <w:szCs w:val="14"/>
          <w:color w:val="auto"/>
        </w:rPr>
        <w:t>Amounts cannot be reborrowed.</w:t>
      </w:r>
    </w:p>
    <w:p>
      <w:pPr>
        <w:spacing w:after="0" w:line="67" w:lineRule="exact"/>
        <w:rPr>
          <w:rFonts w:ascii="Arial" w:cs="Arial" w:eastAsia="Arial" w:hAnsi="Arial"/>
          <w:sz w:val="20"/>
          <w:szCs w:val="20"/>
          <w:color w:val="auto"/>
          <w:vertAlign w:val="superscript"/>
        </w:rPr>
      </w:pPr>
    </w:p>
    <w:p>
      <w:pPr>
        <w:ind w:left="380" w:right="79" w:hanging="330"/>
        <w:spacing w:after="0" w:line="211" w:lineRule="auto"/>
        <w:tabs>
          <w:tab w:leader="none" w:pos="380" w:val="left"/>
        </w:tabs>
        <w:numPr>
          <w:ilvl w:val="0"/>
          <w:numId w:val="17"/>
        </w:numPr>
        <w:rPr>
          <w:rFonts w:ascii="Arial" w:cs="Arial" w:eastAsia="Arial" w:hAnsi="Arial"/>
          <w:sz w:val="22"/>
          <w:szCs w:val="22"/>
          <w:color w:val="auto"/>
          <w:vertAlign w:val="superscript"/>
        </w:rPr>
      </w:pPr>
      <w:r>
        <w:rPr>
          <w:rFonts w:ascii="Arial" w:cs="Arial" w:eastAsia="Arial" w:hAnsi="Arial"/>
          <w:sz w:val="14"/>
          <w:szCs w:val="14"/>
          <w:color w:val="auto"/>
        </w:rPr>
        <w:t>Additional borrowings on the M&amp;T Real Estate Facility are subject to a debt service coverage ratio covenant and to the property collateral requirements under the M&amp;T Real Estate Facility.</w:t>
      </w:r>
    </w:p>
    <w:p>
      <w:pPr>
        <w:spacing w:after="0" w:line="23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Management has determined that the credit agreements governing the Real Estate Facilities include subjective acceleration clauses, which could impact debt classification. Management believes that no events have occurred at March 31, 2024 that would trigger a subjective acceleration clause. Additionally, the Real Estate Facilities are subject to certain cross default provisions, a debt service coverage ratio, and other customary covenants. The Company was in compliance with all financial debt covenants at March 31, 2024, December 31, 2023, and March 31, 2023.</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Long-Term Debt</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of March 31, 2024, the outstanding principal balance of other long-term debt was $8.2 million with a weighted average interest rate of 4.27%.</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Lease Obligations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presents certain information related to the costs for leases where the Company is the lessee (in thousands):</w:t>
      </w:r>
    </w:p>
    <w:p>
      <w:pPr>
        <w:spacing w:after="0" w:line="69" w:lineRule="exact"/>
        <w:rPr>
          <w:sz w:val="20"/>
          <w:szCs w:val="20"/>
          <w:color w:val="auto"/>
        </w:rPr>
      </w:pPr>
    </w:p>
    <w:tbl>
      <w:tblPr>
        <w:tblLayout w:type="fixed"/>
        <w:tblInd w:w="7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49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29,190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29,205</w:t>
            </w:r>
          </w:p>
        </w:tc>
      </w:tr>
      <w:tr>
        <w:trPr>
          <w:trHeight w:val="202"/>
        </w:trPr>
        <w:tc>
          <w:tcPr>
            <w:tcW w:w="4900" w:type="dxa"/>
            <w:vAlign w:val="bottom"/>
          </w:tcPr>
          <w:p>
            <w:pPr>
              <w:spacing w:after="0" w:line="202" w:lineRule="exact"/>
              <w:rPr>
                <w:sz w:val="20"/>
                <w:szCs w:val="20"/>
                <w:color w:val="auto"/>
              </w:rPr>
            </w:pPr>
            <w:r>
              <w:rPr>
                <w:rFonts w:ascii="Arial" w:cs="Arial" w:eastAsia="Arial" w:hAnsi="Arial"/>
                <w:sz w:val="18"/>
                <w:szCs w:val="18"/>
                <w:color w:val="auto"/>
              </w:rPr>
              <w:t>Finance lease cost:</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49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Amortization of finance lease assets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2,860</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(2,813)</w:t>
            </w:r>
          </w:p>
        </w:tc>
      </w:tr>
      <w:tr>
        <w:trPr>
          <w:trHeight w:val="203"/>
        </w:trPr>
        <w:tc>
          <w:tcPr>
            <w:tcW w:w="4900" w:type="dxa"/>
            <w:vAlign w:val="bottom"/>
          </w:tcPr>
          <w:p>
            <w:pPr>
              <w:ind w:left="120"/>
              <w:spacing w:after="0" w:line="202" w:lineRule="exact"/>
              <w:rPr>
                <w:sz w:val="20"/>
                <w:szCs w:val="20"/>
                <w:color w:val="auto"/>
              </w:rPr>
            </w:pPr>
            <w:r>
              <w:rPr>
                <w:rFonts w:ascii="Arial" w:cs="Arial" w:eastAsia="Arial" w:hAnsi="Arial"/>
                <w:sz w:val="18"/>
                <w:szCs w:val="18"/>
                <w:color w:val="auto"/>
              </w:rPr>
              <w:t>Interest on finance lease liabilities</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2,466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1,399</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514</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Variable lease cost</w:t>
            </w: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5,329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6,289</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Sublease income</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(654)</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Net lease costs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39,568</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33,937</w:t>
            </w:r>
          </w:p>
        </w:tc>
      </w:tr>
      <w:tr>
        <w:trPr>
          <w:trHeight w:val="20"/>
        </w:trPr>
        <w:tc>
          <w:tcPr>
            <w:tcW w:w="4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As of March 31, 2024, December 31, 2023, and March 31, 2023, finance lease assets of $139.8 million, $100.4 million, and $93.6 million, respectively, were included in property and equipment, net in the accompanying condensed consolidated balance sheets.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supplemental cash flow information related to leases (in thousands):</w:t>
      </w:r>
    </w:p>
    <w:p>
      <w:pPr>
        <w:spacing w:after="0" w:line="127"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7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570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Cash  paid  for  amounts  included  in  the  measurement  of  lease</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1"/>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29,588</w:t>
            </w:r>
          </w:p>
        </w:tc>
        <w:tc>
          <w:tcPr>
            <w:tcW w:w="5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28,774</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1,395</w:t>
            </w: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1,829</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1,233</w:t>
            </w: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 assets obtained in exchange for lease liabilities: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3"/>
        </w:trPr>
        <w:tc>
          <w:tcPr>
            <w:tcW w:w="5700" w:type="dxa"/>
            <w:vAlign w:val="bottom"/>
          </w:tcPr>
          <w:p>
            <w:pPr>
              <w:ind w:left="100"/>
              <w:spacing w:after="0" w:line="202" w:lineRule="exact"/>
              <w:rPr>
                <w:sz w:val="20"/>
                <w:szCs w:val="20"/>
                <w:color w:val="auto"/>
              </w:rPr>
            </w:pPr>
            <w:r>
              <w:rPr>
                <w:rFonts w:ascii="Arial" w:cs="Arial" w:eastAsia="Arial" w:hAnsi="Arial"/>
                <w:sz w:val="18"/>
                <w:szCs w:val="18"/>
                <w:color w:val="auto"/>
              </w:rPr>
              <w:t>New, remeasured and terminated operating leases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44,183</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2,693</w:t>
            </w:r>
          </w:p>
        </w:tc>
      </w:tr>
      <w:tr>
        <w:trPr>
          <w:trHeight w:val="203"/>
        </w:trPr>
        <w:tc>
          <w:tcPr>
            <w:tcW w:w="57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New, remeasured and terminated finance leases</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42,228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7,700</w:t>
            </w:r>
          </w:p>
        </w:tc>
      </w:tr>
    </w:tbl>
    <w:p>
      <w:pPr>
        <w:spacing w:after="0" w:line="13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During the three months ended March 31, 2024, the Company entered into sale-leaseback transactions for two properties associated with store locations in the RV and Outdoor Retail segment. The Company received consideration of $23.5 million of cash and recorded a gain of $0.1 million that is included in loss (gain) on sale or disposal of assets in the condensed consolidated statements of income for the three months ended March 31, 2024. The Company entered into a 20-year lease agreement as the lessee with each buyer of the properties.</w:t>
      </w: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Fair Value Measurements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Accounting guidance for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floor plan notes payable under the Floor Plan Facility, the amounts reported in the accompanying condensed consolidated balance sheets approximate the fair value due to their short-term nature or the existence of variable interest rates that approximate prevailing market rates.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Fair Value</w:t>
            </w:r>
          </w:p>
        </w:tc>
        <w:tc>
          <w:tcPr>
            <w:tcW w:w="16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0"/>
                <w:szCs w:val="10"/>
                <w:b w:val="1"/>
                <w:bCs w:val="1"/>
                <w:color w:val="auto"/>
              </w:rPr>
              <w:t>March 31, 2024</w:t>
            </w:r>
          </w:p>
        </w:tc>
        <w:tc>
          <w:tcPr>
            <w:tcW w:w="120" w:type="dxa"/>
            <w:vAlign w:val="bottom"/>
          </w:tcPr>
          <w:p>
            <w:pPr>
              <w:spacing w:after="0"/>
              <w:rPr>
                <w:sz w:val="11"/>
                <w:szCs w:val="11"/>
                <w:color w:val="auto"/>
              </w:rPr>
            </w:pPr>
          </w:p>
        </w:tc>
        <w:tc>
          <w:tcPr>
            <w:tcW w:w="166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0"/>
                <w:szCs w:val="10"/>
                <w:b w:val="1"/>
                <w:bCs w:val="1"/>
                <w:color w:val="auto"/>
              </w:rPr>
              <w:t>December 31, 2023</w:t>
            </w:r>
          </w:p>
        </w:tc>
        <w:tc>
          <w:tcPr>
            <w:tcW w:w="100" w:type="dxa"/>
            <w:vAlign w:val="bottom"/>
          </w:tcPr>
          <w:p>
            <w:pPr>
              <w:spacing w:after="0"/>
              <w:rPr>
                <w:sz w:val="11"/>
                <w:szCs w:val="11"/>
                <w:color w:val="auto"/>
              </w:rPr>
            </w:pPr>
          </w:p>
        </w:tc>
        <w:tc>
          <w:tcPr>
            <w:tcW w:w="170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0"/>
                <w:szCs w:val="10"/>
                <w:b w:val="1"/>
                <w:bCs w:val="1"/>
                <w:color w:val="auto"/>
              </w:rPr>
              <w:t>March 31, 2023</w:t>
            </w:r>
          </w:p>
        </w:tc>
      </w:tr>
      <w:tr>
        <w:trPr>
          <w:trHeight w:val="142"/>
        </w:trPr>
        <w:tc>
          <w:tcPr>
            <w:tcW w:w="278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8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9"/>
              </w:rPr>
              <w:t>Measurement</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8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00" w:type="dxa"/>
            <w:vAlign w:val="bottom"/>
            <w:gridSpan w:val="2"/>
          </w:tcPr>
          <w:p>
            <w:pPr>
              <w:ind w:left="40"/>
              <w:spacing w:after="0"/>
              <w:rPr>
                <w:sz w:val="20"/>
                <w:szCs w:val="20"/>
                <w:color w:val="auto"/>
              </w:rPr>
            </w:pPr>
            <w:r>
              <w:rPr>
                <w:rFonts w:ascii="Arial" w:cs="Arial" w:eastAsia="Arial" w:hAnsi="Arial"/>
                <w:sz w:val="10"/>
                <w:szCs w:val="10"/>
                <w:b w:val="1"/>
                <w:bCs w:val="1"/>
                <w:color w:val="auto"/>
              </w:rPr>
              <w:t>Carrying Value</w:t>
            </w:r>
          </w:p>
        </w:tc>
        <w:tc>
          <w:tcPr>
            <w:tcW w:w="860" w:type="dxa"/>
            <w:vAlign w:val="bottom"/>
            <w:gridSpan w:val="2"/>
          </w:tcPr>
          <w:p>
            <w:pPr>
              <w:ind w:left="160"/>
              <w:spacing w:after="0"/>
              <w:rPr>
                <w:sz w:val="20"/>
                <w:szCs w:val="20"/>
                <w:color w:val="auto"/>
              </w:rPr>
            </w:pPr>
            <w:r>
              <w:rPr>
                <w:rFonts w:ascii="Arial" w:cs="Arial" w:eastAsia="Arial" w:hAnsi="Arial"/>
                <w:sz w:val="10"/>
                <w:szCs w:val="10"/>
                <w:b w:val="1"/>
                <w:bCs w:val="1"/>
                <w:color w:val="auto"/>
              </w:rPr>
              <w:t>Fair Value</w:t>
            </w:r>
          </w:p>
        </w:tc>
        <w:tc>
          <w:tcPr>
            <w:tcW w:w="920" w:type="dxa"/>
            <w:vAlign w:val="bottom"/>
            <w:gridSpan w:val="2"/>
          </w:tcPr>
          <w:p>
            <w:pPr>
              <w:ind w:left="60"/>
              <w:spacing w:after="0"/>
              <w:rPr>
                <w:sz w:val="20"/>
                <w:szCs w:val="20"/>
                <w:color w:val="auto"/>
              </w:rPr>
            </w:pPr>
            <w:r>
              <w:rPr>
                <w:rFonts w:ascii="Arial" w:cs="Arial" w:eastAsia="Arial" w:hAnsi="Arial"/>
                <w:sz w:val="10"/>
                <w:szCs w:val="10"/>
                <w:b w:val="1"/>
                <w:bCs w:val="1"/>
                <w:color w:val="auto"/>
              </w:rPr>
              <w:t>Carrying Value</w:t>
            </w:r>
          </w:p>
        </w:tc>
        <w:tc>
          <w:tcPr>
            <w:tcW w:w="780" w:type="dxa"/>
            <w:vAlign w:val="bottom"/>
          </w:tcPr>
          <w:p>
            <w:pPr>
              <w:jc w:val="right"/>
              <w:ind w:right="96"/>
              <w:spacing w:after="0"/>
              <w:rPr>
                <w:sz w:val="20"/>
                <w:szCs w:val="20"/>
                <w:color w:val="auto"/>
              </w:rPr>
            </w:pPr>
            <w:r>
              <w:rPr>
                <w:rFonts w:ascii="Arial" w:cs="Arial" w:eastAsia="Arial" w:hAnsi="Arial"/>
                <w:sz w:val="10"/>
                <w:szCs w:val="10"/>
                <w:b w:val="1"/>
                <w:bCs w:val="1"/>
                <w:color w:val="auto"/>
              </w:rPr>
              <w:t>Fair Value</w:t>
            </w:r>
          </w:p>
        </w:tc>
      </w:tr>
      <w:tr>
        <w:trPr>
          <w:trHeight w:val="142"/>
        </w:trPr>
        <w:tc>
          <w:tcPr>
            <w:tcW w:w="262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Term Loan Facility</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Level 2</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$ 1,343,580</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$ 1,322,077</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$ 1,346,229</w:t>
            </w: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$ 1,328,892</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$ 1,354,221</w:t>
            </w:r>
          </w:p>
        </w:tc>
        <w:tc>
          <w:tcPr>
            <w:tcW w:w="1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$ 1,387,212</w:t>
            </w:r>
          </w:p>
        </w:tc>
      </w:tr>
      <w:tr>
        <w:trPr>
          <w:trHeight w:val="148"/>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Floor Plan Facility Revolving Line of Credit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31,885</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33,134</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20,885</w:t>
            </w: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21,732</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20,885</w:t>
            </w: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21,213</w:t>
            </w:r>
          </w:p>
        </w:tc>
      </w:tr>
      <w:tr>
        <w:trPr>
          <w:trHeight w:val="149"/>
        </w:trPr>
        <w:tc>
          <w:tcPr>
            <w:tcW w:w="27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2"/>
                <w:szCs w:val="12"/>
                <w:color w:val="auto"/>
              </w:rPr>
              <w:t>Real Estate Facilities</w:t>
            </w:r>
            <w:r>
              <w:rPr>
                <w:rFonts w:ascii="Arial" w:cs="Arial" w:eastAsia="Arial" w:hAnsi="Arial"/>
                <w:sz w:val="17"/>
                <w:szCs w:val="17"/>
                <w:color w:val="auto"/>
                <w:vertAlign w:val="superscript"/>
              </w:rPr>
              <w:t>(1)</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219,068</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230,710</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183,892</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195,029</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202,452</w:t>
            </w: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211,085</w:t>
            </w:r>
          </w:p>
        </w:tc>
      </w:tr>
      <w:tr>
        <w:trPr>
          <w:trHeight w:val="176"/>
        </w:trPr>
        <w:tc>
          <w:tcPr>
            <w:tcW w:w="2780" w:type="dxa"/>
            <w:vAlign w:val="bottom"/>
            <w:gridSpan w:val="2"/>
          </w:tcPr>
          <w:p>
            <w:pPr>
              <w:ind w:left="20"/>
              <w:spacing w:after="0"/>
              <w:rPr>
                <w:sz w:val="20"/>
                <w:szCs w:val="20"/>
                <w:color w:val="auto"/>
              </w:rPr>
            </w:pPr>
            <w:r>
              <w:rPr>
                <w:rFonts w:ascii="Arial" w:cs="Arial" w:eastAsia="Arial" w:hAnsi="Arial"/>
                <w:sz w:val="13"/>
                <w:szCs w:val="13"/>
                <w:color w:val="auto"/>
              </w:rPr>
              <w:t>Other Long-Term Debt</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Level 2</w:t>
            </w:r>
          </w:p>
        </w:tc>
        <w:tc>
          <w:tcPr>
            <w:tcW w:w="780" w:type="dxa"/>
            <w:vAlign w:val="bottom"/>
          </w:tcPr>
          <w:p>
            <w:pPr>
              <w:jc w:val="right"/>
              <w:spacing w:after="0"/>
              <w:rPr>
                <w:sz w:val="20"/>
                <w:szCs w:val="20"/>
                <w:color w:val="auto"/>
              </w:rPr>
            </w:pPr>
            <w:r>
              <w:rPr>
                <w:rFonts w:ascii="Arial" w:cs="Arial" w:eastAsia="Arial" w:hAnsi="Arial"/>
                <w:sz w:val="13"/>
                <w:szCs w:val="13"/>
                <w:color w:val="auto"/>
              </w:rPr>
              <w:t>8,168</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6,708</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8,246</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6,702</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3,250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2,945</w:t>
            </w:r>
          </w:p>
        </w:tc>
      </w:tr>
    </w:tbl>
    <w:p>
      <w:pPr>
        <w:spacing w:after="0" w:line="89" w:lineRule="exact"/>
        <w:rPr>
          <w:sz w:val="20"/>
          <w:szCs w:val="20"/>
          <w:color w:val="auto"/>
        </w:rPr>
      </w:pPr>
    </w:p>
    <w:p>
      <w:pPr>
        <w:ind w:left="380" w:right="179" w:hanging="330"/>
        <w:spacing w:after="0" w:line="243" w:lineRule="auto"/>
        <w:tabs>
          <w:tab w:leader="none" w:pos="3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carrying value of Real Estate Facilities at December 31, 2023 and March 31, 2023, include $17.3 million and $7.7 million, respectively, reported as liabilities related to assets held for sale in the condensed consolidated balance sheet.</w:t>
      </w:r>
    </w:p>
    <w:p>
      <w:pPr>
        <w:spacing w:after="0" w:line="317" w:lineRule="exact"/>
        <w:rPr>
          <w:sz w:val="20"/>
          <w:szCs w:val="20"/>
          <w:color w:val="auto"/>
        </w:rPr>
      </w:pPr>
    </w:p>
    <w:p>
      <w:pPr>
        <w:ind w:left="60" w:right="5819" w:hanging="10"/>
        <w:spacing w:after="0" w:line="486" w:lineRule="auto"/>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Weissmann Complaint</w:t>
      </w:r>
    </w:p>
    <w:p>
      <w:pPr>
        <w:spacing w:after="0" w:line="210"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On June 22, 2021, FreedomRoads Holding Company, LLC (“FR Holdco”), an indirect wholly-owned subsidiary of CWGS, LLC, filed a one-count complaint captioned FreedomRoads Holding Company, LLC v. Steve Weissmann in the Circuit Court of Cook County, Illinois against Steve Weissmann (“Weissmann”) for breach of contractual obligation under note guarantee (the “Note”) (the “Weissmann Complaint”). On October 8, 2021, Weissmann brought a counterclaim against FR Holdco and third-party defendants Marcus Lemonis, NBCUniversal Media, LLC, the Consumer National Broadcasting Company, Camping World, Inc. (“CW”), and Machete Productions (“Machete”) (the “Weissmann Counterclaim”), in which he alleges claims in connection with the Note and his appearance on the reality television show The Profit. Weissmann alleges the following causes of action against FR Holdco and all third-party defendants, including CW: (i) fraud; (ii) fraud in the inducement; (iii) fraudulent concealment; (iv) breach of fiduciary duty; (v) defamation; (vi) defamation per se;</w:t>
      </w:r>
    </w:p>
    <w:p>
      <w:pPr>
        <w:spacing w:after="0" w:line="8" w:lineRule="exact"/>
        <w:rPr>
          <w:sz w:val="20"/>
          <w:szCs w:val="20"/>
          <w:color w:val="auto"/>
        </w:rPr>
      </w:pPr>
    </w:p>
    <w:p>
      <w:pPr>
        <w:ind w:left="60" w:right="59" w:hanging="10"/>
        <w:spacing w:after="0" w:line="250" w:lineRule="auto"/>
        <w:tabs>
          <w:tab w:leader="none" w:pos="4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false light; (viii) intentional infliction of emotional distress; (ix) negligence; (x) unjust enrichment; and (xi) RICO § 1962. Weissmann seeks costs and damages in an amount to be proven at trial but no less than the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amount in the Note (approximately $2.5 million); in connection with his RICO claim, Weissmann asserts he is entitled to damages in the amount of three times the Note. On February 18, 2022, NBCUniversal, CNBC, and Machete filed a motion to compel arbitration (the “NBC Arbitration Motion”). On May 5, 2022, an agreed order was filed staying the litigation in favor of arbitration. On May 31, 2022, FR Holdco filed an arbitration demand against Weissmann for collection on the Note. Weissmann filed his response and counterclaims, and third-party claims against FR Holdco, CW, Marcus Lemonis, NBCUniversal, and Machete on July 7, 2022. On or about July 21, 2022, FR Holdco and the other respondents filed their responses and affirmative defenses. On March 11, 2024, FR Holdco’s arbitration demand and the Weissmann arbitration demand were tried before a single arbitrator pursuant to the JAMS streamlined arbitration rules in a confidential arbitration hearing. On April 23, 2024, the post-hearing briefing concluded and a decision is expected within thirty (30) days of that date.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Tumbleweed Complaint</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November 10, 2021, Tumbleweed Tiny House Company, Inc. (“Tumbleweed”) filed a complaint against FR Holdco, CW, Marcus Lemonis, NBCUniversal Media, LLC, and Machete Productions in which Tumbleweed alleges claims in connection with the Note and its appearance on the reality television show The Profit (the “Tumbleweed Complaint”), seeking primarily monetary damages. Tumbleweed alleges the following claims against the defendants, including FR Holdco and CW: (i) fraud; (ii) false promise; (iii) breach of fiduciary duty (and aiding and abetting the same); (iv) breach of contract; (v) breach of oral contract; (vi) tortious interference with prospective economic advantage; (vii) fraud in the inducement; (viii) negligent misrepresentation; (ix) fraudulent concealment; (x) conspiracy; (xi) unlawful business practices; (xii) defamation; and (xiii) declaratory judgment. On April 21, 2022, the Court granted a motion to compel arbitration filed by NBCUniversal and joined by all defendants, including FR Holdco, CW, and Marcus Lemonis, compelling Tumbleweed’s claims to arbitration. Tumbleweed served its arbitration demand on FR Holdco, CW, and Marcus Lemonis on May 17, 2022. FR Holdco, CW, and Marcus Lemonis filed responses and affirmative defenses on May 31, 2022. On July 20, 2022, pursuant to the JAMS streamlined arbitration rules, the Tumbleweed Complaint was consolidated together with the Weissmann Complaint. The parties have exchanged discovery. On March 11, 2024, FR Holdco’s arbitration demand and the Weissman arbitration demand were tried before a single arbitrator pursuant to the JAMS streamlined arbitration rules in a confidential arbitration hearing. On April 23, 2024, the post-hearing briefing concluded and a decision is expected within thirty (30) days of that date.</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Precise Complaint</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On May 3, 2022, Lynn E. Feldman, Esquire, in her capacity as the Chapter 7 Trustee (the “Trustee”) for the Estate of Precise Graphix, LLC (the “Precise Estate”) filed a complaint against NBCUniversal Media, LLC, Machete Corporation, and CW in which the Trustee alleges claims on behalf of the Precise Estate in connection with its appearance on The Profit and subsequent commercial relationship with CW (the “Precise Complaint”), seeking primarily monetary damages from CW. The Trustee alleges the following claims against defendants, including CW: (i) fraud; (ii) false promise; (iii) breach of fiduciary duty; (iv) breach of contract; (v) breach of oral contract; (vi) fraud in the inducement; (vii) negligent misrepresentation; (viii) fraudulent concealment; (ix) conspiracy; (x) unlawful business practices in violation of California Business and Professions Code §17200;</w:t>
      </w:r>
    </w:p>
    <w:p>
      <w:pPr>
        <w:spacing w:after="0" w:line="3" w:lineRule="exact"/>
        <w:rPr>
          <w:sz w:val="20"/>
          <w:szCs w:val="20"/>
          <w:color w:val="auto"/>
        </w:rPr>
      </w:pPr>
    </w:p>
    <w:p>
      <w:pPr>
        <w:jc w:val="both"/>
        <w:ind w:left="60" w:right="59" w:hanging="10"/>
        <w:spacing w:after="0" w:line="236" w:lineRule="auto"/>
        <w:tabs>
          <w:tab w:leader="none" w:pos="36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aiding and abetting; (xii) breach of fiduciary duty; and (xiii) declaratory judgment. The Trustee did not serve the Precise Complaint on CW. On July 3, 2022, the Precise Estate filed its arbitration demand against CW, NBCUniversal, and Machete alleging substantially similar claims as the Precise Complaint. On April 4, 2023, the Precise Estate’s arbitration demand was tried before a single arbitrator pursuant to the JAMS streamlined arbitration rules in a confidential arbitration hearing. On May 31, 2023, the Arbitration was concluded and an award was entered by the Arbitrator against the Precise Estate in the amount of $7.1 million (the “Final Award”), of which CW would be entitled to $3.7 million. On June 13, 2023, the Trustee filed a notice of appeal of the Final Award with JAMS. On June 29, 2023, CW advanced the Trustee’s portion of the fee required by JAMS to advance the appeal. On July 5, 2023, CW filed an application in the United States Bankruptcy Court for the Eastern District of Pennsylvania (the “USBC”) seeking an order, inter alia, allowing the JAMS fee as an administrative expense of the Precise Estate. On July 14, 2023, the Trustee and respondents, including CW, filed a stipulation and agreed order (the “Stipulation”) as follows: (1) upon approval and entry of the Stipulation, CW’s claim for $3,500 shall be allowed and reimbursed; (2) the Trustee will notify JAMS that she is irrevocably withdrawing and ending her pending appeal of the Final Award; and (3) the Trustee will not dispute the amount of the Final Award. On July 17, 2023, the USBC entered the Stipulation as an order,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which became final upon the expiration of the ten (10) day appeal period. Precise withdrew its appeal and on August 14, 2023 JAMS closed the arbitration. On September 25, 2023, the Superior Court of the State of California, upon motion by defendants, confirmed the arbitration award. On October 6, 2023, defendants filed an application in the matter of In re: Precise Graphix, LLC, pending in the United States Bankruptcy Court for the Eastern District of Pennsylvania (the “Bankruptcy Court”) seeking to have the fee award deemed an administrative expense in the Precise Estate. On April 4, 2024, the Trustee, CW, and the Precise Estate entered into a settlement agreement which provides for, among other things, an allowed claim against the Precise Estate in favor of CW in the amount of $3.7 million, a portion of which is payable upon the entry of a final order of the Bankruptcy Estate approving the settlement agreement and mutual releases from the parties (the “Settlement Agreement”). On April 7, 2024, the Trustee filed a motion seeking approval of the Settlement Agreement.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While the outcome of litigation cannot be predicted with certainty, and some of these lawsuits, claims or proceedings may be determined adversely to the Company, management does not believe that the disposition of any such pending matters is likely to have a material adverse effect on the Company’s financial statements. The Company does not have sufficient information to estimate a possible loss or range of possible loss for the matters discussed above. No assurance can be made that these or similar suits will not result in a material financial exposure in excess of insurance coverage, which could have a material adverse effect upon the Company’s financial condition and results of operations.</w:t>
      </w:r>
    </w:p>
    <w:p>
      <w:pPr>
        <w:spacing w:after="0" w:line="18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From time to time, the Company is involved in other litigation arising in the normal course of business operations.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Assurances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the normal course of business, the Company obtains standby letters of credit and surety bonds from financial institutions and other third parties. These instruments guarantee the Company’s future performance and provide third parties with financial and performance assurance in the event that the Company does not perform. These instruments support a wide variety of the Company’s business activities. As of March 31, 2024, December 31, 2023, and March 31, 2023, outstanding standby letters of credit issued through our Floor Plan Facility were $12.3 million, $12.3 million, and $ 11.4 million, respectively (see Note 3 — Inventories and Floor Plan Payables). The outstanding standby letters of credit issued through the Senior Secured Credit Facilities as of March 31, 2024, December 31, 2023, and March 31, 2023 were $4.9 million (see Note 7 — Long-Term Debt). As of March 31, 2023, December 31, 2023, and March 31, 2023, outstanding surety bonds were $24.4 million, $23.2 million, and $22.4 million, respectively. The underlying liabilities to which these instruments relate are reflected on the Company’s condensed consolidated balance sheets, where applicable. Therefore, no additional liability is reflected for the letters of credit and surety bonds themselves.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Statement of 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disclosures of cash flow information for the following periods (in thousands) were as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4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(refunded) during the period for:</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61,812</w:t>
            </w:r>
          </w:p>
        </w:tc>
        <w:tc>
          <w:tcPr>
            <w:tcW w:w="2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29,289</w:t>
            </w: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6400" w:type="dxa"/>
            <w:vAlign w:val="bottom"/>
          </w:tcPr>
          <w:p>
            <w:pPr>
              <w:ind w:left="20"/>
              <w:spacing w:after="0" w:line="202" w:lineRule="exact"/>
              <w:rPr>
                <w:sz w:val="20"/>
                <w:szCs w:val="20"/>
                <w:color w:val="auto"/>
              </w:rPr>
            </w:pPr>
            <w:r>
              <w:rPr>
                <w:rFonts w:ascii="Arial" w:cs="Arial" w:eastAsia="Arial" w:hAnsi="Arial"/>
                <w:sz w:val="18"/>
                <w:szCs w:val="18"/>
                <w:color w:val="auto"/>
              </w:rPr>
              <w:t>Non-cash investing and financing activities: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Vehicles transferred to property and equipment from inventory</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Capital expenditures in accounts payable and accrued liabilities</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6,203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6,068</w:t>
            </w:r>
          </w:p>
        </w:tc>
      </w:tr>
      <w:tr>
        <w:trPr>
          <w:trHeight w:val="184"/>
        </w:trPr>
        <w:tc>
          <w:tcPr>
            <w:tcW w:w="640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Prior period deposit applied to portion of purchase price of RV dealership</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1"/>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4"/>
        </w:trPr>
        <w:tc>
          <w:tcPr>
            <w:tcW w:w="6400" w:type="dxa"/>
            <w:vAlign w:val="bottom"/>
          </w:tcPr>
          <w:p>
            <w:pPr>
              <w:ind w:left="220"/>
              <w:spacing w:after="0" w:line="183" w:lineRule="exact"/>
              <w:rPr>
                <w:sz w:val="20"/>
                <w:szCs w:val="20"/>
                <w:color w:val="auto"/>
              </w:rPr>
            </w:pPr>
            <w:r>
              <w:rPr>
                <w:rFonts w:ascii="Arial" w:cs="Arial" w:eastAsia="Arial" w:hAnsi="Arial"/>
                <w:sz w:val="18"/>
                <w:szCs w:val="18"/>
                <w:color w:val="auto"/>
              </w:rPr>
              <w:t>Par value of Class A common stock issued for redemption of common units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6400" w:type="dxa"/>
            <w:vAlign w:val="bottom"/>
          </w:tcPr>
          <w:p>
            <w:pPr>
              <w:ind w:left="220"/>
              <w:spacing w:after="0"/>
              <w:rPr>
                <w:sz w:val="20"/>
                <w:szCs w:val="20"/>
                <w:color w:val="auto"/>
              </w:rPr>
            </w:pPr>
            <w:r>
              <w:rPr>
                <w:rFonts w:ascii="Arial" w:cs="Arial" w:eastAsia="Arial" w:hAnsi="Arial"/>
                <w:sz w:val="18"/>
                <w:szCs w:val="18"/>
                <w:color w:val="auto"/>
              </w:rPr>
              <w:t>in CWGS, LLC</w:t>
            </w:r>
          </w:p>
        </w:tc>
        <w:tc>
          <w:tcPr>
            <w:tcW w:w="14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Cost of treasury stock issued for vested restricted stock units</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w:t>
            </w:r>
          </w:p>
        </w:tc>
      </w:tr>
    </w:tbl>
    <w:p>
      <w:pPr>
        <w:spacing w:after="0" w:line="30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Acquisitions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During the three months ended March 31, 2024 and 2023, subsidiaries of the Company acquired the assets of multiple RV dealerships that constituted businesses under GAAP. The Company used cash and borrowings under its Floor Plan Facility to complete the acquisitions. The Company considers acquisitions of independent dealerships to be a fast and capital efficient alternative to opening new store locations to expand its business and grow its customer base. The acquired businesses were recorded at their estimated fair values under the acquisition method of accounting. The balance of the purchase prices in excess of the fair values of net assets acquired were recorded as goodwill.</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During the three months ended March 31, 2024, the RV and Outdoor Retail segment acquired the assets of various RV dealerships comprised of nine locations for an aggregate purchase price of approximately $67.7 million, of which one RV dealerships had not opened by March 31, 2024. Separate from these acquisitions, during the three months ended March 31, 2024, the Company purchased real property for an aggregate purchase price of $1.2 million.</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three months ended March 31, 2023, the RV and Outdoor Retail segment did not acquire any RV dealerships.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estimated fair values of the assets acquired and liabilities assumed for the acquisitions discussed above consist of the following, net of insignificant measurement period adjustments relating to acquisitions from the respective previous year:</w:t>
      </w:r>
    </w:p>
    <w:p>
      <w:pPr>
        <w:spacing w:after="0" w:line="192" w:lineRule="exact"/>
        <w:rPr>
          <w:sz w:val="20"/>
          <w:szCs w:val="20"/>
          <w:color w:val="auto"/>
        </w:rPr>
      </w:pPr>
    </w:p>
    <w:tbl>
      <w:tblPr>
        <w:tblLayout w:type="fixed"/>
        <w:tblInd w:w="50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160" w:type="dxa"/>
            <w:vAlign w:val="bottom"/>
          </w:tcPr>
          <w:p>
            <w:pPr>
              <w:spacing w:after="0"/>
              <w:rPr>
                <w:sz w:val="14"/>
                <w:szCs w:val="14"/>
                <w:color w:val="auto"/>
              </w:rPr>
            </w:pPr>
          </w:p>
        </w:tc>
        <w:tc>
          <w:tcPr>
            <w:tcW w:w="22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66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Tangible assets (liabilities) acquired (assumed):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40,394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287</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15,328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Pr>
          <w:p>
            <w:pPr>
              <w:ind w:left="100"/>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(1,112)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(14,216)</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tangible net assets acquired</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40,620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5660" w:type="dxa"/>
            <w:vAlign w:val="bottom"/>
          </w:tcPr>
          <w:p>
            <w:pPr>
              <w:ind w:left="220"/>
              <w:spacing w:after="0" w:line="202" w:lineRule="exact"/>
              <w:rPr>
                <w:sz w:val="20"/>
                <w:szCs w:val="20"/>
                <w:color w:val="auto"/>
              </w:rPr>
            </w:pPr>
            <w:r>
              <w:rPr>
                <w:rFonts w:ascii="Arial" w:cs="Arial" w:eastAsia="Arial" w:hAnsi="Arial"/>
                <w:sz w:val="18"/>
                <w:szCs w:val="18"/>
                <w:color w:val="auto"/>
              </w:rPr>
              <w:t>Total intangible assets acquired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2,595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24,458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Purchase price of acquisitions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67,673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Application of deposit paid in prior period</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(8,873)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Cash paid for acquisitions, net of cash acquired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58,800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Inventory purchases financed via floor plan</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(48,684)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Cash payment net of floor plan financing</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10,116</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fair values above for the three months ended March 31, 2024 are preliminary as they are subject to measurement period adjustments for up to one year from the date of acquisition as new information is obtained about facts and circumstances that existed as of the acquisition date relating to the valuation of the acquired assets, primarily the acquired inventories. For the three months ended March 31, 2024, the fair values include a measurement period adjustment to record $2.6 million of other intangible assets from a RV dealership acquisition that occurred during the year ended December 31, 2023. These intangible assets had an estimated useful life of 15 years; however, these intangible assets were sold for $2.6 million during the three months ended March 31, 2024. For the three months ended March 31, 2023, the fair values represent measurement period adjustments for valuation of acquired inventories relating to dealership acquisitions during the year ended December 31, 2022.</w:t>
      </w:r>
    </w:p>
    <w:p>
      <w:pPr>
        <w:spacing w:after="0" w:line="7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primary items that generated the goodwill are the value of the expected synergies between the acquired businesses and the Company and the acquired assembled workforce, neither of which qualify for recognition as a separately identified intangible asset. For the three months ended March 31, 2024 and 2023, acquired goodwill of $24.5 million and $0.1 million, respectively, was expected to be deductible for tax purposes.</w:t>
      </w:r>
    </w:p>
    <w:p>
      <w:pPr>
        <w:spacing w:after="0" w:line="68"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Included in the condensed consolidated financial statements for the three months ended March 31, 2024 was revenue of $7.0 million and insignificant pre-tax income from the acquired dealerships from the applicable acquisition dates. Included in the condensed consolidated financial statements for the three months ended March 31, 2023 was no revenue or pre-tax income from acquired dealerships. Pro forma information on these acquisitions has not been included, because the Company has deemed them to not be individually or cumulatively material.</w:t>
      </w:r>
    </w:p>
    <w:p>
      <w:pPr>
        <w:spacing w:after="0" w:line="3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CWH is organized as a Subchapter C corporation and, as of March 31, 2024, is a 53.0% owner of CWGS, LLC (see Note 16 — Non-Controlling Interests). CWGS, LLC is organized as a limited liability company and treated as a partnership for U.S. federal and most applicable state and local income tax purposes and as such, is generally not subject to any U.S. federal entity-level income taxes. However, certain CWGS, LLC subsidiaries, including Americas Road and Travel Club, Inc. and FreedomRoads RV, Inc. and their wholly-owned subsidiaries, are subject to entity-level taxes as they are Subchapter C corporations (“C-Corps”).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Effective Income Tax Rate</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For the three months ended March 31, 2024 and 2023, the Company's effective income tax rate was 15.1% and 5.3%, respectively. The effective tax rate differed from the federal statutory rate of 21.0% primarily due to state taxes and a portion of the Company’s earnings being attributable to non-controlling interests in limited liability companies, which are not subject to entity level taxes. Additionally, the March 31, 2023 effective tax rate was further decreased by the benefit of the CWI LLC Conversion effective in January 2023.</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Tax Receivable Agreement</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Company is party to a tax receivable agreement (the “Tax Receivable Agreement”) that provides for the payment by the Company to the Continuing Equity Owners and Crestview Partners II GP, L.P. of 85% of the amount of tax benefits, if any, the Company actually realizes, or in some circumstances is deemed to realize, as a result of (i) increases in the tax basis from the purchase of common units from Crestview Partners</w:t>
      </w:r>
    </w:p>
    <w:p>
      <w:pPr>
        <w:jc w:val="both"/>
        <w:ind w:left="60" w:right="59" w:hanging="10"/>
        <w:spacing w:after="0" w:line="236" w:lineRule="auto"/>
        <w:tabs>
          <w:tab w:leader="none" w:pos="2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GP, L.P in exchange for Class A common stock in connection with the consummation of the IPO and the related transactions and any future redemptions that are funded by the Company and any further redemptions of common units by Continuing Equity Owners and (ii) certain other tax benefits attributable to payments made under the Tax Receivable Agreement. The above payments are predicated on CWGS, LLC making an election under Section 754 of the Internal Revenue Code effective for each tax year in which a redemption of common units for cash or stock occurs. These tax benefit payments are not conditioned upon one or more of the Continuing Equity Owners or Crestview Partners II GP, L.P. maintaining a continued ownership interest in CWGS, LLC. In general, the Continuing Equity Owners’ or Crestview Partners II GP, L.P.’s rights under the Tax Receivable Agreement are assignable, including to transferees of its common units in CWGS, LLC (other than the Company as transferee pursuant to a redemption of common units in CWGS, LLC). The Company expects to benefit from the remaining 15% of the tax benefits, if any, which may be realized.</w:t>
      </w:r>
    </w:p>
    <w:p>
      <w:pPr>
        <w:spacing w:after="0" w:line="17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On January 1, 2023, giftees of common units that had been gifted by CWGS Holding, LLC, a wholly-owned subsidiary of ML Acquisition Company, LLC, which is indirectly owned by Marcus Lemonis, the Company’s Chairman and Chief Executive Officer, redeemed 2.0 million common units in CWGS, LLC for 2.0 million shares of the Company’s Class A common stock (see Note 16 — Non-Controlling Interests). The increase in deferred tax assets, the non-current portion of the Tax Receivable Agreement liability, and additional paid-in capital resulting from these redemptions was $6.3 million, $5.4 million, and $0.9 million, respectively. Payments pursuant to the Tax Receivable Agreement relating to these redemptions will begin during the year ending December 31, 2024.</w:t>
      </w:r>
    </w:p>
    <w:p>
      <w:pPr>
        <w:spacing w:after="0" w:line="167"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three months ended March 31, 2024, there were no redemptions of common units by Continuing Equity Owners.</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14. Related Party Transactions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with Directors, Equity Holders and Executive Officers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FreedomRoads leases various RV dealership locations from managers and officers. During the three months ended March 31, 2023, the related party lease expense for these locations was $1.5 million, which was included in selling, general, and administrative expenses in the condensed consolidated statements of operations. For the three months ended March 31, 2024 there was no related party lease expense.</w:t>
      </w:r>
    </w:p>
    <w:p>
      <w:pPr>
        <w:spacing w:after="0" w:line="17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From January 2012 until its expiration in March 2024, FreedomRoads was the lessee of what is now its previous corporate headquarters in Lincolnshire, Illinois (as amended from time to time, the “Lincolnshire Lease”). For the three months ended March 31, 2024 and 2023, rental payments for the Lincolnshire Lease, including common area maintenance charges, were each $0.2 million, which were included in selling, general, and administrative expenses in the condensed consolidated statements of operations. The Company’s Chairman and Chief Executive Officer had personally guaranteed the Lincolnshire Lease.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60" w:right="6599" w:hanging="10"/>
        <w:spacing w:after="0" w:line="513" w:lineRule="auto"/>
        <w:tabs>
          <w:tab w:leader="none" w:pos="36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Stock Repurchase Program</w:t>
      </w:r>
    </w:p>
    <w:p>
      <w:pPr>
        <w:spacing w:after="0" w:line="1"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During the three months ended March 31, 2024 and three months ended March 31, 2023, the Company did not repurchase Class A common stock under the stock repurchase program. Repurchases under the stock repurchase program are subject to any applicable limitations on the availability of funds to be distributed to the Company by CWGS, LLC to fund repurchases and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of its shares under this authorization. This program does not obligate the Company to acquire any particular amount of Class A common stock and the program may be extended, modified, suspended or discontinued at any time at the Board’s discretion. The Company expects to fund the repurchases using cash on hand. As of March 31, 2024, the remaining approved amount for repurchases of Class A common stock under the share repurchase program was approximately $120.2 million and the program expires on December 31, 2025.</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Non-Controlling Interests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CWGS, LLC common unit ownership by CWH and the Continuing Equity Owners: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45"/>
        </w:trPr>
        <w:tc>
          <w:tcPr>
            <w:tcW w:w="3200" w:type="dxa"/>
            <w:vAlign w:val="bottom"/>
          </w:tcPr>
          <w:p>
            <w:pPr>
              <w:spacing w:after="0"/>
              <w:rPr>
                <w:sz w:val="12"/>
                <w:szCs w:val="12"/>
                <w:color w:val="auto"/>
              </w:rPr>
            </w:pPr>
          </w:p>
        </w:tc>
        <w:tc>
          <w:tcPr>
            <w:tcW w:w="1920" w:type="dxa"/>
            <w:vAlign w:val="bottom"/>
            <w:gridSpan w:val="4"/>
          </w:tcPr>
          <w:p>
            <w:pPr>
              <w:ind w:left="320"/>
              <w:spacing w:after="0"/>
              <w:rPr>
                <w:sz w:val="20"/>
                <w:szCs w:val="20"/>
                <w:color w:val="auto"/>
              </w:rPr>
            </w:pPr>
            <w:r>
              <w:rPr>
                <w:rFonts w:ascii="Arial" w:cs="Arial" w:eastAsia="Arial" w:hAnsi="Arial"/>
                <w:sz w:val="12"/>
                <w:szCs w:val="12"/>
                <w:b w:val="1"/>
                <w:bCs w:val="1"/>
                <w:color w:val="auto"/>
              </w:rPr>
              <w:t>As of March 31, 2024</w:t>
            </w:r>
          </w:p>
        </w:tc>
        <w:tc>
          <w:tcPr>
            <w:tcW w:w="1940" w:type="dxa"/>
            <w:vAlign w:val="bottom"/>
            <w:gridSpan w:val="4"/>
          </w:tcPr>
          <w:p>
            <w:pPr>
              <w:ind w:left="220"/>
              <w:spacing w:after="0"/>
              <w:rPr>
                <w:sz w:val="20"/>
                <w:szCs w:val="20"/>
                <w:color w:val="auto"/>
              </w:rPr>
            </w:pPr>
            <w:r>
              <w:rPr>
                <w:rFonts w:ascii="Arial" w:cs="Arial" w:eastAsia="Arial" w:hAnsi="Arial"/>
                <w:sz w:val="12"/>
                <w:szCs w:val="12"/>
                <w:b w:val="1"/>
                <w:bCs w:val="1"/>
                <w:color w:val="auto"/>
              </w:rPr>
              <w:t>As of December 31, 2023</w:t>
            </w:r>
          </w:p>
        </w:tc>
        <w:tc>
          <w:tcPr>
            <w:tcW w:w="1840" w:type="dxa"/>
            <w:vAlign w:val="bottom"/>
            <w:gridSpan w:val="3"/>
          </w:tcPr>
          <w:p>
            <w:pPr>
              <w:jc w:val="right"/>
              <w:ind w:right="271"/>
              <w:spacing w:after="0"/>
              <w:rPr>
                <w:sz w:val="20"/>
                <w:szCs w:val="20"/>
                <w:color w:val="auto"/>
              </w:rPr>
            </w:pPr>
            <w:r>
              <w:rPr>
                <w:rFonts w:ascii="Arial" w:cs="Arial" w:eastAsia="Arial" w:hAnsi="Arial"/>
                <w:sz w:val="12"/>
                <w:szCs w:val="12"/>
                <w:b w:val="1"/>
                <w:bCs w:val="1"/>
                <w:color w:val="auto"/>
              </w:rPr>
              <w:t>As of March 31, 2023</w:t>
            </w:r>
          </w:p>
        </w:tc>
      </w:tr>
      <w:tr>
        <w:trPr>
          <w:trHeight w:val="128"/>
        </w:trPr>
        <w:tc>
          <w:tcPr>
            <w:tcW w:w="3200" w:type="dxa"/>
            <w:vAlign w:val="bottom"/>
          </w:tcPr>
          <w:p>
            <w:pPr>
              <w:spacing w:after="0"/>
              <w:rPr>
                <w:sz w:val="11"/>
                <w:szCs w:val="11"/>
                <w:color w:val="auto"/>
              </w:rPr>
            </w:pPr>
          </w:p>
        </w:tc>
        <w:tc>
          <w:tcPr>
            <w:tcW w:w="106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4"/>
              </w:rPr>
              <w:t>Ownership %</w:t>
            </w:r>
          </w:p>
        </w:tc>
        <w:tc>
          <w:tcPr>
            <w:tcW w:w="120" w:type="dxa"/>
            <w:vAlign w:val="bottom"/>
          </w:tcPr>
          <w:p>
            <w:pPr>
              <w:spacing w:after="0"/>
              <w:rPr>
                <w:sz w:val="11"/>
                <w:szCs w:val="11"/>
                <w:color w:val="auto"/>
              </w:rPr>
            </w:pPr>
          </w:p>
        </w:tc>
        <w:tc>
          <w:tcPr>
            <w:tcW w:w="10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4"/>
              </w:rPr>
              <w:t>Ownership %</w:t>
            </w:r>
          </w:p>
        </w:tc>
        <w:tc>
          <w:tcPr>
            <w:tcW w:w="120" w:type="dxa"/>
            <w:vAlign w:val="bottom"/>
          </w:tcPr>
          <w:p>
            <w:pPr>
              <w:spacing w:after="0"/>
              <w:rPr>
                <w:sz w:val="11"/>
                <w:szCs w:val="11"/>
                <w:color w:val="auto"/>
              </w:rPr>
            </w:pPr>
          </w:p>
        </w:tc>
        <w:tc>
          <w:tcPr>
            <w:tcW w:w="108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2"/>
                <w:szCs w:val="12"/>
                <w:b w:val="1"/>
                <w:bCs w:val="1"/>
                <w:color w:val="auto"/>
              </w:rPr>
              <w:t>Common Units</w:t>
            </w:r>
          </w:p>
        </w:tc>
        <w:tc>
          <w:tcPr>
            <w:tcW w:w="7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2"/>
                <w:szCs w:val="12"/>
                <w:b w:val="1"/>
                <w:bCs w:val="1"/>
                <w:color w:val="auto"/>
                <w:w w:val="97"/>
              </w:rPr>
              <w:t>Ownership %</w:t>
            </w:r>
          </w:p>
        </w:tc>
      </w:tr>
      <w:tr>
        <w:trPr>
          <w:trHeight w:val="155"/>
        </w:trPr>
        <w:tc>
          <w:tcPr>
            <w:tcW w:w="32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CWH</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45,071,762</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53.0%</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45,020,116</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52.9%</w:t>
            </w:r>
          </w:p>
        </w:tc>
        <w:tc>
          <w:tcPr>
            <w:tcW w:w="1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44,466,636</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52.6%</w:t>
            </w:r>
          </w:p>
        </w:tc>
      </w:tr>
      <w:tr>
        <w:trPr>
          <w:trHeight w:val="162"/>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Continuing Equity Owners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w:t>
            </w:r>
          </w:p>
        </w:tc>
        <w:tc>
          <w:tcPr>
            <w:tcW w:w="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40,044,536</w:t>
            </w: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w:t>
            </w:r>
          </w:p>
        </w:tc>
      </w:tr>
      <w:tr>
        <w:trPr>
          <w:trHeight w:val="155"/>
        </w:trPr>
        <w:tc>
          <w:tcPr>
            <w:tcW w:w="320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Total</w:t>
            </w:r>
          </w:p>
        </w:tc>
        <w:tc>
          <w:tcPr>
            <w:tcW w:w="9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85,116,298</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85,064,652</w:t>
            </w:r>
          </w:p>
        </w:tc>
        <w:tc>
          <w:tcPr>
            <w:tcW w:w="1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84,511,172</w:t>
            </w: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r>
      <w:tr>
        <w:trPr>
          <w:trHeight w:val="20"/>
        </w:trPr>
        <w:tc>
          <w:tcPr>
            <w:tcW w:w="3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During December 2022, CWGS Holding, LLC, a wholly-owned subsidiary of ML Acquisition Company, LLC, which is indirectly owned by The Stephen Adams Living Trust and Marcus Lemonis, the Company’s Chairman and Chief Executive Officer, gifted 2,000,000 common units of CWGS, LLC in total to a college and hospital (“2022 Common Unit Giftees”), which resulted in the corresponding 2,000,000 shares of Class B common stock being transferred to the 2022 Common Unit Giftees. On January 1, 2023, the 2022 Common Unit Giftees redeemed the 2,000,000 common units of CWGS, LLC for 2,000,000 shares of the Company’s Class A common stock, which also resulted in the cancellation of 2,000,000 shares of the Company’s Class B common stock that had been transferred to the 2022 Common Unit Giftees with no additional consideration provided.</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effects of changes in ownership in CWGS, LLC on the Company’s</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w:t>
      </w:r>
    </w:p>
    <w:p>
      <w:pPr>
        <w:spacing w:after="0" w:line="230" w:lineRule="exact"/>
        <w:rPr>
          <w:sz w:val="20"/>
          <w:szCs w:val="20"/>
          <w:color w:val="auto"/>
        </w:rPr>
      </w:pPr>
    </w:p>
    <w:p>
      <w:pPr>
        <w:ind w:left="718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1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90"/>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155"/>
        </w:trPr>
        <w:tc>
          <w:tcPr>
            <w:tcW w:w="69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income attributable to Camping World Holdings, Inc.</w:t>
            </w: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(22,307)</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3,169</w:t>
            </w:r>
          </w:p>
        </w:tc>
        <w:tc>
          <w:tcPr>
            <w:tcW w:w="0" w:type="dxa"/>
            <w:vAlign w:val="bottom"/>
          </w:tcPr>
          <w:p>
            <w:pPr>
              <w:spacing w:after="0"/>
              <w:rPr>
                <w:sz w:val="1"/>
                <w:szCs w:val="1"/>
                <w:color w:val="auto"/>
              </w:rPr>
            </w:pPr>
          </w:p>
        </w:tc>
      </w:tr>
      <w:tr>
        <w:trPr>
          <w:trHeight w:val="162"/>
        </w:trPr>
        <w:tc>
          <w:tcPr>
            <w:tcW w:w="7100" w:type="dxa"/>
            <w:vAlign w:val="bottom"/>
            <w:gridSpan w:val="2"/>
          </w:tcPr>
          <w:p>
            <w:pPr>
              <w:ind w:left="20"/>
              <w:spacing w:after="0"/>
              <w:rPr>
                <w:sz w:val="20"/>
                <w:szCs w:val="20"/>
                <w:color w:val="auto"/>
              </w:rPr>
            </w:pPr>
            <w:r>
              <w:rPr>
                <w:rFonts w:ascii="Arial" w:cs="Arial" w:eastAsia="Arial" w:hAnsi="Arial"/>
                <w:sz w:val="14"/>
                <w:szCs w:val="14"/>
                <w:color w:val="auto"/>
              </w:rPr>
              <w:t>Transfers to non-controlling interests: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1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Decrease in additional paid-in capital as a result of the purchase of common units from CWGS, LLC with</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proceeds from the exercise of stock options</w:t>
            </w: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7100" w:type="dxa"/>
            <w:vAlign w:val="bottom"/>
            <w:gridSpan w:val="2"/>
          </w:tcPr>
          <w:p>
            <w:pPr>
              <w:ind w:left="120"/>
              <w:spacing w:after="0"/>
              <w:rPr>
                <w:sz w:val="20"/>
                <w:szCs w:val="20"/>
                <w:color w:val="auto"/>
              </w:rPr>
            </w:pPr>
            <w:r>
              <w:rPr>
                <w:rFonts w:ascii="Arial" w:cs="Arial" w:eastAsia="Arial" w:hAnsi="Arial"/>
                <w:sz w:val="14"/>
                <w:szCs w:val="14"/>
                <w:color w:val="auto"/>
              </w:rPr>
              <w:t>Decrease in additional paid-in capital as a result of the vesting of restricted stock units</w:t>
            </w: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(2,234)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53"/>
        </w:trPr>
        <w:tc>
          <w:tcPr>
            <w:tcW w:w="710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Increase in additional paid-in capital as a result of repurchases of Class A common stock for withholding</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71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taxes on vested RSUs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2"/>
        </w:trPr>
        <w:tc>
          <w:tcPr>
            <w:tcW w:w="71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Increase in additional paid-in capital as a result of the redemption of common units of CWGS, LLC</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9,673</w:t>
            </w:r>
          </w:p>
        </w:tc>
        <w:tc>
          <w:tcPr>
            <w:tcW w:w="0" w:type="dxa"/>
            <w:vAlign w:val="bottom"/>
          </w:tcPr>
          <w:p>
            <w:pPr>
              <w:spacing w:after="0"/>
              <w:rPr>
                <w:sz w:val="1"/>
                <w:szCs w:val="1"/>
                <w:color w:val="auto"/>
              </w:rPr>
            </w:pPr>
          </w:p>
        </w:tc>
      </w:tr>
      <w:tr>
        <w:trPr>
          <w:trHeight w:val="133"/>
        </w:trPr>
        <w:tc>
          <w:tcPr>
            <w:tcW w:w="7100" w:type="dxa"/>
            <w:vAlign w:val="bottom"/>
            <w:gridSpan w:val="2"/>
            <w:shd w:val="clear" w:color="auto" w:fill="CCEEFF"/>
          </w:tcPr>
          <w:p>
            <w:pPr>
              <w:ind w:left="120"/>
              <w:spacing w:after="0" w:line="133" w:lineRule="exact"/>
              <w:rPr>
                <w:sz w:val="20"/>
                <w:szCs w:val="20"/>
                <w:color w:val="auto"/>
              </w:rPr>
            </w:pPr>
            <w:r>
              <w:rPr>
                <w:rFonts w:ascii="Arial" w:cs="Arial" w:eastAsia="Arial" w:hAnsi="Arial"/>
                <w:sz w:val="14"/>
                <w:szCs w:val="14"/>
                <w:color w:val="auto"/>
              </w:rPr>
              <w:t>Change from net (loss) income attributable to Camping World Holdings, Inc. and transfers to non-</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(24,354)</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11,849</w:t>
            </w:r>
          </w:p>
        </w:tc>
        <w:tc>
          <w:tcPr>
            <w:tcW w:w="0" w:type="dxa"/>
            <w:vAlign w:val="bottom"/>
          </w:tcPr>
          <w:p>
            <w:pPr>
              <w:spacing w:after="0"/>
              <w:rPr>
                <w:sz w:val="1"/>
                <w:szCs w:val="1"/>
                <w:color w:val="auto"/>
              </w:rPr>
            </w:pPr>
          </w:p>
        </w:tc>
      </w:tr>
      <w:tr>
        <w:trPr>
          <w:trHeight w:val="158"/>
        </w:trPr>
        <w:tc>
          <w:tcPr>
            <w:tcW w:w="7100" w:type="dxa"/>
            <w:vAlign w:val="bottom"/>
            <w:gridSpan w:val="2"/>
            <w:shd w:val="clear" w:color="auto" w:fill="CCEEFF"/>
          </w:tcPr>
          <w:p>
            <w:pPr>
              <w:ind w:left="120"/>
              <w:spacing w:after="0" w:line="158" w:lineRule="exact"/>
              <w:rPr>
                <w:sz w:val="20"/>
                <w:szCs w:val="20"/>
                <w:color w:val="auto"/>
              </w:rPr>
            </w:pPr>
            <w:r>
              <w:rPr>
                <w:rFonts w:ascii="Arial" w:cs="Arial" w:eastAsia="Arial" w:hAnsi="Arial"/>
                <w:sz w:val="14"/>
                <w:szCs w:val="14"/>
                <w:color w:val="auto"/>
              </w:rPr>
              <w:t>controlling interests</w:t>
            </w:r>
          </w:p>
        </w:tc>
        <w:tc>
          <w:tcPr>
            <w:tcW w:w="160" w:type="dxa"/>
            <w:vAlign w:val="bottom"/>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Equity-Based Compensation Plans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the equity-based compensation that has been included in the following line items within the condensed consolidated statements of operations during:</w:t>
      </w:r>
    </w:p>
    <w:p>
      <w:pPr>
        <w:spacing w:after="0" w:line="203" w:lineRule="exact"/>
        <w:rPr>
          <w:sz w:val="20"/>
          <w:szCs w:val="20"/>
          <w:color w:val="auto"/>
        </w:rPr>
      </w:pPr>
    </w:p>
    <w:p>
      <w:pPr>
        <w:ind w:left="704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8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2024</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58"/>
              <w:spacing w:after="0"/>
              <w:rPr>
                <w:sz w:val="20"/>
                <w:szCs w:val="20"/>
                <w:color w:val="auto"/>
              </w:rPr>
            </w:pPr>
            <w:r>
              <w:rPr>
                <w:rFonts w:ascii="Arial" w:cs="Arial" w:eastAsia="Arial" w:hAnsi="Arial"/>
                <w:sz w:val="12"/>
                <w:szCs w:val="12"/>
                <w:b w:val="1"/>
                <w:bCs w:val="1"/>
                <w:color w:val="auto"/>
              </w:rPr>
              <w:t>2023</w:t>
            </w:r>
          </w:p>
        </w:tc>
      </w:tr>
      <w:tr>
        <w:trPr>
          <w:trHeight w:val="196"/>
        </w:trPr>
        <w:tc>
          <w:tcPr>
            <w:tcW w:w="67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Equity-based compensation expense:</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r>
      <w:tr>
        <w:trPr>
          <w:trHeight w:val="203"/>
        </w:trPr>
        <w:tc>
          <w:tcPr>
            <w:tcW w:w="68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Costs applicable to revenue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92</w:t>
            </w:r>
          </w:p>
        </w:tc>
        <w:tc>
          <w:tcPr>
            <w:tcW w:w="20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132</w:t>
            </w:r>
          </w:p>
        </w:tc>
      </w:tr>
      <w:tr>
        <w:trPr>
          <w:trHeight w:val="203"/>
        </w:trPr>
        <w:tc>
          <w:tcPr>
            <w:tcW w:w="68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5,105</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6,226</w:t>
            </w:r>
          </w:p>
        </w:tc>
      </w:tr>
      <w:tr>
        <w:trPr>
          <w:trHeight w:val="196"/>
        </w:trPr>
        <w:tc>
          <w:tcPr>
            <w:tcW w:w="680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equity-based compensation expense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5,197</w:t>
            </w:r>
          </w:p>
        </w:tc>
        <w:tc>
          <w:tcPr>
            <w:tcW w:w="2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6,358</w:t>
            </w:r>
          </w:p>
        </w:tc>
      </w:tr>
      <w:tr>
        <w:trPr>
          <w:trHeight w:val="20"/>
        </w:trPr>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following table summarizes stock option activity for the three months ended March 31, 2024:</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Stock Options</w:t>
            </w:r>
          </w:p>
        </w:tc>
      </w:tr>
      <w:tr>
        <w:trPr>
          <w:trHeight w:val="137"/>
        </w:trPr>
        <w:tc>
          <w:tcPr>
            <w:tcW w:w="78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1"/>
                <w:szCs w:val="11"/>
                <w:color w:val="auto"/>
              </w:rPr>
              <w:t>(in thousands)</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w:t>
            </w: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Exercised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196"/>
        </w:trPr>
        <w:tc>
          <w:tcPr>
            <w:tcW w:w="7860" w:type="dxa"/>
            <w:vAlign w:val="bottom"/>
          </w:tcPr>
          <w:p>
            <w:pPr>
              <w:ind w:left="20"/>
              <w:spacing w:after="0" w:line="196" w:lineRule="exact"/>
              <w:rPr>
                <w:sz w:val="20"/>
                <w:szCs w:val="20"/>
                <w:color w:val="auto"/>
              </w:rPr>
            </w:pPr>
            <w:r>
              <w:rPr>
                <w:rFonts w:ascii="Arial" w:cs="Arial" w:eastAsia="Arial" w:hAnsi="Arial"/>
                <w:sz w:val="18"/>
                <w:szCs w:val="18"/>
                <w:color w:val="auto"/>
              </w:rPr>
              <w:t>Outstanding and exercisable at March 31, 2024</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w:t>
            </w: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following table summarizes restricted stock unit (“RSU”) activity for the three months ended March 31, 2024:</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Restricted</w:t>
            </w:r>
          </w:p>
        </w:tc>
      </w:tr>
      <w:tr>
        <w:trPr>
          <w:trHeight w:val="196"/>
        </w:trPr>
        <w:tc>
          <w:tcPr>
            <w:tcW w:w="78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Stock Units</w:t>
            </w:r>
          </w:p>
        </w:tc>
      </w:tr>
      <w:tr>
        <w:trPr>
          <w:trHeight w:val="137"/>
        </w:trPr>
        <w:tc>
          <w:tcPr>
            <w:tcW w:w="786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(in thousands)</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December 31, 2023</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1,875</w:t>
            </w: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Vested</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r>
      <w:tr>
        <w:trPr>
          <w:trHeight w:val="196"/>
        </w:trPr>
        <w:tc>
          <w:tcPr>
            <w:tcW w:w="7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at March 31, 2024</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2,067</w:t>
            </w:r>
          </w:p>
        </w:tc>
      </w:tr>
      <w:tr>
        <w:trPr>
          <w:trHeight w:val="20"/>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During the three months ended March 31, 2024, the Company granted 289,250 RSUs to employees and a newly-appointed nonemployee director with an aggregate grant date fair value of $7.4 million and weighted-average grant date fair value of $25.59 per RSU, which will be recognized, net of forfeitures, over a vesting period of five years for employees and one year for the nonemployee director.</w:t>
      </w:r>
    </w:p>
    <w:p>
      <w:pPr>
        <w:spacing w:after="0" w:line="29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(Loss) Earnings Per Share</w:t>
      </w:r>
    </w:p>
    <w:p>
      <w:pPr>
        <w:spacing w:after="0" w:line="212"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Basic (loss) earnings per share of Class A common stock is computed by dividing net (loss) income attributable to Camping World Holdings, Inc. by the weighted-average number of shares of Class A common stock outstanding during the period. Diluted (loss) earnings per share of Class A common stock is computed by dividing net (loss) income attributable to Camping World Holdings, Inc. by the weighted-average number of shares of Class A common stock outstanding adjusted to give effect to potentially dilutive securities.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00" w:firstLine="648"/>
        <w:spacing w:after="0" w:line="271" w:lineRule="auto"/>
        <w:rPr>
          <w:sz w:val="20"/>
          <w:szCs w:val="20"/>
          <w:color w:val="auto"/>
        </w:rPr>
      </w:pPr>
      <w:r>
        <w:rPr>
          <w:rFonts w:ascii="Arial" w:cs="Arial" w:eastAsia="Arial" w:hAnsi="Arial"/>
          <w:sz w:val="18"/>
          <w:szCs w:val="18"/>
          <w:color w:val="auto"/>
        </w:rPr>
        <w:t>The following table sets forth reconciliations of the numerators and denominators used to compute basic and diluted (loss) earnings per share of Class A common stock:</w:t>
      </w:r>
    </w:p>
    <w:p>
      <w:pPr>
        <w:spacing w:after="0" w:line="190" w:lineRule="exact"/>
        <w:rPr>
          <w:sz w:val="20"/>
          <w:szCs w:val="20"/>
          <w:color w:val="auto"/>
        </w:rPr>
      </w:pPr>
    </w:p>
    <w:p>
      <w:pPr>
        <w:ind w:left="726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714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2024</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09"/>
              <w:spacing w:after="0"/>
              <w:rPr>
                <w:sz w:val="20"/>
                <w:szCs w:val="20"/>
                <w:color w:val="auto"/>
              </w:rPr>
            </w:pPr>
            <w:r>
              <w:rPr>
                <w:rFonts w:ascii="Arial" w:cs="Arial" w:eastAsia="Arial" w:hAnsi="Arial"/>
                <w:sz w:val="12"/>
                <w:szCs w:val="12"/>
                <w:b w:val="1"/>
                <w:bCs w:val="1"/>
                <w:color w:val="auto"/>
              </w:rPr>
              <w:t>2023</w:t>
            </w:r>
          </w:p>
        </w:tc>
      </w:tr>
      <w:tr>
        <w:trPr>
          <w:trHeight w:val="155"/>
        </w:trPr>
        <w:tc>
          <w:tcPr>
            <w:tcW w:w="69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(50,806)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4,903</w:t>
            </w:r>
          </w:p>
        </w:tc>
      </w:tr>
      <w:tr>
        <w:trPr>
          <w:trHeight w:val="162"/>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Less: net (loss) income attributable to non-controlling interests</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28,499</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(1,734)</w:t>
            </w:r>
          </w:p>
        </w:tc>
      </w:tr>
      <w:tr>
        <w:trPr>
          <w:trHeight w:val="169"/>
        </w:trPr>
        <w:tc>
          <w:tcPr>
            <w:tcW w:w="7140" w:type="dxa"/>
            <w:vAlign w:val="bottom"/>
            <w:gridSpan w:val="2"/>
          </w:tcPr>
          <w:p>
            <w:pPr>
              <w:ind w:left="220"/>
              <w:spacing w:after="0" w:line="169" w:lineRule="exact"/>
              <w:rPr>
                <w:sz w:val="20"/>
                <w:szCs w:val="20"/>
                <w:color w:val="auto"/>
              </w:rPr>
            </w:pPr>
            <w:r>
              <w:rPr>
                <w:rFonts w:ascii="Arial" w:cs="Arial" w:eastAsia="Arial" w:hAnsi="Arial"/>
                <w:sz w:val="14"/>
                <w:szCs w:val="14"/>
                <w:color w:val="auto"/>
              </w:rPr>
              <w:t xml:space="preserve">Net (loss) income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basic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(22,307)</w:t>
            </w:r>
          </w:p>
        </w:tc>
        <w:tc>
          <w:tcPr>
            <w:tcW w:w="18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3,169</w:t>
            </w:r>
          </w:p>
        </w:tc>
      </w:tr>
      <w:tr>
        <w:trPr>
          <w:trHeight w:val="153"/>
        </w:trPr>
        <w:tc>
          <w:tcPr>
            <w:tcW w:w="7140" w:type="dxa"/>
            <w:vAlign w:val="bottom"/>
            <w:gridSpan w:val="2"/>
            <w:shd w:val="clear" w:color="auto" w:fill="CCEEFF"/>
          </w:tcPr>
          <w:p>
            <w:pPr>
              <w:ind w:left="340"/>
              <w:spacing w:after="0" w:line="153" w:lineRule="exact"/>
              <w:rPr>
                <w:sz w:val="20"/>
                <w:szCs w:val="20"/>
                <w:color w:val="auto"/>
              </w:rPr>
            </w:pPr>
            <w:r>
              <w:rPr>
                <w:rFonts w:ascii="Arial" w:cs="Arial" w:eastAsia="Arial" w:hAnsi="Arial"/>
                <w:sz w:val="14"/>
                <w:szCs w:val="14"/>
                <w:color w:val="auto"/>
              </w:rPr>
              <w:t>Add: reallocation of net income attributable to non-controlling interests from the assumed redemption of</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1"/>
        </w:trPr>
        <w:tc>
          <w:tcPr>
            <w:tcW w:w="71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common units of CWGS, LLC for Class A common stock</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(21,275)</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w:t>
            </w:r>
          </w:p>
        </w:tc>
      </w:tr>
      <w:tr>
        <w:trPr>
          <w:trHeight w:val="169"/>
        </w:trPr>
        <w:tc>
          <w:tcPr>
            <w:tcW w:w="7140" w:type="dxa"/>
            <w:vAlign w:val="bottom"/>
            <w:gridSpan w:val="2"/>
          </w:tcPr>
          <w:p>
            <w:pPr>
              <w:ind w:left="440"/>
              <w:spacing w:after="0" w:line="169" w:lineRule="exact"/>
              <w:rPr>
                <w:sz w:val="20"/>
                <w:szCs w:val="20"/>
                <w:color w:val="auto"/>
              </w:rPr>
            </w:pPr>
            <w:r>
              <w:rPr>
                <w:rFonts w:ascii="Arial" w:cs="Arial" w:eastAsia="Arial" w:hAnsi="Arial"/>
                <w:sz w:val="14"/>
                <w:szCs w:val="14"/>
                <w:color w:val="auto"/>
              </w:rPr>
              <w:t xml:space="preserve">Net (loss) income attributable to Camping World Holdings, Inc. </w:t>
            </w:r>
            <w:r>
              <w:rPr>
                <w:rFonts w:ascii="Calibri" w:cs="Calibri" w:eastAsia="Calibri" w:hAnsi="Calibri"/>
                <w:sz w:val="14"/>
                <w:szCs w:val="14"/>
                <w:color w:val="auto"/>
              </w:rPr>
              <w:t>—</w:t>
            </w:r>
            <w:r>
              <w:rPr>
                <w:rFonts w:ascii="Arial" w:cs="Arial" w:eastAsia="Arial" w:hAnsi="Arial"/>
                <w:sz w:val="14"/>
                <w:szCs w:val="14"/>
                <w:color w:val="auto"/>
              </w:rPr>
              <w:t xml:space="preserve"> diluted</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(43,582)</w:t>
            </w:r>
          </w:p>
        </w:tc>
        <w:tc>
          <w:tcPr>
            <w:tcW w:w="180" w:type="dxa"/>
            <w:vAlign w:val="bottom"/>
          </w:tcPr>
          <w:p>
            <w:pPr>
              <w:spacing w:after="0"/>
              <w:rPr>
                <w:sz w:val="14"/>
                <w:szCs w:val="1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4,466</w:t>
            </w:r>
          </w:p>
        </w:tc>
      </w:tr>
      <w:tr>
        <w:trPr>
          <w:trHeight w:val="16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Denominator:</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Weighted-average shares of Class A common stock outstanding — basic</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45,047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44,455</w:t>
            </w:r>
          </w:p>
        </w:tc>
      </w:tr>
      <w:tr>
        <w:trPr>
          <w:trHeight w:val="162"/>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options to purchase Class A common stock</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62"/>
        </w:trPr>
        <w:tc>
          <w:tcPr>
            <w:tcW w:w="7140" w:type="dxa"/>
            <w:vAlign w:val="bottom"/>
            <w:gridSpan w:val="2"/>
          </w:tcPr>
          <w:p>
            <w:pPr>
              <w:ind w:left="220"/>
              <w:spacing w:after="0"/>
              <w:rPr>
                <w:sz w:val="20"/>
                <w:szCs w:val="20"/>
                <w:color w:val="auto"/>
              </w:rPr>
            </w:pPr>
            <w:r>
              <w:rPr>
                <w:rFonts w:ascii="Arial" w:cs="Arial" w:eastAsia="Arial" w:hAnsi="Arial"/>
                <w:sz w:val="14"/>
                <w:szCs w:val="14"/>
                <w:color w:val="auto"/>
              </w:rPr>
              <w:t>Dilutive restricted stock units</w:t>
            </w:r>
          </w:p>
        </w:tc>
        <w:tc>
          <w:tcPr>
            <w:tcW w:w="1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202</w:t>
            </w:r>
          </w:p>
        </w:tc>
      </w:tr>
      <w:tr>
        <w:trPr>
          <w:trHeight w:val="162"/>
        </w:trPr>
        <w:tc>
          <w:tcPr>
            <w:tcW w:w="71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common units of CWGS, LLC that are convertible into Class A common stock</w:t>
            </w: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40,045</w:t>
            </w:r>
          </w:p>
        </w:tc>
      </w:tr>
      <w:tr>
        <w:trPr>
          <w:trHeight w:val="156"/>
        </w:trPr>
        <w:tc>
          <w:tcPr>
            <w:tcW w:w="7140" w:type="dxa"/>
            <w:vAlign w:val="bottom"/>
            <w:gridSpan w:val="2"/>
          </w:tcPr>
          <w:p>
            <w:pPr>
              <w:ind w:left="340"/>
              <w:spacing w:after="0" w:line="155" w:lineRule="exact"/>
              <w:rPr>
                <w:sz w:val="20"/>
                <w:szCs w:val="20"/>
                <w:color w:val="auto"/>
              </w:rPr>
            </w:pPr>
            <w:r>
              <w:rPr>
                <w:rFonts w:ascii="Arial" w:cs="Arial" w:eastAsia="Arial" w:hAnsi="Arial"/>
                <w:sz w:val="14"/>
                <w:szCs w:val="14"/>
                <w:color w:val="auto"/>
              </w:rPr>
              <w:t>Weighted-average shares of Class A common stock outstanding — diluted</w:t>
            </w:r>
          </w:p>
        </w:tc>
        <w:tc>
          <w:tcPr>
            <w:tcW w:w="1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85,092</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84,717</w:t>
            </w:r>
          </w:p>
        </w:tc>
      </w:tr>
      <w:tr>
        <w:trPr>
          <w:trHeight w:val="162"/>
        </w:trPr>
        <w:tc>
          <w:tcPr>
            <w:tcW w:w="6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7140" w:type="dxa"/>
            <w:vAlign w:val="bottom"/>
            <w:gridSpan w:val="2"/>
          </w:tcPr>
          <w:p>
            <w:pPr>
              <w:ind w:left="20"/>
              <w:spacing w:after="0"/>
              <w:rPr>
                <w:sz w:val="20"/>
                <w:szCs w:val="20"/>
                <w:color w:val="auto"/>
              </w:rPr>
            </w:pPr>
            <w:r>
              <w:rPr>
                <w:rFonts w:ascii="Arial" w:cs="Arial" w:eastAsia="Arial" w:hAnsi="Arial"/>
                <w:sz w:val="14"/>
                <w:szCs w:val="14"/>
                <w:color w:val="auto"/>
              </w:rPr>
              <w:t>(Loss) earnings per share of Class A common stock — basic</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(0.50)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162"/>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earnings per share of Class A common stock — diluted</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(0.51)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62"/>
        </w:trPr>
        <w:tc>
          <w:tcPr>
            <w:tcW w:w="6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3"/>
        </w:trPr>
        <w:tc>
          <w:tcPr>
            <w:tcW w:w="714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Weighted-average anti-dilutive securities excluded from the computation of diluted (loss) earnings per share</w:t>
            </w: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71"/>
        </w:trPr>
        <w:tc>
          <w:tcPr>
            <w:tcW w:w="7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 Class A common stock:</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2"/>
        </w:trPr>
        <w:tc>
          <w:tcPr>
            <w:tcW w:w="7140" w:type="dxa"/>
            <w:vAlign w:val="bottom"/>
            <w:gridSpan w:val="2"/>
          </w:tcPr>
          <w:p>
            <w:pPr>
              <w:ind w:left="120"/>
              <w:spacing w:after="0"/>
              <w:rPr>
                <w:sz w:val="20"/>
                <w:szCs w:val="20"/>
                <w:color w:val="auto"/>
              </w:rPr>
            </w:pPr>
            <w:r>
              <w:rPr>
                <w:rFonts w:ascii="Arial" w:cs="Arial" w:eastAsia="Arial" w:hAnsi="Arial"/>
                <w:sz w:val="14"/>
                <w:szCs w:val="14"/>
                <w:color w:val="auto"/>
              </w:rPr>
              <w:t>Stock options to purchase Class A common stock</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1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units</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1,841</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2,122</w:t>
            </w:r>
          </w:p>
        </w:tc>
      </w:tr>
    </w:tbl>
    <w:p>
      <w:pPr>
        <w:spacing w:after="0" w:line="184" w:lineRule="exact"/>
        <w:rPr>
          <w:sz w:val="20"/>
          <w:szCs w:val="20"/>
          <w:color w:val="auto"/>
        </w:rPr>
      </w:pPr>
    </w:p>
    <w:p>
      <w:pPr>
        <w:jc w:val="both"/>
        <w:ind w:left="60" w:right="100" w:firstLine="648"/>
        <w:spacing w:after="0" w:line="247" w:lineRule="auto"/>
        <w:rPr>
          <w:sz w:val="20"/>
          <w:szCs w:val="20"/>
          <w:color w:val="auto"/>
        </w:rPr>
      </w:pPr>
      <w:r>
        <w:rPr>
          <w:rFonts w:ascii="Arial" w:cs="Arial" w:eastAsia="Arial" w:hAnsi="Arial"/>
          <w:sz w:val="18"/>
          <w:szCs w:val="18"/>
          <w:color w:val="auto"/>
        </w:rPr>
        <w:t>Shares of the Company’s Class B common stock and Class C common stock do not share in the earnings or losses of the Company and are therefore not participating securities. As such, separate basic and diluted (loss) earnings per share of Class B common stock or Class C common stock under the two-class method has not been presented.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19. Segments Information</w:t>
      </w:r>
    </w:p>
    <w:p>
      <w:pPr>
        <w:spacing w:after="0" w:line="212" w:lineRule="exact"/>
        <w:rPr>
          <w:sz w:val="20"/>
          <w:szCs w:val="20"/>
          <w:color w:val="auto"/>
        </w:rPr>
      </w:pPr>
    </w:p>
    <w:p>
      <w:pPr>
        <w:jc w:val="both"/>
        <w:ind w:left="60" w:right="100" w:firstLine="648"/>
        <w:spacing w:after="0" w:line="271" w:lineRule="auto"/>
        <w:rPr>
          <w:sz w:val="20"/>
          <w:szCs w:val="20"/>
          <w:color w:val="auto"/>
        </w:rPr>
      </w:pPr>
      <w:r>
        <w:rPr>
          <w:rFonts w:ascii="Arial" w:cs="Arial" w:eastAsia="Arial" w:hAnsi="Arial"/>
          <w:sz w:val="18"/>
          <w:szCs w:val="18"/>
          <w:color w:val="auto"/>
        </w:rPr>
        <w:t>Reportable segment revenue; segment income; floor plan interest expense; depreciation and amortization; other interest expense, net; and total assets are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Three Months Ended March 31, 2024</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Good Sam</w:t>
            </w:r>
          </w:p>
        </w:tc>
        <w:tc>
          <w:tcPr>
            <w:tcW w:w="26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RV and</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Outdoor</w:t>
            </w: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Intersegment</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600" w:type="dxa"/>
            <w:vAlign w:val="bottom"/>
            <w:gridSpan w:val="3"/>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Plans</w:t>
            </w:r>
          </w:p>
        </w:tc>
        <w:tc>
          <w:tcPr>
            <w:tcW w:w="2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Retail</w:t>
            </w: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4"/>
                <w:szCs w:val="14"/>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Good Sam services and plans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46,611</w:t>
            </w:r>
          </w:p>
        </w:tc>
        <w:tc>
          <w:tcPr>
            <w:tcW w:w="1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(930)</w:t>
            </w:r>
          </w:p>
        </w:tc>
        <w:tc>
          <w:tcPr>
            <w:tcW w:w="200" w:type="dxa"/>
            <w:vAlign w:val="bottom"/>
          </w:tcPr>
          <w:p>
            <w:pPr>
              <w:spacing w:after="0"/>
              <w:rPr>
                <w:sz w:val="17"/>
                <w:szCs w:val="17"/>
                <w:color w:val="auto"/>
              </w:rPr>
            </w:pP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45,681</w:t>
            </w: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vehicles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657,521</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656,086</w:t>
            </w: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Used vehicles</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338,452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337,685</w:t>
            </w: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Products, service and other</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178,015</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177,894</w:t>
            </w: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Finance and insurance, net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135,852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(398)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135,454</w:t>
            </w: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 Sam Club</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11,217</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11,217</w:t>
            </w:r>
          </w:p>
        </w:tc>
      </w:tr>
      <w:tr>
        <w:trPr>
          <w:trHeight w:val="196"/>
        </w:trPr>
        <w:tc>
          <w:tcPr>
            <w:tcW w:w="36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consolidated revenue</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46,611</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1,321,057</w:t>
            </w:r>
          </w:p>
        </w:tc>
        <w:tc>
          <w:tcPr>
            <w:tcW w:w="180" w:type="dxa"/>
            <w:vAlign w:val="bottom"/>
          </w:tcPr>
          <w:p>
            <w:pPr>
              <w:spacing w:after="0"/>
              <w:rPr>
                <w:sz w:val="17"/>
                <w:szCs w:val="17"/>
                <w:color w:val="auto"/>
              </w:rPr>
            </w:pPr>
          </w:p>
        </w:tc>
        <w:tc>
          <w:tcPr>
            <w:tcW w:w="42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(3,651)</w:t>
            </w: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1,364,017</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48"/>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rPr>
              <w:t>Three Months Ended March 31, 2023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rPr>
              <w:t>Good Sam</w:t>
            </w:r>
          </w:p>
        </w:tc>
        <w:tc>
          <w:tcPr>
            <w:tcW w:w="260" w:type="dxa"/>
            <w:vAlign w:val="bottom"/>
          </w:tcPr>
          <w:p>
            <w:pPr>
              <w:spacing w:after="0"/>
              <w:rPr>
                <w:sz w:val="12"/>
                <w:szCs w:val="12"/>
                <w:color w:val="auto"/>
              </w:rPr>
            </w:pPr>
          </w:p>
        </w:tc>
        <w:tc>
          <w:tcPr>
            <w:tcW w:w="112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rPr>
              <w:t>RV and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Services</w:t>
            </w:r>
          </w:p>
        </w:tc>
        <w:tc>
          <w:tcPr>
            <w:tcW w:w="2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Outdoor</w:t>
            </w:r>
          </w:p>
        </w:tc>
        <w:tc>
          <w:tcPr>
            <w:tcW w:w="1380" w:type="dxa"/>
            <w:vAlign w:val="bottom"/>
            <w:gridSpan w:val="6"/>
          </w:tcPr>
          <w:p>
            <w:pPr>
              <w:ind w:left="140"/>
              <w:spacing w:after="0"/>
              <w:rPr>
                <w:sz w:val="20"/>
                <w:szCs w:val="20"/>
                <w:color w:val="auto"/>
              </w:rPr>
            </w:pPr>
            <w:r>
              <w:rPr>
                <w:rFonts w:ascii="Arial" w:cs="Arial" w:eastAsia="Arial" w:hAnsi="Arial"/>
                <w:sz w:val="14"/>
                <w:szCs w:val="14"/>
                <w:b w:val="1"/>
                <w:bCs w:val="1"/>
                <w:color w:val="auto"/>
              </w:rPr>
              <w:t>Intersegment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00" w:type="dxa"/>
            <w:vAlign w:val="bottom"/>
            <w:gridSpan w:val="3"/>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and Plans</w:t>
            </w:r>
          </w:p>
        </w:tc>
        <w:tc>
          <w:tcPr>
            <w:tcW w:w="26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9"/>
              </w:rPr>
              <w:t>Retail</w:t>
            </w:r>
          </w:p>
        </w:tc>
        <w:tc>
          <w:tcPr>
            <w:tcW w:w="1380" w:type="dxa"/>
            <w:vAlign w:val="bottom"/>
            <w:gridSpan w:val="6"/>
          </w:tcPr>
          <w:p>
            <w:pPr>
              <w:ind w:left="1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Good Sam services and plans</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46,963</w:t>
            </w:r>
          </w:p>
        </w:tc>
        <w:tc>
          <w:tcPr>
            <w:tcW w:w="18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ind w:lef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(596)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46,367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New vehicles</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647,930</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646,752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Used vehicles</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445,687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444,746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Products, service and other</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207,835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207,661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spacing w:after="0" w:line="202" w:lineRule="exact"/>
              <w:rPr>
                <w:sz w:val="20"/>
                <w:szCs w:val="20"/>
                <w:color w:val="auto"/>
              </w:rPr>
            </w:pPr>
            <w:r>
              <w:rPr>
                <w:rFonts w:ascii="Arial" w:cs="Arial" w:eastAsia="Arial" w:hAnsi="Arial"/>
                <w:sz w:val="18"/>
                <w:szCs w:val="18"/>
                <w:color w:val="auto"/>
              </w:rPr>
              <w:t>Finance and insurance, net</w:t>
            </w:r>
          </w:p>
        </w:tc>
        <w:tc>
          <w:tcPr>
            <w:tcW w:w="220" w:type="dxa"/>
            <w:vAlign w:val="bottom"/>
          </w:tcPr>
          <w:p>
            <w:pPr>
              <w:spacing w:after="0"/>
              <w:rPr>
                <w:sz w:val="17"/>
                <w:szCs w:val="17"/>
                <w:color w:val="auto"/>
              </w:rPr>
            </w:pPr>
          </w:p>
        </w:tc>
        <w:tc>
          <w:tcPr>
            <w:tcW w:w="11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130,305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129,772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Good Sam Club</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11,582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Total consolidated revenue</w:t>
            </w:r>
          </w:p>
        </w:tc>
        <w:tc>
          <w:tcPr>
            <w:tcW w:w="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46,963</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1,443,339</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(3,422)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1,486,880</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600" w:type="dxa"/>
            <w:vAlign w:val="bottom"/>
            <w:gridSpan w:val="3"/>
            <w:vMerge w:val="restart"/>
          </w:tcPr>
          <w:p>
            <w:pPr>
              <w:ind w:left="20"/>
              <w:spacing w:after="0"/>
              <w:rPr>
                <w:sz w:val="20"/>
                <w:szCs w:val="20"/>
                <w:color w:val="auto"/>
              </w:rPr>
            </w:pPr>
            <w:r>
              <w:rPr>
                <w:rFonts w:ascii="Arial" w:cs="Arial" w:eastAsia="Arial" w:hAnsi="Arial"/>
                <w:sz w:val="14"/>
                <w:szCs w:val="14"/>
                <w:color w:val="auto"/>
              </w:rPr>
              <w:t>($ in thousands)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auto"/>
            </w:tcBorders>
            <w:gridSpan w:val="3"/>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0" w:type="dxa"/>
            <w:vAlign w:val="bottom"/>
            <w:gridSpan w:val="3"/>
            <w:shd w:val="clear" w:color="auto" w:fill="CCEEFF"/>
          </w:tcPr>
          <w:p>
            <w:pPr>
              <w:ind w:left="20"/>
              <w:spacing w:after="0" w:line="195" w:lineRule="exact"/>
              <w:rPr>
                <w:sz w:val="20"/>
                <w:szCs w:val="20"/>
                <w:color w:val="auto"/>
              </w:rPr>
            </w:pPr>
            <w:r>
              <w:rPr>
                <w:rFonts w:ascii="Arial" w:cs="Arial" w:eastAsia="Arial" w:hAnsi="Arial"/>
                <w:sz w:val="16"/>
                <w:szCs w:val="16"/>
                <w:b w:val="1"/>
                <w:bCs w:val="1"/>
                <w:color w:val="auto"/>
              </w:rPr>
              <w:t>Segment (loss) income:</w:t>
            </w:r>
            <w:r>
              <w:rPr>
                <w:rFonts w:ascii="Arial" w:cs="Arial" w:eastAsia="Arial" w:hAnsi="Arial"/>
                <w:sz w:val="22"/>
                <w:szCs w:val="22"/>
                <w:b w:val="1"/>
                <w:bCs w:val="1"/>
                <w:color w:val="auto"/>
                <w:vertAlign w:val="superscript"/>
              </w:rPr>
              <w:t>(1)</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gridSpan w:val="3"/>
          </w:tcPr>
          <w:p>
            <w:pPr>
              <w:ind w:left="38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22,583</w:t>
            </w:r>
          </w:p>
        </w:tc>
        <w:tc>
          <w:tcPr>
            <w:tcW w:w="2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(23,391)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segment (loss) income</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56,203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(19,290)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(14,637)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5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Other interest expense, net</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(36,094)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580" w:type="dxa"/>
            <w:vAlign w:val="bottom"/>
            <w:tcBorders>
              <w:top w:val="single" w:sz="8" w:color="CCEEFF"/>
              <w:bottom w:val="single" w:sz="8" w:color="CCEEFF"/>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(Loss) income before income taxes</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(59,848)</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460" w:hanging="329"/>
        <w:spacing w:after="0"/>
        <w:tabs>
          <w:tab w:leader="none" w:pos="460" w:val="left"/>
        </w:tabs>
        <w:numPr>
          <w:ilvl w:val="0"/>
          <w:numId w:val="24"/>
        </w:numPr>
        <w:rPr>
          <w:rFonts w:ascii="Arial" w:cs="Arial" w:eastAsia="Arial" w:hAnsi="Arial"/>
          <w:sz w:val="22"/>
          <w:szCs w:val="22"/>
          <w:color w:val="231F20"/>
          <w:vertAlign w:val="superscript"/>
        </w:rPr>
      </w:pPr>
      <w:r>
        <w:rPr>
          <w:rFonts w:ascii="Arial" w:cs="Arial" w:eastAsia="Arial" w:hAnsi="Arial"/>
          <w:sz w:val="14"/>
          <w:szCs w:val="14"/>
          <w:color w:val="auto"/>
        </w:rPr>
        <w:t>Segment income is defined as income from operations before depreciation and amortization plus floor plan interest expense.</w:t>
      </w:r>
    </w:p>
    <w:p>
      <w:pPr>
        <w:spacing w:after="0" w:line="9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Three Months Ended March 31,</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564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2024</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952</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18,442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13,685</w:t>
            </w:r>
          </w:p>
        </w:tc>
        <w:tc>
          <w:tcPr>
            <w:tcW w:w="20" w:type="dxa"/>
            <w:vAlign w:val="bottom"/>
            <w:tcBorders>
              <w:bottom w:val="single" w:sz="8" w:color="auto"/>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spacing w:after="0" w:line="196" w:lineRule="exact"/>
              <w:rPr>
                <w:sz w:val="20"/>
                <w:szCs w:val="20"/>
                <w:color w:val="auto"/>
              </w:rPr>
            </w:pPr>
            <w:r>
              <w:rPr>
                <w:rFonts w:ascii="Arial" w:cs="Arial" w:eastAsia="Arial" w:hAnsi="Arial"/>
                <w:sz w:val="18"/>
                <w:szCs w:val="18"/>
                <w:color w:val="auto"/>
              </w:rPr>
              <w:t>Total depreciation and amortization</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19,290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14,637</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9"/>
          </w:tcPr>
          <w:p>
            <w:pPr>
              <w:ind w:left="40"/>
              <w:spacing w:after="0"/>
              <w:rPr>
                <w:sz w:val="20"/>
                <w:szCs w:val="20"/>
                <w:color w:val="auto"/>
              </w:rPr>
            </w:pPr>
            <w:r>
              <w:rPr>
                <w:rFonts w:ascii="Arial" w:cs="Arial" w:eastAsia="Arial" w:hAnsi="Arial"/>
                <w:sz w:val="12"/>
                <w:szCs w:val="12"/>
                <w:b w:val="1"/>
                <w:bCs w:val="1"/>
                <w:color w:val="auto"/>
              </w:rPr>
              <w:t>Three Months Ended March 31,</w:t>
            </w:r>
          </w:p>
        </w:tc>
      </w:tr>
      <w:tr>
        <w:trPr>
          <w:trHeight w:val="142"/>
        </w:trPr>
        <w:tc>
          <w:tcPr>
            <w:tcW w:w="564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7"/>
              </w:rPr>
              <w:t>2024</w:t>
            </w: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r>
      <w:tr>
        <w:trPr>
          <w:trHeight w:val="196"/>
        </w:trPr>
        <w:tc>
          <w:tcPr>
            <w:tcW w:w="564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Other interest expense, net:</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8,114</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5,797</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8,096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5,742</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27,998</w:t>
            </w:r>
          </w:p>
        </w:tc>
        <w:tc>
          <w:tcPr>
            <w:tcW w:w="2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25,371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other interest expense, net</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36,094</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31,113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5"/>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March 31,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5"/>
          </w:tcPr>
          <w:p>
            <w:pPr>
              <w:jc w:val="center"/>
              <w:ind w:right="140"/>
              <w:spacing w:after="0"/>
              <w:rPr>
                <w:sz w:val="20"/>
                <w:szCs w:val="20"/>
                <w:color w:val="auto"/>
              </w:rPr>
            </w:pPr>
            <w:r>
              <w:rPr>
                <w:rFonts w:ascii="Arial" w:cs="Arial" w:eastAsia="Arial" w:hAnsi="Arial"/>
                <w:sz w:val="12"/>
                <w:szCs w:val="12"/>
                <w:b w:val="1"/>
                <w:bCs w:val="1"/>
                <w:color w:val="auto"/>
                <w:w w:val="97"/>
              </w:rPr>
              <w:t>December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March 31,</w:t>
            </w:r>
          </w:p>
        </w:tc>
      </w:tr>
      <w:tr>
        <w:trPr>
          <w:trHeight w:val="147"/>
        </w:trPr>
        <w:tc>
          <w:tcPr>
            <w:tcW w:w="5640" w:type="dxa"/>
            <w:vAlign w:val="bottom"/>
            <w:gridSpan w:val="3"/>
          </w:tcPr>
          <w:p>
            <w:pPr>
              <w:ind w:left="20"/>
              <w:spacing w:after="0"/>
              <w:rPr>
                <w:sz w:val="20"/>
                <w:szCs w:val="20"/>
                <w:color w:val="auto"/>
              </w:rPr>
            </w:pPr>
            <w:r>
              <w:rPr>
                <w:rFonts w:ascii="Arial" w:cs="Arial" w:eastAsia="Arial" w:hAnsi="Arial"/>
                <w:sz w:val="11"/>
                <w:szCs w:val="11"/>
                <w:color w:val="auto"/>
              </w:rPr>
              <w:t>($ in thousands)</w:t>
            </w:r>
          </w:p>
        </w:tc>
        <w:tc>
          <w:tcPr>
            <w:tcW w:w="140" w:type="dxa"/>
            <w:vAlign w:val="bottom"/>
          </w:tcPr>
          <w:p>
            <w:pPr>
              <w:spacing w:after="0"/>
              <w:rPr>
                <w:sz w:val="12"/>
                <w:szCs w:val="12"/>
                <w:color w:val="auto"/>
              </w:rPr>
            </w:pPr>
          </w:p>
        </w:tc>
        <w:tc>
          <w:tcPr>
            <w:tcW w:w="820" w:type="dxa"/>
            <w:vAlign w:val="bottom"/>
          </w:tcPr>
          <w:p>
            <w:pPr>
              <w:jc w:val="right"/>
              <w:ind w:right="239"/>
              <w:spacing w:after="0"/>
              <w:rPr>
                <w:sz w:val="20"/>
                <w:szCs w:val="20"/>
                <w:color w:val="auto"/>
              </w:rPr>
            </w:pPr>
            <w:r>
              <w:rPr>
                <w:rFonts w:ascii="Arial" w:cs="Arial" w:eastAsia="Arial" w:hAnsi="Arial"/>
                <w:sz w:val="12"/>
                <w:szCs w:val="12"/>
                <w:b w:val="1"/>
                <w:bCs w:val="1"/>
                <w:color w:val="auto"/>
              </w:rPr>
              <w:t>2024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2023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277"/>
              <w:spacing w:after="0"/>
              <w:rPr>
                <w:sz w:val="20"/>
                <w:szCs w:val="20"/>
                <w:color w:val="auto"/>
              </w:rPr>
            </w:pPr>
            <w:r>
              <w:rPr>
                <w:rFonts w:ascii="Arial" w:cs="Arial" w:eastAsia="Arial" w:hAnsi="Arial"/>
                <w:sz w:val="12"/>
                <w:szCs w:val="12"/>
                <w:b w:val="1"/>
                <w:bCs w:val="1"/>
                <w:color w:val="auto"/>
              </w:rPr>
              <w:t>2023</w:t>
            </w:r>
          </w:p>
        </w:tc>
        <w:tc>
          <w:tcPr>
            <w:tcW w:w="20" w:type="dxa"/>
            <w:vAlign w:val="bottom"/>
          </w:tcPr>
          <w:p>
            <w:pPr>
              <w:spacing w:after="0"/>
              <w:rPr>
                <w:sz w:val="12"/>
                <w:szCs w:val="12"/>
                <w:color w:val="auto"/>
              </w:rPr>
            </w:pPr>
          </w:p>
        </w:tc>
      </w:tr>
      <w:tr>
        <w:trPr>
          <w:trHeight w:val="196"/>
        </w:trPr>
        <w:tc>
          <w:tcPr>
            <w:tcW w:w="5480" w:type="dxa"/>
            <w:vAlign w:val="bottom"/>
            <w:tcBorders>
              <w:top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Good Sam Services and Plans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83,411</w:t>
            </w:r>
          </w:p>
        </w:tc>
        <w:tc>
          <w:tcPr>
            <w:tcW w:w="300" w:type="dxa"/>
            <w:vAlign w:val="bottom"/>
            <w:gridSpan w:val="5"/>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113,619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89,308</w:t>
            </w:r>
          </w:p>
        </w:tc>
        <w:tc>
          <w:tcPr>
            <w:tcW w:w="2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RV and Outdoor Retail</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4,744,164</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7"/>
              </w:rPr>
              <w:t>4,568,372</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4,331,314</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4,827,575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7"/>
              </w:rPr>
              <w:t>4,681,991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w w:val="97"/>
              </w:rPr>
              <w:t>4,420,622</w:t>
            </w:r>
          </w:p>
        </w:tc>
        <w:tc>
          <w:tcPr>
            <w:tcW w:w="20" w:type="dxa"/>
            <w:vAlign w:val="bottom"/>
          </w:tcPr>
          <w:p>
            <w:pPr>
              <w:spacing w:after="0"/>
              <w:rPr>
                <w:sz w:val="17"/>
                <w:szCs w:val="17"/>
                <w:color w:val="auto"/>
              </w:rPr>
            </w:pPr>
          </w:p>
        </w:tc>
      </w:tr>
      <w:tr>
        <w:trPr>
          <w:trHeight w:val="202"/>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Corporate &amp; other</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195,587</w:t>
            </w:r>
          </w:p>
        </w:tc>
        <w:tc>
          <w:tcPr>
            <w:tcW w:w="4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163,693</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209,891</w:t>
            </w: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9"/>
              </w:rPr>
              <w:t>5,023,162</w:t>
            </w:r>
          </w:p>
        </w:tc>
        <w:tc>
          <w:tcPr>
            <w:tcW w:w="40" w:type="dxa"/>
            <w:vAlign w:val="bottom"/>
            <w:tcBorders>
              <w:bottom w:val="single" w:sz="8" w:color="auto"/>
            </w:tcBorders>
          </w:tcPr>
          <w:p>
            <w:pPr>
              <w:spacing w:after="0"/>
              <w:rPr>
                <w:sz w:val="17"/>
                <w:szCs w:val="17"/>
                <w:color w:val="auto"/>
              </w:rPr>
            </w:pPr>
          </w:p>
        </w:tc>
        <w:tc>
          <w:tcPr>
            <w:tcW w:w="140" w:type="dxa"/>
            <w:vAlign w:val="bottom"/>
            <w:gridSpan w:val="3"/>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7"/>
              </w:rPr>
              <w:t>4,845,684</w:t>
            </w: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4,630,513</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 Subsequent Event</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On May 3, 2024, the Company closed on the sale of certain assets of the RV and Outdoor Retail segment’s RV furniture business (“CWDS”) and, in connection with the sale, entered into a supply agreement with the buyer. The total cash consideration is expected to be between $19.0 million and $21.0 million. The</w:t>
      </w:r>
    </w:p>
    <w:p>
      <w:pPr>
        <w:sectPr>
          <w:pgSz w:w="11900" w:h="16838" w:orient="portrait"/>
          <w:cols w:equalWidth="0" w:num="1">
            <w:col w:w="9019"/>
          </w:cols>
          <w:pgMar w:left="1440" w:top="512" w:right="1440"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44" w:lineRule="auto"/>
        <w:rPr>
          <w:sz w:val="20"/>
          <w:szCs w:val="20"/>
          <w:color w:val="auto"/>
        </w:rPr>
      </w:pPr>
      <w:r>
        <w:rPr>
          <w:rFonts w:ascii="Arial" w:cs="Arial" w:eastAsia="Arial" w:hAnsi="Arial"/>
          <w:sz w:val="18"/>
          <w:szCs w:val="18"/>
          <w:color w:val="auto"/>
        </w:rPr>
        <w:t>Company expects to recognize an immaterial loss on the transaction. The Company believes that it will gain operational efficiencies by exiting the manufacture of RV furniture and focusing its resources on the sourcing and sale of its products. CWDS did not meet the criteria to be reported as held for sale as of March 31, 2024 and the loss on sale of CWDS will be recorded in loss (gain) on sale or disposal of assets in the condensed consolidated statements of operations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included in Part I, Item 1 of this Form 10-Q, as well as our Annual Report on Form 10-K for the year ended December 31, 2023, filed with the SEC on February 26, 2024 (the “Annual Report”). This discussion contains forward-looking statements based upon current plans, expectations and beliefs involving risks and uncertainties. Our actual results may differ materially from those anticipated in these forward-looking statements as a result of various important factors, including those set forth under “Risk Factors” included in Part I, Item 1A of our Annual Report, Part II, Item 1A of this Form 10-Q, the “Cautionary Note Regarding Forward-Looking Statements” in this Form 10-Q and in other parts of this Form 10-Q. Except to the extent that differences among reportable segments are material to an understanding of our business taken as a whole, we present the discussion in Management’s Discussion and Analysis of Financial Condition and Results of Operations on a consolidated basis.</w:t>
      </w:r>
    </w:p>
    <w:p>
      <w:pPr>
        <w:spacing w:after="0" w:line="18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8"/>
          <w:szCs w:val="18"/>
          <w:i w:val="1"/>
          <w:iCs w:val="1"/>
          <w:color w:val="auto"/>
        </w:rPr>
        <w:t>For purposes of this Form 10-Q, we define an "Active Customer" as a customer who has transacted with us in any of the eight most recently completed fiscal quarters prior to the date of measurement. Unless otherwise indicated, the date of measurement is March 31, 2024, our most recently completed fiscal quarter.</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Camping World Holdings, Inc. (together with its subsidiaries) is the world’s largest retailer of RVs and related products and services. Our vision is to build a long-term legacy business that makes RVing fun and easy, and our Camping World and Good Sam brands have been serving RV consumers since 1966. We strive to build long-term value for our customers, employees, and stockholders by combining a unique and comprehensive assortment of RV products and services with a national network of RV dealerships, service centers and customer support centers along with the industry’s most extensive online presence and a highly-trained and knowledgeable team of associates serving our customers, the RV lifestyle, and the communities in which we operate. We also believe that our Good Sam organization and family of services and plans uniquely enables us to connect with our customers as stewards of the RV lifestyle. On March 31, 2024, we operated a total of 215 locations, with all of them selling and/or servicing RVs. See Note 1 – Summary of Significant Accounting Policies to our condensed consolidated financial statements included in Part I, Item 1 of this Form 10-Q.</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the changes in quantities and types of retail stores and changes in same stores from</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2023 to March 31, 2024, are in the table below:</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3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RV</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6"/>
              </w:rPr>
              <w:t>RV Service &amp;</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295"/>
              <w:spacing w:after="0"/>
              <w:rPr>
                <w:sz w:val="20"/>
                <w:szCs w:val="20"/>
                <w:color w:val="auto"/>
              </w:rPr>
            </w:pPr>
            <w:r>
              <w:rPr>
                <w:rFonts w:ascii="Arial" w:cs="Arial" w:eastAsia="Arial" w:hAnsi="Arial"/>
                <w:sz w:val="12"/>
                <w:szCs w:val="12"/>
                <w:b w:val="1"/>
                <w:bCs w:val="1"/>
                <w:color w:val="auto"/>
              </w:rPr>
              <w:t>Same</w:t>
            </w:r>
          </w:p>
        </w:tc>
      </w:tr>
      <w:tr>
        <w:trPr>
          <w:trHeight w:val="155"/>
        </w:trPr>
        <w:tc>
          <w:tcPr>
            <w:tcW w:w="3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6"/>
              </w:rPr>
              <w:t>Dealerships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Retail Centers</w:t>
            </w: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Retail Stores</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360"/>
              <w:spacing w:after="0"/>
              <w:rPr>
                <w:sz w:val="20"/>
                <w:szCs w:val="20"/>
                <w:color w:val="auto"/>
              </w:rPr>
            </w:pPr>
            <w:r>
              <w:rPr>
                <w:rFonts w:ascii="Arial" w:cs="Arial" w:eastAsia="Arial" w:hAnsi="Arial"/>
                <w:sz w:val="12"/>
                <w:szCs w:val="12"/>
                <w:b w:val="1"/>
                <w:bCs w:val="1"/>
                <w:color w:val="auto"/>
              </w:rPr>
              <w:t>Total</w:t>
            </w:r>
          </w:p>
        </w:tc>
        <w:tc>
          <w:tcPr>
            <w:tcW w:w="100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2"/>
                <w:szCs w:val="12"/>
                <w:b w:val="1"/>
                <w:bCs w:val="1"/>
                <w:color w:val="auto"/>
              </w:rPr>
              <w:t>Store</w:t>
            </w:r>
            <w:r>
              <w:rPr>
                <w:rFonts w:ascii="Arial" w:cs="Arial" w:eastAsia="Arial" w:hAnsi="Arial"/>
                <w:sz w:val="17"/>
                <w:szCs w:val="17"/>
                <w:color w:val="auto"/>
                <w:vertAlign w:val="superscript"/>
              </w:rPr>
              <w:t>(1)</w:t>
            </w:r>
          </w:p>
        </w:tc>
      </w:tr>
      <w:tr>
        <w:trPr>
          <w:trHeight w:val="142"/>
        </w:trPr>
        <w:tc>
          <w:tcPr>
            <w:tcW w:w="32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Number of store locations as of March 31, 2023</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188</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195</w:t>
            </w: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179</w:t>
            </w:r>
          </w:p>
        </w:tc>
      </w:tr>
      <w:tr>
        <w:trPr>
          <w:trHeight w:val="149"/>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Opened</w:t>
            </w:r>
          </w:p>
        </w:tc>
        <w:tc>
          <w:tcPr>
            <w:tcW w:w="960" w:type="dxa"/>
            <w:vAlign w:val="bottom"/>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33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49"/>
        </w:trPr>
        <w:tc>
          <w:tcPr>
            <w:tcW w:w="34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Converted</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7"/>
              </w:rPr>
              <w:t>(1)</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49"/>
        </w:trPr>
        <w:tc>
          <w:tcPr>
            <w:tcW w:w="3400" w:type="dxa"/>
            <w:vAlign w:val="bottom"/>
            <w:gridSpan w:val="2"/>
          </w:tcPr>
          <w:p>
            <w:pPr>
              <w:ind w:left="100"/>
              <w:spacing w:after="0"/>
              <w:rPr>
                <w:sz w:val="20"/>
                <w:szCs w:val="20"/>
                <w:color w:val="auto"/>
              </w:rPr>
            </w:pPr>
            <w:r>
              <w:rPr>
                <w:rFonts w:ascii="Arial" w:cs="Arial" w:eastAsia="Arial" w:hAnsi="Arial"/>
                <w:sz w:val="13"/>
                <w:szCs w:val="13"/>
                <w:color w:val="auto"/>
              </w:rPr>
              <w:t>Closed</w:t>
            </w: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w w:val="87"/>
              </w:rPr>
              <w:t>(2)</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48"/>
        </w:trPr>
        <w:tc>
          <w:tcPr>
            <w:tcW w:w="34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2"/>
                <w:szCs w:val="12"/>
                <w:color w:val="auto"/>
              </w:rPr>
              <w:t xml:space="preserve">Achieved designation of same store </w:t>
            </w:r>
            <w:r>
              <w:rPr>
                <w:rFonts w:ascii="Arial" w:cs="Arial" w:eastAsia="Arial" w:hAnsi="Arial"/>
                <w:sz w:val="17"/>
                <w:szCs w:val="17"/>
                <w:color w:val="auto"/>
                <w:vertAlign w:val="superscript"/>
              </w:rPr>
              <w:t>(1)</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r>
      <w:tr>
        <w:trPr>
          <w:trHeight w:val="142"/>
        </w:trPr>
        <w:tc>
          <w:tcPr>
            <w:tcW w:w="3400" w:type="dxa"/>
            <w:vAlign w:val="bottom"/>
            <w:gridSpan w:val="2"/>
          </w:tcPr>
          <w:p>
            <w:pPr>
              <w:spacing w:after="0" w:line="142" w:lineRule="exact"/>
              <w:rPr>
                <w:sz w:val="20"/>
                <w:szCs w:val="20"/>
                <w:color w:val="auto"/>
              </w:rPr>
            </w:pPr>
            <w:r>
              <w:rPr>
                <w:rFonts w:ascii="Arial" w:cs="Arial" w:eastAsia="Arial" w:hAnsi="Arial"/>
                <w:sz w:val="13"/>
                <w:szCs w:val="13"/>
                <w:color w:val="auto"/>
              </w:rPr>
              <w:t>Number of store locations as of March 31, 2024</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211</w:t>
            </w:r>
          </w:p>
        </w:tc>
        <w:tc>
          <w:tcPr>
            <w:tcW w:w="16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215</w:t>
            </w:r>
          </w:p>
        </w:tc>
        <w:tc>
          <w:tcPr>
            <w:tcW w:w="1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182</w:t>
            </w:r>
          </w:p>
        </w:tc>
      </w:tr>
      <w:tr>
        <w:trPr>
          <w:trHeight w:val="20"/>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left="380" w:right="79" w:hanging="330"/>
        <w:spacing w:after="0" w:line="281" w:lineRule="auto"/>
        <w:tabs>
          <w:tab w:leader="none" w:pos="3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Our same store revenue and units calculations for a given period include only those stores that were open both at the end of the corresponding period and at the beginning of the preceding fiscal year.</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Strategic Review</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disclosed in our Annual Report, on January 17, 2024, we announced that we are reviewing potential strategic alternatives for our Good Sam business, which could include a potential sale, spin off or other disposition of the business. No decision has been made whether to proceed with any particular alternative. We have not set a deadline for the strategic alternatives review process, and there can be no assurance that this process will result in any particular outcome.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Trends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 xml:space="preserve">According to the RV Industry Association’s survey of manufacturers, which almost entirely focuses on North America, wholesale shipments of new RVs for 2023 were 313,174 units, 36.5% less than in 2022. According to their most recent quarterly publication of </w:t>
      </w:r>
      <w:r>
        <w:rPr>
          <w:rFonts w:ascii="Arial" w:cs="Arial" w:eastAsia="Arial" w:hAnsi="Arial"/>
          <w:sz w:val="18"/>
          <w:szCs w:val="18"/>
          <w:i w:val="1"/>
          <w:iCs w:val="1"/>
          <w:color w:val="auto"/>
        </w:rPr>
        <w:t>Roadsigns,</w:t>
      </w:r>
      <w:r>
        <w:rPr>
          <w:rFonts w:ascii="Arial" w:cs="Arial" w:eastAsia="Arial" w:hAnsi="Arial"/>
          <w:sz w:val="18"/>
          <w:szCs w:val="18"/>
          <w:color w:val="auto"/>
        </w:rPr>
        <w:t xml:space="preserve"> they noted that annual shipments formed a tentative low in October 2023 and began to rise to the end of the year. They predict a slow rise in RV shipments for the first half of 2024, with a more accelerated rise in the second half of 2024, to total approximately 350,000 units shipped for total 2024, an increase of 13.8%.</w:t>
      </w:r>
    </w:p>
    <w:p>
      <w:pPr>
        <w:spacing w:after="0" w:line="17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per unit cost of new vehicles in fiscal year 2022 and 2023 had been significantly higher than we experienced prior to the COVID-19 pandemic, due to the RV manufacturers’ supply constraints during the pandemic, strong demand for new vehicles during the pandemic, higher inflation, and higher interest rates. These higher costs had been partially mitigated by the higher average selling prices on new vehicles initially, but we experienced a decrease in new vehicle gross margins during the year ended December 31, 2022, which continued in 2023, as a result of these higher costs. We experienced a 4.3% decrease in the average sale price of new vehicles during fiscal year 2023 compared to 2022, driven by more price sensitive customers in a higher interest rate environment.</w:t>
      </w:r>
    </w:p>
    <w:p>
      <w:pPr>
        <w:spacing w:after="0" w:line="18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Since certain of our RV manufacturers had indicated that they expected new towable vehicle average manufacturer selling prices to decline by up to 10% for 2024 model year vehicles, we focused on clearing out a significant portion of our pre-2024 model year new vehicles primarily during the fourth quarter of 2023 and early 2024 to improve the mix of our new vehicle inventory toward the lower cost 2024 model year vehicles. These new vehicle cost decreases further decreased average selling prices of new vehicles in 2024.</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Additionally, these new vehicle price pressures have resulted, and may continue to result, in a decline in residual values of used vehicles, which led us to discount used vehicle pricing in order to maintain used vehicles as a lower cost alternative to new vehicles, which has negatively impacted used vehicle gross margins. We also experienced lower used vehicle inventory levels in 2024 as we slowed procurement to allow RV owner pricing expectations to adjust as a result of 2024 model year pricing declines.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Institutions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noted in “Industry Trends” above, we have experienced deflation with respect to new vehicles and, as a byproduct of that new vehicle cost decrease, used vehicles. New and used vehicles regularly represent a majority of our costs. However, inflationary factors, such as increases to our other product and overhead costs, may adversely affect our operating results if the selling prices of our products and services do not increase proportionately with those increased costs or if demand for our products and services declines as a result of price increases to address inflationary costs. Additionally, our leases require us to pay taxes, maintenance, repairs, insurance and utilities, all of which are generally subject to inflationary increases. Further, the cost of remodeling acquired RV dealership locations and constructing new RV dealership locations is subject to inflationary increases in the costs of labor and material, which results in higher rent expense on new RV dealership locations. Finally, our credit agreements include interest rates that vary based on various benchmarks. Such rates have historically increased during periods of increasing inflation.</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Restructuring</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2019, we made a strategic decision to refocus our business around our core RV competencies (the “2019 Strategic Shift”), which was substantially complete by December 31, 2021. On March 1, 2023, our management determined to implement plans (the “Active Sports Restructuring”) to exit and restructure operations of our indirect subsidiary, Active Sports, LLC, a specialty products retail business (“Active Sports”), which was substantially complete by December 31, 2023. For the 2019 Strategic Shift and Active Sports Restructuring, the remaining potential ongoing charges related to lease termination costs and other associated costs relating to the leases of certain previously closed locations and facilities. The timing of sublease and/or termination negotiations will vary as both are contingent on landlord approvals. We expect that the ongoing lease-related costs relating to the 2019 Strategic Shift and Active Sports Restructuring, net of associated sublease income, will be less than $4.0 million and $1.1 million per year, respectively. See Note 4 — Restructuring and Long-Lived Asset Impairment to our condensed consolidated financial statements included in Part I, Item 1 of this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Certain Trends to Pre-COVID-19 Pandemic Periods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New vehicle gross margins in the first quarter of 2024 were relatively similar to first quarter of 2023 and within the range of gross margins for the pre-COVID-19 pandemic periods presented in the table below. As discussed in “Industry Trends” above, first quarter of 2024 new vehicle gross margins were negatively impacted by clearing out the higher cost pre-2024 model year vehicles to improve the mix of new inventory toward the lower cost 2024 model year vehicles. Additionally, used vehicle gross margins were negatively impacted in the first quarter of 2024 from the discounting necessary to maintain used vehicles as a lower cost alternative for our customers. Beginning primarily in the fourth quarter of 2023, we adjusted our acceptable procurement cost of used vehicles to reflect the lower average market price of RVs that was driven by the lower cost 2024 models. Used vehicle gross margins are expected to improve as we sell through inventory previously procured at higher costs.</w:t>
      </w:r>
    </w:p>
    <w:p>
      <w:pPr>
        <w:spacing w:after="0" w:line="180"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The following table presents vehicle gross margin and unit sale mix for the three months ended March 31, 2024 and pre-COVID-19 pandemic periods of the three months ended March 31, 2019, 2018, 2017, and 2016 (unaudited):</w:t>
      </w:r>
    </w:p>
    <w:p>
      <w:pPr>
        <w:spacing w:after="0" w:line="246" w:lineRule="exact"/>
        <w:rPr>
          <w:sz w:val="20"/>
          <w:szCs w:val="20"/>
          <w:color w:val="auto"/>
        </w:rPr>
      </w:pPr>
    </w:p>
    <w:tbl>
      <w:tblPr>
        <w:tblLayout w:type="fixed"/>
        <w:tblInd w:w="5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4"/>
                <w:szCs w:val="14"/>
                <w:color w:val="auto"/>
              </w:rPr>
            </w:pPr>
          </w:p>
        </w:tc>
      </w:tr>
      <w:tr>
        <w:trPr>
          <w:trHeight w:val="210"/>
        </w:trPr>
        <w:tc>
          <w:tcPr>
            <w:tcW w:w="9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ind w:left="160"/>
              <w:spacing w:after="0" w:line="210"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88"/>
              <w:spacing w:after="0" w:line="210" w:lineRule="exact"/>
              <w:rPr>
                <w:sz w:val="20"/>
                <w:szCs w:val="20"/>
                <w:color w:val="auto"/>
              </w:rPr>
            </w:pPr>
            <w:r>
              <w:rPr>
                <w:rFonts w:ascii="Arial" w:cs="Arial" w:eastAsia="Arial" w:hAnsi="Arial"/>
                <w:sz w:val="14"/>
                <w:szCs w:val="14"/>
                <w:b w:val="1"/>
                <w:bCs w:val="1"/>
                <w:color w:val="auto"/>
              </w:rPr>
              <w:t>2018</w:t>
            </w:r>
            <w:r>
              <w:rPr>
                <w:rFonts w:ascii="Arial" w:cs="Arial" w:eastAsia="Arial" w:hAnsi="Arial"/>
                <w:sz w:val="21"/>
                <w:szCs w:val="21"/>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88"/>
              <w:spacing w:after="0" w:line="210" w:lineRule="exact"/>
              <w:rPr>
                <w:sz w:val="20"/>
                <w:szCs w:val="20"/>
                <w:color w:val="auto"/>
              </w:rPr>
            </w:pPr>
            <w:r>
              <w:rPr>
                <w:rFonts w:ascii="Arial" w:cs="Arial" w:eastAsia="Arial" w:hAnsi="Arial"/>
                <w:sz w:val="14"/>
                <w:szCs w:val="14"/>
                <w:b w:val="1"/>
                <w:bCs w:val="1"/>
                <w:color w:val="auto"/>
              </w:rPr>
              <w:t>2017</w:t>
            </w:r>
            <w:r>
              <w:rPr>
                <w:rFonts w:ascii="Arial" w:cs="Arial" w:eastAsia="Arial" w:hAnsi="Arial"/>
                <w:sz w:val="21"/>
                <w:szCs w:val="21"/>
                <w:b w:val="1"/>
                <w:bCs w:val="1"/>
                <w:color w:val="auto"/>
                <w:vertAlign w:val="superscript"/>
              </w:rPr>
              <w:t>(1)</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88"/>
              <w:spacing w:after="0" w:line="210" w:lineRule="exact"/>
              <w:rPr>
                <w:sz w:val="20"/>
                <w:szCs w:val="20"/>
                <w:color w:val="auto"/>
              </w:rPr>
            </w:pPr>
            <w:r>
              <w:rPr>
                <w:rFonts w:ascii="Arial" w:cs="Arial" w:eastAsia="Arial" w:hAnsi="Arial"/>
                <w:sz w:val="14"/>
                <w:szCs w:val="14"/>
                <w:b w:val="1"/>
                <w:bCs w:val="1"/>
                <w:color w:val="auto"/>
              </w:rPr>
              <w:t>2016</w:t>
            </w:r>
            <w:r>
              <w:rPr>
                <w:rFonts w:ascii="Arial" w:cs="Arial" w:eastAsia="Arial" w:hAnsi="Arial"/>
                <w:sz w:val="21"/>
                <w:szCs w:val="21"/>
                <w:b w:val="1"/>
                <w:bCs w:val="1"/>
                <w:color w:val="auto"/>
                <w:vertAlign w:val="superscript"/>
              </w:rPr>
              <w:t>(1)</w:t>
            </w:r>
          </w:p>
        </w:tc>
      </w:tr>
      <w:tr>
        <w:trPr>
          <w:trHeight w:val="142"/>
        </w:trPr>
        <w:tc>
          <w:tcPr>
            <w:tcW w:w="4120" w:type="dxa"/>
            <w:vAlign w:val="bottom"/>
            <w:tcBorders>
              <w:left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4"/>
                <w:szCs w:val="14"/>
                <w:color w:val="auto"/>
              </w:rPr>
              <w:t>Gross margin:</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
        </w:trPr>
        <w:tc>
          <w:tcPr>
            <w:tcW w:w="94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r>
        <w:trPr>
          <w:trHeight w:val="155"/>
        </w:trPr>
        <w:tc>
          <w:tcPr>
            <w:tcW w:w="428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New vehicles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13.9%</w:t>
            </w:r>
          </w:p>
        </w:tc>
        <w:tc>
          <w:tcPr>
            <w:tcW w:w="200" w:type="dxa"/>
            <w:vAlign w:val="bottom"/>
          </w:tcPr>
          <w:p>
            <w:pPr>
              <w:spacing w:after="0"/>
              <w:rPr>
                <w:sz w:val="13"/>
                <w:szCs w:val="13"/>
                <w:color w:val="auto"/>
              </w:rPr>
            </w:pPr>
          </w:p>
        </w:tc>
        <w:tc>
          <w:tcPr>
            <w:tcW w:w="760" w:type="dxa"/>
            <w:vAlign w:val="bottom"/>
          </w:tcPr>
          <w:p>
            <w:pPr>
              <w:ind w:left="320"/>
              <w:spacing w:after="0" w:line="155" w:lineRule="exact"/>
              <w:rPr>
                <w:sz w:val="20"/>
                <w:szCs w:val="20"/>
                <w:color w:val="auto"/>
              </w:rPr>
            </w:pPr>
            <w:r>
              <w:rPr>
                <w:rFonts w:ascii="Arial" w:cs="Arial" w:eastAsia="Arial" w:hAnsi="Arial"/>
                <w:sz w:val="14"/>
                <w:szCs w:val="14"/>
                <w:color w:val="auto"/>
              </w:rPr>
              <w:t>12.6%</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13.0%</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13.6%</w:t>
            </w: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14.5%</w:t>
            </w:r>
          </w:p>
        </w:tc>
      </w:tr>
      <w:tr>
        <w:trPr>
          <w:trHeight w:val="162"/>
        </w:trPr>
        <w:tc>
          <w:tcPr>
            <w:tcW w:w="42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Used vehicles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17.5%</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162"/>
        </w:trPr>
        <w:tc>
          <w:tcPr>
            <w:tcW w:w="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4280" w:type="dxa"/>
            <w:vAlign w:val="bottom"/>
            <w:tcBorders>
              <w:left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Unit sales mix:</w:t>
            </w: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20"/>
        </w:trPr>
        <w:tc>
          <w:tcPr>
            <w:tcW w:w="9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r>
      <w:tr>
        <w:trPr>
          <w:trHeight w:val="155"/>
        </w:trPr>
        <w:tc>
          <w:tcPr>
            <w:tcW w:w="4280" w:type="dxa"/>
            <w:vAlign w:val="bottom"/>
            <w:gridSpan w:val="3"/>
          </w:tcPr>
          <w:p>
            <w:pPr>
              <w:ind w:left="120"/>
              <w:spacing w:after="0" w:line="155" w:lineRule="exact"/>
              <w:rPr>
                <w:sz w:val="20"/>
                <w:szCs w:val="20"/>
                <w:color w:val="auto"/>
              </w:rPr>
            </w:pPr>
            <w:r>
              <w:rPr>
                <w:rFonts w:ascii="Arial" w:cs="Arial" w:eastAsia="Arial" w:hAnsi="Arial"/>
                <w:sz w:val="14"/>
                <w:szCs w:val="14"/>
                <w:color w:val="auto"/>
              </w:rPr>
              <w:t>New vehicles</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61.2%</w:t>
            </w:r>
          </w:p>
        </w:tc>
        <w:tc>
          <w:tcPr>
            <w:tcW w:w="200" w:type="dxa"/>
            <w:vAlign w:val="bottom"/>
          </w:tcPr>
          <w:p>
            <w:pPr>
              <w:spacing w:after="0"/>
              <w:rPr>
                <w:sz w:val="13"/>
                <w:szCs w:val="13"/>
                <w:color w:val="auto"/>
              </w:rPr>
            </w:pPr>
          </w:p>
        </w:tc>
        <w:tc>
          <w:tcPr>
            <w:tcW w:w="760" w:type="dxa"/>
            <w:vAlign w:val="bottom"/>
          </w:tcPr>
          <w:p>
            <w:pPr>
              <w:ind w:left="320"/>
              <w:spacing w:after="0" w:line="155" w:lineRule="exact"/>
              <w:rPr>
                <w:sz w:val="20"/>
                <w:szCs w:val="20"/>
                <w:color w:val="auto"/>
              </w:rPr>
            </w:pPr>
            <w:r>
              <w:rPr>
                <w:rFonts w:ascii="Arial" w:cs="Arial" w:eastAsia="Arial" w:hAnsi="Arial"/>
                <w:sz w:val="14"/>
                <w:szCs w:val="14"/>
                <w:color w:val="auto"/>
              </w:rPr>
              <w:t>64.7%</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66.4%</w:t>
            </w:r>
          </w:p>
        </w:tc>
        <w:tc>
          <w:tcPr>
            <w:tcW w:w="2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67.9%</w:t>
            </w:r>
          </w:p>
        </w:tc>
        <w:tc>
          <w:tcPr>
            <w:tcW w:w="1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56.7%</w:t>
            </w:r>
          </w:p>
        </w:tc>
      </w:tr>
      <w:tr>
        <w:trPr>
          <w:trHeight w:val="162"/>
        </w:trPr>
        <w:tc>
          <w:tcPr>
            <w:tcW w:w="4280" w:type="dxa"/>
            <w:vAlign w:val="bottom"/>
            <w:tcBorders>
              <w:lef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Used vehicles</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38.8%</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ind w:left="320"/>
              <w:spacing w:after="0"/>
              <w:rPr>
                <w:sz w:val="20"/>
                <w:szCs w:val="20"/>
                <w:color w:val="auto"/>
              </w:rPr>
            </w:pPr>
            <w:r>
              <w:rPr>
                <w:rFonts w:ascii="Arial" w:cs="Arial" w:eastAsia="Arial" w:hAnsi="Arial"/>
                <w:sz w:val="14"/>
                <w:szCs w:val="14"/>
                <w:color w:val="auto"/>
              </w:rPr>
              <w:t>35.3%</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r>
    </w:tbl>
    <w:p>
      <w:pPr>
        <w:spacing w:after="0" w:line="58" w:lineRule="exact"/>
        <w:rPr>
          <w:sz w:val="20"/>
          <w:szCs w:val="20"/>
          <w:color w:val="auto"/>
        </w:rPr>
      </w:pPr>
    </w:p>
    <w:p>
      <w:pPr>
        <w:ind w:left="380" w:hanging="330"/>
        <w:spacing w:after="0"/>
        <w:tabs>
          <w:tab w:leader="none" w:pos="380" w:val="left"/>
        </w:tabs>
        <w:numPr>
          <w:ilvl w:val="0"/>
          <w:numId w:val="26"/>
        </w:numPr>
        <w:rPr>
          <w:rFonts w:ascii="Arial" w:cs="Arial" w:eastAsia="Arial" w:hAnsi="Arial"/>
          <w:sz w:val="13"/>
          <w:szCs w:val="13"/>
          <w:color w:val="auto"/>
        </w:rPr>
      </w:pPr>
      <w:r>
        <w:rPr>
          <w:rFonts w:ascii="Arial" w:cs="Arial" w:eastAsia="Arial" w:hAnsi="Arial"/>
          <w:sz w:val="14"/>
          <w:szCs w:val="14"/>
          <w:color w:val="auto"/>
        </w:rPr>
        <w:t>These periods were prior to the COVID-19 pandemic.</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Structure Impact on Income Taxes</w:t>
      </w:r>
    </w:p>
    <w:p>
      <w:pPr>
        <w:spacing w:after="0" w:line="212" w:lineRule="exact"/>
        <w:rPr>
          <w:sz w:val="20"/>
          <w:szCs w:val="20"/>
          <w:color w:val="auto"/>
        </w:rPr>
      </w:pPr>
    </w:p>
    <w:p>
      <w:pPr>
        <w:jc w:val="both"/>
        <w:ind w:left="60" w:right="60" w:firstLine="648"/>
        <w:spacing w:after="0"/>
        <w:rPr>
          <w:sz w:val="20"/>
          <w:szCs w:val="20"/>
          <w:color w:val="auto"/>
        </w:rPr>
      </w:pPr>
      <w:r>
        <w:rPr>
          <w:rFonts w:ascii="Arial" w:cs="Arial" w:eastAsia="Arial" w:hAnsi="Arial"/>
          <w:sz w:val="18"/>
          <w:szCs w:val="18"/>
          <w:color w:val="auto"/>
        </w:rPr>
        <w:t>Our corporate structure is commonly referred to as an “Up-C” structure and typically results in a different relationship between income (loss) before income taxes and income tax expense than would be experienced by most public companies with a more traditional corporate structure. More traditional structures are typically comprised predominately of Subchapter C corporations (“C-Corps”) and/or lacking significant non-controlling interests with holdings through limited liability companies or partnerships. Typically, most of our income tax expense is recorded at the CWH level, our public holding company, based on its allocation of taxable income from CWGS, LLC.</w:t>
      </w:r>
    </w:p>
    <w:p>
      <w:pPr>
        <w:spacing w:after="0" w:line="185" w:lineRule="exact"/>
        <w:rPr>
          <w:sz w:val="20"/>
          <w:szCs w:val="20"/>
          <w:color w:val="auto"/>
        </w:rPr>
      </w:pPr>
    </w:p>
    <w:p>
      <w:pPr>
        <w:jc w:val="both"/>
        <w:ind w:left="60" w:right="60" w:firstLine="648"/>
        <w:spacing w:after="0" w:line="242" w:lineRule="auto"/>
        <w:rPr>
          <w:sz w:val="20"/>
          <w:szCs w:val="20"/>
          <w:color w:val="auto"/>
        </w:rPr>
      </w:pPr>
      <w:r>
        <w:rPr>
          <w:rFonts w:ascii="Arial" w:cs="Arial" w:eastAsia="Arial" w:hAnsi="Arial"/>
          <w:sz w:val="18"/>
          <w:szCs w:val="18"/>
          <w:color w:val="auto"/>
        </w:rPr>
        <w:t>More specifically, CWH is organized as a C-Corp and, as of March 31, 2024, is a 53.0% owner of CWGS, LLC. CWGS, LLC is organized as a limited liability company and treated as a partnership for U.S. federal and most applicable state and local income tax purposes and, as such is generally not subject to any U.S. federal entity-level income taxes (“Pass-Through”), with the exception of Americas Road and Travel Club, Inc. and FreedomRoads RV, Inc., and their wholly-owned subsidiaries, which are C-Corps embedded within the CWGS, LLC structure.</w:t>
      </w:r>
    </w:p>
    <w:p>
      <w:pPr>
        <w:spacing w:after="0" w:line="179" w:lineRule="exact"/>
        <w:rPr>
          <w:sz w:val="20"/>
          <w:szCs w:val="20"/>
          <w:color w:val="auto"/>
        </w:rPr>
      </w:pPr>
    </w:p>
    <w:p>
      <w:pPr>
        <w:jc w:val="both"/>
        <w:ind w:left="60" w:right="60" w:firstLine="648"/>
        <w:spacing w:after="0" w:line="237" w:lineRule="auto"/>
        <w:rPr>
          <w:sz w:val="20"/>
          <w:szCs w:val="20"/>
          <w:color w:val="auto"/>
        </w:rPr>
      </w:pPr>
      <w:r>
        <w:rPr>
          <w:rFonts w:ascii="Arial" w:cs="Arial" w:eastAsia="Arial" w:hAnsi="Arial"/>
          <w:sz w:val="18"/>
          <w:szCs w:val="18"/>
          <w:color w:val="auto"/>
        </w:rPr>
        <w:t>CWH receives an allocation of its share of the net income (loss) of CWGS, LLC based on CWH’s weighted-average ownership of CWGS, LLC for the period. CWH recognizes income tax expense on its pre-tax income including its portion of this income allocation from CWGS, LLC primarily relating to Pass-Through entities. The income tax relating to the net income (loss) of CWGS, LLC allocated to CWH that relates to separately taxed C-Corp entities is recorded within the consolidated results of CWGS, LLC. No income tax expense is recognized by the Company for the portion of net income of CWGS, LLC allocated to non-controlling interest other than income tax expense recorded by CWGS, LLC. Rather, tax distributions are paid to the non-controlling interest holders which are recorded as distributions to holders of LLC common units in the condensed consolidated statements of cash flows. CWH is subject to U.S. federal, state and local income taxes with respect to its allocable share of any taxable income of CWGS, LLC and is taxed at the prevailing corporate tax rates. For the three months ended March 31, 2024 and 2023, the Company used effective income tax rate assumptions of 25.0% and 25.3%, respectively, for income adjustments applicable to CWH when calculating the adjusted net (loss) income attributable to Camping World Holdings, Inc. ─ basic and diluted (see “Non-GAAP Financial Measures” in Part I, Item 2 of this Form 10-Q). CWGS, LLC may be liable for various other state and local taxes.</w:t>
      </w:r>
    </w:p>
    <w:p>
      <w:pPr>
        <w:spacing w:after="0" w:line="188" w:lineRule="exact"/>
        <w:rPr>
          <w:sz w:val="20"/>
          <w:szCs w:val="20"/>
          <w:color w:val="auto"/>
        </w:rPr>
      </w:pPr>
    </w:p>
    <w:p>
      <w:pPr>
        <w:jc w:val="both"/>
        <w:ind w:left="60" w:right="60" w:firstLine="648"/>
        <w:spacing w:after="0" w:line="253" w:lineRule="auto"/>
        <w:rPr>
          <w:sz w:val="20"/>
          <w:szCs w:val="20"/>
          <w:color w:val="auto"/>
        </w:rPr>
      </w:pPr>
      <w:r>
        <w:rPr>
          <w:rFonts w:ascii="Arial" w:cs="Arial" w:eastAsia="Arial" w:hAnsi="Arial"/>
          <w:sz w:val="18"/>
          <w:szCs w:val="18"/>
          <w:color w:val="auto"/>
        </w:rPr>
        <w:t>The following table presents the allocation of CWGS, LLC’s C-Corp and Pass-Through net (loss) income to CWH, the allocation of CWGS, LLC’s net (loss) income to non-controlling interests, income tax benefit (expense) recognized by CWH, and other items:</w:t>
      </w:r>
    </w:p>
    <w:p>
      <w:pPr>
        <w:spacing w:after="0" w:line="205" w:lineRule="exact"/>
        <w:rPr>
          <w:sz w:val="20"/>
          <w:szCs w:val="20"/>
          <w:color w:val="auto"/>
        </w:rPr>
      </w:pPr>
    </w:p>
    <w:p>
      <w:pPr>
        <w:ind w:left="668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0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2024</w:t>
            </w: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414"/>
              <w:spacing w:after="0"/>
              <w:rPr>
                <w:sz w:val="20"/>
                <w:szCs w:val="20"/>
                <w:color w:val="auto"/>
              </w:rPr>
            </w:pPr>
            <w:r>
              <w:rPr>
                <w:rFonts w:ascii="Arial" w:cs="Arial" w:eastAsia="Arial" w:hAnsi="Arial"/>
                <w:sz w:val="12"/>
                <w:szCs w:val="12"/>
                <w:b w:val="1"/>
                <w:bCs w:val="1"/>
                <w:color w:val="auto"/>
              </w:rPr>
              <w:t>2023</w:t>
            </w:r>
          </w:p>
        </w:tc>
      </w:tr>
      <w:tr>
        <w:trPr>
          <w:trHeight w:val="196"/>
        </w:trPr>
        <w:tc>
          <w:tcPr>
            <w:tcW w:w="59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C-Corp portion of CWGS, LLC net income allocated to CWH</w:t>
            </w: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3"/>
        </w:trPr>
        <w:tc>
          <w:tcPr>
            <w:tcW w:w="61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Pass-Through portion of CWGS, LLC net (loss) income allocated to CWH</w:t>
            </w:r>
          </w:p>
        </w:tc>
        <w:tc>
          <w:tcPr>
            <w:tcW w:w="3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(32,505)</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1,914</w:t>
            </w:r>
          </w:p>
        </w:tc>
      </w:tr>
      <w:tr>
        <w:trPr>
          <w:trHeight w:val="196"/>
        </w:trPr>
        <w:tc>
          <w:tcPr>
            <w:tcW w:w="6100" w:type="dxa"/>
            <w:vAlign w:val="bottom"/>
            <w:tcBorders>
              <w:top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CWGS, LLC net (loss) income allocated to CWH</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(32,059)</w:t>
            </w: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1,924</w:t>
            </w:r>
          </w:p>
        </w:tc>
      </w:tr>
      <w:tr>
        <w:trPr>
          <w:trHeight w:val="203"/>
        </w:trPr>
        <w:tc>
          <w:tcPr>
            <w:tcW w:w="61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CWGS, LLC net (loss) income allocated to noncontrolling interests</w:t>
            </w:r>
          </w:p>
        </w:tc>
        <w:tc>
          <w:tcPr>
            <w:tcW w:w="300" w:type="dxa"/>
            <w:vAlign w:val="bottom"/>
          </w:tcPr>
          <w:p>
            <w:pPr>
              <w:spacing w:after="0"/>
              <w:rPr>
                <w:sz w:val="17"/>
                <w:szCs w:val="17"/>
                <w:color w:val="auto"/>
              </w:rPr>
            </w:pPr>
          </w:p>
        </w:tc>
        <w:tc>
          <w:tcPr>
            <w:tcW w:w="12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(28,499)</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1,734</w:t>
            </w:r>
          </w:p>
        </w:tc>
      </w:tr>
      <w:tr>
        <w:trPr>
          <w:trHeight w:val="196"/>
        </w:trPr>
        <w:tc>
          <w:tcPr>
            <w:tcW w:w="6100" w:type="dxa"/>
            <w:vAlign w:val="bottom"/>
            <w:tcBorders>
              <w:top w:val="single" w:sz="8" w:color="CCEEFF"/>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CWGS, LLC net (loss) income</w:t>
            </w: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(60,558)</w:t>
            </w:r>
          </w:p>
        </w:tc>
        <w:tc>
          <w:tcPr>
            <w:tcW w:w="2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3,658</w:t>
            </w:r>
          </w:p>
        </w:tc>
      </w:tr>
      <w:tr>
        <w:trPr>
          <w:trHeight w:val="203"/>
        </w:trPr>
        <w:tc>
          <w:tcPr>
            <w:tcW w:w="61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Income tax benefit (expense) recorded by CWH</w:t>
            </w: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9,362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944</w:t>
            </w:r>
          </w:p>
        </w:tc>
      </w:tr>
      <w:tr>
        <w:trPr>
          <w:trHeight w:val="203"/>
        </w:trPr>
        <w:tc>
          <w:tcPr>
            <w:tcW w:w="61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incremental CWH net (loss) income</w:t>
            </w: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r>
      <w:tr>
        <w:trPr>
          <w:trHeight w:val="196"/>
        </w:trPr>
        <w:tc>
          <w:tcPr>
            <w:tcW w:w="61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(50,806)</w:t>
            </w:r>
          </w:p>
        </w:tc>
        <w:tc>
          <w:tcPr>
            <w:tcW w:w="26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4,903</w:t>
            </w:r>
          </w:p>
        </w:tc>
      </w:tr>
      <w:tr>
        <w:trPr>
          <w:trHeight w:val="20"/>
        </w:trPr>
        <w:tc>
          <w:tcPr>
            <w:tcW w:w="5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further information on income tax benefit (expense):</w:t>
      </w:r>
    </w:p>
    <w:p>
      <w:pPr>
        <w:spacing w:after="0" w:line="248" w:lineRule="exact"/>
        <w:rPr>
          <w:sz w:val="20"/>
          <w:szCs w:val="20"/>
          <w:color w:val="auto"/>
        </w:rPr>
      </w:pPr>
    </w:p>
    <w:p>
      <w:pPr>
        <w:ind w:left="6720"/>
        <w:spacing w:after="0"/>
        <w:rPr>
          <w:sz w:val="20"/>
          <w:szCs w:val="20"/>
          <w:color w:val="auto"/>
        </w:rPr>
      </w:pPr>
      <w:r>
        <w:rPr>
          <w:rFonts w:ascii="Arial" w:cs="Arial" w:eastAsia="Arial" w:hAnsi="Arial"/>
          <w:sz w:val="12"/>
          <w:szCs w:val="12"/>
          <w:b w:val="1"/>
          <w:bCs w:val="1"/>
          <w:color w:val="auto"/>
        </w:rPr>
        <w:t>Three Months Ended March 31,</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42"/>
        </w:trPr>
        <w:tc>
          <w:tcPr>
            <w:tcW w:w="6120" w:type="dxa"/>
            <w:vAlign w:val="bottom"/>
            <w:gridSpan w:val="2"/>
          </w:tcPr>
          <w:p>
            <w:pPr>
              <w:ind w:left="20"/>
              <w:spacing w:after="0"/>
              <w:rPr>
                <w:sz w:val="20"/>
                <w:szCs w:val="20"/>
                <w:color w:val="auto"/>
              </w:rPr>
            </w:pPr>
            <w:r>
              <w:rPr>
                <w:rFonts w:ascii="Arial" w:cs="Arial" w:eastAsia="Arial" w:hAnsi="Arial"/>
                <w:sz w:val="11"/>
                <w:szCs w:val="11"/>
                <w:color w:val="auto"/>
              </w:rPr>
              <w:t>($ in thousands)</w:t>
            </w: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438"/>
              <w:spacing w:after="0"/>
              <w:rPr>
                <w:sz w:val="20"/>
                <w:szCs w:val="20"/>
                <w:color w:val="auto"/>
              </w:rPr>
            </w:pPr>
            <w:r>
              <w:rPr>
                <w:rFonts w:ascii="Arial" w:cs="Arial" w:eastAsia="Arial" w:hAnsi="Arial"/>
                <w:sz w:val="12"/>
                <w:szCs w:val="12"/>
                <w:b w:val="1"/>
                <w:bCs w:val="1"/>
                <w:color w:val="auto"/>
              </w:rPr>
              <w:t>2024</w:t>
            </w: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58"/>
              <w:spacing w:after="0"/>
              <w:rPr>
                <w:sz w:val="20"/>
                <w:szCs w:val="20"/>
                <w:color w:val="auto"/>
              </w:rPr>
            </w:pPr>
            <w:r>
              <w:rPr>
                <w:rFonts w:ascii="Arial" w:cs="Arial" w:eastAsia="Arial" w:hAnsi="Arial"/>
                <w:sz w:val="12"/>
                <w:szCs w:val="12"/>
                <w:b w:val="1"/>
                <w:bCs w:val="1"/>
                <w:color w:val="auto"/>
              </w:rPr>
              <w:t>2023</w:t>
            </w:r>
          </w:p>
        </w:tc>
      </w:tr>
      <w:tr>
        <w:trPr>
          <w:trHeight w:val="196"/>
        </w:trPr>
        <w:tc>
          <w:tcPr>
            <w:tcW w:w="59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Income tax benefit recorded by CWH</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9,362</w:t>
            </w: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944</w:t>
            </w:r>
          </w:p>
        </w:tc>
      </w:tr>
      <w:tr>
        <w:trPr>
          <w:trHeight w:val="202"/>
        </w:trPr>
        <w:tc>
          <w:tcPr>
            <w:tcW w:w="6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Income tax expense recorded by CWGS, LLC</w:t>
            </w:r>
          </w:p>
        </w:tc>
        <w:tc>
          <w:tcPr>
            <w:tcW w:w="30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(1,217)</w:t>
            </w:r>
          </w:p>
        </w:tc>
      </w:tr>
      <w:tr>
        <w:trPr>
          <w:trHeight w:val="196"/>
        </w:trPr>
        <w:tc>
          <w:tcPr>
            <w:tcW w:w="6120" w:type="dxa"/>
            <w:vAlign w:val="bottom"/>
            <w:tcBorders>
              <w:top w:val="single" w:sz="8" w:color="CCEEFF"/>
              <w:bottom w:val="single" w:sz="8" w:color="CCEEFF"/>
            </w:tcBorders>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Income tax benefit (expense)</w:t>
            </w: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9,042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w:t>
            </w: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51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March 31, 2024 Compared to Three Months Ended March 31, 2023</w:t>
      </w:r>
    </w:p>
    <w:p>
      <w:pPr>
        <w:spacing w:after="0" w:line="104" w:lineRule="exact"/>
        <w:rPr>
          <w:sz w:val="20"/>
          <w:szCs w:val="20"/>
          <w:color w:val="auto"/>
        </w:rPr>
      </w:pPr>
    </w:p>
    <w:p>
      <w:pPr>
        <w:ind w:left="60" w:right="160" w:firstLine="648"/>
        <w:spacing w:after="0" w:line="271"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March 31, 2024 and 2023:</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3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1"/>
                <w:szCs w:val="11"/>
                <w:b w:val="1"/>
                <w:bCs w:val="1"/>
                <w:color w:val="auto"/>
              </w:rPr>
              <w:t>Three Months Ended</w:t>
            </w:r>
          </w:p>
        </w:tc>
        <w:tc>
          <w:tcPr>
            <w:tcW w:w="5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gridSpan w:val="4"/>
          </w:tcPr>
          <w:p>
            <w:pPr>
              <w:ind w:left="280"/>
              <w:spacing w:after="0" w:line="115" w:lineRule="exact"/>
              <w:rPr>
                <w:sz w:val="20"/>
                <w:szCs w:val="20"/>
                <w:color w:val="auto"/>
              </w:rPr>
            </w:pPr>
            <w:r>
              <w:rPr>
                <w:rFonts w:ascii="Arial" w:cs="Arial" w:eastAsia="Arial" w:hAnsi="Arial"/>
                <w:sz w:val="11"/>
                <w:szCs w:val="11"/>
                <w:b w:val="1"/>
                <w:bCs w:val="1"/>
                <w:color w:val="auto"/>
              </w:rPr>
              <w:t>March 31, 2024</w:t>
            </w:r>
          </w:p>
        </w:tc>
        <w:tc>
          <w:tcPr>
            <w:tcW w:w="120" w:type="dxa"/>
            <w:vAlign w:val="bottom"/>
          </w:tcPr>
          <w:p>
            <w:pPr>
              <w:spacing w:after="0"/>
              <w:rPr>
                <w:sz w:val="10"/>
                <w:szCs w:val="10"/>
                <w:color w:val="auto"/>
              </w:rPr>
            </w:pPr>
          </w:p>
        </w:tc>
        <w:tc>
          <w:tcPr>
            <w:tcW w:w="1460" w:type="dxa"/>
            <w:vAlign w:val="bottom"/>
            <w:gridSpan w:val="3"/>
          </w:tcPr>
          <w:p>
            <w:pPr>
              <w:jc w:val="right"/>
              <w:ind w:right="329"/>
              <w:spacing w:after="0" w:line="115" w:lineRule="exact"/>
              <w:rPr>
                <w:sz w:val="20"/>
                <w:szCs w:val="20"/>
                <w:color w:val="auto"/>
              </w:rPr>
            </w:pPr>
            <w:r>
              <w:rPr>
                <w:rFonts w:ascii="Arial" w:cs="Arial" w:eastAsia="Arial" w:hAnsi="Arial"/>
                <w:sz w:val="11"/>
                <w:szCs w:val="11"/>
                <w:b w:val="1"/>
                <w:bCs w:val="1"/>
                <w:color w:val="auto"/>
              </w:rPr>
              <w:t>March 31, 2023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vMerge w:val="restart"/>
          </w:tcPr>
          <w:p>
            <w:pPr>
              <w:jc w:val="right"/>
              <w:ind w:right="280"/>
              <w:spacing w:after="0"/>
              <w:rPr>
                <w:sz w:val="20"/>
                <w:szCs w:val="20"/>
                <w:color w:val="auto"/>
              </w:rPr>
            </w:pPr>
            <w:r>
              <w:rPr>
                <w:rFonts w:ascii="Arial" w:cs="Arial" w:eastAsia="Arial" w:hAnsi="Arial"/>
                <w:sz w:val="11"/>
                <w:szCs w:val="11"/>
                <w:b w:val="1"/>
                <w:bCs w:val="1"/>
                <w:color w:val="auto"/>
              </w:rPr>
              <w:t>Favorable/ (Unfavorable)</w:t>
            </w:r>
          </w:p>
        </w:tc>
        <w:tc>
          <w:tcPr>
            <w:tcW w:w="0" w:type="dxa"/>
            <w:vAlign w:val="bottom"/>
          </w:tcPr>
          <w:p>
            <w:pPr>
              <w:spacing w:after="0"/>
              <w:rPr>
                <w:sz w:val="1"/>
                <w:szCs w:val="1"/>
                <w:color w:val="auto"/>
              </w:rPr>
            </w:pPr>
          </w:p>
        </w:tc>
      </w:tr>
      <w:tr>
        <w:trPr>
          <w:trHeight w:val="115"/>
        </w:trPr>
        <w:tc>
          <w:tcPr>
            <w:tcW w:w="3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auto"/>
              </w:rPr>
              <w:t>Percent of</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Percent of</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920" w:type="dxa"/>
            <w:vAlign w:val="bottom"/>
            <w:gridSpan w:val="2"/>
          </w:tcPr>
          <w:p>
            <w:pPr>
              <w:ind w:left="20"/>
              <w:spacing w:after="0" w:line="115" w:lineRule="exact"/>
              <w:rPr>
                <w:sz w:val="20"/>
                <w:szCs w:val="20"/>
                <w:color w:val="auto"/>
              </w:rPr>
            </w:pPr>
            <w:r>
              <w:rPr>
                <w:rFonts w:ascii="Arial" w:cs="Arial" w:eastAsia="Arial" w:hAnsi="Arial"/>
                <w:sz w:val="11"/>
                <w:szCs w:val="11"/>
                <w:color w:val="auto"/>
              </w:rPr>
              <w:t>($ in thousands)</w:t>
            </w:r>
          </w:p>
        </w:tc>
        <w:tc>
          <w:tcPr>
            <w:tcW w:w="120" w:type="dxa"/>
            <w:vAlign w:val="bottom"/>
          </w:tcPr>
          <w:p>
            <w:pPr>
              <w:spacing w:after="0"/>
              <w:rPr>
                <w:sz w:val="10"/>
                <w:szCs w:val="10"/>
                <w:color w:val="auto"/>
              </w:rPr>
            </w:pPr>
          </w:p>
        </w:tc>
        <w:tc>
          <w:tcPr>
            <w:tcW w:w="86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rPr>
              <w:t>Revenue</w:t>
            </w:r>
          </w:p>
        </w:tc>
        <w:tc>
          <w:tcPr>
            <w:tcW w:w="120" w:type="dxa"/>
            <w:vAlign w:val="bottom"/>
          </w:tcPr>
          <w:p>
            <w:pPr>
              <w:spacing w:after="0"/>
              <w:rPr>
                <w:sz w:val="10"/>
                <w:szCs w:val="10"/>
                <w:color w:val="auto"/>
              </w:rPr>
            </w:pPr>
          </w:p>
        </w:tc>
        <w:tc>
          <w:tcPr>
            <w:tcW w:w="880" w:type="dxa"/>
            <w:vAlign w:val="bottom"/>
            <w:gridSpan w:val="2"/>
          </w:tcPr>
          <w:p>
            <w:pPr>
              <w:jc w:val="right"/>
              <w:ind w:right="380"/>
              <w:spacing w:after="0" w:line="115" w:lineRule="exact"/>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Revenue</w:t>
            </w: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269"/>
              <w:spacing w:after="0" w:line="115" w:lineRule="exact"/>
              <w:rPr>
                <w:sz w:val="20"/>
                <w:szCs w:val="20"/>
                <w:color w:val="auto"/>
              </w:rPr>
            </w:pPr>
            <w:r>
              <w:rPr>
                <w:rFonts w:ascii="Arial" w:cs="Arial" w:eastAsia="Arial" w:hAnsi="Arial"/>
                <w:sz w:val="11"/>
                <w:szCs w:val="11"/>
                <w:b w:val="1"/>
                <w:bCs w:val="1"/>
                <w:color w:val="auto"/>
              </w:rPr>
              <w:t>$</w:t>
            </w: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229"/>
              <w:spacing w:after="0" w:line="115" w:lineRule="exact"/>
              <w:rPr>
                <w:sz w:val="20"/>
                <w:szCs w:val="20"/>
                <w:color w:val="auto"/>
              </w:rPr>
            </w:pPr>
            <w:r>
              <w:rPr>
                <w:rFonts w:ascii="Arial" w:cs="Arial" w:eastAsia="Arial" w:hAnsi="Arial"/>
                <w:sz w:val="11"/>
                <w:szCs w:val="11"/>
                <w:b w:val="1"/>
                <w:bCs w:val="1"/>
                <w:color w:val="auto"/>
              </w:rPr>
              <w: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378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45,681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46,367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(686)</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656,086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646,752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9,334</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337,685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444,746</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(107,061)</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177,894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207,661</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(29,767)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135,454</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129,772</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5,682</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11,217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11,582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(365)</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56"/>
        </w:trPr>
        <w:tc>
          <w:tcPr>
            <w:tcW w:w="3920" w:type="dxa"/>
            <w:vAlign w:val="bottom"/>
            <w:tcBorders>
              <w:top w:val="single" w:sz="8" w:color="CCEEFF"/>
            </w:tcBorders>
            <w:gridSpan w:val="2"/>
            <w:shd w:val="clear" w:color="auto" w:fill="CCEEFF"/>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1,318,336</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96.7%</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1,440,513</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96.9%</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(122,177)</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Total revenue</w:t>
            </w:r>
          </w:p>
        </w:tc>
        <w:tc>
          <w:tcPr>
            <w:tcW w:w="12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1,364,017</w:t>
            </w: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1,486,880</w:t>
            </w: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(122,863)</w:t>
            </w: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20" w:type="dxa"/>
            <w:vAlign w:val="bottom"/>
            <w:gridSpan w:val="2"/>
          </w:tcPr>
          <w:p>
            <w:pPr>
              <w:ind w:left="20"/>
              <w:spacing w:after="0" w:line="153" w:lineRule="exact"/>
              <w:rPr>
                <w:sz w:val="20"/>
                <w:szCs w:val="20"/>
                <w:color w:val="auto"/>
              </w:rPr>
            </w:pPr>
            <w:r>
              <w:rPr>
                <w:rFonts w:ascii="Arial" w:cs="Arial" w:eastAsia="Arial" w:hAnsi="Arial"/>
                <w:sz w:val="14"/>
                <w:szCs w:val="14"/>
                <w:color w:val="auto"/>
              </w:rPr>
              <w:t>Gross profit (exclusive of depreciation and amortization</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shown separately below):</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30,498</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30,215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New vehicles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89,210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1,837</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Used vehicles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59,152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102,799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(43,647)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Products, service and other</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76,219</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78,643</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(2,424)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Finance and insurance, net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135,454</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129,772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5,682</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 Sam Club</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10,381</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gridSpan w:val="2"/>
          </w:tcPr>
          <w:p>
            <w:pPr>
              <w:ind w:left="220"/>
              <w:spacing w:after="0" w:line="155" w:lineRule="exact"/>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371,899</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27.3%</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410,805</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27.6%</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(38,906)</w:t>
            </w:r>
          </w:p>
        </w:tc>
        <w:tc>
          <w:tcPr>
            <w:tcW w:w="1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Total gross profit</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402,397</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441,020</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29.7%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(38,623)</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Selling, general and administrative</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371,473</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365,726</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(5,747)</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19,290</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14,637</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162"/>
        </w:trPr>
        <w:tc>
          <w:tcPr>
            <w:tcW w:w="392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5,827</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7,045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1,218</w:t>
            </w:r>
          </w:p>
        </w:tc>
        <w:tc>
          <w:tcPr>
            <w:tcW w:w="1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(gain) on sale or disposal of assets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(4,987)</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(6,572)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398,175</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29.2%</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382,421</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25.7%</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15,754</w:t>
            </w:r>
          </w:p>
        </w:tc>
        <w:tc>
          <w:tcPr>
            <w:tcW w:w="1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4,222</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58,599</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(54,377)</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(92.8%)</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Floor plan interest expense</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(27,882)</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(20,810)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(7,072)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62"/>
        </w:trPr>
        <w:tc>
          <w:tcPr>
            <w:tcW w:w="3920" w:type="dxa"/>
            <w:vAlign w:val="bottom"/>
            <w:gridSpan w:val="2"/>
          </w:tcPr>
          <w:p>
            <w:pPr>
              <w:ind w:left="120"/>
              <w:spacing w:after="0"/>
              <w:rPr>
                <w:sz w:val="20"/>
                <w:szCs w:val="20"/>
                <w:color w:val="auto"/>
              </w:rPr>
            </w:pPr>
            <w:r>
              <w:rPr>
                <w:rFonts w:ascii="Arial" w:cs="Arial" w:eastAsia="Arial" w:hAnsi="Arial"/>
                <w:sz w:val="14"/>
                <w:szCs w:val="14"/>
                <w:color w:val="auto"/>
              </w:rPr>
              <w:t>Other interest expense, net</w:t>
            </w:r>
          </w:p>
        </w:tc>
        <w:tc>
          <w:tcPr>
            <w:tcW w:w="1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(36,094)</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(31,113)</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(4,981)</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Other expense, net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(1,500)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20" w:type="dxa"/>
            <w:vAlign w:val="bottom"/>
            <w:tcBorders>
              <w:bottom w:val="single" w:sz="8" w:color="CCEEFF"/>
            </w:tcBorders>
            <w:gridSpan w:val="2"/>
          </w:tcPr>
          <w:p>
            <w:pPr>
              <w:ind w:left="20"/>
              <w:spacing w:after="0" w:line="155" w:lineRule="exact"/>
              <w:rPr>
                <w:sz w:val="20"/>
                <w:szCs w:val="20"/>
                <w:color w:val="auto"/>
              </w:rPr>
            </w:pPr>
            <w:r>
              <w:rPr>
                <w:rFonts w:ascii="Arial" w:cs="Arial" w:eastAsia="Arial" w:hAnsi="Arial"/>
                <w:sz w:val="14"/>
                <w:szCs w:val="14"/>
                <w:color w:val="auto"/>
              </w:rPr>
              <w:t>Total other expense</w:t>
            </w: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(64,070)</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(53,423)</w:t>
            </w:r>
          </w:p>
        </w:tc>
        <w:tc>
          <w:tcPr>
            <w:tcW w:w="160" w:type="dxa"/>
            <w:vAlign w:val="bottom"/>
            <w:tcBorders>
              <w:bottom w:val="single" w:sz="8" w:color="CCEEFF"/>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(10,647)</w:t>
            </w:r>
          </w:p>
        </w:tc>
        <w:tc>
          <w:tcPr>
            <w:tcW w:w="16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20" w:type="dxa"/>
            <w:vAlign w:val="bottom"/>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(Loss) income before income taxes</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(59,848)</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(4.4%)</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5,176</w:t>
            </w: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(65,024)</w:t>
            </w: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49"/>
              <w:spacing w:after="0" w:line="155" w:lineRule="exact"/>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9,042</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(273)</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(0.0%)</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9,315</w:t>
            </w:r>
          </w:p>
        </w:tc>
        <w:tc>
          <w:tcPr>
            <w:tcW w:w="16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55"/>
        </w:trPr>
        <w:tc>
          <w:tcPr>
            <w:tcW w:w="3920" w:type="dxa"/>
            <w:vAlign w:val="bottom"/>
            <w:tcBorders>
              <w:top w:val="single" w:sz="8" w:color="CCEEFF"/>
            </w:tcBorders>
            <w:gridSpan w:val="2"/>
            <w:shd w:val="clear" w:color="auto" w:fill="CCEEFF"/>
          </w:tcPr>
          <w:p>
            <w:pPr>
              <w:ind w:left="20"/>
              <w:spacing w:after="0" w:line="155" w:lineRule="exact"/>
              <w:rPr>
                <w:sz w:val="20"/>
                <w:szCs w:val="20"/>
                <w:color w:val="auto"/>
              </w:rPr>
            </w:pPr>
            <w:r>
              <w:rPr>
                <w:rFonts w:ascii="Arial" w:cs="Arial" w:eastAsia="Arial" w:hAnsi="Arial"/>
                <w:sz w:val="14"/>
                <w:szCs w:val="14"/>
                <w:color w:val="auto"/>
              </w:rPr>
              <w:t>Net (loss) income</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(50,806)</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4,903</w:t>
            </w:r>
          </w:p>
        </w:tc>
        <w:tc>
          <w:tcPr>
            <w:tcW w:w="1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(55,709)</w:t>
            </w:r>
          </w:p>
        </w:tc>
        <w:tc>
          <w:tcPr>
            <w:tcW w:w="1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49"/>
              <w:spacing w:after="0" w:line="155" w:lineRule="exact"/>
              <w:rPr>
                <w:sz w:val="20"/>
                <w:szCs w:val="20"/>
                <w:color w:val="auto"/>
              </w:rPr>
            </w:pPr>
            <w:r>
              <w:rPr>
                <w:rFonts w:ascii="Arial" w:cs="Arial" w:eastAsia="Arial" w:hAnsi="Arial"/>
                <w:sz w:val="14"/>
                <w:szCs w:val="14"/>
                <w:color w:val="auto"/>
              </w:rPr>
              <w:t>n/m</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120"/>
          </w:cols>
          <w:pgMar w:left="1440" w:top="512" w:right="1339" w:bottom="1440" w:gutter="0" w:footer="0" w:header="0"/>
        </w:sectPr>
      </w:pPr>
    </w:p>
    <w:p>
      <w:pPr>
        <w:ind w:left="60"/>
        <w:spacing w:after="0" w:line="245" w:lineRule="auto"/>
        <w:rPr>
          <w:sz w:val="20"/>
          <w:szCs w:val="20"/>
          <w:color w:val="auto"/>
        </w:rPr>
      </w:pPr>
      <w:r>
        <w:rPr>
          <w:rFonts w:ascii="Arial" w:cs="Arial" w:eastAsia="Arial" w:hAnsi="Arial"/>
          <w:sz w:val="14"/>
          <w:szCs w:val="14"/>
          <w:color w:val="auto"/>
        </w:rPr>
        <w:t>Less: net loss (income) attributable to non-controlling interests</w:t>
      </w:r>
    </w:p>
    <w:p>
      <w:pPr>
        <w:ind w:left="60" w:right="20"/>
        <w:spacing w:after="0" w:line="264" w:lineRule="auto"/>
        <w:rPr>
          <w:sz w:val="20"/>
          <w:szCs w:val="20"/>
          <w:color w:val="auto"/>
        </w:rPr>
      </w:pPr>
      <w:r>
        <w:rPr>
          <w:rFonts w:ascii="Arial" w:cs="Arial" w:eastAsia="Arial" w:hAnsi="Arial"/>
          <w:sz w:val="14"/>
          <w:szCs w:val="14"/>
          <w:color w:val="auto"/>
        </w:rPr>
        <w:t>Net (loss) income attributable to Camping World Holdings, Inc.</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jc w:val="right"/>
              <w:spacing w:after="0"/>
              <w:rPr>
                <w:sz w:val="20"/>
                <w:szCs w:val="20"/>
                <w:color w:val="auto"/>
              </w:rPr>
            </w:pPr>
            <w:r>
              <w:rPr>
                <w:rFonts w:ascii="Arial" w:cs="Arial" w:eastAsia="Arial" w:hAnsi="Arial"/>
                <w:sz w:val="14"/>
                <w:szCs w:val="14"/>
                <w:color w:val="auto"/>
              </w:rPr>
              <w:t>28,499</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(1,734)</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(0.1%)</w:t>
            </w:r>
          </w:p>
        </w:tc>
        <w:tc>
          <w:tcPr>
            <w:tcW w:w="740" w:type="dxa"/>
            <w:vAlign w:val="bottom"/>
          </w:tcPr>
          <w:p>
            <w:pPr>
              <w:jc w:val="right"/>
              <w:spacing w:after="0"/>
              <w:rPr>
                <w:sz w:val="20"/>
                <w:szCs w:val="20"/>
                <w:color w:val="auto"/>
              </w:rPr>
            </w:pPr>
            <w:r>
              <w:rPr>
                <w:rFonts w:ascii="Arial" w:cs="Arial" w:eastAsia="Arial" w:hAnsi="Arial"/>
                <w:sz w:val="14"/>
                <w:szCs w:val="14"/>
                <w:color w:val="auto"/>
              </w:rPr>
              <w:t>30,233</w:t>
            </w:r>
          </w:p>
        </w:tc>
        <w:tc>
          <w:tcPr>
            <w:tcW w:w="160" w:type="dxa"/>
            <w:vAlign w:val="bottom"/>
          </w:tcPr>
          <w:p>
            <w:pPr>
              <w:spacing w:after="0"/>
              <w:rPr>
                <w:sz w:val="14"/>
                <w:szCs w:val="14"/>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auto"/>
              </w:rPr>
              <w:t>n/m</w:t>
            </w:r>
          </w:p>
        </w:tc>
      </w:tr>
      <w:tr>
        <w:trPr>
          <w:trHeight w:val="20"/>
        </w:trPr>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90"/>
        </w:trPr>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   (22,307)</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3,169</w:t>
            </w: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w:t>
            </w: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  (25,476)</w:t>
            </w:r>
          </w:p>
        </w:tc>
        <w:tc>
          <w:tcPr>
            <w:tcW w:w="700" w:type="dxa"/>
            <w:vAlign w:val="bottom"/>
          </w:tcPr>
          <w:p>
            <w:pPr>
              <w:ind w:left="340"/>
              <w:spacing w:after="0"/>
              <w:rPr>
                <w:sz w:val="20"/>
                <w:szCs w:val="20"/>
                <w:color w:val="auto"/>
              </w:rPr>
            </w:pPr>
            <w:r>
              <w:rPr>
                <w:rFonts w:ascii="Arial" w:cs="Arial" w:eastAsia="Arial" w:hAnsi="Arial"/>
                <w:sz w:val="14"/>
                <w:szCs w:val="14"/>
                <w:color w:val="auto"/>
              </w:rPr>
              <w:t>n/m</w:t>
            </w:r>
          </w:p>
        </w:tc>
      </w:tr>
      <w:tr>
        <w:trPr>
          <w:trHeight w:val="20"/>
        </w:trPr>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-222250</wp:posOffset>
            </wp:positionV>
            <wp:extent cx="576072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20574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3820" w:space="140"/>
            <w:col w:w="5160"/>
          </w:cols>
          <w:pgMar w:left="1440" w:top="512" w:right="1339" w:bottom="1440" w:gutter="0" w:footer="0" w:header="0"/>
          <w:type w:val="continuous"/>
        </w:sectPr>
      </w:pPr>
    </w:p>
    <w:p>
      <w:pPr>
        <w:spacing w:after="0" w:line="107" w:lineRule="exact"/>
        <w:rPr>
          <w:sz w:val="20"/>
          <w:szCs w:val="20"/>
          <w:color w:val="auto"/>
        </w:rPr>
      </w:pPr>
    </w:p>
    <w:p>
      <w:pPr>
        <w:ind w:left="60"/>
        <w:spacing w:after="0"/>
        <w:rPr>
          <w:sz w:val="20"/>
          <w:szCs w:val="20"/>
          <w:color w:val="auto"/>
        </w:rPr>
      </w:pPr>
      <w:r>
        <w:rPr>
          <w:rFonts w:ascii="Arial" w:cs="Arial" w:eastAsia="Arial" w:hAnsi="Arial"/>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20"/>
          </w:cols>
          <w:pgMar w:left="1440" w:top="512" w:right="1339" w:bottom="1440" w:gutter="0" w:footer="0" w:header="0"/>
          <w:type w:val="continuous"/>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120" w:type="dxa"/>
            <w:vAlign w:val="bottom"/>
            <w:gridSpan w:val="17"/>
          </w:tcPr>
          <w:p>
            <w:pPr>
              <w:ind w:left="20"/>
              <w:spacing w:after="0"/>
              <w:rPr>
                <w:sz w:val="20"/>
                <w:szCs w:val="20"/>
                <w:color w:val="auto"/>
              </w:rPr>
            </w:pPr>
            <w:r>
              <w:rPr>
                <w:rFonts w:ascii="Arial" w:cs="Arial" w:eastAsia="Arial" w:hAnsi="Arial"/>
                <w:sz w:val="14"/>
                <w:szCs w:val="14"/>
                <w:b w:val="1"/>
                <w:bCs w:val="1"/>
                <w:color w:val="auto"/>
              </w:rPr>
              <w:t>Supplemental Data</w:t>
            </w:r>
          </w:p>
        </w:tc>
        <w:tc>
          <w:tcPr>
            <w:tcW w:w="25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17"/>
                <w:szCs w:val="17"/>
                <w:color w:val="auto"/>
              </w:rPr>
            </w:pPr>
          </w:p>
        </w:tc>
        <w:tc>
          <w:tcPr>
            <w:tcW w:w="86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7"/>
                <w:szCs w:val="17"/>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48"/>
              <w:spacing w:after="0" w:line="155" w:lineRule="exact"/>
              <w:rPr>
                <w:sz w:val="20"/>
                <w:szCs w:val="20"/>
                <w:color w:val="auto"/>
              </w:rPr>
            </w:pPr>
            <w:r>
              <w:rPr>
                <w:rFonts w:ascii="Arial" w:cs="Arial" w:eastAsia="Arial" w:hAnsi="Arial"/>
                <w:sz w:val="14"/>
                <w:szCs w:val="14"/>
                <w:b w:val="1"/>
                <w:bCs w:val="1"/>
                <w:color w:val="auto"/>
              </w:rPr>
              <w:t>(decrease)</w:t>
            </w:r>
          </w:p>
        </w:tc>
        <w:tc>
          <w:tcPr>
            <w:tcW w:w="460" w:type="dxa"/>
            <w:vAlign w:val="bottom"/>
          </w:tcPr>
          <w:p>
            <w:pPr>
              <w:spacing w:after="0"/>
              <w:rPr>
                <w:sz w:val="13"/>
                <w:szCs w:val="13"/>
                <w:color w:val="auto"/>
              </w:rPr>
            </w:pPr>
          </w:p>
        </w:tc>
        <w:tc>
          <w:tcPr>
            <w:tcW w:w="8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gridSpan w:val="16"/>
            <w:shd w:val="clear" w:color="auto" w:fill="CCEEFF"/>
          </w:tcPr>
          <w:p>
            <w:pPr>
              <w:ind w:left="20"/>
              <w:spacing w:after="0" w:line="142" w:lineRule="exact"/>
              <w:rPr>
                <w:sz w:val="20"/>
                <w:szCs w:val="20"/>
                <w:color w:val="auto"/>
              </w:rPr>
            </w:pPr>
            <w:r>
              <w:rPr>
                <w:rFonts w:ascii="Arial" w:cs="Arial" w:eastAsia="Arial" w:hAnsi="Arial"/>
                <w:sz w:val="14"/>
                <w:szCs w:val="14"/>
                <w:color w:val="auto"/>
              </w:rPr>
              <w:t>Unit sales</w:t>
            </w: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New vehicles</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16,882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13,912</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2,970</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10,694</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12,432</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27,576</w:t>
            </w:r>
          </w:p>
        </w:tc>
        <w:tc>
          <w:tcPr>
            <w:tcW w:w="2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26,344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1,232</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selling price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20" w:type="dxa"/>
            <w:vAlign w:val="bottom"/>
            <w:tcBorders>
              <w:top w:val="single" w:sz="8" w:color="auto"/>
            </w:tcBorders>
            <w:gridSpan w:val="5"/>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80" w:type="dxa"/>
            <w:vAlign w:val="bottom"/>
            <w:gridSpan w:val="11"/>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38,863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46,489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(7,626)</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31,577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35,774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(4,197)</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00" w:type="dxa"/>
            <w:vAlign w:val="bottom"/>
            <w:gridSpan w:val="7"/>
            <w:vMerge w:val="restart"/>
          </w:tcPr>
          <w:p>
            <w:pPr>
              <w:ind w:left="20"/>
              <w:spacing w:after="0" w:line="149" w:lineRule="exact"/>
              <w:rPr>
                <w:sz w:val="20"/>
                <w:szCs w:val="20"/>
                <w:color w:val="auto"/>
              </w:rPr>
            </w:pPr>
            <w:r>
              <w:rPr>
                <w:rFonts w:ascii="Arial" w:cs="Arial" w:eastAsia="Arial" w:hAnsi="Arial"/>
                <w:sz w:val="14"/>
                <w:szCs w:val="14"/>
                <w:color w:val="auto"/>
              </w:rPr>
              <w:t>Same store unit sales</w:t>
            </w:r>
          </w:p>
        </w:tc>
        <w:tc>
          <w:tcPr>
            <w:tcW w:w="120" w:type="dxa"/>
            <w:vAlign w:val="bottom"/>
            <w:tcBorders>
              <w:bottom w:val="single" w:sz="8" w:color="auto"/>
            </w:tcBorders>
            <w:gridSpan w:val="2"/>
          </w:tcPr>
          <w:p>
            <w:pPr>
              <w:jc w:val="right"/>
              <w:spacing w:after="0" w:line="75" w:lineRule="exact"/>
              <w:rPr>
                <w:sz w:val="20"/>
                <w:szCs w:val="20"/>
                <w:color w:val="auto"/>
              </w:rPr>
            </w:pPr>
            <w:r>
              <w:rPr>
                <w:rFonts w:ascii="Arial" w:cs="Arial" w:eastAsia="Arial" w:hAnsi="Arial"/>
                <w:sz w:val="8"/>
                <w:szCs w:val="8"/>
                <w:color w:val="auto"/>
              </w:rPr>
              <w:t>(1)</w:t>
            </w:r>
          </w:p>
        </w:tc>
        <w:tc>
          <w:tcPr>
            <w:tcW w:w="14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340" w:type="dxa"/>
            <w:vAlign w:val="bottom"/>
            <w:vMerge w:val="restart"/>
          </w:tcPr>
          <w:p>
            <w:pPr>
              <w:spacing w:after="0"/>
              <w:rPr>
                <w:sz w:val="8"/>
                <w:szCs w:val="8"/>
                <w:color w:val="auto"/>
              </w:rPr>
            </w:pPr>
          </w:p>
        </w:tc>
        <w:tc>
          <w:tcPr>
            <w:tcW w:w="440" w:type="dxa"/>
            <w:vAlign w:val="bottom"/>
            <w:vMerge w:val="restart"/>
          </w:tcPr>
          <w:p>
            <w:pPr>
              <w:spacing w:after="0"/>
              <w:rPr>
                <w:sz w:val="8"/>
                <w:szCs w:val="8"/>
                <w:color w:val="auto"/>
              </w:rPr>
            </w:pPr>
          </w:p>
        </w:tc>
        <w:tc>
          <w:tcPr>
            <w:tcW w:w="320" w:type="dxa"/>
            <w:vAlign w:val="bottom"/>
            <w:vMerge w:val="restart"/>
          </w:tcPr>
          <w:p>
            <w:pPr>
              <w:spacing w:after="0"/>
              <w:rPr>
                <w:sz w:val="8"/>
                <w:szCs w:val="8"/>
                <w:color w:val="auto"/>
              </w:rPr>
            </w:pPr>
          </w:p>
        </w:tc>
        <w:tc>
          <w:tcPr>
            <w:tcW w:w="1200" w:type="dxa"/>
            <w:vAlign w:val="bottom"/>
            <w:gridSpan w:val="2"/>
            <w:vMerge w:val="restart"/>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400" w:type="dxa"/>
            <w:vAlign w:val="bottom"/>
            <w:gridSpan w:val="7"/>
            <w:vMerge w:val="continue"/>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32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1380" w:type="dxa"/>
            <w:vAlign w:val="bottom"/>
            <w:tcBorders>
              <w:top w:val="single" w:sz="8" w:color="auto"/>
            </w:tcBorders>
            <w:gridSpan w:val="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720" w:type="dxa"/>
            <w:vAlign w:val="bottom"/>
            <w:gridSpan w:val="10"/>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15,623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13,526</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2,097</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12,126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(2,096)</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25,653</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25,652</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300" w:type="dxa"/>
            <w:vAlign w:val="bottom"/>
            <w:tcBorders>
              <w:bottom w:val="single" w:sz="8" w:color="CCEEFF"/>
            </w:tcBorders>
            <w:gridSpan w:val="5"/>
            <w:vMerge w:val="restart"/>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Same store revenue</w:t>
            </w:r>
          </w:p>
        </w:tc>
        <w:tc>
          <w:tcPr>
            <w:tcW w:w="140" w:type="dxa"/>
            <w:vAlign w:val="bottom"/>
            <w:tcBorders>
              <w:bottom w:val="single" w:sz="8" w:color="auto"/>
            </w:tcBorders>
            <w:gridSpan w:val="3"/>
            <w:shd w:val="clear" w:color="auto" w:fill="CCEEFF"/>
          </w:tcPr>
          <w:p>
            <w:pPr>
              <w:jc w:val="right"/>
              <w:spacing w:after="0" w:line="75" w:lineRule="exact"/>
              <w:rPr>
                <w:sz w:val="20"/>
                <w:szCs w:val="20"/>
                <w:color w:val="auto"/>
              </w:rPr>
            </w:pPr>
            <w:r>
              <w:rPr>
                <w:rFonts w:ascii="Arial" w:cs="Arial" w:eastAsia="Arial" w:hAnsi="Arial"/>
                <w:sz w:val="8"/>
                <w:szCs w:val="8"/>
                <w:color w:val="auto"/>
              </w:rPr>
              <w:t>(1)</w:t>
            </w:r>
          </w:p>
        </w:tc>
        <w:tc>
          <w:tcPr>
            <w:tcW w:w="2680" w:type="dxa"/>
            <w:vAlign w:val="bottom"/>
            <w:tcBorders>
              <w:bottom w:val="single" w:sz="8" w:color="CCEEFF"/>
            </w:tcBorders>
            <w:gridSpan w:val="9"/>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rPr>
              <w:t>($ in 000s)</w:t>
            </w: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300" w:type="dxa"/>
            <w:vAlign w:val="bottom"/>
            <w:gridSpan w:val="5"/>
            <w:vMerge w:val="continue"/>
            <w:shd w:val="clear" w:color="auto" w:fill="CCEEFF"/>
          </w:tcPr>
          <w:p>
            <w:pPr>
              <w:spacing w:after="0"/>
              <w:rPr>
                <w:sz w:val="2"/>
                <w:szCs w:val="2"/>
                <w:color w:val="auto"/>
              </w:rPr>
            </w:pPr>
          </w:p>
        </w:tc>
        <w:tc>
          <w:tcPr>
            <w:tcW w:w="140" w:type="dxa"/>
            <w:vAlign w:val="bottom"/>
            <w:gridSpan w:val="3"/>
            <w:shd w:val="clear" w:color="auto" w:fill="CCEEFF"/>
          </w:tcPr>
          <w:p>
            <w:pPr>
              <w:spacing w:after="0"/>
              <w:rPr>
                <w:sz w:val="2"/>
                <w:szCs w:val="2"/>
                <w:color w:val="auto"/>
              </w:rPr>
            </w:pPr>
          </w:p>
        </w:tc>
        <w:tc>
          <w:tcPr>
            <w:tcW w:w="2680" w:type="dxa"/>
            <w:vAlign w:val="bottom"/>
            <w:gridSpan w:val="9"/>
            <w:vMerge w:val="continue"/>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tcPr>
          <w:p>
            <w:pPr>
              <w:spacing w:after="0"/>
              <w:rPr>
                <w:sz w:val="13"/>
                <w:szCs w:val="13"/>
                <w:color w:val="auto"/>
              </w:rPr>
            </w:pPr>
          </w:p>
        </w:tc>
        <w:tc>
          <w:tcPr>
            <w:tcW w:w="1280" w:type="dxa"/>
            <w:vAlign w:val="bottom"/>
            <w:tcBorders>
              <w:top w:val="single" w:sz="8" w:color="auto"/>
            </w:tcBorders>
            <w:gridSpan w:val="4"/>
          </w:tcPr>
          <w:p>
            <w:pPr>
              <w:ind w:left="100"/>
              <w:spacing w:after="0" w:line="155" w:lineRule="exact"/>
              <w:rPr>
                <w:sz w:val="20"/>
                <w:szCs w:val="20"/>
                <w:color w:val="auto"/>
              </w:rPr>
            </w:pPr>
            <w:r>
              <w:rPr>
                <w:rFonts w:ascii="Arial" w:cs="Arial" w:eastAsia="Arial" w:hAnsi="Arial"/>
                <w:sz w:val="14"/>
                <w:szCs w:val="14"/>
                <w:color w:val="auto"/>
              </w:rPr>
              <w:t>New vehicles</w:t>
            </w:r>
          </w:p>
        </w:tc>
        <w:tc>
          <w:tcPr>
            <w:tcW w:w="140" w:type="dxa"/>
            <w:vAlign w:val="bottom"/>
            <w:tcBorders>
              <w:top w:val="single" w:sz="8" w:color="CCEEFF"/>
            </w:tcBorders>
            <w:gridSpan w:val="3"/>
          </w:tcPr>
          <w:p>
            <w:pPr>
              <w:spacing w:after="0"/>
              <w:rPr>
                <w:sz w:val="13"/>
                <w:szCs w:val="13"/>
                <w:color w:val="auto"/>
              </w:rPr>
            </w:pPr>
          </w:p>
        </w:tc>
        <w:tc>
          <w:tcPr>
            <w:tcW w:w="720" w:type="dxa"/>
            <w:vAlign w:val="bottom"/>
            <w:tcBorders>
              <w:top w:val="single" w:sz="8" w:color="auto"/>
            </w:tcBorders>
            <w:gridSpan w:val="5"/>
          </w:tcPr>
          <w:p>
            <w:pPr>
              <w:spacing w:after="0"/>
              <w:rPr>
                <w:sz w:val="13"/>
                <w:szCs w:val="13"/>
                <w:color w:val="auto"/>
              </w:rPr>
            </w:pPr>
          </w:p>
        </w:tc>
        <w:tc>
          <w:tcPr>
            <w:tcW w:w="1960" w:type="dxa"/>
            <w:vAlign w:val="bottom"/>
            <w:tcBorders>
              <w:top w:val="single" w:sz="8" w:color="CCEEFF"/>
            </w:tcBorders>
            <w:gridSpan w:val="4"/>
          </w:tcPr>
          <w:p>
            <w:pPr>
              <w:spacing w:after="0"/>
              <w:rPr>
                <w:sz w:val="13"/>
                <w:szCs w:val="13"/>
                <w:color w:val="auto"/>
              </w:rPr>
            </w:pPr>
          </w:p>
        </w:tc>
        <w:tc>
          <w:tcPr>
            <w:tcW w:w="220" w:type="dxa"/>
            <w:vAlign w:val="bottom"/>
            <w:tcBorders>
              <w:top w:val="single" w:sz="8" w:color="CCEEFF"/>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606,808</w:t>
            </w:r>
          </w:p>
        </w:tc>
        <w:tc>
          <w:tcPr>
            <w:tcW w:w="20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630,290</w:t>
            </w:r>
          </w:p>
        </w:tc>
        <w:tc>
          <w:tcPr>
            <w:tcW w:w="22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rPr>
              <w:t>(23,482)</w:t>
            </w:r>
          </w:p>
        </w:tc>
        <w:tc>
          <w:tcPr>
            <w:tcW w:w="4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jc w:val="right"/>
              <w:spacing w:after="0" w:line="155" w:lineRule="exact"/>
              <w:rPr>
                <w:sz w:val="20"/>
                <w:szCs w:val="20"/>
                <w:color w:val="auto"/>
              </w:rPr>
            </w:pPr>
            <w:r>
              <w:rPr>
                <w:rFonts w:ascii="Arial" w:cs="Arial" w:eastAsia="Arial" w:hAnsi="Arial"/>
                <w:sz w:val="14"/>
                <w:szCs w:val="14"/>
                <w:color w:val="auto"/>
              </w:rPr>
              <w:t>(3.7%)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312,410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434,471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(122,061)</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144,382</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158,467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(14,085)</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127,064</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126,830</w:t>
            </w:r>
          </w:p>
        </w:tc>
        <w:tc>
          <w:tcPr>
            <w:tcW w:w="2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w:t>
            </w: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1,190,664</w:t>
            </w:r>
          </w:p>
        </w:tc>
        <w:tc>
          <w:tcPr>
            <w:tcW w:w="200" w:type="dxa"/>
            <w:vAlign w:val="bottom"/>
          </w:tcPr>
          <w:p>
            <w:pPr>
              <w:spacing w:after="0"/>
              <w:rPr>
                <w:sz w:val="13"/>
                <w:szCs w:val="13"/>
                <w:color w:val="auto"/>
              </w:rPr>
            </w:pPr>
          </w:p>
        </w:tc>
        <w:tc>
          <w:tcPr>
            <w:tcW w:w="22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1,350,058</w:t>
            </w:r>
          </w:p>
        </w:tc>
        <w:tc>
          <w:tcPr>
            <w:tcW w:w="2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(159,394)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Average gross profit per unit</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1800" w:type="dxa"/>
            <w:vAlign w:val="bottom"/>
            <w:tcBorders>
              <w:top w:val="single" w:sz="8" w:color="auto"/>
            </w:tcBorders>
            <w:gridSpan w:val="11"/>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2300" w:type="dxa"/>
            <w:vAlign w:val="bottom"/>
            <w:gridSpan w:val="5"/>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5,393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6,412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(1,019)</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5,531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8,269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(2,738)</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 per vehicle unit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4,926</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Total vehicle front-end yield</w:t>
            </w:r>
            <w:r>
              <w:rPr>
                <w:rFonts w:ascii="Arial" w:cs="Arial" w:eastAsia="Arial" w:hAnsi="Arial"/>
                <w:sz w:val="18"/>
                <w:szCs w:val="18"/>
                <w:color w:val="auto"/>
                <w:vertAlign w:val="superscript"/>
              </w:rPr>
              <w:t>(2)</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10,359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12,215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(1,856)</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Gross margin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Good Sam Services and Plans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66.8%</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65.2%</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161</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New vehicles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13.9%</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w:t>
            </w:r>
          </w:p>
        </w:tc>
        <w:tc>
          <w:tcPr>
            <w:tcW w:w="2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128"/>
              <w:spacing w:after="0"/>
              <w:rPr>
                <w:sz w:val="20"/>
                <w:szCs w:val="20"/>
                <w:color w:val="auto"/>
              </w:rPr>
            </w:pPr>
            <w:r>
              <w:rPr>
                <w:rFonts w:ascii="Arial" w:cs="Arial" w:eastAsia="Arial" w:hAnsi="Arial"/>
                <w:sz w:val="14"/>
                <w:szCs w:val="14"/>
                <w:color w:val="auto"/>
              </w:rPr>
              <w:t>(560) bps</w:t>
            </w: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Products, service and other</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42.8%</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498</w:t>
            </w:r>
          </w:p>
        </w:tc>
        <w:tc>
          <w:tcPr>
            <w:tcW w:w="20" w:type="dxa"/>
            <w:vAlign w:val="bottom"/>
          </w:tcPr>
          <w:p>
            <w:pPr>
              <w:spacing w:after="0"/>
              <w:rPr>
                <w:sz w:val="14"/>
                <w:szCs w:val="14"/>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Finance and insurance, net</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unch.</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Good Sam Club</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jc w:val="right"/>
              <w:ind w:right="128"/>
              <w:spacing w:after="0"/>
              <w:rPr>
                <w:sz w:val="20"/>
                <w:szCs w:val="20"/>
                <w:color w:val="auto"/>
              </w:rPr>
            </w:pPr>
            <w:r>
              <w:rPr>
                <w:rFonts w:ascii="Arial" w:cs="Arial" w:eastAsia="Arial" w:hAnsi="Arial"/>
                <w:sz w:val="14"/>
                <w:szCs w:val="14"/>
                <w:color w:val="auto"/>
              </w:rPr>
              <w:t>(24) bps</w:t>
            </w: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16"/>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 RV and Outdoor Retail</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28.2%</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28.5%</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w:t>
            </w:r>
          </w:p>
        </w:tc>
        <w:tc>
          <w:tcPr>
            <w:tcW w:w="480" w:type="dxa"/>
            <w:vAlign w:val="bottom"/>
            <w:tcBorders>
              <w:top w:val="single" w:sz="8" w:color="CCEEFF"/>
            </w:tcBorders>
            <w:gridSpan w:val="2"/>
            <w:shd w:val="clear" w:color="auto" w:fill="CCEEFF"/>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7"/>
                <w:szCs w:val="17"/>
                <w:color w:val="auto"/>
              </w:rPr>
            </w:pPr>
          </w:p>
        </w:tc>
        <w:tc>
          <w:tcPr>
            <w:tcW w:w="4100" w:type="dxa"/>
            <w:vAlign w:val="bottom"/>
            <w:tcBorders>
              <w:bottom w:val="single" w:sz="8" w:color="CCEEFF"/>
            </w:tcBorders>
            <w:gridSpan w:val="16"/>
          </w:tcPr>
          <w:p>
            <w:pPr>
              <w:ind w:left="100"/>
              <w:spacing w:after="0" w:line="155" w:lineRule="exact"/>
              <w:rPr>
                <w:sz w:val="20"/>
                <w:szCs w:val="20"/>
                <w:color w:val="auto"/>
              </w:rPr>
            </w:pPr>
            <w:r>
              <w:rPr>
                <w:rFonts w:ascii="Arial" w:cs="Arial" w:eastAsia="Arial" w:hAnsi="Arial"/>
                <w:sz w:val="14"/>
                <w:szCs w:val="14"/>
                <w:color w:val="auto"/>
              </w:rPr>
              <w:t>Total gross margin</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29.7%</w:t>
            </w:r>
          </w:p>
        </w:tc>
        <w:tc>
          <w:tcPr>
            <w:tcW w:w="2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w:t>
            </w:r>
          </w:p>
        </w:tc>
        <w:tc>
          <w:tcPr>
            <w:tcW w:w="480" w:type="dxa"/>
            <w:vAlign w:val="bottom"/>
            <w:tcBorders>
              <w:bottom w:val="single" w:sz="8" w:color="CCEEFF"/>
            </w:tcBorders>
            <w:gridSpan w:val="2"/>
          </w:tcPr>
          <w:p>
            <w:pPr>
              <w:jc w:val="right"/>
              <w:ind w:right="128"/>
              <w:spacing w:after="0" w:line="155" w:lineRule="exact"/>
              <w:rPr>
                <w:sz w:val="20"/>
                <w:szCs w:val="20"/>
                <w:color w:val="auto"/>
              </w:rPr>
            </w:pPr>
            <w:r>
              <w:rPr>
                <w:rFonts w:ascii="Arial" w:cs="Arial" w:eastAsia="Arial" w:hAnsi="Arial"/>
                <w:sz w:val="14"/>
                <w:szCs w:val="14"/>
                <w:color w:val="auto"/>
              </w:rPr>
              <w:t>bps</w:t>
            </w:r>
          </w:p>
        </w:tc>
        <w:tc>
          <w:tcPr>
            <w:tcW w:w="84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 xml:space="preserve">RV and Outdoor Retail inventories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2900" w:type="dxa"/>
            <w:vAlign w:val="bottom"/>
            <w:tcBorders>
              <w:top w:val="single" w:sz="8" w:color="auto"/>
            </w:tcBorders>
            <w:gridSpan w:val="14"/>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vehicles</w:t>
            </w:r>
          </w:p>
        </w:tc>
        <w:tc>
          <w:tcPr>
            <w:tcW w:w="1200" w:type="dxa"/>
            <w:vAlign w:val="bottom"/>
            <w:gridSpan w:val="2"/>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1,469,193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1,219,889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249,304</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389,810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510,689</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(120,879)</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Products, parts, accessories and misc.</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218,197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248,998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(30,801)</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5" w:lineRule="exact"/>
              <w:rPr>
                <w:sz w:val="20"/>
                <w:szCs w:val="20"/>
                <w:color w:val="auto"/>
              </w:rPr>
            </w:pPr>
            <w:r>
              <w:rPr>
                <w:rFonts w:ascii="Arial" w:cs="Arial" w:eastAsia="Arial" w:hAnsi="Arial"/>
                <w:sz w:val="14"/>
                <w:szCs w:val="14"/>
                <w:color w:val="auto"/>
              </w:rPr>
              <w:t>Total RV and Outdoor Retail inventories</w:t>
            </w: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2,077,200</w:t>
            </w:r>
          </w:p>
        </w:tc>
        <w:tc>
          <w:tcPr>
            <w:tcW w:w="20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1,979,576</w:t>
            </w:r>
          </w:p>
        </w:tc>
        <w:tc>
          <w:tcPr>
            <w:tcW w:w="22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97,624</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 xml:space="preserve">Vehicle inventory per location </w:t>
            </w:r>
            <w:r>
              <w:rPr>
                <w:rFonts w:ascii="Arial" w:cs="Arial" w:eastAsia="Arial" w:hAnsi="Arial"/>
                <w:sz w:val="14"/>
                <w:szCs w:val="14"/>
                <w:u w:val="single" w:color="auto"/>
                <w:color w:val="auto"/>
              </w:rPr>
              <w:t>(</w:t>
            </w:r>
            <w:r>
              <w:rPr>
                <w:rFonts w:ascii="Arial" w:cs="Arial" w:eastAsia="Arial" w:hAnsi="Arial"/>
                <w:sz w:val="14"/>
                <w:szCs w:val="14"/>
                <w:color w:val="auto"/>
              </w:rPr>
              <w:t>$ in 000s)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 inventory per dealer location</w:t>
            </w: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6,963</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6,489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474</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 inventory per dealer location</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1,847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(869)</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660" w:type="dxa"/>
            <w:vAlign w:val="bottom"/>
            <w:gridSpan w:val="10"/>
            <w:vMerge w:val="restart"/>
          </w:tcPr>
          <w:p>
            <w:pPr>
              <w:ind w:left="20"/>
              <w:spacing w:after="0" w:line="149" w:lineRule="exact"/>
              <w:rPr>
                <w:sz w:val="20"/>
                <w:szCs w:val="20"/>
                <w:color w:val="auto"/>
              </w:rPr>
            </w:pPr>
            <w:r>
              <w:rPr>
                <w:rFonts w:ascii="Arial" w:cs="Arial" w:eastAsia="Arial" w:hAnsi="Arial"/>
                <w:sz w:val="14"/>
                <w:szCs w:val="14"/>
                <w:color w:val="auto"/>
              </w:rPr>
              <w:t>Vehicle inventory turnover</w:t>
            </w:r>
          </w:p>
        </w:tc>
        <w:tc>
          <w:tcPr>
            <w:tcW w:w="140" w:type="dxa"/>
            <w:vAlign w:val="bottom"/>
            <w:tcBorders>
              <w:bottom w:val="single" w:sz="8" w:color="auto"/>
            </w:tcBorders>
          </w:tcPr>
          <w:p>
            <w:pPr>
              <w:jc w:val="right"/>
              <w:spacing w:after="0" w:line="75" w:lineRule="exact"/>
              <w:rPr>
                <w:sz w:val="20"/>
                <w:szCs w:val="20"/>
                <w:color w:val="auto"/>
              </w:rPr>
            </w:pPr>
            <w:r>
              <w:rPr>
                <w:rFonts w:ascii="Arial" w:cs="Arial" w:eastAsia="Arial" w:hAnsi="Arial"/>
                <w:sz w:val="8"/>
                <w:szCs w:val="8"/>
                <w:color w:val="auto"/>
              </w:rPr>
              <w:t>(3)</w:t>
            </w:r>
          </w:p>
        </w:tc>
        <w:tc>
          <w:tcPr>
            <w:tcW w:w="2320" w:type="dxa"/>
            <w:vAlign w:val="bottom"/>
            <w:gridSpan w:val="6"/>
            <w:vMerge w:val="restart"/>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4"/>
        </w:trPr>
        <w:tc>
          <w:tcPr>
            <w:tcW w:w="1660" w:type="dxa"/>
            <w:vAlign w:val="bottom"/>
            <w:gridSpan w:val="10"/>
            <w:vMerge w:val="continue"/>
          </w:tcPr>
          <w:p>
            <w:pPr>
              <w:spacing w:after="0"/>
              <w:rPr>
                <w:sz w:val="2"/>
                <w:szCs w:val="2"/>
                <w:color w:val="auto"/>
              </w:rPr>
            </w:pPr>
          </w:p>
        </w:tc>
        <w:tc>
          <w:tcPr>
            <w:tcW w:w="140" w:type="dxa"/>
            <w:vAlign w:val="bottom"/>
          </w:tcPr>
          <w:p>
            <w:pPr>
              <w:spacing w:after="0"/>
              <w:rPr>
                <w:sz w:val="2"/>
                <w:szCs w:val="2"/>
                <w:color w:val="auto"/>
              </w:rPr>
            </w:pPr>
          </w:p>
        </w:tc>
        <w:tc>
          <w:tcPr>
            <w:tcW w:w="2320" w:type="dxa"/>
            <w:vAlign w:val="bottom"/>
            <w:gridSpan w:val="6"/>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New vehicle inventory turnover</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1.7</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(0.3)</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Used vehicle inventory turnover</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20" w:type="dxa"/>
            <w:vAlign w:val="bottom"/>
            <w:gridSpan w:val="17"/>
          </w:tcPr>
          <w:p>
            <w:pPr>
              <w:ind w:left="20"/>
              <w:spacing w:after="0" w:line="149" w:lineRule="exact"/>
              <w:rPr>
                <w:sz w:val="20"/>
                <w:szCs w:val="20"/>
                <w:color w:val="auto"/>
              </w:rPr>
            </w:pPr>
            <w:r>
              <w:rPr>
                <w:rFonts w:ascii="Arial" w:cs="Arial" w:eastAsia="Arial" w:hAnsi="Arial"/>
                <w:sz w:val="14"/>
                <w:szCs w:val="14"/>
                <w:color w:val="auto"/>
              </w:rPr>
              <w:t>Retail locations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RV dealerships</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211</w:t>
            </w: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188</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w:t>
            </w: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RV service &amp; retail centers</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4100" w:type="dxa"/>
            <w:vAlign w:val="bottom"/>
            <w:tcBorders>
              <w:top w:val="single" w:sz="8" w:color="CCEEFF"/>
            </w:tcBorders>
            <w:gridSpan w:val="16"/>
            <w:shd w:val="clear" w:color="auto" w:fill="CCEEFF"/>
          </w:tcPr>
          <w:p>
            <w:pPr>
              <w:ind w:left="200"/>
              <w:spacing w:after="0" w:line="155" w:lineRule="exact"/>
              <w:rPr>
                <w:sz w:val="20"/>
                <w:szCs w:val="20"/>
                <w:color w:val="auto"/>
              </w:rPr>
            </w:pPr>
            <w:r>
              <w:rPr>
                <w:rFonts w:ascii="Arial" w:cs="Arial" w:eastAsia="Arial" w:hAnsi="Arial"/>
                <w:sz w:val="14"/>
                <w:szCs w:val="14"/>
                <w:color w:val="auto"/>
              </w:rPr>
              <w:t>Subtotal</w:t>
            </w: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w:t>
            </w:r>
          </w:p>
        </w:tc>
        <w:tc>
          <w:tcPr>
            <w:tcW w:w="2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194</w:t>
            </w:r>
          </w:p>
        </w:tc>
        <w:tc>
          <w:tcPr>
            <w:tcW w:w="2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w:t>
            </w:r>
          </w:p>
        </w:tc>
        <w:tc>
          <w:tcPr>
            <w:tcW w:w="2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Other retail stores</w:t>
            </w:r>
          </w:p>
        </w:tc>
        <w:tc>
          <w:tcPr>
            <w:tcW w:w="22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100" w:type="dxa"/>
            <w:vAlign w:val="bottom"/>
            <w:tcBorders>
              <w:top w:val="single" w:sz="8" w:color="CCEEFF"/>
              <w:bottom w:val="single" w:sz="8" w:color="CCEEFF"/>
            </w:tcBorders>
            <w:gridSpan w:val="16"/>
            <w:shd w:val="clear" w:color="auto" w:fill="CCEEFF"/>
          </w:tcPr>
          <w:p>
            <w:pPr>
              <w:ind w:left="100"/>
              <w:spacing w:after="0" w:line="155" w:lineRule="exact"/>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20" w:type="dxa"/>
            <w:vAlign w:val="bottom"/>
            <w:gridSpan w:val="17"/>
            <w:shd w:val="clear" w:color="auto" w:fill="CCEEFF"/>
          </w:tcPr>
          <w:p>
            <w:pPr>
              <w:ind w:left="20"/>
              <w:spacing w:after="0" w:line="149" w:lineRule="exact"/>
              <w:rPr>
                <w:sz w:val="20"/>
                <w:szCs w:val="20"/>
                <w:color w:val="auto"/>
              </w:rPr>
            </w:pPr>
            <w:r>
              <w:rPr>
                <w:rFonts w:ascii="Arial" w:cs="Arial" w:eastAsia="Arial" w:hAnsi="Arial"/>
                <w:sz w:val="14"/>
                <w:szCs w:val="14"/>
                <w:color w:val="auto"/>
              </w:rPr>
              <w:t>Other data</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100" w:type="dxa"/>
            <w:vAlign w:val="bottom"/>
            <w:gridSpan w:val="16"/>
          </w:tcPr>
          <w:p>
            <w:pPr>
              <w:ind w:left="100"/>
              <w:spacing w:after="0" w:line="156" w:lineRule="exact"/>
              <w:rPr>
                <w:sz w:val="20"/>
                <w:szCs w:val="20"/>
                <w:color w:val="auto"/>
              </w:rPr>
            </w:pPr>
            <w:r>
              <w:rPr>
                <w:rFonts w:ascii="Arial" w:cs="Arial" w:eastAsia="Arial" w:hAnsi="Arial"/>
                <w:sz w:val="13"/>
                <w:szCs w:val="13"/>
                <w:color w:val="auto"/>
              </w:rPr>
              <w:t>Active Customers</w:t>
            </w:r>
            <w:r>
              <w:rPr>
                <w:rFonts w:ascii="Arial" w:cs="Arial" w:eastAsia="Arial" w:hAnsi="Arial"/>
                <w:sz w:val="18"/>
                <w:szCs w:val="18"/>
                <w:color w:val="auto"/>
                <w:vertAlign w:val="superscript"/>
              </w:rPr>
              <w:t>(4)</w:t>
            </w: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4,827,623</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5,291,750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(464,127)</w:t>
            </w:r>
          </w:p>
        </w:tc>
        <w:tc>
          <w:tcPr>
            <w:tcW w:w="46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(8.8%)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line="162" w:lineRule="exact"/>
              <w:rPr>
                <w:sz w:val="20"/>
                <w:szCs w:val="20"/>
                <w:color w:val="auto"/>
              </w:rPr>
            </w:pPr>
            <w:r>
              <w:rPr>
                <w:rFonts w:ascii="Arial" w:cs="Arial" w:eastAsia="Arial" w:hAnsi="Arial"/>
                <w:sz w:val="13"/>
                <w:szCs w:val="13"/>
                <w:color w:val="auto"/>
              </w:rPr>
              <w:t xml:space="preserve">Good Sam Club members </w:t>
            </w:r>
            <w:r>
              <w:rPr>
                <w:rFonts w:ascii="Arial" w:cs="Arial" w:eastAsia="Arial" w:hAnsi="Arial"/>
                <w:sz w:val="18"/>
                <w:szCs w:val="18"/>
                <w:color w:val="auto"/>
                <w:vertAlign w:val="superscript"/>
              </w:rPr>
              <w:t>(5)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1,961,112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2,025,438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(64,326)</w:t>
            </w:r>
          </w:p>
        </w:tc>
        <w:tc>
          <w:tcPr>
            <w:tcW w:w="4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16"/>
          </w:tcPr>
          <w:p>
            <w:pPr>
              <w:ind w:left="100"/>
              <w:spacing w:after="0" w:line="162" w:lineRule="exact"/>
              <w:rPr>
                <w:sz w:val="20"/>
                <w:szCs w:val="20"/>
                <w:color w:val="auto"/>
              </w:rPr>
            </w:pPr>
            <w:r>
              <w:rPr>
                <w:rFonts w:ascii="Arial" w:cs="Arial" w:eastAsia="Arial" w:hAnsi="Arial"/>
                <w:sz w:val="13"/>
                <w:szCs w:val="13"/>
                <w:color w:val="auto"/>
              </w:rPr>
              <w:t xml:space="preserve">Service bays </w:t>
            </w:r>
            <w:r>
              <w:rPr>
                <w:rFonts w:ascii="Arial" w:cs="Arial" w:eastAsia="Arial" w:hAnsi="Arial"/>
                <w:sz w:val="18"/>
                <w:szCs w:val="18"/>
                <w:color w:val="auto"/>
                <w:vertAlign w:val="superscript"/>
              </w:rPr>
              <w:t>(6)</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4100" w:type="dxa"/>
            <w:vAlign w:val="bottom"/>
            <w:gridSpan w:val="16"/>
            <w:shd w:val="clear" w:color="auto" w:fill="CCEEFF"/>
          </w:tcPr>
          <w:p>
            <w:pPr>
              <w:ind w:left="100"/>
              <w:spacing w:after="0" w:line="153" w:lineRule="exact"/>
              <w:rPr>
                <w:sz w:val="20"/>
                <w:szCs w:val="20"/>
                <w:color w:val="auto"/>
              </w:rPr>
            </w:pPr>
            <w:r>
              <w:rPr>
                <w:rFonts w:ascii="Arial" w:cs="Arial" w:eastAsia="Arial" w:hAnsi="Arial"/>
                <w:sz w:val="14"/>
                <w:szCs w:val="14"/>
                <w:color w:val="auto"/>
              </w:rPr>
              <w:t>Finance and insurance gross profit as a % of total vehicle</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00" w:type="dxa"/>
            <w:vAlign w:val="bottom"/>
            <w:gridSpan w:val="16"/>
            <w:shd w:val="clear" w:color="auto" w:fill="CCEEFF"/>
          </w:tcPr>
          <w:p>
            <w:pPr>
              <w:ind w:left="100"/>
              <w:spacing w:after="0"/>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bps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gridSpan w:val="16"/>
          </w:tcPr>
          <w:p>
            <w:pPr>
              <w:ind w:left="100"/>
              <w:spacing w:after="0"/>
              <w:rPr>
                <w:sz w:val="20"/>
                <w:szCs w:val="20"/>
                <w:color w:val="auto"/>
              </w:rPr>
            </w:pPr>
            <w:r>
              <w:rPr>
                <w:rFonts w:ascii="Arial" w:cs="Arial" w:eastAsia="Arial" w:hAnsi="Arial"/>
                <w:sz w:val="14"/>
                <w:szCs w:val="14"/>
                <w:color w:val="auto"/>
              </w:rPr>
              <w:t>Same store locations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ind w:left="580"/>
              <w:spacing w:after="0"/>
              <w:rPr>
                <w:sz w:val="20"/>
                <w:szCs w:val="20"/>
                <w:color w:val="auto"/>
              </w:rPr>
            </w:pPr>
            <w:r>
              <w:rPr>
                <w:rFonts w:ascii="Arial" w:cs="Arial" w:eastAsia="Arial" w:hAnsi="Arial"/>
                <w:sz w:val="14"/>
                <w:szCs w:val="14"/>
                <w:color w:val="auto"/>
              </w:rPr>
              <w:t>n/a</w:t>
            </w:r>
          </w:p>
        </w:tc>
        <w:tc>
          <w:tcPr>
            <w:tcW w:w="80" w:type="dxa"/>
            <w:vAlign w:val="bottom"/>
          </w:tcPr>
          <w:p>
            <w:pPr>
              <w:spacing w:after="0"/>
              <w:rPr>
                <w:sz w:val="16"/>
                <w:szCs w:val="16"/>
                <w:color w:val="auto"/>
              </w:rPr>
            </w:pPr>
          </w:p>
        </w:tc>
        <w:tc>
          <w:tcPr>
            <w:tcW w:w="860" w:type="dxa"/>
            <w:vAlign w:val="bottom"/>
            <w:gridSpan w:val="2"/>
          </w:tcPr>
          <w:p>
            <w:pPr>
              <w:jc w:val="right"/>
              <w:ind w:right="8"/>
              <w:spacing w:after="0"/>
              <w:rPr>
                <w:sz w:val="20"/>
                <w:szCs w:val="20"/>
                <w:color w:val="auto"/>
              </w:rPr>
            </w:pPr>
            <w:r>
              <w:rPr>
                <w:rFonts w:ascii="Arial" w:cs="Arial" w:eastAsia="Arial" w:hAnsi="Arial"/>
                <w:sz w:val="14"/>
                <w:szCs w:val="14"/>
                <w:color w:val="auto"/>
              </w:rPr>
              <w:t>n/a</w:t>
            </w:r>
          </w:p>
        </w:tc>
        <w:tc>
          <w:tcPr>
            <w:tcW w:w="4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4"/>
          <w:szCs w:val="14"/>
          <w:color w:val="auto"/>
        </w:rPr>
        <w:t>unch – unchanged</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bps – basis points</w:t>
      </w:r>
    </w:p>
    <w:p>
      <w:pPr>
        <w:spacing w:after="0" w:line="109" w:lineRule="exact"/>
        <w:rPr>
          <w:sz w:val="20"/>
          <w:szCs w:val="20"/>
          <w:color w:val="auto"/>
        </w:rPr>
      </w:pPr>
    </w:p>
    <w:p>
      <w:pPr>
        <w:ind w:left="60"/>
        <w:spacing w:after="0"/>
        <w:rPr>
          <w:sz w:val="20"/>
          <w:szCs w:val="20"/>
          <w:color w:val="auto"/>
        </w:rPr>
      </w:pPr>
      <w:r>
        <w:rPr>
          <w:rFonts w:ascii="Arial" w:cs="Arial" w:eastAsia="Arial" w:hAnsi="Arial"/>
          <w:sz w:val="14"/>
          <w:szCs w:val="14"/>
          <w:color w:val="auto"/>
        </w:rPr>
        <w:t>n/a – not applicable</w:t>
      </w:r>
    </w:p>
    <w:p>
      <w:pPr>
        <w:spacing w:after="0" w:line="109" w:lineRule="exact"/>
        <w:rPr>
          <w:sz w:val="20"/>
          <w:szCs w:val="20"/>
          <w:color w:val="auto"/>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Our same store revenue and units calculations for a given period include only those stores that were open both at the end of the corresponding period and at the beginning of the preceding fiscal year.</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Front end yield is calculated as gross profit from new vehicles, used vehicles and finance and insurance (net), divided by combined new and used vehicle unit sales.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Inventory turnover is calculated as vehicle costs applicable to revenue over the last twelve months divided by the average quarterly ending vehicle inventory over the last twelve months.</w:t>
      </w:r>
    </w:p>
    <w:p>
      <w:pPr>
        <w:spacing w:after="0" w:line="39"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An Active Customer is a customer who has transacted with us in any of the eight most recently completed fiscal quarters prior to the date of measurement.</w:t>
      </w:r>
    </w:p>
    <w:p>
      <w:pPr>
        <w:spacing w:after="0" w:line="53" w:lineRule="exact"/>
        <w:rPr>
          <w:rFonts w:ascii="Arial" w:cs="Arial" w:eastAsia="Arial" w:hAnsi="Arial"/>
          <w:sz w:val="22"/>
          <w:szCs w:val="22"/>
          <w:color w:val="auto"/>
          <w:vertAlign w:val="superscript"/>
        </w:rPr>
      </w:pPr>
    </w:p>
    <w:p>
      <w:pPr>
        <w:ind w:left="380" w:right="79" w:hanging="330"/>
        <w:spacing w:after="0" w:line="204"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Excludes Good Sam Club members under the free basic plan, which was introduced in November 2023 and provides for limited participation in the loyalty point program without access to the remaining member benefits.</w:t>
      </w:r>
    </w:p>
    <w:p>
      <w:pPr>
        <w:ind w:left="380" w:hanging="330"/>
        <w:spacing w:after="0" w:line="217" w:lineRule="auto"/>
        <w:tabs>
          <w:tab w:leader="none" w:pos="380" w:val="left"/>
        </w:tabs>
        <w:numPr>
          <w:ilvl w:val="0"/>
          <w:numId w:val="27"/>
        </w:numPr>
        <w:rPr>
          <w:rFonts w:ascii="Arial" w:cs="Arial" w:eastAsia="Arial" w:hAnsi="Arial"/>
          <w:sz w:val="22"/>
          <w:szCs w:val="22"/>
          <w:color w:val="auto"/>
          <w:vertAlign w:val="superscript"/>
        </w:rPr>
      </w:pPr>
      <w:r>
        <w:rPr>
          <w:rFonts w:ascii="Arial" w:cs="Arial" w:eastAsia="Arial" w:hAnsi="Arial"/>
          <w:sz w:val="14"/>
          <w:szCs w:val="14"/>
          <w:color w:val="auto"/>
        </w:rPr>
        <w:t>A service bay is a fully-constructed bay dedicated to service, installation, and collision offerings.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Revenue and Gross Profit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Good Sam Services and Plans</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decreased slightly primarily from reduced contracts in force for our extended vehicle warranty programs, partially offset by increased contracts in force from the Good Sam Insurance Agency programs.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gross profit increased slightly from higher gross margin, which were partially offset by the revenue decrease described above. Good Sam Services and Plans gross margin increased primarily due to increased policies in force for the Good Sam Insurance Agency programs and reduced marketing expenses.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RV and Outdoor Retail</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Vehicles</w:t>
      </w:r>
    </w:p>
    <w:p>
      <w:pPr>
        <w:spacing w:after="0" w:line="212"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New vehicles revenue increased primarily due to a 21.3% increase in new vehicles sold, partially offset by a 16.4% decrease in the average selling price per new vehicle sold driven primarily by the lower cost 2024 model year travel trailers and discounting of pre-2024 model year new vehicles. On a same store basis, new vehicles revenue decreased 3.7% to $606.8 million with an increase in new vehicles sold of 15.5%, primarily due to a reduced average sales price per vehicle sold.</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New vehicle gross profit increased primarily due to the slight new vehicle revenue increase described above and a 16.5% decrease in the average cost per new vehicle sold that was driven by the lower cost 2024 model year new vehicles. The new vehicle gross margin increased slightly by 8 basis points as the lower cost per new vehicle sold was not entirely offset by decreases in the average selling price of new vehicles.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Used Vehicles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Used vehicles revenue decreased primarily due to a 14.0% reduction in used vehicles sold and an 11.7% decrease in the average selling price per used vehicle sold. These decreases were driven by the lower cost and selling price of 2024 model year new vehicles, which impacted used vehicles as discussed in “Industry Trends” above. On a same store basis, used vehicles revenue decreased 28.1% to $312.4 million and used vehicles sold decreased 17.3%.</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Used vehicles gross profit decreased primarily due to the used vehicle revenue decrease described above, partially offset by a 5.3% decrease in the average cost per used vehicle sold. Used vehicle gross margin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decreased primarily due to a lower average selling price per used vehicle sold, partially offset by a 5.3% reduction in cost per used vehicle sold.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service and other</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Products, service and other revenue decreased primarily due to a reduction in sales activity resulting from our Active Sports Restructuring and fewer used vehicles sold led to a decline in retail product attachment to vehicle sales, partially offset by increases in RV service revenue. On a same store basis, products, service and other revenue decreased 8.9% to $144.4 million for the three months ended March 31, 2024 from the three months ended March 31, 2023.</w:t>
      </w:r>
    </w:p>
    <w:p>
      <w:pPr>
        <w:spacing w:after="0" w:line="176"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Products, service and other gross profit decreased primarily due to the Active Sports Restructuring and the demand trends noted above. The increase in products, service and other gross margin was primarily due to higher labor billing rates on warranty service and improvements to the pricing strategy.</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Finance and Insurance, net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Finance and insurance revenue and gross profit is recorded net, since the Company is acting as an agent in the transaction, and commission is recognized when a finance and insurance product contract payment has been received or financing has been arranged. Finance and insurance, net revenue increased $5.7 million, which was primarily a result of an increased number of contracts sold and an increase in revenue per contract. Finance and insurance, net revenue as a percentage of new and used vehicle revenue was 13.6% for the three months ended March 31, 2024, an increase from 11.9% for the three months ended March 31, 2023. On a same store basis, finance and insurance, net revenue increased 0.2% versus the three months ended March 31, 2023.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Club</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Good Sam Club revenue and gross margin decreased slightly from the 3.2% decrease in Good Sam Club members, excluding free basic plan members. The decrease in Good Sam Club members resulted from reduced standard Good Sam Club membership enrollment from an increase in the standard membership price and the introduction of the free basic plan in late 2023 that provides for limited participation in the loyalty point program without access to the remaining member benefits. For the remainder of 2024, we expect to continue to see declines in the Good Sam Club members as a result of this price increase and the availability of the free basic plan.</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Operating Expenses and Other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Selling, general and administrative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Selling, general and administrative expenses increased primarily due to $8.0 million of additional advertising expenses, $2.6 million of additional professional fees and services, and $1.0 million of increased other expenses, partially offset by reduced employee compensation costs of $5.9 million, which included a decrease in equity-based compensation expense of $1.1 million.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Long-Lived Asset Impairment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discussed in Note 4 – Restructuring and Long-Lived Asset Impairment to our condensed consolidated financial statements included in Part I, Item 1 of this Form 10-Q, we recognized $5.8 million of long-lived asset impairments that were unrelated to restructuring activities during the three months ended March 31, 2024 compared to $7.0 million of long-lived asset impairments for the three months ended March 31, 2023 that related primarily to the Active Sports Restructuring.</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Floor plan 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significant increase in floor plan interest expense was primarily due to a 126 basis point increase in the average floor plan borrowing rate, and an increase in the average floor plan balance. The average interest</w:t>
      </w:r>
    </w:p>
    <w:p>
      <w:pPr>
        <w:sectPr>
          <w:pgSz w:w="11900" w:h="16838" w:orient="portrait"/>
          <w:cols w:equalWidth="0" w:num="1">
            <w:col w:w="9019"/>
          </w:cols>
          <w:pgMar w:left="1440" w:top="512" w:right="1440"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rate for the Floor Plan Facility for the three months ended March 31, 2024 and 2023 was 7.68% and 6.42%,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interest expense, net</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Other interest expense, net increased primarily due to a 77 basis point increase in the Term Loan Facility average interest rate and a higher average principal balance from additional borrowings on the Company’s Real Estate Facilities (see Note 7 – Long-Term Debt to our condensed consolidated financial statements included in Part I, Item 1 of this Form 10-Q). The average interest rate for the Term Loan Facility for the three months ended March 31, 2024 and 2023 was 7.97% and 7.20%,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Income tax (benefit)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reduction of income tax expense to an income tax benefit was primarily due to losses generated from CWGS, LLC for which the Company is subject to U.S. federal and state taxes on its allocable share.</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Segment Results</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sets forth a reconciliation of total segment income to consolidated income before income taxes for each of our segments for the periods presented:</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Three Months Ended</w:t>
            </w:r>
          </w:p>
        </w:tc>
        <w:tc>
          <w:tcPr>
            <w:tcW w:w="7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restart"/>
          </w:tcPr>
          <w:p>
            <w:pPr>
              <w:jc w:val="center"/>
              <w:ind w:left="290"/>
              <w:spacing w:after="0"/>
              <w:rPr>
                <w:sz w:val="20"/>
                <w:szCs w:val="20"/>
                <w:color w:val="auto"/>
              </w:rPr>
            </w:pPr>
            <w:r>
              <w:rPr>
                <w:rFonts w:ascii="Arial" w:cs="Arial" w:eastAsia="Arial" w:hAnsi="Arial"/>
                <w:sz w:val="13"/>
                <w:szCs w:val="13"/>
                <w:b w:val="1"/>
                <w:bCs w:val="1"/>
                <w:color w:val="auto"/>
                <w:w w:val="98"/>
              </w:rPr>
              <w:t>Favorable/</w:t>
            </w: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4"/>
          </w:tcPr>
          <w:p>
            <w:pPr>
              <w:ind w:left="280"/>
              <w:spacing w:after="0" w:line="142" w:lineRule="exact"/>
              <w:rPr>
                <w:sz w:val="20"/>
                <w:szCs w:val="20"/>
                <w:color w:val="auto"/>
              </w:rPr>
            </w:pPr>
            <w:r>
              <w:rPr>
                <w:rFonts w:ascii="Arial" w:cs="Arial" w:eastAsia="Arial" w:hAnsi="Arial"/>
                <w:sz w:val="13"/>
                <w:szCs w:val="13"/>
                <w:b w:val="1"/>
                <w:bCs w:val="1"/>
                <w:color w:val="auto"/>
              </w:rPr>
              <w:t>March 31, 2024</w:t>
            </w:r>
          </w:p>
        </w:tc>
        <w:tc>
          <w:tcPr>
            <w:tcW w:w="140" w:type="dxa"/>
            <w:vAlign w:val="bottom"/>
          </w:tcPr>
          <w:p>
            <w:pPr>
              <w:spacing w:after="0"/>
              <w:rPr>
                <w:sz w:val="12"/>
                <w:szCs w:val="12"/>
                <w:color w:val="auto"/>
              </w:rPr>
            </w:pPr>
          </w:p>
        </w:tc>
        <w:tc>
          <w:tcPr>
            <w:tcW w:w="1600" w:type="dxa"/>
            <w:vAlign w:val="bottom"/>
            <w:gridSpan w:val="3"/>
          </w:tcPr>
          <w:p>
            <w:pPr>
              <w:jc w:val="right"/>
              <w:ind w:right="349"/>
              <w:spacing w:after="0" w:line="142" w:lineRule="exact"/>
              <w:rPr>
                <w:sz w:val="20"/>
                <w:szCs w:val="20"/>
                <w:color w:val="auto"/>
              </w:rPr>
            </w:pPr>
            <w:r>
              <w:rPr>
                <w:rFonts w:ascii="Arial" w:cs="Arial" w:eastAsia="Arial" w:hAnsi="Arial"/>
                <w:sz w:val="13"/>
                <w:szCs w:val="13"/>
                <w:b w:val="1"/>
                <w:bCs w:val="1"/>
                <w:color w:val="auto"/>
              </w:rPr>
              <w:t>March 31, 2023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3"/>
                <w:szCs w:val="13"/>
                <w:b w:val="1"/>
                <w:bCs w:val="1"/>
                <w:color w:val="auto"/>
                <w:w w:val="97"/>
              </w:rPr>
              <w:t>Percent of</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Percent of</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5"/>
          </w:tcPr>
          <w:p>
            <w:pPr>
              <w:jc w:val="center"/>
              <w:ind w:right="180"/>
              <w:spacing w:after="0" w:line="142" w:lineRule="exact"/>
              <w:rPr>
                <w:sz w:val="20"/>
                <w:szCs w:val="20"/>
                <w:color w:val="auto"/>
              </w:rPr>
            </w:pPr>
            <w:r>
              <w:rPr>
                <w:rFonts w:ascii="Arial" w:cs="Arial" w:eastAsia="Arial" w:hAnsi="Arial"/>
                <w:sz w:val="13"/>
                <w:szCs w:val="13"/>
                <w:b w:val="1"/>
                <w:bCs w:val="1"/>
                <w:color w:val="auto"/>
                <w:w w:val="95"/>
              </w:rPr>
              <w:t>(Unfavorable)</w:t>
            </w:r>
          </w:p>
        </w:tc>
        <w:tc>
          <w:tcPr>
            <w:tcW w:w="0" w:type="dxa"/>
            <w:vAlign w:val="bottom"/>
          </w:tcPr>
          <w:p>
            <w:pPr>
              <w:spacing w:after="0"/>
              <w:rPr>
                <w:sz w:val="1"/>
                <w:szCs w:val="1"/>
                <w:color w:val="auto"/>
              </w:rPr>
            </w:pPr>
          </w:p>
        </w:tc>
      </w:tr>
      <w:tr>
        <w:trPr>
          <w:trHeight w:val="142"/>
        </w:trPr>
        <w:tc>
          <w:tcPr>
            <w:tcW w:w="3460" w:type="dxa"/>
            <w:vAlign w:val="bottom"/>
            <w:gridSpan w:val="2"/>
          </w:tcPr>
          <w:p>
            <w:pPr>
              <w:ind w:left="20"/>
              <w:spacing w:after="0" w:line="142" w:lineRule="exact"/>
              <w:rPr>
                <w:sz w:val="20"/>
                <w:szCs w:val="20"/>
                <w:color w:val="auto"/>
              </w:rPr>
            </w:pPr>
            <w:r>
              <w:rPr>
                <w:rFonts w:ascii="Arial" w:cs="Arial" w:eastAsia="Arial" w:hAnsi="Arial"/>
                <w:sz w:val="13"/>
                <w:szCs w:val="13"/>
                <w:color w:val="auto"/>
              </w:rPr>
              <w:t>($ in thousands)</w:t>
            </w:r>
          </w:p>
        </w:tc>
        <w:tc>
          <w:tcPr>
            <w:tcW w:w="140" w:type="dxa"/>
            <w:vAlign w:val="bottom"/>
          </w:tcPr>
          <w:p>
            <w:pPr>
              <w:spacing w:after="0"/>
              <w:rPr>
                <w:sz w:val="12"/>
                <w:szCs w:val="12"/>
                <w:color w:val="auto"/>
              </w:rPr>
            </w:pPr>
          </w:p>
        </w:tc>
        <w:tc>
          <w:tcPr>
            <w:tcW w:w="860" w:type="dxa"/>
            <w:vAlign w:val="bottom"/>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rPr>
              <w:t>Amount</w:t>
            </w:r>
          </w:p>
        </w:tc>
        <w:tc>
          <w:tcPr>
            <w:tcW w:w="860" w:type="dxa"/>
            <w:vAlign w:val="bottom"/>
            <w:gridSpan w:val="2"/>
          </w:tcPr>
          <w:p>
            <w:pPr>
              <w:jc w:val="center"/>
              <w:ind w:right="120"/>
              <w:spacing w:after="0" w:line="142" w:lineRule="exact"/>
              <w:rPr>
                <w:sz w:val="20"/>
                <w:szCs w:val="20"/>
                <w:color w:val="auto"/>
              </w:rPr>
            </w:pPr>
            <w:r>
              <w:rPr>
                <w:rFonts w:ascii="Arial" w:cs="Arial" w:eastAsia="Arial" w:hAnsi="Arial"/>
                <w:sz w:val="13"/>
                <w:szCs w:val="13"/>
                <w:b w:val="1"/>
                <w:bCs w:val="1"/>
                <w:color w:val="auto"/>
                <w:w w:val="99"/>
              </w:rPr>
              <w:t>Revenue</w:t>
            </w:r>
          </w:p>
        </w:tc>
        <w:tc>
          <w:tcPr>
            <w:tcW w:w="140" w:type="dxa"/>
            <w:vAlign w:val="bottom"/>
          </w:tcPr>
          <w:p>
            <w:pPr>
              <w:spacing w:after="0"/>
              <w:rPr>
                <w:sz w:val="12"/>
                <w:szCs w:val="12"/>
                <w:color w:val="auto"/>
              </w:rPr>
            </w:pPr>
          </w:p>
        </w:tc>
        <w:tc>
          <w:tcPr>
            <w:tcW w:w="860" w:type="dxa"/>
            <w:vAlign w:val="bottom"/>
            <w:gridSpan w:val="2"/>
          </w:tcPr>
          <w:p>
            <w:pPr>
              <w:ind w:left="60"/>
              <w:spacing w:after="0" w:line="142" w:lineRule="exact"/>
              <w:rPr>
                <w:sz w:val="20"/>
                <w:szCs w:val="20"/>
                <w:color w:val="auto"/>
              </w:rPr>
            </w:pPr>
            <w:r>
              <w:rPr>
                <w:rFonts w:ascii="Arial" w:cs="Arial" w:eastAsia="Arial" w:hAnsi="Arial"/>
                <w:sz w:val="13"/>
                <w:szCs w:val="13"/>
                <w:b w:val="1"/>
                <w:bCs w:val="1"/>
                <w:color w:val="auto"/>
              </w:rPr>
              <w:t>Amount</w:t>
            </w:r>
          </w:p>
        </w:tc>
        <w:tc>
          <w:tcPr>
            <w:tcW w:w="880" w:type="dxa"/>
            <w:vAlign w:val="bottom"/>
            <w:gridSpan w:val="2"/>
          </w:tcPr>
          <w:p>
            <w:pPr>
              <w:jc w:val="right"/>
              <w:ind w:right="240"/>
              <w:spacing w:after="0" w:line="142" w:lineRule="exact"/>
              <w:rPr>
                <w:sz w:val="20"/>
                <w:szCs w:val="20"/>
                <w:color w:val="auto"/>
              </w:rPr>
            </w:pPr>
            <w:r>
              <w:rPr>
                <w:rFonts w:ascii="Arial" w:cs="Arial" w:eastAsia="Arial" w:hAnsi="Arial"/>
                <w:sz w:val="13"/>
                <w:szCs w:val="13"/>
                <w:b w:val="1"/>
                <w:bCs w:val="1"/>
                <w:color w:val="auto"/>
              </w:rPr>
              <w:t>Revenue</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30"/>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209"/>
              <w:spacing w:after="0" w:line="142"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2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Revenue:</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120"/>
              <w:spacing w:after="0"/>
              <w:rPr>
                <w:sz w:val="20"/>
                <w:szCs w:val="20"/>
                <w:color w:val="auto"/>
              </w:rPr>
            </w:pPr>
            <w:r>
              <w:rPr>
                <w:rFonts w:ascii="Arial" w:cs="Arial" w:eastAsia="Arial" w:hAnsi="Arial"/>
                <w:sz w:val="14"/>
                <w:szCs w:val="14"/>
                <w:color w:val="auto"/>
              </w:rPr>
              <w:t>Good Sam Services and Plans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46,611</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46,963</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w:t>
            </w:r>
          </w:p>
        </w:tc>
        <w:tc>
          <w:tcPr>
            <w:tcW w:w="14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(352)</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RV and Outdoor Retail</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1,321,057</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1,443,339</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(122,282)</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120"/>
              <w:spacing w:after="0"/>
              <w:rPr>
                <w:sz w:val="20"/>
                <w:szCs w:val="20"/>
                <w:color w:val="auto"/>
              </w:rPr>
            </w:pPr>
            <w:r>
              <w:rPr>
                <w:rFonts w:ascii="Arial" w:cs="Arial" w:eastAsia="Arial" w:hAnsi="Arial"/>
                <w:sz w:val="14"/>
                <w:szCs w:val="14"/>
                <w:color w:val="auto"/>
              </w:rPr>
              <w:t>Elimination of intersegment revenue</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(3,651)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(3,422)</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(229)</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60" w:type="dxa"/>
            <w:vAlign w:val="bottom"/>
            <w:tcBorders>
              <w:top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Total consolidated revenue</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1,364,017</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1,486,880</w:t>
            </w: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(122,863)</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20"/>
              <w:spacing w:after="0" w:line="162" w:lineRule="exact"/>
              <w:rPr>
                <w:sz w:val="20"/>
                <w:szCs w:val="20"/>
                <w:color w:val="auto"/>
              </w:rPr>
            </w:pPr>
            <w:r>
              <w:rPr>
                <w:rFonts w:ascii="Arial" w:cs="Arial" w:eastAsia="Arial" w:hAnsi="Arial"/>
                <w:sz w:val="13"/>
                <w:szCs w:val="13"/>
                <w:color w:val="auto"/>
              </w:rPr>
              <w:t>Segment (loss) income</w:t>
            </w:r>
            <w:r>
              <w:rPr>
                <w:rFonts w:ascii="Arial" w:cs="Arial" w:eastAsia="Arial" w:hAnsi="Arial"/>
                <w:sz w:val="18"/>
                <w:szCs w:val="18"/>
                <w:color w:val="auto"/>
                <w:vertAlign w:val="superscript"/>
              </w:rPr>
              <w:t>(1)</w:t>
            </w: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Good Sam Services and Plans</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22,583</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23,619</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(1,036)</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120"/>
              <w:spacing w:after="0"/>
              <w:rPr>
                <w:sz w:val="20"/>
                <w:szCs w:val="20"/>
                <w:color w:val="auto"/>
              </w:rPr>
            </w:pPr>
            <w:r>
              <w:rPr>
                <w:rFonts w:ascii="Arial" w:cs="Arial" w:eastAsia="Arial" w:hAnsi="Arial"/>
                <w:sz w:val="14"/>
                <w:szCs w:val="14"/>
                <w:color w:val="auto"/>
              </w:rPr>
              <w:t>RV and Outdoor Retail</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(23,391)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32,584</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(55,975)</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n/m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60" w:type="dxa"/>
            <w:vAlign w:val="bottom"/>
            <w:tcBorders>
              <w:top w:val="single" w:sz="8" w:color="CCEEFF"/>
            </w:tcBorders>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Total segment (loss) income</w:t>
            </w:r>
          </w:p>
        </w:tc>
        <w:tc>
          <w:tcPr>
            <w:tcW w:w="1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(808)</w:t>
            </w:r>
          </w:p>
        </w:tc>
        <w:tc>
          <w:tcPr>
            <w:tcW w:w="14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(0.1%)</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56,203</w:t>
            </w:r>
          </w:p>
        </w:tc>
        <w:tc>
          <w:tcPr>
            <w:tcW w:w="1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w:t>
            </w:r>
          </w:p>
        </w:tc>
        <w:tc>
          <w:tcPr>
            <w:tcW w:w="1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(57,011)</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Corporate &amp; other</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(3,562)</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(3,777)</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(19,290)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(14,637)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(4,653)</w:t>
            </w: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Other interest expense, net</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(36,094)</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(31,113)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(4,981)</w:t>
            </w: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expense, net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460" w:type="dxa"/>
            <w:vAlign w:val="bottom"/>
            <w:tcBorders>
              <w:bottom w:val="single" w:sz="8" w:color="CCEEFF"/>
            </w:tcBorders>
            <w:gridSpan w:val="2"/>
          </w:tcPr>
          <w:p>
            <w:pPr>
              <w:ind w:left="120"/>
              <w:spacing w:after="0" w:line="155" w:lineRule="exact"/>
              <w:rPr>
                <w:sz w:val="20"/>
                <w:szCs w:val="20"/>
                <w:color w:val="auto"/>
              </w:rPr>
            </w:pPr>
            <w:r>
              <w:rPr>
                <w:rFonts w:ascii="Arial" w:cs="Arial" w:eastAsia="Arial" w:hAnsi="Arial"/>
                <w:sz w:val="14"/>
                <w:szCs w:val="14"/>
                <w:color w:val="auto"/>
              </w:rPr>
              <w:t>(Loss) income before income taxes</w:t>
            </w: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(59,848)</w:t>
            </w:r>
          </w:p>
        </w:tc>
        <w:tc>
          <w:tcPr>
            <w:tcW w:w="14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5,176</w:t>
            </w:r>
          </w:p>
        </w:tc>
        <w:tc>
          <w:tcPr>
            <w:tcW w:w="120" w:type="dxa"/>
            <w:vAlign w:val="bottom"/>
            <w:tcBorders>
              <w:bottom w:val="single" w:sz="8" w:color="CCEEFF"/>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(65,024)</w:t>
            </w:r>
          </w:p>
        </w:tc>
        <w:tc>
          <w:tcPr>
            <w:tcW w:w="1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n/m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Same store revenue- RV and Outdoor Retail</w:t>
            </w:r>
            <w:r>
              <w:rPr>
                <w:rFonts w:ascii="Arial" w:cs="Arial" w:eastAsia="Arial" w:hAnsi="Arial"/>
                <w:sz w:val="21"/>
                <w:szCs w:val="2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1,190,664</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1,350,058</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(159,394)</w:t>
            </w:r>
          </w:p>
        </w:tc>
        <w:tc>
          <w:tcPr>
            <w:tcW w:w="1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(11.8%)</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460" w:type="dxa"/>
            <w:vAlign w:val="bottom"/>
            <w:gridSpan w:val="2"/>
          </w:tcPr>
          <w:p>
            <w:pPr>
              <w:ind w:left="20"/>
              <w:spacing w:after="0"/>
              <w:rPr>
                <w:sz w:val="20"/>
                <w:szCs w:val="20"/>
                <w:color w:val="auto"/>
              </w:rPr>
            </w:pPr>
            <w:r>
              <w:rPr>
                <w:rFonts w:ascii="Arial" w:cs="Arial" w:eastAsia="Arial" w:hAnsi="Arial"/>
                <w:sz w:val="14"/>
                <w:szCs w:val="14"/>
                <w:color w:val="auto"/>
              </w:rPr>
              <w:t>n/m – not meaningful</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80" w:right="159" w:hanging="330"/>
        <w:spacing w:after="0" w:line="204"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Segment income represents income for each of our reportable segments and is defined as income from operations before depreciation and amortization, plus floor plan interest expense.</w:t>
      </w:r>
    </w:p>
    <w:p>
      <w:pPr>
        <w:ind w:left="380" w:hanging="330"/>
        <w:spacing w:after="0" w:line="230" w:lineRule="auto"/>
        <w:tabs>
          <w:tab w:leader="none" w:pos="380" w:val="left"/>
        </w:tabs>
        <w:numPr>
          <w:ilvl w:val="0"/>
          <w:numId w:val="28"/>
        </w:numPr>
        <w:rPr>
          <w:rFonts w:ascii="Arial" w:cs="Arial" w:eastAsia="Arial" w:hAnsi="Arial"/>
          <w:sz w:val="22"/>
          <w:szCs w:val="22"/>
          <w:color w:val="auto"/>
          <w:vertAlign w:val="superscript"/>
        </w:rPr>
      </w:pPr>
      <w:r>
        <w:rPr>
          <w:rFonts w:ascii="Arial" w:cs="Arial" w:eastAsia="Arial" w:hAnsi="Arial"/>
          <w:sz w:val="14"/>
          <w:szCs w:val="14"/>
          <w:color w:val="auto"/>
        </w:rPr>
        <w:t>Same store revenue definition not applicable to the Good Sam Services and Plans segment.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color w:val="auto"/>
        </w:rPr>
        <w:t>Good Sam Services and Plans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Good Sam Services and Plans revenue decreased slightly primarily from reduced contracts in force for our extended vehicle warranty programs, partially offset by increased contracts in force from the Good Sam Insurance Agency programs.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Good Sam Services and Plans segment income decreased primarily due to reduced contracts in force for our extended vehicle warranty programs and increased general and administrative expenses, resulting from increased advertising and outside service fees. Segment income margin decreased 184 basis points to 48.4% primarily due to increased general and administrative expenses.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RV and Outdoor Retail</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RV and Outdoor Retail segment revenue decreased primarily due to a $107.2 million, or 24.1%, decrease in used vehicles revenue, a $29.8 million, or 14.3%, decrease in products, service and other revenue, and a $0.4 million, or 3.2%, decrease in Good Sam Club revenue, partially offset by a $9.6 million, or 1.5%, increase in new vehicles revenue, and a $5.5 million, or 4.3%, increase in finance and insurance, net revenue.</w:t>
      </w:r>
    </w:p>
    <w:p>
      <w:pPr>
        <w:spacing w:after="0" w:line="17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RV and Outdoor Retail segment income decreased primarily due to decreased segment gross profit of $39.0 million primarily relating to reduced volume and average sales price of used vehicles sold, a $7.1 million increase in floor plan interest expense, a $6.6 million increase in loss on sale or disposal of assets, and a $4.5 million increase in selling, general and administrative expenses (see discussion of selling, general and administrative expenses above for the similar drivers of this change), partially offset by a $1.2 million reduction in long-lived asset impairment. RV and Outdoor Retail segment income (loss) margin decreased 403 basis points to (1.8%) for the three months ended March 31, 2024 from the three months ended March 31, 2023 primarily due a lower volume of used vehicles sold and a lower average price per vehicle sold.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21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accounting principles generally accepted in the United States (“GAAP”), we use the following non-GAAP financial measures: EBITDA, Adjusted EBITDA, Adjusted EBITDA Margin, Adjusted Net (Loss) Income Attributable to Camping World Holdings, Inc. – Basic, Adjusted Net (Loss) Income Attributable to Camping World Holdings, Inc. – Diluted, Adjusted (Loss) Earnings Per Share – Basic, and Adjusted (Loss) Earnings Per Share – Diluted (collectively the "Non-GAAP Financial Measures"). We believe that these Non-GAAP Financial Measures, when used in conjunction with GAAP financial measures, provide useful information about operating results, enhance the overall understanding of past financial performance and future prospects, and allow for greater transparency with respect to the key metrics we use in our financial and operational decision making. These Non-GAAP Financial Measures are also frequently used by analysts, investors and other interested parties to evaluate companies in the Company’s industry and are used by management to evaluate our operating performance, to evaluate the effectiveness of strategic initiatives, and for planning purposes. By providing these Non-GAAP Financial Measures, together with reconciliations, we believe we are enhancing investors’ understanding of our business and our results of operations, as well as assisting investors in evaluating how well we are executing our strategic initiatives. In addition, our Senior Secured Credit Facilities use Adjusted EBITDA, as calculated for our subsidiary CWGS Group, LLC, to measure our compliance with covenants such as the consolidated leverage ratio. The Non-GAAP Financial Measures have limitations as analytical tools, and the presentation of this financial information is not intended to be considered in isolation or as a substitute for, or superior to, the financial information prepared and presented in accordance with GAAP. They should not be construed as an inference that the Company’s future results will be unaffected by any items adjusted for in these Non-GAAP Financial Measures. In evaluating these Non-GAAP Financial Measures, it is reasonable to expect that certain of these items will occur in future periods. However, we believe these adjustments are appropriate because the amounts recognized can vary significantly from period to period, do not directly relate to the ongoing operations of our business and complicate comparisons of our internal operating results and operating results of other companies over time. Each of the normal recurring adjustments and other adjustments described in this section and in the reconciliation tables below help management with a measure of our core operating performance over time by removing items that are not related to day-to-day operations.</w:t>
      </w:r>
    </w:p>
    <w:p>
      <w:pPr>
        <w:spacing w:after="0" w:line="187"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periods beginning after December 31, 2022 for the 2019 Strategic Shift and for periods beginning after December 31, 2023 for the Active Sports Restructuring, we are no longer including the other associated costs category of expenses relating to those restructuring activities as restructuring costs for purposes of our Non-GAAP Financial Measures, since these costs are not expected to be significant in future periods. For a discussion of restructuring activities, see Note 4 — Restructuring and Long-Lived Asset Impairment to our condensed consolidated financial statements included in Part I, Item 1 of this Form 10-Q.</w:t>
      </w:r>
    </w:p>
    <w:p>
      <w:pPr>
        <w:spacing w:after="0" w:line="17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Non-GAAP Financial Measures that we use are not necessarily comparable to similarly titled measures used by other companies due to different methods of calculation.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EBITDA, Adjusted EBITDA, and Adjusted EBITDA Margin</w:t>
      </w:r>
    </w:p>
    <w:p>
      <w:pPr>
        <w:spacing w:after="0" w:line="200" w:lineRule="exact"/>
        <w:rPr>
          <w:sz w:val="20"/>
          <w:szCs w:val="20"/>
          <w:color w:val="auto"/>
        </w:rPr>
      </w:pPr>
    </w:p>
    <w:p>
      <w:pPr>
        <w:spacing w:after="0" w:line="212"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define “EBITDA” as net (loss) income before other interest expense, net (excluding floor plan interest expense), provision for income tax expense and depreciation and amortization. We define “Adjusted EBITDA” as EBITDA further adjusted for the impact of certain noncash and other items that we do not consider in our evaluation of ongoing operating performance. These items include, among other things, long-lived asset impairment, gains and losses on sale or disposal of assets, net, equity-based compensation, loss and impairment on investments in equity securities, and other unusual or one-time items. We define “Adjusted EBITDA Margin” as Adjusted EBITDA as a percentage of total revenue. We caution investors that amounts presented in accordance with our definitions of EBITDA, Adjusted EBITDA, and Adjusted EBITDA Margin may not be comparable to similar measures disclosed by our competitors, because not all companies and analysts calculate EBITDA, Adjusted EBITDA, and Adjusted EBITDA Margin in the same manner. We present EBITDA, Adjusted EBITDA, and Adjusted EBITDA Margin because we consider them to be important supplemental measures of our performance and believe they are frequently used by securities analysts, investors and other interested parties in the evaluation of companies in our industry. Management believes that investors’ understanding of our performance is enhanced by including these Non-GAAP Financial Measures as a reasonable basis for comparing our ongoing results of operations.</w:t>
      </w:r>
    </w:p>
    <w:p>
      <w:pPr>
        <w:spacing w:after="0" w:line="188"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reconciles EBITDA, Adjusted EBITDA, and Adjusted EBITDA Margin to the most directly comparable GAAP financial performance measures:</w:t>
      </w:r>
    </w:p>
    <w:p>
      <w:pPr>
        <w:spacing w:after="0" w:line="177"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200" w:type="dxa"/>
            <w:vAlign w:val="bottom"/>
            <w:gridSpan w:val="2"/>
          </w:tcPr>
          <w:p>
            <w:pPr>
              <w:ind w:left="20"/>
              <w:spacing w:after="0"/>
              <w:rPr>
                <w:sz w:val="20"/>
                <w:szCs w:val="20"/>
                <w:color w:val="auto"/>
              </w:rPr>
            </w:pPr>
            <w:r>
              <w:rPr>
                <w:rFonts w:ascii="Arial" w:cs="Arial" w:eastAsia="Arial" w:hAnsi="Arial"/>
                <w:sz w:val="13"/>
                <w:szCs w:val="13"/>
                <w:color w:val="auto"/>
              </w:rPr>
              <w:t>($ in thousands)</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9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EBITDA and Adjusted EBITDA:</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6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 income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(50,806)</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4,903</w:t>
            </w:r>
          </w:p>
        </w:tc>
      </w:tr>
      <w:tr>
        <w:trPr>
          <w:trHeight w:val="203"/>
        </w:trPr>
        <w:tc>
          <w:tcPr>
            <w:tcW w:w="6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interest expense, net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36,094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31,113</w:t>
            </w:r>
          </w:p>
        </w:tc>
      </w:tr>
      <w:tr>
        <w:trPr>
          <w:trHeight w:val="203"/>
        </w:trPr>
        <w:tc>
          <w:tcPr>
            <w:tcW w:w="6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19,290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14,637</w:t>
            </w:r>
          </w:p>
        </w:tc>
      </w:tr>
      <w:tr>
        <w:trPr>
          <w:trHeight w:val="203"/>
        </w:trPr>
        <w:tc>
          <w:tcPr>
            <w:tcW w:w="6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(9,042)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w:t>
            </w:r>
          </w:p>
        </w:tc>
      </w:tr>
      <w:tr>
        <w:trPr>
          <w:trHeight w:val="196"/>
        </w:trPr>
        <w:tc>
          <w:tcPr>
            <w:tcW w:w="62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Subtotal EBITDA</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(4,464)</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50,926</w:t>
            </w:r>
          </w:p>
        </w:tc>
      </w:tr>
      <w:tr>
        <w:trPr>
          <w:trHeight w:val="203"/>
        </w:trPr>
        <w:tc>
          <w:tcPr>
            <w:tcW w:w="6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Long-lived asset impairment (a)</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5,827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7,045</w:t>
            </w:r>
          </w:p>
        </w:tc>
      </w:tr>
      <w:tr>
        <w:trPr>
          <w:trHeight w:val="203"/>
        </w:trPr>
        <w:tc>
          <w:tcPr>
            <w:tcW w:w="62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Loss (gain) on sale or disposal of assets, net (b)</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1,585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(4,987)</w:t>
            </w:r>
          </w:p>
        </w:tc>
      </w:tr>
      <w:tr>
        <w:trPr>
          <w:trHeight w:val="203"/>
        </w:trPr>
        <w:tc>
          <w:tcPr>
            <w:tcW w:w="6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Equity-based compensation (c)</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5,197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6,358</w:t>
            </w:r>
          </w:p>
        </w:tc>
      </w:tr>
      <w:tr>
        <w:trPr>
          <w:trHeight w:val="203"/>
        </w:trPr>
        <w:tc>
          <w:tcPr>
            <w:tcW w:w="6200" w:type="dxa"/>
            <w:vAlign w:val="bottom"/>
            <w:tcBorders>
              <w:bottom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Loss and impairment on investments in equity securities (d)</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1,499</w:t>
            </w:r>
          </w:p>
        </w:tc>
      </w:tr>
      <w:tr>
        <w:trPr>
          <w:trHeight w:val="196"/>
        </w:trPr>
        <w:tc>
          <w:tcPr>
            <w:tcW w:w="620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8,239</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60,841</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r>
      <w:tr>
        <w:trPr>
          <w:trHeight w:val="439"/>
        </w:trPr>
        <w:tc>
          <w:tcPr>
            <w:tcW w:w="5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200" w:type="dxa"/>
            <w:vAlign w:val="bottom"/>
            <w:gridSpan w:val="2"/>
          </w:tcPr>
          <w:p>
            <w:pPr>
              <w:ind w:left="20"/>
              <w:spacing w:after="0"/>
              <w:rPr>
                <w:sz w:val="20"/>
                <w:szCs w:val="20"/>
                <w:color w:val="auto"/>
              </w:rPr>
            </w:pPr>
            <w:r>
              <w:rPr>
                <w:rFonts w:ascii="Arial" w:cs="Arial" w:eastAsia="Arial" w:hAnsi="Arial"/>
                <w:sz w:val="13"/>
                <w:szCs w:val="13"/>
                <w:color w:val="auto"/>
              </w:rPr>
              <w:t>(as percentage of total revenue)</w:t>
            </w:r>
          </w:p>
        </w:tc>
        <w:tc>
          <w:tcPr>
            <w:tcW w:w="200" w:type="dxa"/>
            <w:vAlign w:val="bottom"/>
          </w:tcPr>
          <w:p>
            <w:pPr>
              <w:spacing w:after="0"/>
              <w:rPr>
                <w:sz w:val="13"/>
                <w:szCs w:val="13"/>
                <w:color w:val="auto"/>
              </w:rPr>
            </w:pPr>
          </w:p>
        </w:tc>
        <w:tc>
          <w:tcPr>
            <w:tcW w:w="102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9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6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Net (loss) income margin</w:t>
            </w:r>
          </w:p>
        </w:tc>
        <w:tc>
          <w:tcPr>
            <w:tcW w:w="200" w:type="dxa"/>
            <w:vAlign w:val="bottom"/>
          </w:tcPr>
          <w:p>
            <w:pPr>
              <w:spacing w:after="0"/>
              <w:rPr>
                <w:sz w:val="17"/>
                <w:szCs w:val="17"/>
                <w:color w:val="auto"/>
              </w:rPr>
            </w:pPr>
          </w:p>
        </w:tc>
        <w:tc>
          <w:tcPr>
            <w:tcW w:w="13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(3.7%)</w:t>
            </w: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6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interest expense, net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62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62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Income tax (benefit) expense</w:t>
            </w:r>
          </w:p>
        </w:tc>
        <w:tc>
          <w:tcPr>
            <w:tcW w:w="2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(0.7%)</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r>
      <w:tr>
        <w:trPr>
          <w:trHeight w:val="196"/>
        </w:trPr>
        <w:tc>
          <w:tcPr>
            <w:tcW w:w="62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Subtotal EBITDA margin</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(0.3%)</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3"/>
        </w:trPr>
        <w:tc>
          <w:tcPr>
            <w:tcW w:w="6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Long-lived asset impairment (a)</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w:t>
            </w:r>
          </w:p>
        </w:tc>
      </w:tr>
      <w:tr>
        <w:trPr>
          <w:trHeight w:val="203"/>
        </w:trPr>
        <w:tc>
          <w:tcPr>
            <w:tcW w:w="620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Loss (gain) on sale or disposal of assets, net (b)</w:t>
            </w: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r>
      <w:tr>
        <w:trPr>
          <w:trHeight w:val="203"/>
        </w:trPr>
        <w:tc>
          <w:tcPr>
            <w:tcW w:w="620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Equity-based compensation (c)</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203"/>
        </w:trPr>
        <w:tc>
          <w:tcPr>
            <w:tcW w:w="6200" w:type="dxa"/>
            <w:vAlign w:val="bottom"/>
            <w:tcBorders>
              <w:bottom w:val="single" w:sz="8" w:color="CCEEFF"/>
            </w:tcBorders>
            <w:gridSpan w:val="2"/>
          </w:tcPr>
          <w:p>
            <w:pPr>
              <w:ind w:left="340"/>
              <w:spacing w:after="0" w:line="202" w:lineRule="exact"/>
              <w:rPr>
                <w:sz w:val="20"/>
                <w:szCs w:val="20"/>
                <w:color w:val="auto"/>
              </w:rPr>
            </w:pPr>
            <w:r>
              <w:rPr>
                <w:rFonts w:ascii="Arial" w:cs="Arial" w:eastAsia="Arial" w:hAnsi="Arial"/>
                <w:sz w:val="18"/>
                <w:szCs w:val="18"/>
                <w:color w:val="auto"/>
              </w:rPr>
              <w:t>Loss and impairment on investments in equity securities (d)</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w:t>
            </w:r>
          </w:p>
        </w:tc>
        <w:tc>
          <w:tcPr>
            <w:tcW w:w="2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0.1%</w:t>
            </w:r>
          </w:p>
        </w:tc>
      </w:tr>
      <w:tr>
        <w:trPr>
          <w:trHeight w:val="196"/>
        </w:trPr>
        <w:tc>
          <w:tcPr>
            <w:tcW w:w="6200" w:type="dxa"/>
            <w:vAlign w:val="bottom"/>
            <w:tcBorders>
              <w:bottom w:val="single" w:sz="8" w:color="CCEEFF"/>
            </w:tcBorders>
            <w:gridSpan w:val="2"/>
            <w:shd w:val="clear" w:color="auto" w:fill="CCEEFF"/>
          </w:tcPr>
          <w:p>
            <w:pPr>
              <w:ind w:left="440"/>
              <w:spacing w:after="0" w:line="196" w:lineRule="exact"/>
              <w:rPr>
                <w:sz w:val="20"/>
                <w:szCs w:val="20"/>
                <w:color w:val="auto"/>
              </w:rPr>
            </w:pPr>
            <w:r>
              <w:rPr>
                <w:rFonts w:ascii="Arial" w:cs="Arial" w:eastAsia="Arial" w:hAnsi="Arial"/>
                <w:sz w:val="18"/>
                <w:szCs w:val="18"/>
                <w:color w:val="auto"/>
              </w:rPr>
              <w:t>Adjusted EBITDA margin</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440" w:right="79" w:hanging="322"/>
        <w:spacing w:after="0" w:line="263" w:lineRule="auto"/>
        <w:tabs>
          <w:tab w:leader="none" w:pos="44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p>
      <w:pPr>
        <w:spacing w:after="0" w:line="37" w:lineRule="exact"/>
        <w:rPr>
          <w:rFonts w:ascii="Arial" w:cs="Arial" w:eastAsia="Arial" w:hAnsi="Arial"/>
          <w:sz w:val="14"/>
          <w:szCs w:val="14"/>
          <w:color w:val="231F20"/>
        </w:rPr>
      </w:pPr>
    </w:p>
    <w:p>
      <w:pPr>
        <w:ind w:left="440" w:hanging="322"/>
        <w:spacing w:after="0"/>
        <w:tabs>
          <w:tab w:leader="none" w:pos="44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40" w:hanging="322"/>
        <w:spacing w:after="0"/>
        <w:tabs>
          <w:tab w:leader="none" w:pos="44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non-cash equity-based compensation expense relating to employees, directors, and consultants of the Company.</w:t>
      </w:r>
    </w:p>
    <w:p>
      <w:pPr>
        <w:spacing w:after="0" w:line="68" w:lineRule="exact"/>
        <w:rPr>
          <w:rFonts w:ascii="Arial" w:cs="Arial" w:eastAsia="Arial" w:hAnsi="Arial"/>
          <w:sz w:val="14"/>
          <w:szCs w:val="14"/>
          <w:color w:val="231F20"/>
        </w:rPr>
      </w:pPr>
    </w:p>
    <w:p>
      <w:pPr>
        <w:jc w:val="both"/>
        <w:ind w:left="440" w:right="79" w:hanging="322"/>
        <w:spacing w:after="0" w:line="263" w:lineRule="auto"/>
        <w:tabs>
          <w:tab w:leader="none" w:pos="440" w:val="left"/>
        </w:tabs>
        <w:numPr>
          <w:ilvl w:val="0"/>
          <w:numId w:val="29"/>
        </w:numPr>
        <w:rPr>
          <w:rFonts w:ascii="Arial" w:cs="Arial" w:eastAsia="Arial" w:hAnsi="Arial"/>
          <w:sz w:val="14"/>
          <w:szCs w:val="14"/>
          <w:color w:val="231F20"/>
        </w:rPr>
      </w:pPr>
      <w:r>
        <w:rPr>
          <w:rFonts w:ascii="Arial" w:cs="Arial" w:eastAsia="Arial" w:hAnsi="Arial"/>
          <w:sz w:val="14"/>
          <w:szCs w:val="14"/>
          <w:color w:val="auto"/>
        </w:rPr>
        <w:t>Represents loss and impairment on investments in equity securities and interest income relating to any notes receivables with those investments. During the three months ended March 31, 2023, this amount included a $1.3 million impairment on an equity method investment.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8"/>
          <w:szCs w:val="18"/>
          <w:i w:val="1"/>
          <w:iCs w:val="1"/>
          <w:color w:val="auto"/>
        </w:rPr>
        <w:t>Adjusted Net (Loss) Income Attributable to Camping World Holdings, Inc. and Adjusted (Loss) Earnings Per Share</w:t>
      </w:r>
    </w:p>
    <w:p>
      <w:pPr>
        <w:spacing w:after="0" w:line="15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define “Adjusted Net (Loss) Income Attributable to Camping World Holdings, Inc. – Basic” as net (loss) income attributable to Camping World Holdings, Inc. adjusted for the impact of certain non-cash and other items that we do not consider in our evaluation of ongoing operating performance. These items include, among other things, long-lived asset impairment, gains and losses on sale or disposal of assets, net, equity-based compensation, loss and impairment on investments in equity securities, other unusual or one-time items, the income tax benefit (expense) effect of these adjustments, and the effect of net (loss) income attributable to non-controlling interests from these adjustments.</w:t>
      </w:r>
    </w:p>
    <w:p>
      <w:pPr>
        <w:spacing w:after="0" w:line="185"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We define “Adjusted Net (Loss) Income Attributable to Camping World Holdings, Inc. – Diluted” as Adjusted Net (Loss) Income Attributable to Camping World Holdings, Inc. – Basic adjusted for the reallocation of net (loss) income attributable to non-controlling interests from stock options and restricted stock units, if dilutive, or the assumed redemption, if dilutive, of all outstanding common units in CWGS, LLC for shares of newly-issued Class A common stock of Camping World Holdings, Inc.</w:t>
      </w:r>
    </w:p>
    <w:p>
      <w:pPr>
        <w:spacing w:after="0" w:line="176"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define “Adjusted (Loss) Earnings Per Share – Basic” as Adjusted Net (Loss) Income Attributable to Camping World Holdings, Inc. - Basic divided by the weighted-average shares of Class A common stock outstanding. We define “Adjusted (Loss) Earnings Per Share – Diluted” as Adjusted Net (Loss) Income Attributable to Camping World Holdings, Inc. – Diluted divided by the weighted-average shares of Class A common stock outstanding, assuming (i) the redemption of all outstanding common units in CWGS, LLC for newly-issued shares of Class A common stock of Camping World Holdings, Inc., if dilutive, and (ii) the dilutive effect of stock options and restricted stock units, if any. We present Adjusted Net (Loss) Income Attributable to Camping World Holdings, Inc. – Basic, Adjusted Net (Loss) Income Attributable to Camping World Holdings, Inc. – Diluted, Adjusted (Loss) Earnings Per Share – Basic, and Adjusted (Loss) Earnings Per Share – Diluted because we consider them to be important supplemental measures of our performance and we believe that investors’ understanding of our performance is enhanced by including these Non-GAAP financial measures as a reasonable basis for comparing our ongoing results of operations.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reconciles Adjusted Net (Loss) Income Attributable to Camping World Holdings, Inc.</w:t>
      </w:r>
    </w:p>
    <w:p>
      <w:pPr>
        <w:spacing w:after="0" w:line="14"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 Basic, Adjusted Net (Loss) Income Attributable to Camping World Holdings, Inc. – Diluted, Adjusted (Loss) Earnings Per Share – Basic, and Adjusted (Loss) Earnings Per Share – Diluted to the most directly comparable GAAP financial performance measure:</w:t>
      </w:r>
    </w:p>
    <w:p>
      <w:pPr>
        <w:spacing w:after="0" w:line="202" w:lineRule="exact"/>
        <w:rPr>
          <w:sz w:val="20"/>
          <w:szCs w:val="20"/>
          <w:color w:val="auto"/>
        </w:rPr>
      </w:pPr>
    </w:p>
    <w:p>
      <w:pPr>
        <w:ind w:left="6820"/>
        <w:spacing w:after="0"/>
        <w:rPr>
          <w:sz w:val="20"/>
          <w:szCs w:val="20"/>
          <w:color w:val="auto"/>
        </w:rPr>
      </w:pPr>
      <w:r>
        <w:rPr>
          <w:rFonts w:ascii="Arial" w:cs="Arial" w:eastAsia="Arial" w:hAnsi="Arial"/>
          <w:sz w:val="12"/>
          <w:szCs w:val="12"/>
          <w:b w:val="1"/>
          <w:bCs w:val="1"/>
          <w:color w:val="auto"/>
        </w:rPr>
        <w:t>Three Months Ended March 31,</w:t>
      </w:r>
    </w:p>
    <w:p>
      <w:pPr>
        <w:spacing w:after="0" w:line="7" w:lineRule="exact"/>
        <w:rPr>
          <w:sz w:val="20"/>
          <w:szCs w:val="20"/>
          <w:color w:val="auto"/>
        </w:rPr>
      </w:pPr>
    </w:p>
    <w:tbl>
      <w:tblPr>
        <w:tblLayout w:type="fixed"/>
        <w:tblInd w:w="40" w:type="dxa"/>
        <w:tblCellMar>
          <w:top w:w="0" w:type="dxa"/>
          <w:left w:w="0" w:type="dxa"/>
          <w:bottom w:w="0" w:type="dxa"/>
          <w:right w:w="0" w:type="dxa"/>
        </w:tblCellMar>
      </w:tblPr>
      <w:tr>
        <w:trPr>
          <w:trHeight w:val="129"/>
        </w:trPr>
        <w:tc>
          <w:tcPr>
            <w:tcW w:w="6380" w:type="dxa"/>
            <w:vAlign w:val="bottom"/>
            <w:gridSpan w:val="2"/>
          </w:tcPr>
          <w:p>
            <w:pPr>
              <w:ind w:left="20"/>
              <w:spacing w:after="0"/>
              <w:rPr>
                <w:sz w:val="20"/>
                <w:szCs w:val="20"/>
                <w:color w:val="auto"/>
              </w:rPr>
            </w:pPr>
            <w:r>
              <w:rPr>
                <w:rFonts w:ascii="Arial" w:cs="Arial" w:eastAsia="Arial" w:hAnsi="Arial"/>
                <w:sz w:val="11"/>
                <w:szCs w:val="11"/>
                <w:color w:val="auto"/>
              </w:rPr>
              <w:t>(In thousands except per share amounts)</w:t>
            </w: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348"/>
              <w:spacing w:after="0" w:line="129" w:lineRule="exact"/>
              <w:rPr>
                <w:sz w:val="20"/>
                <w:szCs w:val="20"/>
                <w:color w:val="auto"/>
              </w:rPr>
            </w:pPr>
            <w:r>
              <w:rPr>
                <w:rFonts w:ascii="Arial" w:cs="Arial" w:eastAsia="Arial" w:hAnsi="Arial"/>
                <w:sz w:val="12"/>
                <w:szCs w:val="12"/>
                <w:b w:val="1"/>
                <w:bCs w:val="1"/>
                <w:color w:val="auto"/>
              </w:rPr>
              <w:t>2024</w:t>
            </w:r>
          </w:p>
        </w:tc>
        <w:tc>
          <w:tcPr>
            <w:tcW w:w="2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348"/>
              <w:spacing w:after="0" w:line="129" w:lineRule="exact"/>
              <w:rPr>
                <w:sz w:val="20"/>
                <w:szCs w:val="20"/>
                <w:color w:val="auto"/>
              </w:rPr>
            </w:pPr>
            <w:r>
              <w:rPr>
                <w:rFonts w:ascii="Arial" w:cs="Arial" w:eastAsia="Arial" w:hAnsi="Arial"/>
                <w:sz w:val="12"/>
                <w:szCs w:val="12"/>
                <w:b w:val="1"/>
                <w:bCs w:val="1"/>
                <w:color w:val="auto"/>
              </w:rPr>
              <w:t>2023</w:t>
            </w:r>
          </w:p>
        </w:tc>
      </w:tr>
      <w:tr>
        <w:trPr>
          <w:trHeight w:val="155"/>
        </w:trPr>
        <w:tc>
          <w:tcPr>
            <w:tcW w:w="624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Numerator:</w:t>
            </w:r>
          </w:p>
        </w:tc>
        <w:tc>
          <w:tcPr>
            <w:tcW w:w="14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Net (loss) income attributable to Camping World Holdings, Inc.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(22,307)</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3,169</w:t>
            </w: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Adjustments related to basic calculation: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Long-lived asset impairment (a):</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5,827</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7,045</w:t>
            </w: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(771)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(938)</w:t>
            </w: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(gain) on sale or disposal of assets (c):</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1,585</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(4,987)</w:t>
            </w: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benefit for above adjustment (b)</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(210)</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w:t>
            </w: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Equity-based compensation (d):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5,197</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w:t>
            </w: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(695)</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(857)</w:t>
            </w: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Loss and impairment on investments in equity securities (e):</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340"/>
              <w:spacing w:after="0"/>
              <w:rPr>
                <w:sz w:val="20"/>
                <w:szCs w:val="20"/>
                <w:color w:val="auto"/>
              </w:rPr>
            </w:pPr>
            <w:r>
              <w:rPr>
                <w:rFonts w:ascii="Arial" w:cs="Arial" w:eastAsia="Arial" w:hAnsi="Arial"/>
                <w:sz w:val="14"/>
                <w:szCs w:val="14"/>
                <w:color w:val="auto"/>
              </w:rPr>
              <w:t>Gross adjustment</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1,499</w:t>
            </w:r>
          </w:p>
        </w:tc>
      </w:tr>
      <w:tr>
        <w:trPr>
          <w:trHeight w:val="162"/>
        </w:trPr>
        <w:tc>
          <w:tcPr>
            <w:tcW w:w="638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Income tax expense for above adjustment (b)</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53"/>
        </w:trPr>
        <w:tc>
          <w:tcPr>
            <w:tcW w:w="63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Adjustment to net (loss) income attributable to non-controlling interests resulting from the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above adjustments (f)</w:t>
            </w:r>
          </w:p>
        </w:tc>
        <w:tc>
          <w:tcPr>
            <w:tcW w:w="26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(5,971)</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(4,688)</w:t>
            </w:r>
          </w:p>
        </w:tc>
      </w:tr>
      <w:tr>
        <w:trPr>
          <w:trHeight w:val="156"/>
        </w:trPr>
        <w:tc>
          <w:tcPr>
            <w:tcW w:w="6380" w:type="dxa"/>
            <w:vAlign w:val="bottom"/>
            <w:tcBorders>
              <w:top w:val="single" w:sz="8" w:color="CCEEFF"/>
            </w:tcBorders>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net (loss) income attributable to Camping World Holdings, Inc. – basic</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(17,263)</w:t>
            </w: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7,066</w:t>
            </w: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3"/>
        </w:trPr>
        <w:tc>
          <w:tcPr>
            <w:tcW w:w="6380" w:type="dxa"/>
            <w:vAlign w:val="bottom"/>
            <w:gridSpan w:val="2"/>
            <w:shd w:val="clear" w:color="auto" w:fill="CCEEFF"/>
          </w:tcPr>
          <w:p>
            <w:pPr>
              <w:ind w:left="220"/>
              <w:spacing w:after="0" w:line="153" w:lineRule="exact"/>
              <w:rPr>
                <w:sz w:val="20"/>
                <w:szCs w:val="20"/>
                <w:color w:val="auto"/>
              </w:rPr>
            </w:pPr>
            <w:r>
              <w:rPr>
                <w:rFonts w:ascii="Arial" w:cs="Arial" w:eastAsia="Arial" w:hAnsi="Arial"/>
                <w:sz w:val="14"/>
                <w:szCs w:val="14"/>
                <w:color w:val="auto"/>
              </w:rPr>
              <w:t>Reallocation of net (loss) income attributable to non-controlling interests from the dilutive</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redemption of common units in CWGS, LLC (g)</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(22,528)</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w:t>
            </w:r>
          </w:p>
        </w:tc>
      </w:tr>
      <w:tr>
        <w:trPr>
          <w:trHeight w:val="153"/>
        </w:trPr>
        <w:tc>
          <w:tcPr>
            <w:tcW w:w="6380" w:type="dxa"/>
            <w:vAlign w:val="bottom"/>
            <w:gridSpan w:val="2"/>
          </w:tcPr>
          <w:p>
            <w:pPr>
              <w:ind w:left="220"/>
              <w:spacing w:after="0" w:line="153" w:lineRule="exact"/>
              <w:rPr>
                <w:sz w:val="20"/>
                <w:szCs w:val="20"/>
                <w:color w:val="auto"/>
              </w:rPr>
            </w:pPr>
            <w:r>
              <w:rPr>
                <w:rFonts w:ascii="Arial" w:cs="Arial" w:eastAsia="Arial" w:hAnsi="Arial"/>
                <w:sz w:val="14"/>
                <w:szCs w:val="14"/>
                <w:color w:val="auto"/>
              </w:rPr>
              <w:t>Income tax on reallocation of net (loss) income attributable to non-controlling interests from</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the dilutive redemption of common units in CWGS, LLC (h)</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(1,615)</w:t>
            </w: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net (loss) income attributable to Camping World Holdings, Inc. – diluted</w:t>
            </w:r>
          </w:p>
        </w:tc>
        <w:tc>
          <w:tcPr>
            <w:tcW w:w="260" w:type="dxa"/>
            <w:vAlign w:val="bottom"/>
            <w:tcBorders>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(34,055)</w:t>
            </w:r>
          </w:p>
        </w:tc>
        <w:tc>
          <w:tcPr>
            <w:tcW w:w="2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11,873</w:t>
            </w:r>
          </w:p>
        </w:tc>
      </w:tr>
      <w:tr>
        <w:trPr>
          <w:trHeight w:val="155"/>
        </w:trPr>
        <w:tc>
          <w:tcPr>
            <w:tcW w:w="63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Denominator: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Weighted-average Class A common shares outstanding – basic</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45,047</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44,455</w:t>
            </w: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color w:val="auto"/>
              </w:rPr>
              <w:t>Adjustments related to diluted calculation: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redemption of common units in CWGS, LLC for shares of Class A common stock (i)</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40,045</w:t>
            </w: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Dilutive options to purchase Class A common stock (i)</w:t>
            </w:r>
          </w:p>
        </w:tc>
        <w:tc>
          <w:tcPr>
            <w:tcW w:w="2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Dilutive restricted stock units (i)</w:t>
            </w:r>
          </w:p>
        </w:tc>
        <w:tc>
          <w:tcPr>
            <w:tcW w:w="2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r>
      <w:tr>
        <w:trPr>
          <w:trHeight w:val="155"/>
        </w:trPr>
        <w:tc>
          <w:tcPr>
            <w:tcW w:w="638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Adjusted weighted average Class A common shares outstanding – diluted</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85,092</w:t>
            </w:r>
          </w:p>
        </w:tc>
        <w:tc>
          <w:tcPr>
            <w:tcW w:w="2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84,717</w:t>
            </w:r>
          </w:p>
        </w:tc>
      </w:tr>
      <w:tr>
        <w:trPr>
          <w:trHeight w:val="162"/>
        </w:trPr>
        <w:tc>
          <w:tcPr>
            <w:tcW w:w="6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20"/>
              <w:spacing w:after="0"/>
              <w:rPr>
                <w:sz w:val="20"/>
                <w:szCs w:val="20"/>
                <w:color w:val="auto"/>
              </w:rPr>
            </w:pPr>
            <w:r>
              <w:rPr>
                <w:rFonts w:ascii="Arial" w:cs="Arial" w:eastAsia="Arial" w:hAnsi="Arial"/>
                <w:sz w:val="14"/>
                <w:szCs w:val="14"/>
                <w:color w:val="auto"/>
              </w:rPr>
              <w:t>Adjusted (loss) earnings per share - 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(0.38)</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0.16</w:t>
            </w:r>
          </w:p>
        </w:tc>
      </w:tr>
      <w:tr>
        <w:trPr>
          <w:trHeight w:val="16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(loss) earnings per share - diluted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(0.40)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r>
      <w:tr>
        <w:trPr>
          <w:trHeight w:val="162"/>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Anti-dilutive amounts (j):</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Denominator:</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Anti-dilutive options to purchase Class A common stock (i)</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380" w:type="dxa"/>
            <w:vAlign w:val="bottom"/>
            <w:gridSpan w:val="2"/>
          </w:tcPr>
          <w:p>
            <w:pPr>
              <w:ind w:left="220"/>
              <w:spacing w:after="0"/>
              <w:rPr>
                <w:sz w:val="20"/>
                <w:szCs w:val="20"/>
                <w:color w:val="auto"/>
              </w:rPr>
            </w:pPr>
            <w:r>
              <w:rPr>
                <w:rFonts w:ascii="Arial" w:cs="Arial" w:eastAsia="Arial" w:hAnsi="Arial"/>
                <w:sz w:val="14"/>
                <w:szCs w:val="14"/>
                <w:color w:val="auto"/>
              </w:rPr>
              <w:t>Anti-dilutive restricted stock units (i)</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264</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per share amounts: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earnings per share of Class A common stock — basic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(0.50)</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r>
      <w:tr>
        <w:trPr>
          <w:trHeight w:val="162"/>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Non-GAAP Adjustments (k)</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0.12</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(loss) earnings per share - basic</w:t>
            </w: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(0.38)</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0.16</w:t>
            </w:r>
          </w:p>
        </w:tc>
      </w:tr>
      <w:tr>
        <w:trPr>
          <w:trHeight w:val="162"/>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6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(Loss) earnings per share of Class A common stock — diluted</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(0.51)</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r>
      <w:tr>
        <w:trPr>
          <w:trHeight w:val="162"/>
        </w:trPr>
        <w:tc>
          <w:tcPr>
            <w:tcW w:w="6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Non-GAAP Adjustments (k)</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2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0.09</w:t>
            </w:r>
          </w:p>
        </w:tc>
      </w:tr>
      <w:tr>
        <w:trPr>
          <w:trHeight w:val="155"/>
        </w:trPr>
        <w:tc>
          <w:tcPr>
            <w:tcW w:w="6380" w:type="dxa"/>
            <w:vAlign w:val="bottom"/>
            <w:gridSpan w:val="2"/>
            <w:shd w:val="clear" w:color="auto" w:fill="CCEEFF"/>
          </w:tcPr>
          <w:p>
            <w:pPr>
              <w:ind w:left="340"/>
              <w:spacing w:after="0" w:line="155" w:lineRule="exact"/>
              <w:rPr>
                <w:sz w:val="20"/>
                <w:szCs w:val="20"/>
                <w:color w:val="auto"/>
              </w:rPr>
            </w:pPr>
            <w:r>
              <w:rPr>
                <w:rFonts w:ascii="Arial" w:cs="Arial" w:eastAsia="Arial" w:hAnsi="Arial"/>
                <w:sz w:val="14"/>
                <w:szCs w:val="14"/>
                <w:color w:val="auto"/>
              </w:rPr>
              <w:t>Adjusted (loss) earnings per share - diluted</w:t>
            </w:r>
          </w:p>
        </w:tc>
        <w:tc>
          <w:tcPr>
            <w:tcW w:w="260" w:type="dxa"/>
            <w:vAlign w:val="bottom"/>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(0.40)</w:t>
            </w: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0.14</w:t>
            </w:r>
          </w:p>
        </w:tc>
      </w:tr>
    </w:tbl>
    <w:p>
      <w:pPr>
        <w:spacing w:after="0" w:line="288" w:lineRule="exact"/>
        <w:rPr>
          <w:sz w:val="20"/>
          <w:szCs w:val="20"/>
          <w:color w:val="auto"/>
        </w:rPr>
      </w:pPr>
    </w:p>
    <w:p>
      <w:pPr>
        <w:ind w:left="460" w:right="379" w:hanging="329"/>
        <w:spacing w:after="0" w:line="263" w:lineRule="auto"/>
        <w:tabs>
          <w:tab w:leader="none" w:pos="46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Represents long-lived asset impairment charges related to the RV and Outdoor Retail segment. See Note 4 – Restructuring and Long-Lived Asset Impairment to our condensed consolidated financial statements included in Part I, Item 1 of this Form 10-Q for additional information.</w:t>
      </w:r>
    </w:p>
    <w:p>
      <w:pPr>
        <w:spacing w:after="0" w:line="37"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Represents the current and deferred income tax expense or benefit effect of the above adjustments. This assumption uses effective tax rates of 25.0% and 25.3% for the adjustments for the 2024 and 2023 periods, which represent the estimated tax rates that would apply had the above adjustments been included in the determination of our non-GAAP metric.</w:t>
      </w:r>
    </w:p>
    <w:p>
      <w:pPr>
        <w:spacing w:after="0" w:line="24" w:lineRule="exact"/>
        <w:rPr>
          <w:rFonts w:ascii="Arial" w:cs="Arial" w:eastAsia="Arial" w:hAnsi="Arial"/>
          <w:sz w:val="14"/>
          <w:szCs w:val="14"/>
          <w:color w:val="231F20"/>
        </w:rPr>
      </w:pPr>
    </w:p>
    <w:p>
      <w:pPr>
        <w:ind w:left="460" w:hanging="329"/>
        <w:spacing w:after="0"/>
        <w:tabs>
          <w:tab w:leader="none" w:pos="46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Represents an adjustment to eliminate the gains and losses on disposals and sales of various assets.</w:t>
      </w:r>
    </w:p>
    <w:p>
      <w:pPr>
        <w:spacing w:after="0" w:line="68" w:lineRule="exact"/>
        <w:rPr>
          <w:rFonts w:ascii="Arial" w:cs="Arial" w:eastAsia="Arial" w:hAnsi="Arial"/>
          <w:sz w:val="14"/>
          <w:szCs w:val="14"/>
          <w:color w:val="231F20"/>
        </w:rPr>
      </w:pPr>
    </w:p>
    <w:p>
      <w:pPr>
        <w:ind w:left="460" w:hanging="329"/>
        <w:spacing w:after="0"/>
        <w:tabs>
          <w:tab w:leader="none" w:pos="46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Represents non-cash equity-based compensation expense relating to employees, directors, and consultants of the Company.</w:t>
      </w:r>
    </w:p>
    <w:p>
      <w:pPr>
        <w:spacing w:after="0" w:line="82" w:lineRule="exact"/>
        <w:rPr>
          <w:rFonts w:ascii="Arial" w:cs="Arial" w:eastAsia="Arial" w:hAnsi="Arial"/>
          <w:sz w:val="14"/>
          <w:szCs w:val="14"/>
          <w:color w:val="231F20"/>
        </w:rPr>
      </w:pPr>
    </w:p>
    <w:p>
      <w:pPr>
        <w:jc w:val="both"/>
        <w:ind w:left="460" w:right="79" w:hanging="329"/>
        <w:spacing w:after="0" w:line="263" w:lineRule="auto"/>
        <w:tabs>
          <w:tab w:leader="none" w:pos="460" w:val="left"/>
        </w:tabs>
        <w:numPr>
          <w:ilvl w:val="0"/>
          <w:numId w:val="31"/>
        </w:numPr>
        <w:rPr>
          <w:rFonts w:ascii="Arial" w:cs="Arial" w:eastAsia="Arial" w:hAnsi="Arial"/>
          <w:sz w:val="14"/>
          <w:szCs w:val="14"/>
          <w:color w:val="231F20"/>
        </w:rPr>
      </w:pPr>
      <w:r>
        <w:rPr>
          <w:rFonts w:ascii="Arial" w:cs="Arial" w:eastAsia="Arial" w:hAnsi="Arial"/>
          <w:sz w:val="14"/>
          <w:szCs w:val="14"/>
          <w:color w:val="auto"/>
        </w:rPr>
        <w:t>Represents loss and impairment on investments in equity securities and interest income relating to any notes receivables with those investments. During the three months ended March 31, 2023, this amount included a $1.3 million impairment on an equity method investment.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460" w:right="79" w:hanging="329"/>
        <w:spacing w:after="0" w:line="263"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adjustment to net (loss) income attributable to non-controlling interests resulting from the above adjustments that impact the net (loss) income of CWGS, LLC. This adjustment uses the non-controlling interest’s weighted average ownership of CWGS, LLC of 47.1% and 47.4% for the three months ended March 31, 2024 and 2023, respectively,</w:t>
      </w:r>
    </w:p>
    <w:p>
      <w:pPr>
        <w:spacing w:after="0" w:line="37"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reallocation of net (loss) income attributable to non-controlling interests from the impact of the assumed change in ownership of CWGS, LLC from stock options, restricted stock units, and/or common units of CWGS, LLC.</w:t>
      </w:r>
    </w:p>
    <w:p>
      <w:pPr>
        <w:spacing w:after="0" w:line="9" w:lineRule="exact"/>
        <w:rPr>
          <w:rFonts w:ascii="Arial" w:cs="Arial" w:eastAsia="Arial" w:hAnsi="Arial"/>
          <w:sz w:val="14"/>
          <w:szCs w:val="14"/>
          <w:color w:val="231F20"/>
        </w:rPr>
      </w:pPr>
    </w:p>
    <w:p>
      <w:pPr>
        <w:ind w:left="460" w:right="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income tax expense effect of the above adjustment for reallocation of net (loss) income attributable to non-controlling interests. This assumption uses effective tax rates of 25.0% and 25.3% for the adjustments for the 2024 and 2023 periods.</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impact to the denominator for stock options, restricted stock units, and/or common units of CWGS, LLC.</w:t>
      </w:r>
    </w:p>
    <w:p>
      <w:pPr>
        <w:spacing w:after="0" w:line="82" w:lineRule="exact"/>
        <w:rPr>
          <w:rFonts w:ascii="Arial" w:cs="Arial" w:eastAsia="Arial" w:hAnsi="Arial"/>
          <w:sz w:val="14"/>
          <w:szCs w:val="14"/>
          <w:color w:val="231F20"/>
        </w:rPr>
      </w:pPr>
    </w:p>
    <w:p>
      <w:pPr>
        <w:ind w:left="460" w:right="179" w:hanging="329"/>
        <w:spacing w:after="0" w:line="285" w:lineRule="auto"/>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The below amounts have not been considered in our adjusted (loss) earnings per share – diluted amounts as the effect of these items are anti-dilutive.</w:t>
      </w:r>
    </w:p>
    <w:p>
      <w:pPr>
        <w:spacing w:after="0" w:line="9" w:lineRule="exact"/>
        <w:rPr>
          <w:rFonts w:ascii="Arial" w:cs="Arial" w:eastAsia="Arial" w:hAnsi="Arial"/>
          <w:sz w:val="14"/>
          <w:szCs w:val="14"/>
          <w:color w:val="231F20"/>
        </w:rPr>
      </w:pPr>
    </w:p>
    <w:p>
      <w:pPr>
        <w:ind w:left="460" w:hanging="329"/>
        <w:spacing w:after="0"/>
        <w:tabs>
          <w:tab w:leader="none" w:pos="460" w:val="left"/>
        </w:tabs>
        <w:numPr>
          <w:ilvl w:val="0"/>
          <w:numId w:val="32"/>
        </w:numPr>
        <w:rPr>
          <w:rFonts w:ascii="Arial" w:cs="Arial" w:eastAsia="Arial" w:hAnsi="Arial"/>
          <w:sz w:val="14"/>
          <w:szCs w:val="14"/>
          <w:color w:val="231F20"/>
        </w:rPr>
      </w:pPr>
      <w:r>
        <w:rPr>
          <w:rFonts w:ascii="Arial" w:cs="Arial" w:eastAsia="Arial" w:hAnsi="Arial"/>
          <w:sz w:val="14"/>
          <w:szCs w:val="14"/>
          <w:color w:val="auto"/>
        </w:rPr>
        <w:t>Represents the per share impact of the Non-GAAP adjustments to net (loss) income detailed above (see (a) through (h) above).</w:t>
      </w:r>
    </w:p>
    <w:p>
      <w:pPr>
        <w:spacing w:after="0" w:line="22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As discussed under “Our Corporate Structure Impact on Income Taxes” in Part I, Item 2 of this Form 10-Q, our “Up-C” corporate structure may make it difficult to compare our results with those of companies with a more traditional corporate structure. There can be a significant fluctuation in the numerator and denominator for the calculation of our adjusted (loss) earnings per share – diluted depending on if the common units in CWGS, LLC are considered dilutive or anti-dilutive for a given period. To improve comparability of our financial results, users of our financial statements may find it useful to review our (loss) earnings per share assuming the full redemption of common units in CWGS, LLC for all periods, even when those common units would be anti-dilutive. The relevant numerator and denominator adjustments have been provided under “Anti-dilutive amounts” in the table above (see (j) above).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primary requirements for liquidity and capital have been working capital, inventory management, acquiring and building new store locations, the improvement and expansion of existing store locations, debt service, distributions to holders of equity interests in CWGS, LLC and our Class A common stock, and general corporate needs. These cash requirements have historically been met through cash provided by operating activities, cash and cash equivalents, proceeds from registered offerings of our Class A common stock, borrowings under our Senior Secured Credit Facilities (as defined in Part I, Item 1 of this Form 10-Q), borrowings under our Floor Plan Facility (as defined in Part I, Item 1 of this Form 10-Q), and borrowings under our Real Estate Facilities (as defined in Part I, Item 1 of this Form 10-Q).</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additional liquidity needs are expected to include public company costs, payment of cash dividends, any exercise of the redemption right by the Continuing Equity Owners from time to time (should we elect to redeem common units for a cash payment), our stock repurchase program as described below, payments under the Tax Receivable Agreement, and state and federal taxes to the extent not reduced as a result of the Tax Receivable Agreement. The Continuing Equity Owners may exercise such redemption right for as long as their common units remain outstanding. Although the actual timing and amount of any payments that may be made under the Tax Receivable Agreement will vary, we expect that the payments that we will be required to make to the Continuing Equity Owners, Former Profits Unit Holders and Crestview Partners II GP, L.P. will be significant. Any payments made by us to Continuing Equity Owners, Former Profits Unit Holders and Crestview Partners II GP, L.P. under the Tax Receivable Agreement will generally reduce the amount of overall cash flow that might have otherwise been available to us or to CWGS, LLC and, to the extent that we are unable to make payments under the Tax Receivable Agreement for any reason, the unpaid amounts generally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For a discussion of the Tax Receivable Agreement, see Note 13 — Income Taxes to our condensed consolidated financial statements included in Part I, Item 1 of this Form 10-Q.</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5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During the three months ended March 31, 2024, we did not repurchase Class A common stock under our stock repurchase program, which expires on December 31, 2025. As of March 31, 2024, $120.2 million was available under the stock repurchase program to repurchase additional shares of our Class A common stock.</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Dividends</w:t>
      </w:r>
    </w:p>
    <w:p>
      <w:pPr>
        <w:spacing w:after="0" w:line="21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announced on August 1, 2023, that the Board of Directors approved a decrease of the quarterly cash dividend to $0.125 per share of Class A common stock from $ 0.625 per share, beginning with the quarterly cash dividend to be paid in September 2023. For the quarter ended March 31, 2024, we paid our quarterly cash dividend of $ 0.125 per share of Class A common stock for an aggregate $5.6 million. This dividend was funded entirely from the Excess Tax Distribution (as defined under “Dividend Policy” included in Part II, Item 5 of our Annual Report), with no portion funded by common unit cash distributions from CWGS, LLC. We believe that this decrease in the quarterly cash dividend will help us continue to execute our expansion plans through accretive RV dealership acquisitions.</w:t>
      </w:r>
    </w:p>
    <w:p>
      <w:pPr>
        <w:spacing w:after="0" w:line="18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ability to pay cash dividends on our Class A common stock depends on, among other things, our results of operations, financial condition, level of indebtedness, capital requirements, contractual restrictions, restrictions in our debt agreements and in any preferred stock, restrictions under applicable law, the extent to which such distributions would render CWGS, LLC insolvent, our business prospects and other factors that our Board of Directors may deem relevant. Our dividend policy has certain risks and limitations particularly with respect to liquidity, and we may not pay future dividends according to our policy, or at all. See “Dividend Policy” included in Part II, Item 5 of our Annual Report and “Risk Factors ─ Risks Relating to Ownership of Our Class A Common Stock ─ Our ability to pay regular and special dividends on our Class A common stock is subject to the discretion of our Board of Directors and may be limited by our structure and statutory restrictions” included in Part I, Item 1A of our Annual Report.</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Acquisitions and Capital Expenditures</w:t>
      </w:r>
    </w:p>
    <w:p>
      <w:pPr>
        <w:spacing w:after="0" w:line="21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During the three months ended March 31, 2024, the RV and Outdoor Retail segment purchased real property for an aggregate purchase price of $1.2 million.</w:t>
      </w:r>
    </w:p>
    <w:p>
      <w:pPr>
        <w:spacing w:after="0" w:line="15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Over the next twelve months, our expansion of dealerships through construction and acquisition is expected to cost between $70.0 million and $90.0 million from a combination of business acquisitions and capital expenditures relating to land, buildings, and improvements. These cost estimates exclude amounts for acquired inventories, which are primarily financed through our Floor Plan Facility. Additionally, the cost estimates do not consider potential funding received through sale leaseback transactions or other means for real estate and construction activities. We are in the early stages of evaluating additional dealership acquisition opportunities and will update our cost estimates in future periodic reports, if necessary, as there are further developments. Factors that could impact the quantity of future locations or the cost to acquire or open those locations include, but are not limited to, our ability to locate potential acquisition targets or greenfield locations in a geographic area and at a cost that meets our success criteria; continued strong cash flow generation from our operations to fund these acquisitions and new locations; and availability of financing on our Floor Plan Facility. We expect the additional cash requirements of the other announced initiatives to be immaterial.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2019 Strategic Shift and Active Sports Restructuring</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“Restructuring” above for a summary of the ongoing cash requirements related to our restructuring activities.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Cash Requirements or Commitments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Substantially all of our new RV inventory and, at times, certain of our used RV inventory is financed under our Floor Plan Facility (defined in Note 3 – Inventories and Floor Plan Payables to our condensed consolidated financial statements included in Part I, Item 1 of this Form 10-Q). See “Summary of Credit Facilities, Other Long-Term Debt, and Finance Lease Arrangements” for a summary of the cash requirements related to our indebtedness.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Cash requirements relating to the Tax Receivable Agreement liability, operating and finance lease obligations, and service and marketing sponsorship agreements have not materially changed since our Annual Report.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 and Capital</w:t>
      </w:r>
    </w:p>
    <w:p>
      <w:pPr>
        <w:spacing w:after="0" w:line="21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believe that our sources of liquidity and capital including cash provided by operating activities and borrowings under our various credit facilities, other long-term debt, and finance lease arrangements (see Liquidity and Capital Resources — Summary of Credit Facilities, Other Long-Term Debt, and Finance Lease Arrangements in Part I, Item 2 of this Form 10-Q), including additional borrowing capacity where applicable, will be sufficient to finance our continued operations, growth strategy, including the opening of any additional store locations, quarterly cash dividends (as described above), required payments for our obligations under the Tax Receivable Agreement, and additional expenses we expect to incur for at least the next twelve months. However, we cannot assure you that our cash provided by operating activities, cash and cash equivalents or cash available under our Revolving Credit Facility, our Floor Plan Facility, and our Real Estate Facilities, will be sufficient to meet our future needs. If we are unable to generate sufficient cash flows from operations in the future and if availability under our Revolving Credit Facility, our Floor Plan Facility, our Real Estate Facilities is not sufficient, we may have to obtain additional financing. If we obtain additional capital by issuing equity, the interests of our existing stockholders will be diluted. If we incur additional indebtedness, that indebtedness may impose significant financial and other covenants that may significantly restrict our operations. We cannot assure you that we could obtain refinancing or additional financing on favorable terms or at all, including the expected additional borrowings noted above and particularly in light of the current macroeconomic uncertainty. See “Risk Factors — Risks Related to our Business — Our ability to operate and expand our business and to respond to changing business and economic conditions will depend on the availability of adequate capital” included in Part I, Item 1A of our Annual Report.</w:t>
      </w:r>
    </w:p>
    <w:p>
      <w:pPr>
        <w:spacing w:after="0" w:line="18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As of March 31, 2024, December 31, 2023, and March 31, 2023, we had working capital of $381.6 million, $401.3 million, and $654.1 million, respectively, including $29.7 million, $39.6 million, and $72.8 million, respectively, of cash and cash equivalents. Our working capital reflects the cash provided by deferred revenue and gains reported under current liabilities of $95.9 million, $92.4 million, and $94.2 million as of March 31, 2024, December 31, 2023, and March 31, 2023, respectively. Deferred revenue primarily consists of cash collected for club memberships and roadside assistance contracts in advance of services to be provided, which is deferred and recognized as revenue over the life of the membership, and deferred revenue for the annual guide. We use net proceeds from this deferred membership revenue to lower our long-term borrowings and finance our working capital needs. Our Floor Plan Facility includes a flooring line aggregate interest reduction (“FLAIR”) offset account that allows us to transfer cash as an offset to the payables under the Floor Plan Facility. The FLAIR offset account at March 31, 2024 was $147.7 million, $34.1 million of which could have been withdrawn while remaining in compliance with the financial covenants of the Floor Plan Facility.</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Seasonality</w:t>
      </w:r>
    </w:p>
    <w:p>
      <w:pPr>
        <w:spacing w:after="0" w:line="142" w:lineRule="exact"/>
        <w:rPr>
          <w:sz w:val="20"/>
          <w:szCs w:val="20"/>
          <w:color w:val="auto"/>
        </w:rPr>
      </w:pPr>
    </w:p>
    <w:p>
      <w:pPr>
        <w:jc w:val="both"/>
        <w:ind w:left="60" w:right="59" w:firstLine="648"/>
        <w:spacing w:after="0" w:line="245" w:lineRule="auto"/>
        <w:rPr>
          <w:sz w:val="20"/>
          <w:szCs w:val="20"/>
          <w:color w:val="auto"/>
        </w:rPr>
      </w:pPr>
      <w:r>
        <w:rPr>
          <w:rFonts w:ascii="Arial" w:cs="Arial" w:eastAsia="Arial" w:hAnsi="Arial"/>
          <w:sz w:val="18"/>
          <w:szCs w:val="18"/>
          <w:color w:val="auto"/>
        </w:rPr>
        <w:t>We have experienced, and expect to continue to experience, variability in revenue, net income, and cash flows as a result of annual seasonality in our business (see Note 1 — Summary of Significant Accounting</w:t>
      </w:r>
    </w:p>
    <w:p>
      <w:pPr>
        <w:jc w:val="both"/>
        <w:ind w:left="60" w:right="79"/>
        <w:spacing w:after="0" w:line="237" w:lineRule="auto"/>
        <w:rPr>
          <w:sz w:val="20"/>
          <w:szCs w:val="20"/>
          <w:color w:val="auto"/>
        </w:rPr>
      </w:pPr>
      <w:r>
        <w:rPr>
          <w:rFonts w:ascii="Arial" w:cs="Arial" w:eastAsia="Arial" w:hAnsi="Arial"/>
          <w:sz w:val="18"/>
          <w:szCs w:val="18"/>
          <w:color w:val="auto"/>
        </w:rPr>
        <w:t>Policies — Seasonality to our condensed consolidated financial statements included in Part I, Item 1 of this Form 10-Q).</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following table shows summary cash flow information for the three months ended March 31, 2024 and 2023:</w:t>
      </w:r>
    </w:p>
    <w:p>
      <w:pPr>
        <w:spacing w:after="0" w:line="123" w:lineRule="exact"/>
        <w:rPr>
          <w:sz w:val="20"/>
          <w:szCs w:val="20"/>
          <w:color w:val="auto"/>
        </w:rPr>
      </w:pPr>
    </w:p>
    <w:p>
      <w:pPr>
        <w:ind w:left="6340"/>
        <w:spacing w:after="0"/>
        <w:rPr>
          <w:sz w:val="20"/>
          <w:szCs w:val="20"/>
          <w:color w:val="auto"/>
        </w:rPr>
      </w:pPr>
      <w:r>
        <w:rPr>
          <w:rFonts w:ascii="Arial" w:cs="Arial" w:eastAsia="Arial" w:hAnsi="Arial"/>
          <w:sz w:val="14"/>
          <w:szCs w:val="14"/>
          <w:b w:val="1"/>
          <w:bCs w:val="1"/>
          <w:color w:val="auto"/>
        </w:rPr>
        <w:t>Three Months Ended March 31,</w:t>
      </w:r>
    </w:p>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156"/>
        </w:trPr>
        <w:tc>
          <w:tcPr>
            <w:tcW w:w="49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9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11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(67,982)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199,217</w:t>
            </w: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(59,498)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(20,687)</w:t>
            </w:r>
          </w:p>
        </w:tc>
      </w:tr>
      <w:tr>
        <w:trPr>
          <w:trHeight w:val="203"/>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(used in) financing activities</w:t>
            </w:r>
          </w:p>
        </w:tc>
        <w:tc>
          <w:tcPr>
            <w:tcW w:w="9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117,551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(235,833)</w:t>
            </w: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(9,929)</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(57,303)</w:t>
            </w: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from operating activities are primarily collections from contracts in</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and customers following the sale of new and used vehicles, as well as from the sale of retail products and services and Good Sam services and plans. Contracts in transit represent amounts due from third-party lenders from whom pre-arranged agreements have been determined, and to whom the retail installment sales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contracts have been assigned. Our primary uses of cash from operating activities are repayments of vehicle floor plan payables, payments to retail product suppliers, personnel-related expenditures, payments related to leased property, advertising, and various services and program costs.</w:t>
      </w:r>
    </w:p>
    <w:p>
      <w:pPr>
        <w:spacing w:after="0" w:line="16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Net cash used in operating activities was $68.0 million in the three months ended March 31, 2024, a decrease of $ 267.2 million from $199.2 million of net cash provided by operating activities in the three months ended March 31, 2023. The decrease was primarily due to a $137.6 million decrease in the working capital adjustment for inventory, a $55.7 million reduction in net income, a $39.5 million decrease in the working capital adjustment for accounts payable and other accrued expenses, a $ 28.7 million decrease in the working capital adjustment for prepaid expenses and other assets, a $16.1 million decrease in the working capital adjustment for receivables and contracts in transit, a $1.0 million decrease in non-cash lease expense, a $1.2 million decrease in long-lived asset impairment, a $1.2 million decrease in equity-based compensation and a $0.5 million increase in deferred income taxes, partially offset by a $6.6 million increase in loss on sale or disposal of assets, a $5.8 million increase in the working capital adjustment for deferred revenue, a $4.7 million in increase in depreciation and amortization, a $3.4 million decrease in the working capital adjustment for other, net, and a $0.5 million increase in provisions for losses on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investment in business activities primarily consists of expanding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organic growth and the acquisition of RV dealership locations. Substantially all of our new RV dealership locations and capital expenditures have been financed using cash provided by operating activities and borrowings under our various credit facilities, other long-term debt, and finance lease arrangements, as applicable (see Liquidity and Capital Resources — Summary of Credit Facilities, Other Long-Term Debt, and Finance Lease Arrangements in Part I, Item 2 of this Form 10-Q).</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summarizes our capital expenditures for the three months ended March 31, 2024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4340" w:type="dxa"/>
            <w:vAlign w:val="bottom"/>
            <w:gridSpan w:val="2"/>
            <w:vMerge w:val="restart"/>
          </w:tcPr>
          <w:p>
            <w:pPr>
              <w:spacing w:after="0"/>
              <w:rPr>
                <w:sz w:val="20"/>
                <w:szCs w:val="20"/>
                <w:color w:val="auto"/>
              </w:rPr>
            </w:pPr>
            <w:r>
              <w:rPr>
                <w:rFonts w:ascii="Arial" w:cs="Arial" w:eastAsia="Arial" w:hAnsi="Arial"/>
                <w:sz w:val="13"/>
                <w:szCs w:val="13"/>
                <w:color w:val="auto"/>
              </w:rPr>
              <w:t>(In thousands)</w:t>
            </w: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3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237"/>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IT hardware and software</w:t>
            </w:r>
          </w:p>
        </w:tc>
        <w:tc>
          <w:tcPr>
            <w:tcW w:w="960" w:type="dxa"/>
            <w:vAlign w:val="bottom"/>
            <w:tcBorders>
              <w:top w:val="single" w:sz="8" w:color="auto"/>
            </w:tcBorders>
            <w:gridSpan w:val="2"/>
            <w:shd w:val="clear" w:color="auto" w:fill="CCEEFF"/>
          </w:tcPr>
          <w:p>
            <w:pPr>
              <w:jc w:val="right"/>
              <w:ind w:right="27"/>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5,146</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Arial" w:cs="Arial" w:eastAsia="Arial" w:hAnsi="Arial"/>
                <w:sz w:val="18"/>
                <w:szCs w:val="18"/>
                <w:color w:val="auto"/>
              </w:rPr>
              <w:t>Greenfield and acquired dealership locations</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3,999</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11,757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store locations</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12,916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Corporate and other</w:t>
            </w: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3,866</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capital expenditures</w:t>
            </w: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25,927</w:t>
            </w:r>
          </w:p>
        </w:tc>
        <w:tc>
          <w:tcPr>
            <w:tcW w:w="1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capital expenditures consist primarily of investing in acquired and greenfield retail and RV dealership locations, existing retail locations, information technology, hardware, and software. The expected minimum capital expenditures relating to new dealerships and real estate purchases through December 31, 2024 are discussed above. As of March 31, 2024, we had entered into contracts for construction of new dealership buildings for an aggregate future commitment of capital expenditures of $26.7 million. There were no other material commitments for capital expenditures as of March 31, 2024.</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$59.5 million for the three months ended March 31, 2024. The $59.5 million of cash used in investing activities was comprised of $58.8 million for the acquisition of RV dealerships, net of cash acquired, $25.9 million of capital expenditures primarily related to retail locations, $1.2 million for the purchases of real property, and $0.1 million for the purchases of intangible assets, partially offset by $23.9 million of proceeds from the sale of real property, $ 2.6 million of proceeds from the sale of intangible assets, and $0.1 million of proceeds from the sale of property and equipment.</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Net cash used in investing activities was $20.7 million for the three months ended March 31, 2023. The $20.7 million of cash used in investing activities was comprised of $25.3 million of capital expenditures primarily related to retail locations and $ 18.2 million for the purchases of real property, including $4.9 million related to a purchase option exercised on leased property, partially offset by proceeds from the sale of real property of $22.7 million and proceeds of $0.2 million from the sale of property and equipment. See Note 12 – Acquisitions to our condensed consolidated financial statements included in Part 1, Item 1 of this Form 10-Q.</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Our financing activities primarily consist of proceeds from the issuance of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of principal, cash dividends to holders of Class A common stock, and cash distributions to holders of CWGS, LLC common units</w:t>
      </w:r>
      <w:r>
        <w:rPr>
          <w:rFonts w:ascii="Arial" w:cs="Arial" w:eastAsia="Arial" w:hAnsi="Arial"/>
          <w:sz w:val="18"/>
          <w:szCs w:val="18"/>
          <w:b w:val="1"/>
          <w:bCs w:val="1"/>
          <w:color w:val="auto"/>
        </w:rPr>
        <w:t>.</w:t>
      </w:r>
    </w:p>
    <w:p>
      <w:pPr>
        <w:spacing w:after="0" w:line="15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net cash provided by financing activities was $117.6 million for the three months ended March 31, 2024. The $117.6 million of cash provided by financing activities was primarily due to $93.3 million of net proceeds from borrowings under the Floor Plan Facility, $55.6 million of proceeds from long-term debt, $43.0 million from borrowings on revolving line of credit and $0.1 million of proceeds from exercise of stock options, partially offset by $32.0 million of payments on the revolving line of credit, $23.4 million payments on long-term debt, $9.9 million of member distributions, $5.6 million of dividends paid on Class A common stock, $1.8 million for finance lease payments, $0.9 million of payment of debt issuance costs, and $0.7 million of withholding taxes paid upon the vesting of restricted stock units.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net cash used in financing activities was $235.8 million for the three months ended March 31, 2023. The $235.8 million of cash used in financing activities was primarily due to $249.8 million of net payments on borrowings under the Floor Plan Facility, $27.8 million of dividends paid on Class A common stock, $9.1 million of payments on long-term debt, $6.0 million of member distributions, $1.2 million for finance lease payments, $0.8 million for debt issuance costs payments, and $0.3 million of withholding taxes paid upon the vesting of restricted stock units, partially offset by $59.2 million of proceeds from long-term debt.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Credit Facilities, Other Long-Term Debt, and Finance Lease Arrangements</w:t>
      </w:r>
    </w:p>
    <w:p>
      <w:pPr>
        <w:spacing w:after="0" w:line="210" w:lineRule="exact"/>
        <w:rPr>
          <w:sz w:val="20"/>
          <w:szCs w:val="20"/>
          <w:color w:val="auto"/>
        </w:rPr>
      </w:pPr>
    </w:p>
    <w:p>
      <w:pPr>
        <w:jc w:val="both"/>
        <w:ind w:left="60" w:right="79" w:firstLine="648"/>
        <w:spacing w:after="0" w:line="244" w:lineRule="auto"/>
        <w:rPr>
          <w:sz w:val="20"/>
          <w:szCs w:val="20"/>
          <w:color w:val="auto"/>
        </w:rPr>
      </w:pPr>
      <w:r>
        <w:rPr>
          <w:rFonts w:ascii="Arial" w:cs="Arial" w:eastAsia="Arial" w:hAnsi="Arial"/>
          <w:sz w:val="18"/>
          <w:szCs w:val="18"/>
          <w:color w:val="auto"/>
        </w:rPr>
        <w:t>As of March 31, 2024, we had outstanding debt in the form of our Senior Secured Credit Facilities, our Floor Plan Facility, our Real Estate Facilities, other long-term debt, and finance lease obligations. We may from time to time seek to refinance, retire or exchange our outstanding debt. Such refinancings, repayments or exchanges, if any, will depend on prevailing market conditions, our liquidity requirements, contractual restrictions and other factors. The amounts involved may be material.</w:t>
      </w:r>
    </w:p>
    <w:p>
      <w:pPr>
        <w:spacing w:after="0" w:line="68"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following table shows a summary of the outstanding balances, current portion, and remaining available borrowings under our credit facilities, other long-term debt and finance lease arrangements (see definitions and further details in Note 3 – Inventories and Floor Plan Payables, Note 7 – Long-Term Debt, and Note 8 – Leases to our condensed consolidated financial statements included in Part I, Item 1 of this Form 10-Q) at March 31, 2024:</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jc w:val="right"/>
              <w:ind w:right="123"/>
              <w:spacing w:after="0"/>
              <w:rPr>
                <w:sz w:val="20"/>
                <w:szCs w:val="20"/>
                <w:color w:val="auto"/>
              </w:rPr>
            </w:pPr>
            <w:r>
              <w:rPr>
                <w:rFonts w:ascii="Arial" w:cs="Arial" w:eastAsia="Arial" w:hAnsi="Arial"/>
                <w:sz w:val="14"/>
                <w:szCs w:val="14"/>
                <w:b w:val="1"/>
                <w:bCs w:val="1"/>
                <w:color w:val="auto"/>
              </w:rPr>
              <w:t>Current</w:t>
            </w:r>
          </w:p>
        </w:tc>
        <w:tc>
          <w:tcPr>
            <w:tcW w:w="160" w:type="dxa"/>
            <w:vAlign w:val="bottom"/>
          </w:tcPr>
          <w:p>
            <w:pPr>
              <w:spacing w:after="0"/>
              <w:rPr>
                <w:sz w:val="14"/>
                <w:szCs w:val="14"/>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4"/>
                <w:szCs w:val="14"/>
                <w:color w:val="auto"/>
              </w:rPr>
            </w:pPr>
          </w:p>
        </w:tc>
      </w:tr>
      <w:tr>
        <w:trPr>
          <w:trHeight w:val="171"/>
        </w:trPr>
        <w:tc>
          <w:tcPr>
            <w:tcW w:w="55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(In thousands)</w:t>
            </w:r>
          </w:p>
        </w:tc>
        <w:tc>
          <w:tcPr>
            <w:tcW w:w="16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Portion</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Available</w:t>
            </w:r>
          </w:p>
        </w:tc>
        <w:tc>
          <w:tcPr>
            <w:tcW w:w="180" w:type="dxa"/>
            <w:vAlign w:val="bottom"/>
            <w:tcBorders>
              <w:bottom w:val="single" w:sz="8" w:color="CCEEFF"/>
            </w:tcBorders>
          </w:tcPr>
          <w:p>
            <w:pPr>
              <w:spacing w:after="0"/>
              <w:rPr>
                <w:sz w:val="14"/>
                <w:szCs w:val="14"/>
                <w:color w:val="auto"/>
              </w:rPr>
            </w:pPr>
          </w:p>
        </w:tc>
      </w:tr>
      <w:tr>
        <w:trPr>
          <w:trHeight w:val="183"/>
        </w:trPr>
        <w:tc>
          <w:tcPr>
            <w:tcW w:w="55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Floor Plan Facility:</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6"/>
                <w:szCs w:val="16"/>
                <w:color w:val="auto"/>
              </w:rPr>
              <w:t>Notes payable - floor plan</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$ 1,414,696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$ 1,414,696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spacing w:after="0" w:line="189" w:lineRule="exact"/>
              <w:rPr>
                <w:sz w:val="20"/>
                <w:szCs w:val="20"/>
                <w:color w:val="auto"/>
              </w:rPr>
            </w:pPr>
            <w:r>
              <w:rPr>
                <w:rFonts w:ascii="Arial" w:cs="Arial" w:eastAsia="Arial" w:hAnsi="Arial"/>
                <w:sz w:val="14"/>
                <w:szCs w:val="14"/>
                <w:color w:val="auto"/>
              </w:rPr>
              <w:t xml:space="preserve">164,800 </w:t>
            </w:r>
            <w:r>
              <w:rPr>
                <w:rFonts w:ascii="Arial" w:cs="Arial" w:eastAsia="Arial" w:hAnsi="Arial"/>
                <w:sz w:val="21"/>
                <w:szCs w:val="21"/>
                <w:color w:val="auto"/>
                <w:vertAlign w:val="superscript"/>
              </w:rPr>
              <w:t>(1)</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Revolving line of credit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31,885</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38,115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(2)</w:t>
            </w:r>
          </w:p>
        </w:tc>
      </w:tr>
      <w:tr>
        <w:trPr>
          <w:trHeight w:val="189"/>
        </w:trPr>
        <w:tc>
          <w:tcPr>
            <w:tcW w:w="5520" w:type="dxa"/>
            <w:vAlign w:val="bottom"/>
          </w:tcPr>
          <w:p>
            <w:pPr>
              <w:spacing w:after="0"/>
              <w:rPr>
                <w:sz w:val="20"/>
                <w:szCs w:val="20"/>
                <w:color w:val="auto"/>
              </w:rPr>
            </w:pPr>
            <w:r>
              <w:rPr>
                <w:rFonts w:ascii="Arial" w:cs="Arial" w:eastAsia="Arial" w:hAnsi="Arial"/>
                <w:sz w:val="16"/>
                <w:szCs w:val="16"/>
                <w:color w:val="auto"/>
              </w:rPr>
              <w:t>Senior Secured Credit Facilities: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Term Loan Facility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1,343,580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14,015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6"/>
                <w:szCs w:val="16"/>
                <w:color w:val="auto"/>
              </w:rPr>
              <w:t>Revolving Credit Facility</w:t>
            </w: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22,750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(3)</w:t>
            </w:r>
          </w:p>
        </w:tc>
      </w:tr>
      <w:tr>
        <w:trPr>
          <w:trHeight w:val="189"/>
        </w:trPr>
        <w:tc>
          <w:tcPr>
            <w:tcW w:w="5520" w:type="dxa"/>
            <w:vAlign w:val="bottom"/>
            <w:shd w:val="clear" w:color="auto" w:fill="CCEE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6"/>
                <w:szCs w:val="16"/>
                <w:color w:val="auto"/>
              </w:rPr>
              <w:t>Real Estate Facilities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219,068</w:t>
            </w:r>
          </w:p>
        </w:tc>
        <w:tc>
          <w:tcPr>
            <w:tcW w:w="180" w:type="dxa"/>
            <w:vAlign w:val="bottom"/>
            <w:gridSpan w:val="2"/>
          </w:tcPr>
          <w:p>
            <w:pPr>
              <w:jc w:val="right"/>
              <w:spacing w:after="0"/>
              <w:rPr>
                <w:sz w:val="20"/>
                <w:szCs w:val="20"/>
                <w:color w:val="auto"/>
              </w:rPr>
            </w:pPr>
            <w:r>
              <w:rPr>
                <w:rFonts w:ascii="Arial" w:cs="Arial" w:eastAsia="Arial" w:hAnsi="Arial"/>
                <w:sz w:val="12"/>
                <w:szCs w:val="12"/>
                <w:color w:val="auto"/>
              </w:rPr>
              <w:t>(4)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11,310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7,390</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r>
      <w:tr>
        <w:trPr>
          <w:trHeight w:val="189"/>
        </w:trPr>
        <w:tc>
          <w:tcPr>
            <w:tcW w:w="55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long-term debt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8,168</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r>
      <w:tr>
        <w:trPr>
          <w:trHeight w:val="189"/>
        </w:trPr>
        <w:tc>
          <w:tcPr>
            <w:tcW w:w="5520" w:type="dxa"/>
            <w:vAlign w:val="bottom"/>
          </w:tcPr>
          <w:p>
            <w:pPr>
              <w:ind w:left="100"/>
              <w:spacing w:after="0"/>
              <w:rPr>
                <w:sz w:val="20"/>
                <w:szCs w:val="20"/>
                <w:color w:val="auto"/>
              </w:rPr>
            </w:pPr>
            <w:r>
              <w:rPr>
                <w:rFonts w:ascii="Arial" w:cs="Arial" w:eastAsia="Arial" w:hAnsi="Arial"/>
                <w:sz w:val="16"/>
                <w:szCs w:val="16"/>
                <w:color w:val="auto"/>
              </w:rPr>
              <w:t>Finance lease obligations</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155,298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19,014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r>
      <w:tr>
        <w:trPr>
          <w:trHeight w:val="183"/>
        </w:trPr>
        <w:tc>
          <w:tcPr>
            <w:tcW w:w="55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$ 3,172,695</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$ 1,459,361</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233,055</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left="380" w:right="79" w:hanging="330"/>
        <w:spacing w:after="0" w:line="245" w:lineRule="auto"/>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unencumbered borrowing capacity for the Floor Plan Facility represents the additional borrowing capacity less any accounts payable for sold inventory and less any purchase commitments. Additional borrowings are subject to the vehicle collateral requirements under the Floor Plan Facility. The Floor Plan Facility also includes an accordion feature allowing us, at our option, to request to increase the aggregate amount of the floor plan notes payable in $50.0 million increments up to a maximum amount of $300.0 million. The Floor Plan Lenders are not under any obligation to provide commitments in respect of any future increase under the accordion feature.</w:t>
      </w:r>
    </w:p>
    <w:p>
      <w:pPr>
        <w:spacing w:after="0" w:line="2" w:lineRule="exact"/>
        <w:rPr>
          <w:rFonts w:ascii="Arial" w:cs="Arial" w:eastAsia="Arial" w:hAnsi="Arial"/>
          <w:sz w:val="13"/>
          <w:szCs w:val="13"/>
          <w:color w:val="231F20"/>
        </w:rPr>
      </w:pPr>
    </w:p>
    <w:p>
      <w:pPr>
        <w:ind w:left="380" w:hanging="330"/>
        <w:spacing w:after="0"/>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revolving line of credit borrowings are subject to a borrowing base calculation but were not limited as of March 31, 2024.</w:t>
      </w:r>
    </w:p>
    <w:p>
      <w:pPr>
        <w:spacing w:after="0" w:line="1" w:lineRule="exact"/>
        <w:rPr>
          <w:rFonts w:ascii="Arial" w:cs="Arial" w:eastAsia="Arial" w:hAnsi="Arial"/>
          <w:sz w:val="13"/>
          <w:szCs w:val="13"/>
          <w:color w:val="231F20"/>
        </w:rPr>
      </w:pPr>
    </w:p>
    <w:p>
      <w:pPr>
        <w:jc w:val="both"/>
        <w:ind w:left="380" w:right="79" w:hanging="330"/>
        <w:spacing w:after="0" w:line="282" w:lineRule="auto"/>
        <w:tabs>
          <w:tab w:leader="none" w:pos="380" w:val="left"/>
        </w:tabs>
        <w:numPr>
          <w:ilvl w:val="0"/>
          <w:numId w:val="33"/>
        </w:numPr>
        <w:rPr>
          <w:rFonts w:ascii="Arial" w:cs="Arial" w:eastAsia="Arial" w:hAnsi="Arial"/>
          <w:sz w:val="13"/>
          <w:szCs w:val="13"/>
          <w:color w:val="231F20"/>
        </w:rPr>
      </w:pPr>
      <w:r>
        <w:rPr>
          <w:rFonts w:ascii="Arial" w:cs="Arial" w:eastAsia="Arial" w:hAnsi="Arial"/>
          <w:sz w:val="14"/>
          <w:szCs w:val="14"/>
          <w:color w:val="auto"/>
        </w:rPr>
        <w:t>The Revolving Credit Facility remaining available balance was reduced by outstanding undrawn letters of credit. The Credit Agreement requires compliance with a Total Net Leverage Ratio covenant when borrowings on the Revolving Credit Facility (excluding certain amounts relating to letters of credit) is over a 35%, or $22.8 million, threshold (Note 7 – Long-Term Debt to our condensed consolidated financial statements included in Part I, Item 1 of this Form 10-Q). The otherwise remaining available borrowings of $60.1 million were reduced by $37.3 million to $22.8 million in light of this financial covenant at March 31, 2024.</w:t>
      </w:r>
    </w:p>
    <w:p>
      <w:pPr>
        <w:sectPr>
          <w:pgSz w:w="11900" w:h="16838" w:orient="portrait"/>
          <w:cols w:equalWidth="0" w:num="1">
            <w:col w:w="9019"/>
          </w:cols>
          <w:pgMar w:left="1440" w:top="512"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left="380" w:right="79" w:hanging="330"/>
        <w:spacing w:after="0" w:line="289" w:lineRule="auto"/>
        <w:tabs>
          <w:tab w:leader="none" w:pos="380" w:val="left"/>
        </w:tabs>
        <w:numPr>
          <w:ilvl w:val="0"/>
          <w:numId w:val="34"/>
        </w:numPr>
        <w:rPr>
          <w:rFonts w:ascii="Arial" w:cs="Arial" w:eastAsia="Arial" w:hAnsi="Arial"/>
          <w:sz w:val="13"/>
          <w:szCs w:val="13"/>
          <w:color w:val="231F20"/>
        </w:rPr>
      </w:pPr>
      <w:r>
        <w:rPr>
          <w:rFonts w:ascii="Arial" w:cs="Arial" w:eastAsia="Arial" w:hAnsi="Arial"/>
          <w:sz w:val="14"/>
          <w:szCs w:val="14"/>
          <w:color w:val="auto"/>
        </w:rPr>
        <w:t>Additional borrowings on the Real Estate Facilities are subject to a debt service coverage ratio covenant and to the property collateral requirements under the Real Estate Facilities. Under the M&amp;T Real Estate Facility, we have an option to request an additional $100.0 million of principal capacity. The lenders under the M&amp;T Real Estate Facility are not under any obligation to provide commitments in respect of any such increase.</w:t>
      </w:r>
    </w:p>
    <w:p>
      <w:pPr>
        <w:spacing w:after="0" w:line="17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have experienced an increase in interest rates, which are expected to remain elevated throughout 2024. As of March 31, 2024 and 2023, the applicable interest rate for the floor plan notes payable under the Floor Plan Facility was 7.87% and 6.63%, respectively. As of March 31, 2024 and 2023, the average interest rate for the Term Loan Facility was 7.94% and 7.20%, respectively. The increase in interest rates and, to a lesser extent, higher average principal balances on our Real Estate Facilities have resulted in a combined year-over-year increase of our floor plan interest expense and other interest expense, net of $12.1 million for the three months ended March 31, 2024 compared to the three months ended March 31, 2023, respectively.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Sale/Leaseback Arrangements</w:t>
      </w:r>
    </w:p>
    <w:p>
      <w:pPr>
        <w:spacing w:after="0" w:line="21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have in the past and may in the future enter into sale-leaseback transactions to finance certain property acquisitions and capital expenditures, pursuant to which we sell property and/or leasehold improvements to third parties and agree to lease those assets back for a certain period of time. Such sales generate proceeds which vary from period to period. During the three months ended March 31, 2024, we entered into sale-leaseback transactions for two properties associated with store locations in the RV and Outdoor Retail segment. We received consideration of $23.5 million of cash and recorded a gain of $ 0.1 million that is included in loss (gain) on sale or disposal of assets in the condensed consolidated statements of income for the three months ended March 31, 2024. We entered into a 20-year lease agreement as the lessee with each buyer of the properties.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10"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Deferred revenue consists of our sales for products not yet recognized as revenue at the end of a given period. Our deferred revenue as of March 31, 2024 was $161.8 million.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We prepare our condensed consolidated financial statements in accordance with GAAP, and in doing so, we have to make estimates, assumptions and judgments affecting the reported amounts of assets, liabilities, revenues and expenses, as well as the related disclosure of contingent assets and liabilities. We base our estimates, assumptions and judgments on historical experience and on various other factors we believe to be reasonable under the circumstances. Different assumptions and judgments would change estimates used in the preparation of our condensed consolidated financial statements, which, in turn, could change our results from those reported. We evaluate our critical accounting estimates, assumptions and judgments on an ongoing basis.</w:t>
      </w:r>
    </w:p>
    <w:p>
      <w:pPr>
        <w:spacing w:after="0" w:line="180"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There has been no material change in our critical accounting policies and estimates from those previously reported and disclosed in our Annual Report.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See Note 1 – Summary of Significant Accounting Policies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For a discussion of the Company’s quantitative and qualitative disclosures about market risks, see Item 7A. Quantitative and Qualitative Disclosures About Market Risks, in our Annual Report. As of March 31, 2024, there have been no material changes in this information.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21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1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2024.</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0"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identified in connection with the evaluation of our internal control performed during the fiscal quarter ended March 31, 2024, that has materially affected, or is reasonably likely to materially affect, our internal control over financial reporting.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See Note 10 – Commitments and Contingencies to our condensed consolidated financial statements in Item 1, Part I of this Form 10-Q.</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There have been no material changes to our risk factors as previously disclosed in Item 1A of Part I of our Annual Report.</w:t>
      </w:r>
    </w:p>
    <w:p>
      <w:pPr>
        <w:spacing w:after="0" w:line="154" w:lineRule="exact"/>
        <w:rPr>
          <w:sz w:val="20"/>
          <w:szCs w:val="20"/>
          <w:color w:val="auto"/>
        </w:rPr>
      </w:pPr>
    </w:p>
    <w:p>
      <w:pPr>
        <w:jc w:val="both"/>
        <w:ind w:left="60" w:right="59"/>
        <w:spacing w:after="0" w:line="281" w:lineRule="auto"/>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136"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following table presents information related to our repurchases of Class A common stock for the periods indicated:</w:t>
      </w:r>
    </w:p>
    <w:tbl>
      <w:tblPr>
        <w:tblLayout w:type="fixed"/>
        <w:tblInd w:w="40" w:type="dxa"/>
        <w:tblCellMar>
          <w:top w:w="0" w:type="dxa"/>
          <w:left w:w="0" w:type="dxa"/>
          <w:bottom w:w="0" w:type="dxa"/>
          <w:right w:w="0" w:type="dxa"/>
        </w:tblCellMar>
      </w:tblPr>
      <w:tr>
        <w:trPr>
          <w:trHeight w:val="124"/>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7"/>
              </w:rPr>
              <w:t>Total Number of</w:t>
            </w:r>
          </w:p>
        </w:tc>
        <w:tc>
          <w:tcPr>
            <w:tcW w:w="1260" w:type="dxa"/>
            <w:vAlign w:val="bottom"/>
          </w:tcPr>
          <w:p>
            <w:pPr>
              <w:spacing w:after="0"/>
              <w:rPr>
                <w:sz w:val="10"/>
                <w:szCs w:val="10"/>
                <w:color w:val="auto"/>
              </w:rPr>
            </w:pP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Shares Purchased</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Approximate Dollar</w:t>
            </w:r>
          </w:p>
        </w:tc>
      </w:tr>
      <w:tr>
        <w:trPr>
          <w:trHeight w:val="135"/>
        </w:trPr>
        <w:tc>
          <w:tcPr>
            <w:tcW w:w="3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7"/>
              </w:rPr>
              <w:t>as Part of Publicly</w:t>
            </w:r>
          </w:p>
        </w:tc>
        <w:tc>
          <w:tcPr>
            <w:tcW w:w="12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Value of Shares that</w:t>
            </w:r>
          </w:p>
        </w:tc>
      </w:tr>
      <w:tr>
        <w:trPr>
          <w:trHeight w:val="125"/>
        </w:trPr>
        <w:tc>
          <w:tcPr>
            <w:tcW w:w="3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ind w:left="140"/>
              <w:spacing w:after="0" w:line="125" w:lineRule="exact"/>
              <w:rPr>
                <w:sz w:val="20"/>
                <w:szCs w:val="20"/>
                <w:color w:val="auto"/>
              </w:rPr>
            </w:pPr>
            <w:r>
              <w:rPr>
                <w:rFonts w:ascii="Arial" w:cs="Arial" w:eastAsia="Arial" w:hAnsi="Arial"/>
                <w:sz w:val="12"/>
                <w:szCs w:val="12"/>
                <w:b w:val="1"/>
                <w:bCs w:val="1"/>
                <w:color w:val="auto"/>
              </w:rPr>
              <w:t>Total Number of</w:t>
            </w:r>
          </w:p>
        </w:tc>
        <w:tc>
          <w:tcPr>
            <w:tcW w:w="1300" w:type="dxa"/>
            <w:vAlign w:val="bottom"/>
            <w:gridSpan w:val="2"/>
          </w:tcPr>
          <w:p>
            <w:pPr>
              <w:jc w:val="center"/>
              <w:ind w:right="140"/>
              <w:spacing w:after="0" w:line="125" w:lineRule="exact"/>
              <w:rPr>
                <w:sz w:val="20"/>
                <w:szCs w:val="20"/>
                <w:color w:val="auto"/>
              </w:rPr>
            </w:pPr>
            <w:r>
              <w:rPr>
                <w:rFonts w:ascii="Arial" w:cs="Arial" w:eastAsia="Arial" w:hAnsi="Arial"/>
                <w:sz w:val="12"/>
                <w:szCs w:val="12"/>
                <w:b w:val="1"/>
                <w:bCs w:val="1"/>
                <w:color w:val="auto"/>
                <w:w w:val="95"/>
              </w:rPr>
              <w:t>Average Price Paid</w:t>
            </w:r>
          </w:p>
        </w:tc>
        <w:tc>
          <w:tcPr>
            <w:tcW w:w="130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9"/>
              </w:rPr>
              <w:t>Announced</w:t>
            </w:r>
          </w:p>
        </w:tc>
        <w:tc>
          <w:tcPr>
            <w:tcW w:w="12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6"/>
              </w:rPr>
              <w:t>May Yet Be Purchased</w:t>
            </w:r>
          </w:p>
        </w:tc>
      </w:tr>
      <w:tr>
        <w:trPr>
          <w:trHeight w:val="155"/>
        </w:trPr>
        <w:tc>
          <w:tcPr>
            <w:tcW w:w="3720" w:type="dxa"/>
            <w:vAlign w:val="bottom"/>
            <w:gridSpan w:val="2"/>
          </w:tcPr>
          <w:p>
            <w:pPr>
              <w:ind w:left="20"/>
              <w:spacing w:after="0"/>
              <w:rPr>
                <w:sz w:val="20"/>
                <w:szCs w:val="20"/>
                <w:color w:val="auto"/>
              </w:rPr>
            </w:pPr>
            <w:r>
              <w:rPr>
                <w:rFonts w:ascii="Arial" w:cs="Arial" w:eastAsia="Arial" w:hAnsi="Arial"/>
                <w:sz w:val="12"/>
                <w:szCs w:val="12"/>
                <w:b w:val="1"/>
                <w:bCs w:val="1"/>
                <w:color w:val="auto"/>
              </w:rPr>
              <w:t>Period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 Purchased</w:t>
            </w:r>
          </w:p>
        </w:tc>
        <w:tc>
          <w:tcPr>
            <w:tcW w:w="13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per Share</w:t>
            </w:r>
          </w:p>
        </w:tc>
        <w:tc>
          <w:tcPr>
            <w:tcW w:w="1300" w:type="dxa"/>
            <w:vAlign w:val="bottom"/>
            <w:gridSpan w:val="2"/>
          </w:tcPr>
          <w:p>
            <w:pPr>
              <w:jc w:val="center"/>
              <w:ind w:right="120"/>
              <w:spacing w:after="0" w:line="155" w:lineRule="exact"/>
              <w:rPr>
                <w:sz w:val="20"/>
                <w:szCs w:val="20"/>
                <w:color w:val="auto"/>
              </w:rPr>
            </w:pPr>
            <w:r>
              <w:rPr>
                <w:rFonts w:ascii="Arial" w:cs="Arial" w:eastAsia="Arial" w:hAnsi="Arial"/>
                <w:sz w:val="12"/>
                <w:szCs w:val="12"/>
                <w:b w:val="1"/>
                <w:bCs w:val="1"/>
                <w:color w:val="auto"/>
                <w:w w:val="94"/>
              </w:rPr>
              <w:t>Programs</w:t>
            </w:r>
            <w:r>
              <w:rPr>
                <w:rFonts w:ascii="Arial" w:cs="Arial" w:eastAsia="Arial" w:hAnsi="Arial"/>
                <w:sz w:val="17"/>
                <w:szCs w:val="17"/>
                <w:b w:val="1"/>
                <w:bCs w:val="1"/>
                <w:color w:val="auto"/>
                <w:w w:val="94"/>
                <w:vertAlign w:val="superscript"/>
              </w:rPr>
              <w:t>(1)</w:t>
            </w:r>
          </w:p>
        </w:tc>
        <w:tc>
          <w:tcPr>
            <w:tcW w:w="1260" w:type="dxa"/>
            <w:vAlign w:val="bottom"/>
          </w:tcPr>
          <w:p>
            <w:pPr>
              <w:jc w:val="center"/>
              <w:spacing w:after="0" w:line="155" w:lineRule="exact"/>
              <w:rPr>
                <w:sz w:val="20"/>
                <w:szCs w:val="20"/>
                <w:color w:val="auto"/>
              </w:rPr>
            </w:pPr>
            <w:r>
              <w:rPr>
                <w:rFonts w:ascii="Arial" w:cs="Arial" w:eastAsia="Arial" w:hAnsi="Arial"/>
                <w:sz w:val="12"/>
                <w:szCs w:val="12"/>
                <w:b w:val="1"/>
                <w:bCs w:val="1"/>
                <w:color w:val="auto"/>
                <w:w w:val="95"/>
              </w:rPr>
              <w:t>Under the Programs</w:t>
            </w:r>
            <w:r>
              <w:rPr>
                <w:rFonts w:ascii="Arial" w:cs="Arial" w:eastAsia="Arial" w:hAnsi="Arial"/>
                <w:sz w:val="17"/>
                <w:szCs w:val="17"/>
                <w:b w:val="1"/>
                <w:bCs w:val="1"/>
                <w:color w:val="auto"/>
                <w:w w:val="95"/>
                <w:vertAlign w:val="superscript"/>
              </w:rPr>
              <w:t>(1)</w:t>
            </w:r>
          </w:p>
        </w:tc>
      </w:tr>
      <w:tr>
        <w:trPr>
          <w:trHeight w:val="196"/>
        </w:trPr>
        <w:tc>
          <w:tcPr>
            <w:tcW w:w="35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January 1, 2024 to January 31, 2024</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94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$120,166,000</w:t>
            </w:r>
          </w:p>
        </w:tc>
      </w:tr>
      <w:tr>
        <w:trPr>
          <w:trHeight w:val="203"/>
        </w:trPr>
        <w:tc>
          <w:tcPr>
            <w:tcW w:w="37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February 1, 2024 to February 29, 2024</w:t>
            </w:r>
          </w:p>
        </w:tc>
        <w:tc>
          <w:tcPr>
            <w:tcW w:w="132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203"/>
        </w:trPr>
        <w:tc>
          <w:tcPr>
            <w:tcW w:w="37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March 1, 2024 to March 31, 2024</w:t>
            </w:r>
          </w:p>
        </w:tc>
        <w:tc>
          <w:tcPr>
            <w:tcW w:w="132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120,166,000</w:t>
            </w:r>
          </w:p>
        </w:tc>
      </w:tr>
      <w:tr>
        <w:trPr>
          <w:trHeight w:val="196"/>
        </w:trPr>
        <w:tc>
          <w:tcPr>
            <w:tcW w:w="37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ind w:left="94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80" w:type="dxa"/>
            <w:vAlign w:val="bottom"/>
            <w:tcBorders>
              <w:top w:val="single" w:sz="8" w:color="auto"/>
              <w:bottom w:val="single" w:sz="8" w:color="auto"/>
            </w:tcBorders>
          </w:tcPr>
          <w:p>
            <w:pPr>
              <w:ind w:left="94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120,166,000</w:t>
            </w:r>
          </w:p>
        </w:tc>
      </w:tr>
      <w:tr>
        <w:trPr>
          <w:trHeight w:val="20"/>
        </w:trPr>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jc w:val="both"/>
        <w:ind w:left="380" w:right="79" w:hanging="330"/>
        <w:spacing w:after="0" w:line="256" w:lineRule="auto"/>
        <w:tabs>
          <w:tab w:leader="none" w:pos="3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On October 30, 2020, our Board of Directors authorized a stock repurchase program for the repurchase of up to $100.0 million of the Company’s Class A common stock, expiring on October 31, 2022. In August 2021 and January 2022, our Board of Directors authorized increases to the stock repurchase program for the repurchase of up to an additional $125.0 million and $152.7 million of the Company’s Class A common stock, respectively. Following these extensions, the stock repurchase program now expires on December 31, 2025. This</w:t>
      </w:r>
    </w:p>
    <w:p>
      <w:pPr>
        <w:sectPr>
          <w:pgSz w:w="11900" w:h="16838" w:orient="portrait"/>
          <w:cols w:equalWidth="0" w:num="1">
            <w:col w:w="9019"/>
          </w:cols>
          <w:pgMar w:left="1440" w:top="512"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80" w:right="79"/>
        <w:spacing w:after="0" w:line="285" w:lineRule="auto"/>
        <w:rPr>
          <w:sz w:val="20"/>
          <w:szCs w:val="20"/>
          <w:color w:val="auto"/>
        </w:rPr>
      </w:pPr>
      <w:r>
        <w:rPr>
          <w:rFonts w:ascii="Arial" w:cs="Arial" w:eastAsia="Arial" w:hAnsi="Arial"/>
          <w:sz w:val="14"/>
          <w:szCs w:val="14"/>
          <w:color w:val="auto"/>
        </w:rPr>
        <w:t>program does not obligate the Company to acquire any particular amount of Class A common stock and the program may be extended, modified, suspended or discontinued at any time at the board’s discretion.</w:t>
      </w:r>
    </w:p>
    <w:p>
      <w:pPr>
        <w:spacing w:after="0" w:line="40"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The table above excludes shares net settled by the Company in connection with tax withholdings associated with the vesting of restricted stock units as these shares were not issued and outstanding.</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right="3439" w:hanging="650"/>
        <w:spacing w:after="0" w:line="485"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Disclosure in lieu of reporting on a Current Report on Form 8-K. None.</w:t>
      </w:r>
    </w:p>
    <w:p>
      <w:pPr>
        <w:ind w:left="700" w:right="279" w:hanging="650"/>
        <w:spacing w:after="0" w:line="271" w:lineRule="auto"/>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Material changes to the procedures by which security holders may recommend nominees to the board of directors.</w:t>
      </w:r>
    </w:p>
    <w:p>
      <w:pPr>
        <w:spacing w:after="0" w:line="153"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00" w:hanging="650"/>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Insider trading arrangements and policies.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March 31, 2024, no director or officer of the Company adopted or terminated a “Rule 10b5-1 trading arrangement” or “non-Rule 10b5-1 trading arrangement,” as each term is defined in Item 408(a) of Regulation S-K.</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620" w:type="dxa"/>
            <w:vAlign w:val="bottom"/>
            <w:gridSpan w:val="18"/>
          </w:tcPr>
          <w:p>
            <w:pPr>
              <w:ind w:left="40"/>
              <w:spacing w:after="0"/>
              <w:rPr>
                <w:sz w:val="20"/>
                <w:szCs w:val="20"/>
                <w:color w:val="auto"/>
              </w:rPr>
            </w:pPr>
            <w:r>
              <w:rPr>
                <w:rFonts w:ascii="Arial" w:cs="Arial" w:eastAsia="Arial" w:hAnsi="Arial"/>
                <w:sz w:val="18"/>
                <w:szCs w:val="18"/>
                <w:b w:val="1"/>
                <w:bCs w:val="1"/>
                <w:color w:val="auto"/>
              </w:rPr>
              <w:t>Exhibits</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 Index</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80" w:type="dxa"/>
            <w:vAlign w:val="bottom"/>
            <w:gridSpan w:val="13"/>
          </w:tcPr>
          <w:p>
            <w:pPr>
              <w:ind w:left="320"/>
              <w:spacing w:after="0"/>
              <w:rPr>
                <w:sz w:val="20"/>
                <w:szCs w:val="20"/>
                <w:color w:val="auto"/>
              </w:rPr>
            </w:pPr>
            <w:r>
              <w:rPr>
                <w:rFonts w:ascii="Arial" w:cs="Arial" w:eastAsia="Arial" w:hAnsi="Arial"/>
                <w:sz w:val="14"/>
                <w:szCs w:val="14"/>
                <w:b w:val="1"/>
                <w:bCs w:val="1"/>
                <w:color w:val="auto"/>
              </w:rPr>
              <w:t>Exhibit Description</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Form</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tcBorders>
              <w:top w:val="single" w:sz="8" w:color="auto"/>
            </w:tcBorders>
            <w:gridSpan w:val="14"/>
          </w:tcPr>
          <w:p>
            <w:pPr>
              <w:spacing w:after="0" w:line="169" w:lineRule="exact"/>
              <w:rPr>
                <w:rFonts w:ascii="Arial" w:cs="Arial" w:eastAsia="Arial" w:hAnsi="Arial"/>
                <w:sz w:val="18"/>
                <w:szCs w:val="18"/>
                <w:color w:val="0000EE"/>
              </w:rPr>
            </w:pPr>
            <w:hyperlink r:id="rId59">
              <w:r>
                <w:rPr>
                  <w:rFonts w:ascii="Arial" w:cs="Arial" w:eastAsia="Arial" w:hAnsi="Arial"/>
                  <w:sz w:val="18"/>
                  <w:szCs w:val="18"/>
                  <w:color w:val="0000EE"/>
                </w:rPr>
                <w:t>Amended and Restated Certificate of</w:t>
              </w:r>
            </w:hyperlink>
          </w:p>
        </w:tc>
        <w:tc>
          <w:tcPr>
            <w:tcW w:w="180" w:type="dxa"/>
            <w:vAlign w:val="bottom"/>
          </w:tcPr>
          <w:p>
            <w:pPr>
              <w:spacing w:after="0"/>
              <w:rPr>
                <w:sz w:val="14"/>
                <w:szCs w:val="14"/>
                <w:color w:val="auto"/>
              </w:rPr>
            </w:pPr>
          </w:p>
        </w:tc>
        <w:tc>
          <w:tcPr>
            <w:tcW w:w="4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10-Q</w:t>
            </w:r>
          </w:p>
        </w:tc>
        <w:tc>
          <w:tcPr>
            <w:tcW w:w="200" w:type="dxa"/>
            <w:vAlign w:val="bottom"/>
          </w:tcPr>
          <w:p>
            <w:pPr>
              <w:spacing w:after="0"/>
              <w:rPr>
                <w:sz w:val="14"/>
                <w:szCs w:val="14"/>
                <w:color w:val="auto"/>
              </w:rPr>
            </w:pPr>
          </w:p>
        </w:tc>
        <w:tc>
          <w:tcPr>
            <w:tcW w:w="9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14"/>
                <w:szCs w:val="14"/>
                <w:color w:val="auto"/>
              </w:rPr>
            </w:pPr>
          </w:p>
        </w:tc>
        <w:tc>
          <w:tcPr>
            <w:tcW w:w="6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14"/>
                <w:szCs w:val="14"/>
                <w:color w:val="auto"/>
              </w:rPr>
            </w:pPr>
          </w:p>
        </w:tc>
        <w:tc>
          <w:tcPr>
            <w:tcW w:w="7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6"/>
              </w:rPr>
              <w:t>11/10/16</w:t>
            </w:r>
          </w:p>
        </w:tc>
        <w:tc>
          <w:tcPr>
            <w:tcW w:w="16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59">
              <w:r>
                <w:rPr>
                  <w:rFonts w:ascii="Arial" w:cs="Arial" w:eastAsia="Arial" w:hAnsi="Arial"/>
                  <w:sz w:val="18"/>
                  <w:szCs w:val="18"/>
                  <w:color w:val="0000EE"/>
                </w:rPr>
                <w:t>Incorporation of Camping World</w:t>
              </w:r>
            </w:hyperlink>
          </w:p>
        </w:tc>
        <w:tc>
          <w:tcPr>
            <w:tcW w:w="26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Holdings, Inc.</w:t>
              </w:r>
            </w:hyperlink>
          </w:p>
        </w:tc>
        <w:tc>
          <w:tcPr>
            <w:tcW w:w="1440" w:type="dxa"/>
            <w:vAlign w:val="bottom"/>
            <w:tcBorders>
              <w:top w:val="single" w:sz="8" w:color="0000EE"/>
            </w:tcBorders>
            <w:gridSpan w:val="5"/>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16"/>
          </w:tcPr>
          <w:p>
            <w:pPr>
              <w:spacing w:after="0"/>
              <w:rPr>
                <w:rFonts w:ascii="Arial" w:cs="Arial" w:eastAsia="Arial" w:hAnsi="Arial"/>
                <w:sz w:val="18"/>
                <w:szCs w:val="18"/>
                <w:color w:val="0000EE"/>
              </w:rPr>
            </w:pPr>
            <w:hyperlink r:id="rId60">
              <w:r>
                <w:rPr>
                  <w:rFonts w:ascii="Arial" w:cs="Arial" w:eastAsia="Arial" w:hAnsi="Arial"/>
                  <w:sz w:val="18"/>
                  <w:szCs w:val="18"/>
                  <w:color w:val="0000EE"/>
                </w:rPr>
                <w:t>Amended and Restated Bylaws of</w:t>
              </w:r>
            </w:hyperlink>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8-K</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001-37908</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12/26/23</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60">
              <w:r>
                <w:rPr>
                  <w:rFonts w:ascii="Arial" w:cs="Arial" w:eastAsia="Arial" w:hAnsi="Arial"/>
                  <w:sz w:val="18"/>
                  <w:szCs w:val="18"/>
                  <w:color w:val="0000EE"/>
                </w:rPr>
                <w:t>Camping World Holdings, Inc.</w:t>
              </w:r>
            </w:hyperlink>
          </w:p>
        </w:tc>
        <w:tc>
          <w:tcPr>
            <w:tcW w:w="100" w:type="dxa"/>
            <w:vAlign w:val="bottom"/>
          </w:tcPr>
          <w:p>
            <w:pPr>
              <w:spacing w:after="0"/>
              <w:rPr>
                <w:sz w:val="15"/>
                <w:szCs w:val="15"/>
                <w:color w:val="auto"/>
              </w:rPr>
            </w:pPr>
          </w:p>
        </w:tc>
        <w:tc>
          <w:tcPr>
            <w:tcW w:w="4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Borders>
              <w:top w:val="single" w:sz="8" w:color="0000EE"/>
            </w:tcBorders>
            <w:gridSpan w:val="7"/>
          </w:tcPr>
          <w:p>
            <w:pPr>
              <w:spacing w:after="0"/>
              <w:rPr>
                <w:rFonts w:ascii="Arial" w:cs="Arial" w:eastAsia="Arial" w:hAnsi="Arial"/>
                <w:sz w:val="18"/>
                <w:szCs w:val="18"/>
                <w:color w:val="0000EE"/>
              </w:rPr>
            </w:pPr>
            <w:hyperlink r:id="rId61">
              <w:r>
                <w:rPr>
                  <w:rFonts w:ascii="Arial" w:cs="Arial" w:eastAsia="Arial" w:hAnsi="Arial"/>
                  <w:sz w:val="18"/>
                  <w:szCs w:val="18"/>
                  <w:color w:val="0000EE"/>
                </w:rPr>
                <w:t>Specimen Stock Certificate</w:t>
              </w:r>
            </w:hyperlink>
          </w:p>
        </w:tc>
        <w:tc>
          <w:tcPr>
            <w:tcW w:w="840" w:type="dxa"/>
            <w:vAlign w:val="bottom"/>
            <w:gridSpan w:val="9"/>
          </w:tcPr>
          <w:p>
            <w:pPr>
              <w:spacing w:after="0"/>
              <w:rPr>
                <w:sz w:val="24"/>
                <w:szCs w:val="2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S-1/A</w:t>
            </w:r>
          </w:p>
        </w:tc>
        <w:tc>
          <w:tcPr>
            <w:tcW w:w="980" w:type="dxa"/>
            <w:vAlign w:val="bottom"/>
          </w:tcPr>
          <w:p>
            <w:pPr>
              <w:jc w:val="center"/>
              <w:spacing w:after="0"/>
              <w:rPr>
                <w:sz w:val="20"/>
                <w:szCs w:val="20"/>
                <w:color w:val="auto"/>
              </w:rPr>
            </w:pPr>
            <w:r>
              <w:rPr>
                <w:rFonts w:ascii="Arial" w:cs="Arial" w:eastAsia="Arial" w:hAnsi="Arial"/>
                <w:sz w:val="18"/>
                <w:szCs w:val="18"/>
                <w:color w:val="auto"/>
                <w:w w:val="97"/>
              </w:rPr>
              <w:t>333-211977</w:t>
            </w:r>
          </w:p>
        </w:tc>
        <w:tc>
          <w:tcPr>
            <w:tcW w:w="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9/13/16</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6"/>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evidencing the shares of Class A</w:t>
              </w:r>
            </w:hyperlink>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2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61">
              <w:r>
                <w:rPr>
                  <w:rFonts w:ascii="Arial" w:cs="Arial" w:eastAsia="Arial" w:hAnsi="Arial"/>
                  <w:sz w:val="18"/>
                  <w:szCs w:val="18"/>
                  <w:color w:val="0000EE"/>
                </w:rPr>
                <w:t>common stock</w:t>
              </w:r>
            </w:hyperlink>
          </w:p>
        </w:tc>
        <w:tc>
          <w:tcPr>
            <w:tcW w:w="8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4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20" w:type="dxa"/>
            <w:vAlign w:val="bottom"/>
            <w:gridSpan w:val="16"/>
          </w:tcPr>
          <w:p>
            <w:pPr>
              <w:spacing w:after="0"/>
              <w:rPr>
                <w:sz w:val="20"/>
                <w:szCs w:val="20"/>
                <w:color w:val="auto"/>
              </w:rPr>
            </w:pPr>
            <w:r>
              <w:rPr>
                <w:rFonts w:ascii="Arial" w:cs="Arial" w:eastAsia="Arial" w:hAnsi="Arial"/>
                <w:sz w:val="18"/>
                <w:szCs w:val="18"/>
                <w:color w:val="0000EE"/>
              </w:rPr>
              <w:t>Camping World Holdings, Inc. Non-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Borders>
              <w:top w:val="single" w:sz="8" w:color="0000EE"/>
            </w:tcBorders>
            <w:gridSpan w:val="13"/>
          </w:tcPr>
          <w:p>
            <w:pPr>
              <w:spacing w:after="0" w:line="182" w:lineRule="exact"/>
              <w:rPr>
                <w:sz w:val="20"/>
                <w:szCs w:val="20"/>
                <w:color w:val="auto"/>
              </w:rPr>
            </w:pPr>
            <w:r>
              <w:rPr>
                <w:rFonts w:ascii="Arial" w:cs="Arial" w:eastAsia="Arial" w:hAnsi="Arial"/>
                <w:sz w:val="18"/>
                <w:szCs w:val="18"/>
                <w:color w:val="0000EE"/>
              </w:rPr>
              <w:t>Employee Director Compensation</w:t>
            </w:r>
          </w:p>
        </w:tc>
        <w:tc>
          <w:tcPr>
            <w:tcW w:w="4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Policy</w:t>
            </w:r>
          </w:p>
        </w:tc>
        <w:tc>
          <w:tcPr>
            <w:tcW w:w="520" w:type="dxa"/>
            <w:vAlign w:val="bottom"/>
            <w:gridSpan w:val="5"/>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Rule 13a-14(a) / 15d-14(a)</w:t>
            </w:r>
          </w:p>
        </w:tc>
        <w:tc>
          <w:tcPr>
            <w:tcW w:w="1060" w:type="dxa"/>
            <w:vAlign w:val="bottom"/>
            <w:gridSpan w:val="10"/>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20" w:type="dxa"/>
            <w:vAlign w:val="bottom"/>
            <w:gridSpan w:val="16"/>
          </w:tcPr>
          <w:p>
            <w:pPr>
              <w:spacing w:after="0" w:line="182" w:lineRule="exact"/>
              <w:rPr>
                <w:sz w:val="20"/>
                <w:szCs w:val="20"/>
                <w:color w:val="auto"/>
              </w:rPr>
            </w:pPr>
            <w:r>
              <w:rPr>
                <w:rFonts w:ascii="Arial" w:cs="Arial" w:eastAsia="Arial" w:hAnsi="Arial"/>
                <w:sz w:val="18"/>
                <w:szCs w:val="18"/>
                <w:color w:val="0000EE"/>
              </w:rPr>
              <w:t>Certification of Chief Executive</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Officer</w:t>
            </w:r>
          </w:p>
        </w:tc>
        <w:tc>
          <w:tcPr>
            <w:tcW w:w="1920" w:type="dxa"/>
            <w:vAlign w:val="bottom"/>
            <w:tcBorders>
              <w:top w:val="single" w:sz="8" w:color="0000EE"/>
            </w:tcBorders>
            <w:gridSpan w:val="5"/>
          </w:tcPr>
          <w:p>
            <w:pPr>
              <w:spacing w:after="0"/>
              <w:rPr>
                <w:sz w:val="15"/>
                <w:szCs w:val="15"/>
                <w:color w:val="auto"/>
              </w:rPr>
            </w:pPr>
          </w:p>
        </w:tc>
        <w:tc>
          <w:tcPr>
            <w:tcW w:w="760" w:type="dxa"/>
            <w:vAlign w:val="bottom"/>
            <w:gridSpan w:val="8"/>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w:t>
            </w:r>
          </w:p>
        </w:tc>
        <w:tc>
          <w:tcPr>
            <w:tcW w:w="7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6"/>
        </w:trPr>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Filing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7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30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Form</w:t>
            </w:r>
          </w:p>
        </w:tc>
        <w:tc>
          <w:tcPr>
            <w:tcW w:w="200" w:type="dxa"/>
            <w:vAlign w:val="bottom"/>
          </w:tcPr>
          <w:p>
            <w:pPr>
              <w:spacing w:after="0"/>
              <w:rPr>
                <w:sz w:val="14"/>
                <w:szCs w:val="14"/>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File No.</w:t>
            </w:r>
          </w:p>
        </w:tc>
        <w:tc>
          <w:tcPr>
            <w:tcW w:w="20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9"/>
              </w:rPr>
              <w:t>Rule 13a-14(a) / 15d-14(a)</w:t>
            </w:r>
          </w:p>
        </w:tc>
        <w:tc>
          <w:tcPr>
            <w:tcW w:w="10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8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9"/>
              </w:rPr>
              <w:t>Certification of Chief Financial Officer</w:t>
            </w:r>
          </w:p>
        </w:tc>
        <w:tc>
          <w:tcPr>
            <w:tcW w:w="24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Executive Officer</w:t>
            </w: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0000EE"/>
              </w:rPr>
              <w:t>Section 1350 Certification of Chief</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83"/>
        </w:trPr>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2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Financial Officer</w:t>
            </w:r>
          </w:p>
        </w:tc>
        <w:tc>
          <w:tcPr>
            <w:tcW w:w="500" w:type="dxa"/>
            <w:vAlign w:val="bottom"/>
            <w:gridSpan w:val="3"/>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Instance Document – the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6"/>
          </w:tcPr>
          <w:p>
            <w:pPr>
              <w:spacing w:after="0" w:line="202" w:lineRule="exact"/>
              <w:rPr>
                <w:sz w:val="20"/>
                <w:szCs w:val="20"/>
                <w:color w:val="auto"/>
              </w:rPr>
            </w:pPr>
            <w:r>
              <w:rPr>
                <w:rFonts w:ascii="Arial" w:cs="Arial" w:eastAsia="Arial" w:hAnsi="Arial"/>
                <w:sz w:val="18"/>
                <w:szCs w:val="18"/>
                <w:color w:val="auto"/>
              </w:rPr>
              <w:t>instance document does not appear</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6"/>
          </w:tcPr>
          <w:p>
            <w:pPr>
              <w:spacing w:after="0" w:line="202" w:lineRule="exact"/>
              <w:rPr>
                <w:sz w:val="20"/>
                <w:szCs w:val="20"/>
                <w:color w:val="auto"/>
              </w:rPr>
            </w:pPr>
            <w:r>
              <w:rPr>
                <w:rFonts w:ascii="Arial" w:cs="Arial" w:eastAsia="Arial" w:hAnsi="Arial"/>
                <w:sz w:val="18"/>
                <w:szCs w:val="18"/>
                <w:color w:val="auto"/>
              </w:rPr>
              <w:t>in the Interactive Data File because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6"/>
          </w:tcPr>
          <w:p>
            <w:pPr>
              <w:spacing w:after="0" w:line="202" w:lineRule="exact"/>
              <w:rPr>
                <w:sz w:val="20"/>
                <w:szCs w:val="20"/>
                <w:color w:val="auto"/>
              </w:rPr>
            </w:pPr>
            <w:r>
              <w:rPr>
                <w:rFonts w:ascii="Arial" w:cs="Arial" w:eastAsia="Arial" w:hAnsi="Arial"/>
                <w:sz w:val="18"/>
                <w:szCs w:val="18"/>
                <w:color w:val="auto"/>
              </w:rPr>
              <w:t>its XBRL tags are embedded within</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the Inline XBRL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Schema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Calculation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Extension Definition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Label</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Inline XBRL Taxonomy Extension</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Presentation Linkbase Document</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Cover Page Interactive Data File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20" w:type="dxa"/>
            <w:vAlign w:val="bottom"/>
            <w:gridSpan w:val="6"/>
          </w:tcPr>
          <w:p>
            <w:pPr>
              <w:spacing w:after="0" w:line="202" w:lineRule="exact"/>
              <w:rPr>
                <w:sz w:val="20"/>
                <w:szCs w:val="20"/>
                <w:color w:val="auto"/>
              </w:rPr>
            </w:pPr>
            <w:r>
              <w:rPr>
                <w:rFonts w:ascii="Arial" w:cs="Arial" w:eastAsia="Arial" w:hAnsi="Arial"/>
                <w:sz w:val="18"/>
                <w:szCs w:val="18"/>
                <w:color w:val="auto"/>
              </w:rPr>
              <w:t>(formatted as Inline XBRL and</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20" w:type="dxa"/>
            <w:vAlign w:val="bottom"/>
            <w:gridSpan w:val="6"/>
          </w:tcPr>
          <w:p>
            <w:pPr>
              <w:spacing w:after="0"/>
              <w:rPr>
                <w:sz w:val="20"/>
                <w:szCs w:val="20"/>
                <w:color w:val="auto"/>
              </w:rPr>
            </w:pPr>
            <w:r>
              <w:rPr>
                <w:rFonts w:ascii="Arial" w:cs="Arial" w:eastAsia="Arial" w:hAnsi="Arial"/>
                <w:sz w:val="18"/>
                <w:szCs w:val="18"/>
                <w:color w:val="auto"/>
              </w:rPr>
              <w:t>contained in Exhibit 101)</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20" w:hanging="270"/>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9" w:lineRule="exact"/>
        <w:rPr>
          <w:sz w:val="20"/>
          <w:szCs w:val="20"/>
          <w:color w:val="auto"/>
        </w:rPr>
      </w:pPr>
    </w:p>
    <w:p>
      <w:pPr>
        <w:ind w:left="320" w:hanging="270"/>
        <w:spacing w:after="0"/>
        <w:tabs>
          <w:tab w:leader="none" w:pos="3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rFonts w:ascii="Arial" w:cs="Arial" w:eastAsia="Arial" w:hAnsi="Arial"/>
          <w:sz w:val="14"/>
          <w:szCs w:val="14"/>
          <w:color w:val="auto"/>
        </w:rPr>
      </w:pPr>
    </w:p>
    <w:p>
      <w:pPr>
        <w:ind w:left="320" w:hanging="270"/>
        <w:spacing w:after="0"/>
        <w:tabs>
          <w:tab w:leader="none" w:pos="320" w:val="left"/>
        </w:tabs>
        <w:numPr>
          <w:ilvl w:val="0"/>
          <w:numId w:val="39"/>
        </w:numPr>
        <w:rPr>
          <w:rFonts w:ascii="Arial" w:cs="Arial" w:eastAsia="Arial" w:hAnsi="Arial"/>
          <w:sz w:val="14"/>
          <w:szCs w:val="14"/>
          <w:color w:val="auto"/>
        </w:rPr>
      </w:pPr>
      <w:r>
        <w:rPr>
          <w:rFonts w:ascii="Arial" w:cs="Arial" w:eastAsia="Arial" w:hAnsi="Arial"/>
          <w:sz w:val="14"/>
          <w:szCs w:val="14"/>
          <w:color w:val="auto"/>
        </w:rPr>
        <w:t>Submitted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6120" w:type="dxa"/>
            <w:vAlign w:val="bottom"/>
            <w:gridSpan w:val="2"/>
          </w:tcPr>
          <w:p>
            <w:pPr>
              <w:ind w:left="1340"/>
              <w:spacing w:after="0"/>
              <w:rPr>
                <w:sz w:val="20"/>
                <w:szCs w:val="20"/>
                <w:color w:val="auto"/>
              </w:rPr>
            </w:pPr>
            <w:r>
              <w:rPr>
                <w:rFonts w:ascii="Arial" w:cs="Arial" w:eastAsia="Arial" w:hAnsi="Arial"/>
                <w:sz w:val="18"/>
                <w:szCs w:val="18"/>
                <w:b w:val="1"/>
                <w:bCs w:val="1"/>
                <w:color w:val="auto"/>
              </w:rPr>
              <w:t>Camping World Holdings, Inc</w:t>
            </w:r>
            <w:r>
              <w:rPr>
                <w:rFonts w:ascii="Arial" w:cs="Arial" w:eastAsia="Arial" w:hAnsi="Arial"/>
                <w:sz w:val="18"/>
                <w:szCs w:val="18"/>
                <w:color w:val="auto"/>
              </w:rPr>
              <w:t>.</w:t>
            </w:r>
          </w:p>
        </w:tc>
      </w:tr>
      <w:tr>
        <w:trPr>
          <w:trHeight w:val="221"/>
        </w:trPr>
        <w:tc>
          <w:tcPr>
            <w:tcW w:w="2780" w:type="dxa"/>
            <w:vAlign w:val="bottom"/>
          </w:tcPr>
          <w:p>
            <w:pPr>
              <w:spacing w:after="0"/>
              <w:rPr>
                <w:sz w:val="20"/>
                <w:szCs w:val="20"/>
                <w:color w:val="auto"/>
              </w:rPr>
            </w:pPr>
            <w:r>
              <w:rPr>
                <w:rFonts w:ascii="Arial" w:cs="Arial" w:eastAsia="Arial" w:hAnsi="Arial"/>
                <w:sz w:val="18"/>
                <w:szCs w:val="18"/>
                <w:color w:val="auto"/>
              </w:rPr>
              <w:t>Date: May 3, 2024</w:t>
            </w:r>
          </w:p>
        </w:tc>
        <w:tc>
          <w:tcPr>
            <w:tcW w:w="6120" w:type="dxa"/>
            <w:vAlign w:val="bottom"/>
            <w:gridSpan w:val="2"/>
          </w:tcPr>
          <w:p>
            <w:pPr>
              <w:ind w:left="1340"/>
              <w:spacing w:after="0"/>
              <w:rPr>
                <w:sz w:val="20"/>
                <w:szCs w:val="20"/>
                <w:color w:val="auto"/>
              </w:rPr>
            </w:pPr>
            <w:r>
              <w:rPr>
                <w:rFonts w:ascii="Arial" w:cs="Arial" w:eastAsia="Arial" w:hAnsi="Arial"/>
                <w:sz w:val="18"/>
                <w:szCs w:val="18"/>
                <w:color w:val="auto"/>
              </w:rPr>
              <w:t>By: /s/ Karin L. Bell</w:t>
            </w:r>
          </w:p>
        </w:tc>
      </w:tr>
      <w:tr>
        <w:trPr>
          <w:trHeight w:val="177"/>
        </w:trPr>
        <w:tc>
          <w:tcPr>
            <w:tcW w:w="2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60" w:type="dxa"/>
            <w:vAlign w:val="bottom"/>
            <w:tcBorders>
              <w:top w:val="single" w:sz="8" w:color="auto"/>
            </w:tcBorders>
          </w:tcPr>
          <w:p>
            <w:pPr>
              <w:spacing w:after="0" w:line="177" w:lineRule="exact"/>
              <w:rPr>
                <w:sz w:val="20"/>
                <w:szCs w:val="20"/>
                <w:color w:val="auto"/>
              </w:rPr>
            </w:pPr>
            <w:r>
              <w:rPr>
                <w:rFonts w:ascii="Arial" w:cs="Arial" w:eastAsia="Arial" w:hAnsi="Arial"/>
                <w:sz w:val="18"/>
                <w:szCs w:val="18"/>
                <w:color w:val="auto"/>
              </w:rPr>
              <w:t>Karin L. Bell</w:t>
            </w:r>
          </w:p>
        </w:tc>
      </w:tr>
      <w:tr>
        <w:trPr>
          <w:trHeight w:val="203"/>
        </w:trPr>
        <w:tc>
          <w:tcPr>
            <w:tcW w:w="27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46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9"/>
        </w:trPr>
        <w:tc>
          <w:tcPr>
            <w:tcW w:w="2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(Authorized Officer and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CAMPING WORLD HOLDINGS, INC.</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NON-EMPLOYEE DIRECTOR COMPENSATION POLICY</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19"/>
          <w:szCs w:val="19"/>
          <w:b w:val="1"/>
          <w:bCs w:val="1"/>
          <w:color w:val="auto"/>
        </w:rPr>
        <w:t>as amended effective as of March 28, 2024)</w:t>
      </w:r>
    </w:p>
    <w:p>
      <w:pPr>
        <w:spacing w:after="0" w:line="228"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Non-employee members of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Camping World Holdings,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shall be eligible to receive cash and equity compensation as set forth in this Non-Employee Director Compensation Policy (as amended from time to time,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which was adopted effective as of October 6, 2016, subsequently amended effective as of January 1, 2022 and is hereby amended effective as of March 28, 2024.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20"/>
          <w:szCs w:val="20"/>
          <w:b w:val="1"/>
          <w:bCs w:val="1"/>
          <w:i w:val="1"/>
          <w:iCs w:val="1"/>
          <w:color w:val="auto"/>
        </w:rPr>
        <w:t>Non-Employee Director</w:t>
      </w:r>
      <w:r>
        <w:rPr>
          <w:rFonts w:ascii="Arial" w:cs="Arial" w:eastAsia="Arial" w:hAnsi="Arial"/>
          <w:sz w:val="20"/>
          <w:szCs w:val="20"/>
          <w:color w:val="auto"/>
        </w:rPr>
        <w:t>”), who may be eligible to receive such cash or equity compensation, unless such Non-Employee Director declines the receipt of such cash or equity compensation by written notice to the Company. This Policy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 Non-Employee Director shall have any rights hereunder, except with respect to restricted stock units granted pursuant to this Policy.</w:t>
      </w:r>
    </w:p>
    <w:p>
      <w:pPr>
        <w:spacing w:after="0" w:line="179"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Cash Compensation</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ind w:firstLine="1304"/>
        <w:spacing w:after="0" w:line="257" w:lineRule="auto"/>
        <w:tabs>
          <w:tab w:leader="none" w:pos="1944"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Annual Retainers</w:t>
      </w:r>
      <w:r>
        <w:rPr>
          <w:rFonts w:ascii="Arial" w:cs="Arial" w:eastAsia="Arial" w:hAnsi="Arial"/>
          <w:sz w:val="20"/>
          <w:szCs w:val="20"/>
          <w:color w:val="auto"/>
        </w:rPr>
        <w:t>. Each Non-Employee Director shall receive an annual retainer of $100,000 for service on the Board.</w:t>
      </w:r>
    </w:p>
    <w:p>
      <w:pPr>
        <w:spacing w:after="0" w:line="155" w:lineRule="exact"/>
        <w:rPr>
          <w:rFonts w:ascii="Arial" w:cs="Arial" w:eastAsia="Arial" w:hAnsi="Arial"/>
          <w:sz w:val="20"/>
          <w:szCs w:val="20"/>
          <w:color w:val="auto"/>
        </w:rPr>
      </w:pPr>
    </w:p>
    <w:p>
      <w:pPr>
        <w:ind w:right="20" w:firstLine="1304"/>
        <w:spacing w:after="0" w:line="257" w:lineRule="auto"/>
        <w:tabs>
          <w:tab w:leader="none" w:pos="1944"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Additional Annual Retainers</w:t>
      </w:r>
      <w:r>
        <w:rPr>
          <w:rFonts w:ascii="Arial" w:cs="Arial" w:eastAsia="Arial" w:hAnsi="Arial"/>
          <w:sz w:val="20"/>
          <w:szCs w:val="20"/>
          <w:color w:val="auto"/>
        </w:rPr>
        <w:t>. In addition, a Non-Employee Director shall receive the following annual retainers:</w:t>
      </w:r>
    </w:p>
    <w:p>
      <w:pPr>
        <w:spacing w:after="0" w:line="155" w:lineRule="exact"/>
        <w:rPr>
          <w:rFonts w:ascii="Arial" w:cs="Arial" w:eastAsia="Arial" w:hAnsi="Arial"/>
          <w:sz w:val="20"/>
          <w:szCs w:val="20"/>
          <w:color w:val="auto"/>
        </w:rPr>
      </w:pPr>
    </w:p>
    <w:p>
      <w:pPr>
        <w:jc w:val="both"/>
        <w:ind w:firstLine="1952"/>
        <w:spacing w:after="0" w:line="237" w:lineRule="auto"/>
        <w:tabs>
          <w:tab w:leader="none" w:pos="2592"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Audit Committee</w:t>
      </w:r>
      <w:r>
        <w:rPr>
          <w:rFonts w:ascii="Arial" w:cs="Arial" w:eastAsia="Arial" w:hAnsi="Arial"/>
          <w:sz w:val="20"/>
          <w:szCs w:val="20"/>
          <w:color w:val="auto"/>
        </w:rPr>
        <w:t>. A Non-Employee Director serving as Chairperson of the Audit Committee shall receive an additional annual retainer of $30,000 for such service. A Non-Employee Director serving as a member of the Audit Committee (other than the Chairperson) shall receive an additional annual retainer of $17,500 for such service.</w:t>
      </w:r>
    </w:p>
    <w:p>
      <w:pPr>
        <w:spacing w:after="0" w:line="171" w:lineRule="exact"/>
        <w:rPr>
          <w:rFonts w:ascii="Arial" w:cs="Arial" w:eastAsia="Arial" w:hAnsi="Arial"/>
          <w:sz w:val="20"/>
          <w:szCs w:val="20"/>
          <w:color w:val="auto"/>
        </w:rPr>
      </w:pPr>
    </w:p>
    <w:p>
      <w:pPr>
        <w:jc w:val="both"/>
        <w:ind w:firstLine="1952"/>
        <w:spacing w:after="0" w:line="237" w:lineRule="auto"/>
        <w:tabs>
          <w:tab w:leader="none" w:pos="2592"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Compensation Committee</w:t>
      </w:r>
      <w:r>
        <w:rPr>
          <w:rFonts w:ascii="Arial" w:cs="Arial" w:eastAsia="Arial" w:hAnsi="Arial"/>
          <w:sz w:val="20"/>
          <w:szCs w:val="20"/>
          <w:color w:val="auto"/>
        </w:rPr>
        <w:t>. A Non-Employee Director serving as Chairperson of the Compensation Committee shall receive an additional annual retainer of $20,000 for such service. A Non-Employee Director serving as a member of the Compensation Committee (other than the Chairperson) shall receive an additional annual retainer of $12,500 for such service.</w:t>
      </w:r>
    </w:p>
    <w:p>
      <w:pPr>
        <w:spacing w:after="0" w:line="171" w:lineRule="exact"/>
        <w:rPr>
          <w:rFonts w:ascii="Arial" w:cs="Arial" w:eastAsia="Arial" w:hAnsi="Arial"/>
          <w:sz w:val="20"/>
          <w:szCs w:val="20"/>
          <w:color w:val="auto"/>
        </w:rPr>
      </w:pPr>
    </w:p>
    <w:p>
      <w:pPr>
        <w:jc w:val="both"/>
        <w:ind w:firstLine="1952"/>
        <w:spacing w:after="0" w:line="234" w:lineRule="auto"/>
        <w:tabs>
          <w:tab w:leader="none" w:pos="2619"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Nominating and Corporate Governance Committee</w:t>
      </w:r>
      <w:r>
        <w:rPr>
          <w:rFonts w:ascii="Arial" w:cs="Arial" w:eastAsia="Arial" w:hAnsi="Arial"/>
          <w:sz w:val="20"/>
          <w:szCs w:val="20"/>
          <w:color w:val="auto"/>
        </w:rPr>
        <w:t>. A Non-Employee Director serving as Chairperson of the Nominating and Corporate Governance Committee shall receive an additional annual retainer of $15,000 for such service. A Non-Employee Director serving as a member of the Nominating and Corporate Governance Committee (other than the Chairperson) shall receive an additional annual retainer of $7,500 for such service.</w:t>
      </w:r>
    </w:p>
    <w:p>
      <w:pPr>
        <w:spacing w:after="0" w:line="174" w:lineRule="exact"/>
        <w:rPr>
          <w:rFonts w:ascii="Arial" w:cs="Arial" w:eastAsia="Arial" w:hAnsi="Arial"/>
          <w:sz w:val="20"/>
          <w:szCs w:val="20"/>
          <w:color w:val="auto"/>
        </w:rPr>
      </w:pPr>
    </w:p>
    <w:p>
      <w:pPr>
        <w:ind w:firstLine="1952"/>
        <w:spacing w:after="0" w:line="257" w:lineRule="auto"/>
        <w:tabs>
          <w:tab w:leader="none" w:pos="2672" w:val="left"/>
        </w:tabs>
        <w:numPr>
          <w:ilvl w:val="2"/>
          <w:numId w:val="40"/>
        </w:numPr>
        <w:rPr>
          <w:rFonts w:ascii="Arial" w:cs="Arial" w:eastAsia="Arial" w:hAnsi="Arial"/>
          <w:sz w:val="20"/>
          <w:szCs w:val="20"/>
          <w:color w:val="auto"/>
        </w:rPr>
      </w:pPr>
      <w:r>
        <w:rPr>
          <w:rFonts w:ascii="Arial" w:cs="Arial" w:eastAsia="Arial" w:hAnsi="Arial"/>
          <w:sz w:val="20"/>
          <w:szCs w:val="20"/>
          <w:u w:val="single" w:color="auto"/>
          <w:color w:val="auto"/>
        </w:rPr>
        <w:t>Lead Independent Director</w:t>
      </w:r>
      <w:r>
        <w:rPr>
          <w:rFonts w:ascii="Arial" w:cs="Arial" w:eastAsia="Arial" w:hAnsi="Arial"/>
          <w:sz w:val="20"/>
          <w:szCs w:val="20"/>
          <w:color w:val="auto"/>
        </w:rPr>
        <w:t>. A Non-Employee Director serving as the lead independent director of the Board shall receive an additional annual retainer of $50,000 for such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5" w:name="page56"/>
    <w:bookmarkEnd w:id="55"/>
    <w:p>
      <w:pPr>
        <w:jc w:val="both"/>
        <w:ind w:left="-460" w:firstLine="1304"/>
        <w:spacing w:after="0" w:line="230" w:lineRule="auto"/>
        <w:tabs>
          <w:tab w:leader="none" w:pos="1484"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Payment of Retainers</w:t>
      </w:r>
      <w:r>
        <w:rPr>
          <w:rFonts w:ascii="Arial" w:cs="Arial" w:eastAsia="Arial" w:hAnsi="Arial"/>
          <w:sz w:val="20"/>
          <w:szCs w:val="20"/>
          <w:color w:val="auto"/>
        </w:rPr>
        <w:t>. The annual retainers described in Sections 1(a) and 1(b) shall be earned on a quarterly basis based on a calendar quarter and shall be paid by the Company in arrears not later than the fifteenth day following the end of each calendar quarter. In the event a Non-Employee Director does not serve as a Non-Employee Director, or in the applicable positions described in Section 1(b), for an entire calendar quarter, such Non-Employee Director shall receive a prorated portion of the retainer(s) otherwise payable to such Non-Employee Director for such calendar quarter pursuant to Section 1(b), with such prorated portion determined by multiplying such otherwise payable retainer(s) by a fraction, the numerator of which is the number of days during which the Non-Employee Director serves as a Non-Employee Director or in the applicable positions described in Section 1(b) during the applicable calendar quarter and the denominator of which is the number of days in the applicable calendar quarter.</w:t>
      </w:r>
    </w:p>
    <w:p>
      <w:pPr>
        <w:spacing w:after="0" w:line="172" w:lineRule="exact"/>
        <w:rPr>
          <w:rFonts w:ascii="Arial" w:cs="Arial" w:eastAsia="Arial" w:hAnsi="Arial"/>
          <w:sz w:val="20"/>
          <w:szCs w:val="20"/>
          <w:color w:val="auto"/>
        </w:rPr>
      </w:pPr>
    </w:p>
    <w:p>
      <w:pPr>
        <w:jc w:val="both"/>
        <w:ind w:left="-460" w:firstLine="656"/>
        <w:spacing w:after="0" w:line="232" w:lineRule="auto"/>
        <w:tabs>
          <w:tab w:leader="none" w:pos="83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Equity Compensation</w:t>
      </w:r>
      <w:r>
        <w:rPr>
          <w:rFonts w:ascii="Arial" w:cs="Arial" w:eastAsia="Arial" w:hAnsi="Arial"/>
          <w:sz w:val="20"/>
          <w:szCs w:val="20"/>
          <w:color w:val="auto"/>
        </w:rPr>
        <w:t>. Non-Employee Directors shall be granted the equity awards described below. The awards described below shall be granted under and shall be subject to the terms and provisions of the Company’s 2016 Incentive Award Plan or any other applicable Company equity incentive plan then-maintained by the Company (such plan, as may be amended from time to time, the “</w:t>
      </w:r>
      <w:r>
        <w:rPr>
          <w:rFonts w:ascii="Arial" w:cs="Arial" w:eastAsia="Arial" w:hAnsi="Arial"/>
          <w:sz w:val="20"/>
          <w:szCs w:val="20"/>
          <w:b w:val="1"/>
          <w:bCs w:val="1"/>
          <w:i w:val="1"/>
          <w:iCs w:val="1"/>
          <w:color w:val="auto"/>
        </w:rPr>
        <w:t>Equity Plan</w:t>
      </w:r>
      <w:r>
        <w:rPr>
          <w:rFonts w:ascii="Arial" w:cs="Arial" w:eastAsia="Arial" w:hAnsi="Arial"/>
          <w:sz w:val="20"/>
          <w:szCs w:val="20"/>
          <w:color w:val="auto"/>
        </w:rPr>
        <w:t>”) and shall be granted subject to the execution and delivery of award agreements, including attached exhibits, in substantially the forms previously approved by the Board. All applicable terms of the Equity Plan apply to this Policy as if fully set forth herein, and all equity grants hereunder are subject in all respects to the terms of the Equity Plan.</w:t>
      </w:r>
    </w:p>
    <w:p>
      <w:pPr>
        <w:spacing w:after="0" w:line="171" w:lineRule="exact"/>
        <w:rPr>
          <w:rFonts w:ascii="Arial" w:cs="Arial" w:eastAsia="Arial" w:hAnsi="Arial"/>
          <w:sz w:val="20"/>
          <w:szCs w:val="20"/>
          <w:color w:val="auto"/>
        </w:rPr>
      </w:pPr>
    </w:p>
    <w:p>
      <w:pPr>
        <w:jc w:val="both"/>
        <w:ind w:left="-460" w:firstLine="1304"/>
        <w:spacing w:after="0" w:line="234" w:lineRule="auto"/>
        <w:tabs>
          <w:tab w:leader="none" w:pos="1484"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Annual RSU Awards</w:t>
      </w:r>
      <w:r>
        <w:rPr>
          <w:rFonts w:ascii="Arial" w:cs="Arial" w:eastAsia="Arial" w:hAnsi="Arial"/>
          <w:sz w:val="20"/>
          <w:szCs w:val="20"/>
          <w:color w:val="auto"/>
        </w:rPr>
        <w:t>. Each Non-Employee Director who (i) serves on the Board as of the date of any annual meeting of the Company’s stockholders (an “</w:t>
      </w:r>
      <w:r>
        <w:rPr>
          <w:rFonts w:ascii="Arial" w:cs="Arial" w:eastAsia="Arial" w:hAnsi="Arial"/>
          <w:sz w:val="20"/>
          <w:szCs w:val="20"/>
          <w:b w:val="1"/>
          <w:bCs w:val="1"/>
          <w:i w:val="1"/>
          <w:iCs w:val="1"/>
          <w:color w:val="auto"/>
        </w:rPr>
        <w:t>Annual Meeting</w:t>
      </w:r>
      <w:r>
        <w:rPr>
          <w:rFonts w:ascii="Arial" w:cs="Arial" w:eastAsia="Arial" w:hAnsi="Arial"/>
          <w:sz w:val="20"/>
          <w:szCs w:val="20"/>
          <w:color w:val="auto"/>
        </w:rPr>
        <w:t>”) and (ii) will continue to serve as a Non-Employee Director immediately following such Annual Meeting shall be automatically granted, on the date of such Annual Meeting, restricted stock units that have an aggregate fair value on the date of grant of $150,000 (as determined in accordance with FASB Accounting Codification Topic 718 (“</w:t>
      </w:r>
      <w:r>
        <w:rPr>
          <w:rFonts w:ascii="Arial" w:cs="Arial" w:eastAsia="Arial" w:hAnsi="Arial"/>
          <w:sz w:val="20"/>
          <w:szCs w:val="20"/>
          <w:b w:val="1"/>
          <w:bCs w:val="1"/>
          <w:i w:val="1"/>
          <w:iCs w:val="1"/>
          <w:color w:val="auto"/>
        </w:rPr>
        <w:t>ASC 718</w:t>
      </w:r>
      <w:r>
        <w:rPr>
          <w:rFonts w:ascii="Arial" w:cs="Arial" w:eastAsia="Arial" w:hAnsi="Arial"/>
          <w:sz w:val="20"/>
          <w:szCs w:val="20"/>
          <w:color w:val="auto"/>
        </w:rPr>
        <w:t>”) and subject to adjustment as provided in the Equity Plan (the “</w:t>
      </w:r>
      <w:r>
        <w:rPr>
          <w:rFonts w:ascii="Arial" w:cs="Arial" w:eastAsia="Arial" w:hAnsi="Arial"/>
          <w:sz w:val="20"/>
          <w:szCs w:val="20"/>
          <w:b w:val="1"/>
          <w:bCs w:val="1"/>
          <w:i w:val="1"/>
          <w:iCs w:val="1"/>
          <w:color w:val="auto"/>
        </w:rPr>
        <w:t>Annual Awards</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jc w:val="both"/>
        <w:ind w:left="-460" w:firstLine="1304"/>
        <w:spacing w:after="0" w:line="229" w:lineRule="auto"/>
        <w:tabs>
          <w:tab w:leader="none" w:pos="1484"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Initial Awards</w:t>
      </w:r>
      <w:r>
        <w:rPr>
          <w:rFonts w:ascii="Arial" w:cs="Arial" w:eastAsia="Arial" w:hAnsi="Arial"/>
          <w:sz w:val="20"/>
          <w:szCs w:val="20"/>
          <w:color w:val="auto"/>
        </w:rPr>
        <w:t>. Except as otherwise determined by the Board, each Non-Employee Director who is initially elected or appointed to the Board on any date other than the date of an Annual Meeting shall be automatically granted, on the date of such Non-Employee Director’s initial election or appointment (such Non-Employee Director’s “</w:t>
      </w:r>
      <w:r>
        <w:rPr>
          <w:rFonts w:ascii="Arial" w:cs="Arial" w:eastAsia="Arial" w:hAnsi="Arial"/>
          <w:sz w:val="20"/>
          <w:szCs w:val="20"/>
          <w:b w:val="1"/>
          <w:bCs w:val="1"/>
          <w:i w:val="1"/>
          <w:iCs w:val="1"/>
          <w:color w:val="auto"/>
        </w:rPr>
        <w:t>Start Date</w:t>
      </w:r>
      <w:r>
        <w:rPr>
          <w:rFonts w:ascii="Arial" w:cs="Arial" w:eastAsia="Arial" w:hAnsi="Arial"/>
          <w:sz w:val="20"/>
          <w:szCs w:val="20"/>
          <w:color w:val="auto"/>
        </w:rPr>
        <w:t>”), restricted stock units that have an aggregate fair value on such Non-Employee Director’s Start Date equal to the product of (i) $150,000 (as determined in accordance with ASC 718) and (ii) a fraction, the numerator of which is (x) 365 minus (y) the number of days in the period beginning on the date of the Annual Meeting immediately preceding such Non-Employee Director’s Start Date and ending on such Non-Employee Director’s Start Date and the denominator of which is 365 (with the number of units or shares of Common Stock underlying each such award subject to adjustment as provided in the Equity Plan in each case). The awards described in this Section 2(b) shall be referred to as “</w:t>
      </w:r>
      <w:r>
        <w:rPr>
          <w:rFonts w:ascii="Arial" w:cs="Arial" w:eastAsia="Arial" w:hAnsi="Arial"/>
          <w:sz w:val="20"/>
          <w:szCs w:val="20"/>
          <w:b w:val="1"/>
          <w:bCs w:val="1"/>
          <w:i w:val="1"/>
          <w:iCs w:val="1"/>
          <w:color w:val="auto"/>
        </w:rPr>
        <w:t>Initial Awards</w:t>
      </w:r>
      <w:r>
        <w:rPr>
          <w:rFonts w:ascii="Arial" w:cs="Arial" w:eastAsia="Arial" w:hAnsi="Arial"/>
          <w:sz w:val="20"/>
          <w:szCs w:val="20"/>
          <w:i w:val="1"/>
          <w:iCs w:val="1"/>
          <w:color w:val="auto"/>
        </w:rPr>
        <w:t>.</w:t>
      </w:r>
      <w:r>
        <w:rPr>
          <w:rFonts w:ascii="Arial" w:cs="Arial" w:eastAsia="Arial" w:hAnsi="Arial"/>
          <w:sz w:val="20"/>
          <w:szCs w:val="20"/>
          <w:color w:val="auto"/>
        </w:rPr>
        <w:t>” For the avoidance of doubt, no Non-Employee Director shall be granted more than one Initial Award.</w:t>
      </w:r>
    </w:p>
    <w:p>
      <w:pPr>
        <w:spacing w:after="0" w:line="178" w:lineRule="exact"/>
        <w:rPr>
          <w:rFonts w:ascii="Arial" w:cs="Arial" w:eastAsia="Arial" w:hAnsi="Arial"/>
          <w:sz w:val="20"/>
          <w:szCs w:val="20"/>
          <w:color w:val="auto"/>
        </w:rPr>
      </w:pPr>
    </w:p>
    <w:p>
      <w:pPr>
        <w:jc w:val="both"/>
        <w:ind w:left="-460" w:firstLine="1304"/>
        <w:spacing w:after="0" w:line="233" w:lineRule="auto"/>
        <w:tabs>
          <w:tab w:leader="none" w:pos="1484"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 of Employee Directors</w:t>
      </w:r>
      <w:r>
        <w:rPr>
          <w:rFonts w:ascii="Arial" w:cs="Arial" w:eastAsia="Arial" w:hAnsi="Arial"/>
          <w:sz w:val="20"/>
          <w:szCs w:val="20"/>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2(b) above, but to the extent that they are otherwise eligible, will be eligible to receive, after termination from service with the Company and any parent or subsidiary of the Company, Annual Awards as described in Section 2(a) above.</w:t>
      </w:r>
    </w:p>
    <w:p>
      <w:pPr>
        <w:spacing w:after="0" w:line="172" w:lineRule="exact"/>
        <w:rPr>
          <w:rFonts w:ascii="Arial" w:cs="Arial" w:eastAsia="Arial" w:hAnsi="Arial"/>
          <w:sz w:val="20"/>
          <w:szCs w:val="20"/>
          <w:color w:val="auto"/>
        </w:rPr>
      </w:pPr>
    </w:p>
    <w:p>
      <w:pPr>
        <w:jc w:val="both"/>
        <w:ind w:left="-460" w:firstLine="1304"/>
        <w:spacing w:after="0" w:line="241" w:lineRule="auto"/>
        <w:tabs>
          <w:tab w:leader="none" w:pos="1484" w:val="left"/>
        </w:tabs>
        <w:numPr>
          <w:ilvl w:val="1"/>
          <w:numId w:val="42"/>
        </w:numPr>
        <w:rPr>
          <w:rFonts w:ascii="Arial" w:cs="Arial" w:eastAsia="Arial" w:hAnsi="Arial"/>
          <w:sz w:val="20"/>
          <w:szCs w:val="20"/>
          <w:color w:val="auto"/>
        </w:rPr>
      </w:pPr>
      <w:r>
        <w:rPr>
          <w:rFonts w:ascii="Arial" w:cs="Arial" w:eastAsia="Arial" w:hAnsi="Arial"/>
          <w:sz w:val="20"/>
          <w:szCs w:val="20"/>
          <w:u w:val="single" w:color="auto"/>
          <w:color w:val="auto"/>
        </w:rPr>
        <w:t>Vesting of Awards Granted to Non-Employee Directors</w:t>
      </w:r>
      <w:r>
        <w:rPr>
          <w:rFonts w:ascii="Arial" w:cs="Arial" w:eastAsia="Arial" w:hAnsi="Arial"/>
          <w:sz w:val="20"/>
          <w:szCs w:val="20"/>
          <w:color w:val="auto"/>
        </w:rPr>
        <w:t>. Each Initial Award and Annual Award (collectively, the “</w:t>
      </w:r>
      <w:r>
        <w:rPr>
          <w:rFonts w:ascii="Arial" w:cs="Arial" w:eastAsia="Arial" w:hAnsi="Arial"/>
          <w:sz w:val="20"/>
          <w:szCs w:val="20"/>
          <w:b w:val="1"/>
          <w:bCs w:val="1"/>
          <w:i w:val="1"/>
          <w:iCs w:val="1"/>
          <w:color w:val="auto"/>
        </w:rPr>
        <w:t>Awards</w:t>
      </w:r>
      <w:r>
        <w:rPr>
          <w:rFonts w:ascii="Arial" w:cs="Arial" w:eastAsia="Arial" w:hAnsi="Arial"/>
          <w:sz w:val="20"/>
          <w:szCs w:val="20"/>
          <w:color w:val="auto"/>
        </w:rPr>
        <w:t>”) shall vest on the first anniversary of the date of grant, subject in each case to the Non-Employee Director continuing in service through such vesting date. All of a 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602615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56" w:name="page57"/>
    <w:bookmarkEnd w:id="56"/>
    <w:p>
      <w:pPr>
        <w:jc w:val="both"/>
        <w:spacing w:after="0" w:line="237" w:lineRule="auto"/>
        <w:rPr>
          <w:sz w:val="20"/>
          <w:szCs w:val="20"/>
          <w:color w:val="auto"/>
        </w:rPr>
      </w:pPr>
      <w:r>
        <w:rPr>
          <w:rFonts w:ascii="Arial" w:cs="Arial" w:eastAsia="Arial" w:hAnsi="Arial"/>
          <w:sz w:val="20"/>
          <w:szCs w:val="20"/>
          <w:color w:val="auto"/>
        </w:rPr>
        <w:t>Employee Director’s Awards shall vest in full on the date such Non-Employee Director’s service is terminated due to a failure to be reelected, to the extent outstanding on the last date of such Non-Employee Director’s service on the Board. All of a Non-Employee Director’s Awards shall vest in full immediately prior to the occurrence of a Change in Control (as defined in the Equity Plan), to the extent outstanding at such time.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Marcus A. Lemonis, certify that:</w:t>
      </w:r>
    </w:p>
    <w:p>
      <w:pPr>
        <w:spacing w:after="0" w:line="225" w:lineRule="exact"/>
        <w:rPr>
          <w:sz w:val="20"/>
          <w:szCs w:val="20"/>
          <w:color w:val="auto"/>
        </w:rPr>
      </w:pPr>
    </w:p>
    <w:p>
      <w:pPr>
        <w:ind w:left="240" w:hanging="196"/>
        <w:spacing w:after="0"/>
        <w:tabs>
          <w:tab w:leader="none" w:pos="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80" w:firstLine="4"/>
        <w:spacing w:after="0" w:line="268" w:lineRule="auto"/>
        <w:tabs>
          <w:tab w:leader="none" w:pos="2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80" w:firstLine="4"/>
        <w:spacing w:after="0" w:line="268" w:lineRule="auto"/>
        <w:tabs>
          <w:tab w:leader="none" w:pos="241"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80" w:firstLine="4"/>
        <w:spacing w:after="0" w:line="261" w:lineRule="auto"/>
        <w:tabs>
          <w:tab w:leader="none" w:pos="27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80" w:hanging="8"/>
        <w:spacing w:after="0" w:line="262" w:lineRule="auto"/>
        <w:tabs>
          <w:tab w:leader="none" w:pos="103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80" w:hanging="8"/>
        <w:spacing w:after="0" w:line="262" w:lineRule="auto"/>
        <w:tabs>
          <w:tab w:leader="none" w:pos="973"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80" w:hanging="8"/>
        <w:spacing w:after="0" w:line="268" w:lineRule="auto"/>
        <w:tabs>
          <w:tab w:leader="none" w:pos="971"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80" w:hanging="8"/>
        <w:spacing w:after="0" w:line="262" w:lineRule="auto"/>
        <w:tabs>
          <w:tab w:leader="none" w:pos="99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80" w:firstLine="4"/>
        <w:spacing w:after="0" w:line="261" w:lineRule="auto"/>
        <w:tabs>
          <w:tab w:leader="none" w:pos="2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80" w:hanging="8"/>
        <w:spacing w:after="0" w:line="268" w:lineRule="auto"/>
        <w:tabs>
          <w:tab w:leader="none" w:pos="99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80" w:hanging="8"/>
        <w:spacing w:after="0" w:line="287" w:lineRule="auto"/>
        <w:tabs>
          <w:tab w:leader="none" w:pos="100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80"/>
        <w:spacing w:after="0"/>
        <w:tabs>
          <w:tab w:leader="none" w:pos="4580" w:val="left"/>
        </w:tabs>
        <w:rPr>
          <w:sz w:val="20"/>
          <w:szCs w:val="20"/>
          <w:color w:val="auto"/>
        </w:rPr>
      </w:pPr>
      <w:r>
        <w:rPr>
          <w:rFonts w:ascii="Arial" w:cs="Arial" w:eastAsia="Arial" w:hAnsi="Arial"/>
          <w:sz w:val="18"/>
          <w:szCs w:val="18"/>
          <w:color w:val="auto"/>
        </w:rPr>
        <w:t>Date: May 3, 2024</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122" w:right="141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22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Karin L. Bell, certify that:</w:t>
      </w:r>
    </w:p>
    <w:p>
      <w:pPr>
        <w:spacing w:after="0" w:line="225" w:lineRule="exact"/>
        <w:rPr>
          <w:sz w:val="20"/>
          <w:szCs w:val="20"/>
          <w:color w:val="auto"/>
        </w:rPr>
      </w:pPr>
    </w:p>
    <w:p>
      <w:pPr>
        <w:ind w:left="240" w:hanging="196"/>
        <w:spacing w:after="0"/>
        <w:tabs>
          <w:tab w:leader="none" w:pos="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Camping World Holdings, Inc.;</w:t>
      </w:r>
    </w:p>
    <w:p>
      <w:pPr>
        <w:spacing w:after="0" w:line="225" w:lineRule="exact"/>
        <w:rPr>
          <w:rFonts w:ascii="Arial" w:cs="Arial" w:eastAsia="Arial" w:hAnsi="Arial"/>
          <w:sz w:val="18"/>
          <w:szCs w:val="18"/>
          <w:color w:val="auto"/>
        </w:rPr>
      </w:pPr>
    </w:p>
    <w:p>
      <w:pPr>
        <w:jc w:val="both"/>
        <w:ind w:left="40" w:right="160" w:firstLine="4"/>
        <w:spacing w:after="0" w:line="268" w:lineRule="auto"/>
        <w:tabs>
          <w:tab w:leader="none" w:pos="2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7" w:lineRule="exact"/>
        <w:rPr>
          <w:rFonts w:ascii="Arial" w:cs="Arial" w:eastAsia="Arial" w:hAnsi="Arial"/>
          <w:sz w:val="18"/>
          <w:szCs w:val="18"/>
          <w:color w:val="auto"/>
        </w:rPr>
      </w:pPr>
    </w:p>
    <w:p>
      <w:pPr>
        <w:jc w:val="both"/>
        <w:ind w:left="40" w:right="160" w:firstLine="4"/>
        <w:spacing w:after="0" w:line="268" w:lineRule="auto"/>
        <w:tabs>
          <w:tab w:leader="none" w:pos="241"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0" w:right="160" w:firstLine="4"/>
        <w:spacing w:after="0" w:line="261" w:lineRule="auto"/>
        <w:tabs>
          <w:tab w:leader="none" w:pos="2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700" w:right="160" w:hanging="8"/>
        <w:spacing w:after="0" w:line="262" w:lineRule="auto"/>
        <w:tabs>
          <w:tab w:leader="none" w:pos="103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jc w:val="both"/>
        <w:ind w:left="700" w:right="160" w:hanging="8"/>
        <w:spacing w:after="0" w:line="262" w:lineRule="auto"/>
        <w:tabs>
          <w:tab w:leader="none" w:pos="97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jc w:val="both"/>
        <w:ind w:left="700" w:right="160" w:hanging="8"/>
        <w:spacing w:after="0" w:line="268" w:lineRule="auto"/>
        <w:tabs>
          <w:tab w:leader="none" w:pos="971"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8"/>
          <w:szCs w:val="18"/>
          <w:color w:val="auto"/>
        </w:rPr>
      </w:pPr>
    </w:p>
    <w:p>
      <w:pPr>
        <w:jc w:val="both"/>
        <w:ind w:left="700" w:right="160" w:hanging="8"/>
        <w:spacing w:after="0" w:line="262" w:lineRule="auto"/>
        <w:tabs>
          <w:tab w:leader="none" w:pos="991"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8"/>
          <w:szCs w:val="18"/>
          <w:color w:val="auto"/>
        </w:rPr>
      </w:pPr>
    </w:p>
    <w:p>
      <w:pPr>
        <w:jc w:val="both"/>
        <w:ind w:left="40" w:right="160" w:firstLine="4"/>
        <w:spacing w:after="0" w:line="261" w:lineRule="auto"/>
        <w:tabs>
          <w:tab w:leader="none" w:pos="25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700" w:right="160" w:hanging="8"/>
        <w:spacing w:after="0" w:line="268" w:lineRule="auto"/>
        <w:tabs>
          <w:tab w:leader="none" w:pos="996"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7" w:lineRule="exact"/>
        <w:rPr>
          <w:rFonts w:ascii="Arial" w:cs="Arial" w:eastAsia="Arial" w:hAnsi="Arial"/>
          <w:sz w:val="18"/>
          <w:szCs w:val="18"/>
          <w:color w:val="auto"/>
        </w:rPr>
      </w:pPr>
    </w:p>
    <w:p>
      <w:pPr>
        <w:ind w:left="700" w:right="160" w:hanging="8"/>
        <w:spacing w:after="0" w:line="287" w:lineRule="auto"/>
        <w:tabs>
          <w:tab w:leader="none" w:pos="10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May 3, 2024</w:t>
      </w:r>
      <w:r>
        <w:rPr>
          <w:sz w:val="20"/>
          <w:szCs w:val="20"/>
          <w:color w:val="auto"/>
        </w:rPr>
        <w:tab/>
      </w:r>
      <w:r>
        <w:rPr>
          <w:rFonts w:ascii="Arial" w:cs="Arial" w:eastAsia="Arial" w:hAnsi="Arial"/>
          <w:sz w:val="18"/>
          <w:szCs w:val="18"/>
          <w:color w:val="auto"/>
        </w:rPr>
        <w:t>By: /s/ Karin L. 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34925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Karin L. Bell</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120"/>
          </w:cols>
          <w:pgMar w:left="1440" w:top="122" w:right="1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right="2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March 31, 2024, as filed with the U.S. Securities and Exchange Commission on the date hereof (the “Report”), I, Marcus A. Lemonis, Chairman and Chief Executive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right="20" w:firstLine="652"/>
        <w:spacing w:after="0" w:line="28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right="20" w:firstLine="652"/>
        <w:spacing w:after="0" w:line="287" w:lineRule="auto"/>
        <w:tabs>
          <w:tab w:leader="none" w:pos="96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0" w:lineRule="exact"/>
        <w:rPr>
          <w:sz w:val="20"/>
          <w:szCs w:val="20"/>
          <w:color w:val="auto"/>
        </w:rPr>
      </w:pPr>
    </w:p>
    <w:p>
      <w:pPr>
        <w:ind w:left="40"/>
        <w:spacing w:after="0"/>
        <w:tabs>
          <w:tab w:leader="none" w:pos="4600" w:val="left"/>
        </w:tabs>
        <w:rPr>
          <w:sz w:val="20"/>
          <w:szCs w:val="20"/>
          <w:color w:val="auto"/>
        </w:rPr>
      </w:pPr>
      <w:r>
        <w:rPr>
          <w:rFonts w:ascii="Arial" w:cs="Arial" w:eastAsia="Arial" w:hAnsi="Arial"/>
          <w:sz w:val="18"/>
          <w:szCs w:val="18"/>
          <w:color w:val="auto"/>
        </w:rPr>
        <w:t>Date: May 3, 2024</w:t>
      </w:r>
      <w:r>
        <w:rPr>
          <w:sz w:val="20"/>
          <w:szCs w:val="20"/>
          <w:color w:val="auto"/>
        </w:rPr>
        <w:tab/>
      </w:r>
      <w:r>
        <w:rPr>
          <w:rFonts w:ascii="Arial" w:cs="Arial" w:eastAsia="Arial" w:hAnsi="Arial"/>
          <w:sz w:val="18"/>
          <w:szCs w:val="18"/>
          <w:color w:val="auto"/>
        </w:rPr>
        <w:t>By:  /s/ Marcus A. Lemonis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34925</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7"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Marcus A. Lemonis</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540385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60"/>
          </w:cols>
          <w:pgMar w:left="1440" w:top="122" w:right="999" w:bottom="1440" w:gutter="0" w:footer="0" w:header="0"/>
        </w:sectPr>
      </w:pPr>
    </w:p>
    <w:bookmarkStart w:id="60" w:name="page61"/>
    <w:bookmarkEnd w:id="60"/>
    <w:p>
      <w:pPr>
        <w:ind w:left="8280"/>
        <w:spacing w:after="0"/>
        <w:rPr>
          <w:sz w:val="20"/>
          <w:szCs w:val="20"/>
          <w:color w:val="auto"/>
        </w:rPr>
      </w:pPr>
      <w:r>
        <w:rPr>
          <w:rFonts w:ascii="Arial" w:cs="Arial" w:eastAsia="Arial" w:hAnsi="Arial"/>
          <w:sz w:val="18"/>
          <w:szCs w:val="18"/>
          <w:b w:val="1"/>
          <w:bCs w:val="1"/>
          <w:color w:val="auto"/>
        </w:rPr>
        <w:t>Exhibit 32.2</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left="40" w:firstLine="648"/>
        <w:spacing w:after="0" w:line="257" w:lineRule="auto"/>
        <w:rPr>
          <w:sz w:val="20"/>
          <w:szCs w:val="20"/>
          <w:color w:val="auto"/>
        </w:rPr>
      </w:pPr>
      <w:r>
        <w:rPr>
          <w:rFonts w:ascii="Arial" w:cs="Arial" w:eastAsia="Arial" w:hAnsi="Arial"/>
          <w:sz w:val="18"/>
          <w:szCs w:val="18"/>
          <w:color w:val="auto"/>
        </w:rPr>
        <w:t>In connection with the Quarterly Report on Form 10-Q of Camping World Holdings, Inc. (the “Company”) for the period ended March 31, 2024, as filed with the U.S. Securities and Exchange Commission on the date hereof (the “Report”), I, Karin L. Bell, Chief Financial Officer of the Company, hereby certify, pursuant to 18 U.S.C. Section 1350, as adopted pursuant to Section 906 of the Sarbanes-Oxley Act of 2002, that, to my knowledge:</w:t>
      </w:r>
    </w:p>
    <w:p>
      <w:pPr>
        <w:spacing w:after="0" w:line="180" w:lineRule="exact"/>
        <w:rPr>
          <w:sz w:val="20"/>
          <w:szCs w:val="20"/>
          <w:color w:val="auto"/>
        </w:rPr>
      </w:pPr>
    </w:p>
    <w:p>
      <w:pPr>
        <w:ind w:left="40" w:firstLine="652"/>
        <w:spacing w:after="0" w:line="287" w:lineRule="auto"/>
        <w:tabs>
          <w:tab w:leader="none" w:pos="9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9" w:lineRule="exact"/>
        <w:rPr>
          <w:rFonts w:ascii="Arial" w:cs="Arial" w:eastAsia="Arial" w:hAnsi="Arial"/>
          <w:sz w:val="18"/>
          <w:szCs w:val="18"/>
          <w:color w:val="auto"/>
        </w:rPr>
      </w:pPr>
    </w:p>
    <w:p>
      <w:pPr>
        <w:ind w:left="40" w:firstLine="652"/>
        <w:spacing w:after="0" w:line="287" w:lineRule="auto"/>
        <w:tabs>
          <w:tab w:leader="none" w:pos="9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2980" w:type="dxa"/>
            <w:vAlign w:val="bottom"/>
          </w:tcPr>
          <w:p>
            <w:pPr>
              <w:spacing w:after="0"/>
              <w:rPr>
                <w:sz w:val="20"/>
                <w:szCs w:val="20"/>
                <w:color w:val="auto"/>
              </w:rPr>
            </w:pPr>
            <w:r>
              <w:rPr>
                <w:rFonts w:ascii="Arial" w:cs="Arial" w:eastAsia="Arial" w:hAnsi="Arial"/>
                <w:sz w:val="18"/>
                <w:szCs w:val="18"/>
                <w:color w:val="auto"/>
              </w:rPr>
              <w:t>Date: May 3, 2024</w:t>
            </w:r>
          </w:p>
        </w:tc>
        <w:tc>
          <w:tcPr>
            <w:tcW w:w="5940" w:type="dxa"/>
            <w:vAlign w:val="bottom"/>
            <w:gridSpan w:val="2"/>
          </w:tcPr>
          <w:p>
            <w:pPr>
              <w:ind w:left="1500"/>
              <w:spacing w:after="0"/>
              <w:rPr>
                <w:sz w:val="20"/>
                <w:szCs w:val="20"/>
                <w:color w:val="auto"/>
              </w:rPr>
            </w:pPr>
            <w:r>
              <w:rPr>
                <w:rFonts w:ascii="Arial" w:cs="Arial" w:eastAsia="Arial" w:hAnsi="Arial"/>
                <w:sz w:val="18"/>
                <w:szCs w:val="18"/>
                <w:color w:val="auto"/>
              </w:rPr>
              <w:t>By:  /s/ Karin L. Bell</w:t>
            </w:r>
          </w:p>
        </w:tc>
      </w:tr>
      <w:tr>
        <w:trPr>
          <w:trHeight w:val="191"/>
        </w:trPr>
        <w:tc>
          <w:tcPr>
            <w:tcW w:w="29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40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Karin L. Bell</w:t>
            </w:r>
          </w:p>
        </w:tc>
      </w:tr>
      <w:tr>
        <w:trPr>
          <w:trHeight w:val="216"/>
        </w:trPr>
        <w:tc>
          <w:tcPr>
            <w:tcW w:w="2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9"/>
        </w:trPr>
        <w:tc>
          <w:tcPr>
            <w:tcW w:w="29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813"/>
        </w:trPr>
        <w:tc>
          <w:tcPr>
            <w:tcW w:w="29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360"/>
      </w:cols>
      <w:pgMar w:left="1440" w:top="122" w:right="10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2"/>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4"/>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6"/>
    </w:lvl>
  </w:abstractNum>
  <w:abstractNum w:abstractNumId="15">
    <w:nsid w:val="7C3DBD3D"/>
    <w:multiLevelType w:val="hybridMultilevel"/>
    <w:lvl w:ilvl="0">
      <w:lvlJc w:val="left"/>
      <w:lvlText w:val="(%1)"/>
      <w:numFmt w:val="decimal"/>
      <w:start w:val="1"/>
    </w:lvl>
  </w:abstractNum>
  <w:abstractNum w:abstractNumId="16">
    <w:nsid w:val="737B8DDC"/>
    <w:multiLevelType w:val="hybridMultilevel"/>
    <w:lvl w:ilvl="0">
      <w:lvlJc w:val="left"/>
      <w:lvlText w:val="(%1)"/>
      <w:numFmt w:val="decimal"/>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10"/>
    </w:lvl>
  </w:abstractNum>
  <w:abstractNum w:abstractNumId="19">
    <w:nsid w:val="4516DDE9"/>
    <w:multiLevelType w:val="hybridMultilevel"/>
    <w:lvl w:ilvl="0">
      <w:lvlJc w:val="left"/>
      <w:lvlText w:val="(%1)"/>
      <w:numFmt w:val="lowerRoman"/>
      <w:start w:val="7"/>
    </w:lvl>
  </w:abstractNum>
  <w:abstractNum w:abstractNumId="20">
    <w:nsid w:val="3006C83E"/>
    <w:multiLevelType w:val="hybridMultilevel"/>
    <w:lvl w:ilvl="0">
      <w:lvlJc w:val="left"/>
      <w:lvlText w:val="(%1)"/>
      <w:numFmt w:val="lowerRoman"/>
      <w:start w:val="11"/>
    </w:lvl>
  </w:abstractNum>
  <w:abstractNum w:abstractNumId="21">
    <w:nsid w:val="614FD4A1"/>
    <w:multiLevelType w:val="hybridMultilevel"/>
    <w:lvl w:ilvl="0">
      <w:lvlJc w:val="left"/>
      <w:lvlText w:val="%1"/>
      <w:numFmt w:val="upperLetter"/>
      <w:start w:val="35"/>
    </w:lvl>
  </w:abstractNum>
  <w:abstractNum w:abstractNumId="22">
    <w:nsid w:val="419AC241"/>
    <w:multiLevelType w:val="hybridMultilevel"/>
    <w:lvl w:ilvl="0">
      <w:lvlJc w:val="left"/>
      <w:lvlText w:val="%1."/>
      <w:numFmt w:val="decimal"/>
      <w:start w:val="15"/>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endash "/>
      <w:numFmt w:val="bullet"/>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6"/>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4"/>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0">
    <w:nsid w:val="1D4ED43B"/>
    <w:multiLevelType w:val="hybridMultilevel"/>
    <w:lvl w:ilvl="0">
      <w:lvlJc w:val="left"/>
      <w:lvlText w:val="%1"/>
      <w:numFmt w:val="decimal"/>
      <w:start w:val="1"/>
    </w:lvl>
    <w:lvl w:ilvl="1">
      <w:lvlJc w:val="left"/>
      <w:lvlText w:val="(%2)"/>
      <w:numFmt w:val="lowerLetter"/>
      <w:start w:val="3"/>
    </w:lvl>
  </w:abstractNum>
  <w:abstractNum w:abstractNumId="41">
    <w:nsid w:val="725A06FB"/>
    <w:multiLevelType w:val="hybridMultilevel"/>
    <w:lvl w:ilvl="0">
      <w:lvlJc w:val="left"/>
      <w:lvlText w:val="%1."/>
      <w:numFmt w:val="decimal"/>
      <w:start w:val="2"/>
    </w:lvl>
    <w:lvl w:ilvl="1">
      <w:lvlJc w:val="left"/>
      <w:lvlText w:val="(%2)"/>
      <w:numFmt w:val="lowerLetter"/>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59" Type="http://schemas.openxmlformats.org/officeDocument/2006/relationships/hyperlink" Target="http://www.sec.gov/Archives/edgar/data/1669779/000155837016009958/cwh-20160930ex31ff0a1e6.htm" TargetMode="External"/><Relationship Id="rId60" Type="http://schemas.openxmlformats.org/officeDocument/2006/relationships/hyperlink" Target="https://www.sec.gov/Archives/edgar/data/1669779/000110465923128905/tm2333657d1_ex3-1.htm" TargetMode="External"/><Relationship Id="rId61" Type="http://schemas.openxmlformats.org/officeDocument/2006/relationships/hyperlink" Target="http://www.sec.gov/Archives/edgar/data/1669779/000104746916015424/a2229683zex-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2024-05-03T15:28:26Z</dcterms:created>
  <dcterms:modified xsi:type="dcterms:W3CDTF">2024-05-03T15:28:26Z</dcterms:modified>
</cp:coreProperties>
</file>