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223520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4"/>
        <w:spacing w:after="0"/>
        <w:rPr>
          <w:sz w:val="20"/>
          <w:szCs w:val="20"/>
          <w:color w:val="auto"/>
        </w:rPr>
      </w:pPr>
      <w:r>
        <w:rPr>
          <w:rFonts w:ascii="Arial" w:cs="Arial" w:eastAsia="Arial" w:hAnsi="Arial"/>
          <w:sz w:val="22"/>
          <w:szCs w:val="22"/>
          <w:b w:val="1"/>
          <w:bCs w:val="1"/>
          <w:color w:val="auto"/>
        </w:rPr>
        <w:t>UNITED STATES</w:t>
      </w:r>
    </w:p>
    <w:p>
      <w:pPr>
        <w:spacing w:after="0" w:line="8" w:lineRule="exact"/>
        <w:rPr>
          <w:sz w:val="24"/>
          <w:szCs w:val="24"/>
          <w:color w:val="auto"/>
        </w:rPr>
      </w:pPr>
    </w:p>
    <w:p>
      <w:pPr>
        <w:jc w:val="center"/>
        <w:ind w:right="14"/>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4"/>
        <w:spacing w:after="0"/>
        <w:rPr>
          <w:sz w:val="20"/>
          <w:szCs w:val="20"/>
          <w:color w:val="auto"/>
        </w:rPr>
      </w:pPr>
      <w:r>
        <w:rPr>
          <w:rFonts w:ascii="Arial" w:cs="Arial" w:eastAsia="Arial" w:hAnsi="Arial"/>
          <w:sz w:val="18"/>
          <w:szCs w:val="18"/>
          <w:b w:val="1"/>
          <w:bCs w:val="1"/>
          <w:color w:val="auto"/>
        </w:rPr>
        <w:t>Washington, D.C. 20549</w:t>
      </w:r>
    </w:p>
    <w:p>
      <w:pPr>
        <w:spacing w:after="0" w:line="30" w:lineRule="exact"/>
        <w:rPr>
          <w:sz w:val="24"/>
          <w:szCs w:val="24"/>
          <w:color w:val="auto"/>
        </w:rPr>
      </w:pPr>
    </w:p>
    <w:p>
      <w:pPr>
        <w:jc w:val="center"/>
        <w:ind w:right="14"/>
        <w:spacing w:after="0"/>
        <w:rPr>
          <w:sz w:val="20"/>
          <w:szCs w:val="20"/>
          <w:color w:val="auto"/>
        </w:rPr>
      </w:pPr>
      <w:r>
        <w:rPr>
          <w:rFonts w:ascii="Arial" w:cs="Arial" w:eastAsia="Arial" w:hAnsi="Arial"/>
          <w:sz w:val="29"/>
          <w:szCs w:val="29"/>
          <w:b w:val="1"/>
          <w:bCs w:val="1"/>
          <w:color w:val="auto"/>
        </w:rPr>
        <w:t>FORM 10-Q</w:t>
      </w:r>
    </w:p>
    <w:p>
      <w:pPr>
        <w:spacing w:after="0" w:line="141" w:lineRule="exact"/>
        <w:rPr>
          <w:sz w:val="24"/>
          <w:szCs w:val="24"/>
          <w:color w:val="auto"/>
        </w:rPr>
      </w:pPr>
    </w:p>
    <w:p>
      <w:pPr>
        <w:ind w:left="3066" w:right="340" w:hanging="3066"/>
        <w:spacing w:after="0" w:line="310" w:lineRule="auto"/>
        <w:tabs>
          <w:tab w:leader="none" w:pos="668" w:val="left"/>
        </w:tabs>
        <w:numPr>
          <w:ilvl w:val="0"/>
          <w:numId w:val="1"/>
        </w:numPr>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2025</w:t>
      </w:r>
    </w:p>
    <w:p>
      <w:pPr>
        <w:spacing w:after="0" w:line="1" w:lineRule="exact"/>
        <w:rPr>
          <w:sz w:val="24"/>
          <w:szCs w:val="24"/>
          <w:color w:val="auto"/>
        </w:rPr>
      </w:pPr>
    </w:p>
    <w:p>
      <w:pPr>
        <w:jc w:val="center"/>
        <w:ind w:right="14"/>
        <w:spacing w:after="0"/>
        <w:rPr>
          <w:sz w:val="20"/>
          <w:szCs w:val="20"/>
          <w:color w:val="auto"/>
        </w:rPr>
      </w:pPr>
      <w:r>
        <w:rPr>
          <w:rFonts w:ascii="Arial" w:cs="Arial" w:eastAsia="Arial" w:hAnsi="Arial"/>
          <w:sz w:val="18"/>
          <w:szCs w:val="18"/>
          <w:color w:val="auto"/>
        </w:rPr>
        <w:t>or</w:t>
      </w:r>
    </w:p>
    <w:p>
      <w:pPr>
        <w:spacing w:after="0" w:line="90" w:lineRule="exact"/>
        <w:rPr>
          <w:sz w:val="24"/>
          <w:szCs w:val="24"/>
          <w:color w:val="auto"/>
        </w:rPr>
      </w:pPr>
    </w:p>
    <w:p>
      <w:pPr>
        <w:ind w:left="2406" w:right="340" w:hanging="2406"/>
        <w:spacing w:after="0" w:line="310" w:lineRule="auto"/>
        <w:tabs>
          <w:tab w:leader="none" w:pos="664"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 to _______________</w:t>
      </w:r>
    </w:p>
    <w:p>
      <w:pPr>
        <w:spacing w:after="0" w:line="1" w:lineRule="exact"/>
        <w:rPr>
          <w:rFonts w:ascii="MS PGothic" w:cs="MS PGothic" w:eastAsia="MS PGothic" w:hAnsi="MS PGothic"/>
          <w:sz w:val="20"/>
          <w:szCs w:val="20"/>
          <w:color w:val="auto"/>
        </w:rPr>
      </w:pPr>
    </w:p>
    <w:p>
      <w:pPr>
        <w:ind w:left="3646"/>
        <w:spacing w:after="0"/>
        <w:rPr>
          <w:rFonts w:ascii="MS PGothic" w:cs="MS PGothic" w:eastAsia="MS PGothic" w:hAnsi="MS PGothic"/>
          <w:sz w:val="20"/>
          <w:szCs w:val="20"/>
          <w:color w:val="auto"/>
        </w:rPr>
      </w:pPr>
      <w:r>
        <w:rPr>
          <w:rFonts w:ascii="Arial" w:cs="Arial" w:eastAsia="Arial" w:hAnsi="Arial"/>
          <w:sz w:val="18"/>
          <w:szCs w:val="18"/>
          <w:color w:val="auto"/>
        </w:rPr>
        <w:t>Commission file number: 001-37908</w:t>
      </w:r>
    </w:p>
    <w:p>
      <w:pPr>
        <w:spacing w:after="0" w:line="57" w:lineRule="exact"/>
        <w:rPr>
          <w:sz w:val="24"/>
          <w:szCs w:val="24"/>
          <w:color w:val="auto"/>
        </w:rPr>
      </w:pPr>
    </w:p>
    <w:p>
      <w:pPr>
        <w:jc w:val="center"/>
        <w:ind w:right="14"/>
        <w:spacing w:after="0"/>
        <w:rPr>
          <w:sz w:val="20"/>
          <w:szCs w:val="20"/>
          <w:color w:val="auto"/>
        </w:rPr>
      </w:pPr>
      <w:r>
        <w:rPr>
          <w:rFonts w:ascii="Arial" w:cs="Arial" w:eastAsia="Arial" w:hAnsi="Arial"/>
          <w:sz w:val="25"/>
          <w:szCs w:val="25"/>
          <w:b w:val="1"/>
          <w:bCs w:val="1"/>
          <w:color w:val="auto"/>
        </w:rPr>
        <w:t>CAMPING WORLD HOLDINGS, INC.</w:t>
      </w:r>
    </w:p>
    <w:p>
      <w:pPr>
        <w:spacing w:after="0" w:line="30" w:lineRule="exact"/>
        <w:rPr>
          <w:sz w:val="24"/>
          <w:szCs w:val="24"/>
          <w:color w:val="auto"/>
        </w:rPr>
      </w:pPr>
    </w:p>
    <w:p>
      <w:pPr>
        <w:jc w:val="center"/>
        <w:ind w:right="14"/>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0226"/>
          </w:cols>
          <w:pgMar w:left="834" w:top="661" w:right="839" w:bottom="1440" w:gutter="0" w:footer="0" w:header="0"/>
        </w:sectPr>
      </w:pPr>
    </w:p>
    <w:p>
      <w:pPr>
        <w:spacing w:after="0" w:line="79" w:lineRule="exact"/>
        <w:rPr>
          <w:sz w:val="24"/>
          <w:szCs w:val="24"/>
          <w:color w:val="auto"/>
        </w:rPr>
      </w:pPr>
    </w:p>
    <w:p>
      <w:pPr>
        <w:jc w:val="center"/>
        <w:ind w:right="394"/>
        <w:spacing w:after="0"/>
        <w:rPr>
          <w:sz w:val="20"/>
          <w:szCs w:val="20"/>
          <w:color w:val="auto"/>
        </w:rPr>
      </w:pPr>
      <w:r>
        <w:rPr>
          <w:rFonts w:ascii="Arial" w:cs="Arial" w:eastAsia="Arial" w:hAnsi="Arial"/>
          <w:sz w:val="18"/>
          <w:szCs w:val="18"/>
          <w:b w:val="1"/>
          <w:bCs w:val="1"/>
          <w:color w:val="auto"/>
        </w:rPr>
        <w:t>Delaware</w:t>
      </w:r>
    </w:p>
    <w:p>
      <w:pPr>
        <w:spacing w:after="0" w:line="14" w:lineRule="exact"/>
        <w:rPr>
          <w:sz w:val="24"/>
          <w:szCs w:val="24"/>
          <w:color w:val="auto"/>
        </w:rPr>
      </w:pPr>
    </w:p>
    <w:p>
      <w:pPr>
        <w:jc w:val="center"/>
        <w:ind w:right="394"/>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81-1737145</w:t>
      </w:r>
    </w:p>
    <w:p>
      <w:pPr>
        <w:spacing w:after="0" w:line="14"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(I.R.S. Employer Identification No.)</w:t>
      </w:r>
    </w:p>
    <w:p>
      <w:pPr>
        <w:spacing w:after="0" w:line="151" w:lineRule="exact"/>
        <w:rPr>
          <w:sz w:val="24"/>
          <w:szCs w:val="24"/>
          <w:color w:val="auto"/>
        </w:rPr>
      </w:pPr>
    </w:p>
    <w:p>
      <w:pPr>
        <w:sectPr>
          <w:pgSz w:w="11900" w:h="16838" w:orient="portrait"/>
          <w:cols w:equalWidth="0" w:num="2">
            <w:col w:w="5606" w:space="720"/>
            <w:col w:w="3900"/>
          </w:cols>
          <w:pgMar w:left="834" w:top="661" w:right="839" w:bottom="1440" w:gutter="0" w:footer="0" w:header="0"/>
          <w:type w:val="continuous"/>
        </w:sectPr>
      </w:pPr>
    </w:p>
    <w:p>
      <w:pPr>
        <w:jc w:val="center"/>
        <w:ind w:right="-5"/>
        <w:spacing w:after="0"/>
        <w:rPr>
          <w:sz w:val="20"/>
          <w:szCs w:val="20"/>
          <w:color w:val="auto"/>
        </w:rPr>
      </w:pPr>
      <w:r>
        <w:rPr>
          <w:rFonts w:ascii="Arial" w:cs="Arial" w:eastAsia="Arial" w:hAnsi="Arial"/>
          <w:sz w:val="18"/>
          <w:szCs w:val="18"/>
          <w:b w:val="1"/>
          <w:bCs w:val="1"/>
          <w:color w:val="auto"/>
        </w:rPr>
        <w:t>2 Marriott Drive</w:t>
      </w:r>
    </w:p>
    <w:p>
      <w:pPr>
        <w:spacing w:after="0" w:line="9"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Lincolnshire, IL 60069</w:t>
      </w:r>
    </w:p>
    <w:p>
      <w:pPr>
        <w:jc w:val="center"/>
        <w:ind w:right="-5"/>
        <w:spacing w:after="0"/>
        <w:rPr>
          <w:sz w:val="20"/>
          <w:szCs w:val="20"/>
          <w:color w:val="auto"/>
        </w:rPr>
      </w:pPr>
      <w:r>
        <w:rPr>
          <w:rFonts w:ascii="Arial" w:cs="Arial" w:eastAsia="Arial" w:hAnsi="Arial"/>
          <w:sz w:val="18"/>
          <w:szCs w:val="18"/>
          <w:color w:val="auto"/>
        </w:rPr>
        <w:t>(Address of principal executive offices) (Zip Code)</w:t>
      </w:r>
    </w:p>
    <w:p>
      <w:pPr>
        <w:spacing w:after="0" w:line="86"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Telephone: (847) 808-3000</w:t>
      </w:r>
    </w:p>
    <w:p>
      <w:pPr>
        <w:spacing w:after="0" w:line="14"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(Registrant’s telephone number, including area code)</w:t>
      </w:r>
    </w:p>
    <w:p>
      <w:pPr>
        <w:spacing w:after="0" w:line="86"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N/A</w:t>
      </w:r>
    </w:p>
    <w:p>
      <w:pPr>
        <w:spacing w:after="0" w:line="14" w:lineRule="exact"/>
        <w:rPr>
          <w:sz w:val="24"/>
          <w:szCs w:val="24"/>
          <w:color w:val="auto"/>
        </w:rPr>
      </w:pPr>
    </w:p>
    <w:p>
      <w:pPr>
        <w:ind w:left="1846"/>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45" w:lineRule="exact"/>
        <w:rPr>
          <w:sz w:val="24"/>
          <w:szCs w:val="24"/>
          <w:color w:val="auto"/>
        </w:rPr>
      </w:pPr>
    </w:p>
    <w:p>
      <w:pPr>
        <w:ind w:left="246"/>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6" w:lineRule="exact"/>
        <w:rPr>
          <w:sz w:val="24"/>
          <w:szCs w:val="24"/>
          <w:color w:val="auto"/>
        </w:rPr>
      </w:pPr>
    </w:p>
    <w:tbl>
      <w:tblPr>
        <w:tblLayout w:type="fixed"/>
        <w:tblInd w:w="376" w:type="dxa"/>
        <w:tblCellMar>
          <w:top w:w="0" w:type="dxa"/>
          <w:left w:w="0" w:type="dxa"/>
          <w:bottom w:w="0" w:type="dxa"/>
          <w:right w:w="0" w:type="dxa"/>
        </w:tblCellMar>
      </w:tblPr>
      <w:tr>
        <w:trPr>
          <w:trHeight w:val="216"/>
        </w:trPr>
        <w:tc>
          <w:tcPr>
            <w:tcW w:w="3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177"/>
        </w:trPr>
        <w:tc>
          <w:tcPr>
            <w:tcW w:w="3080" w:type="dxa"/>
            <w:vAlign w:val="bottom"/>
            <w:tcBorders>
              <w:left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Class A Common Stock,</w:t>
            </w:r>
          </w:p>
        </w:tc>
        <w:tc>
          <w:tcPr>
            <w:tcW w:w="19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rPr>
              <w:t>CWH</w:t>
            </w:r>
          </w:p>
        </w:tc>
        <w:tc>
          <w:tcPr>
            <w:tcW w:w="44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New York Stock Exchange</w:t>
            </w:r>
          </w:p>
        </w:tc>
      </w:tr>
      <w:tr>
        <w:trPr>
          <w:trHeight w:val="221"/>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$0.01 par value per share</w:t>
            </w:r>
          </w:p>
        </w:tc>
        <w:tc>
          <w:tcPr>
            <w:tcW w:w="1960" w:type="dxa"/>
            <w:vAlign w:val="bottom"/>
            <w:tcBorders>
              <w:bottom w:val="single" w:sz="8" w:color="auto"/>
              <w:right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bl>
    <w:p>
      <w:pPr>
        <w:spacing w:after="0" w:line="89" w:lineRule="exact"/>
        <w:rPr>
          <w:sz w:val="24"/>
          <w:szCs w:val="24"/>
          <w:color w:val="auto"/>
        </w:rPr>
      </w:pPr>
    </w:p>
    <w:p>
      <w:pPr>
        <w:jc w:val="both"/>
        <w:ind w:left="6" w:firstLine="247"/>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6" w:firstLine="247"/>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6" w:firstLine="247"/>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1026" w:type="dxa"/>
        <w:tblCellMar>
          <w:top w:w="0" w:type="dxa"/>
          <w:left w:w="0" w:type="dxa"/>
          <w:bottom w:w="0" w:type="dxa"/>
          <w:right w:w="0" w:type="dxa"/>
        </w:tblCellMar>
      </w:tblPr>
      <w:tr>
        <w:trPr>
          <w:trHeight w:val="30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160" w:type="dxa"/>
            <w:vAlign w:val="bottom"/>
          </w:tcPr>
          <w:p>
            <w:pPr>
              <w:ind w:left="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12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200" w:type="dxa"/>
            <w:vAlign w:val="bottom"/>
          </w:tcPr>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1160" w:type="dxa"/>
            <w:vAlign w:val="bottom"/>
          </w:tcPr>
          <w:p>
            <w:pPr>
              <w:ind w:left="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120" w:type="dxa"/>
            <w:vAlign w:val="bottom"/>
          </w:tcPr>
          <w:p>
            <w:pPr>
              <w:ind w:left="92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24"/>
        </w:trPr>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20" w:type="dxa"/>
            <w:vAlign w:val="bottom"/>
            <w:gridSpan w:val="2"/>
          </w:tcPr>
          <w:p>
            <w:pPr>
              <w:ind w:left="920"/>
              <w:spacing w:after="0" w:line="242" w:lineRule="exact"/>
              <w:rPr>
                <w:sz w:val="20"/>
                <w:szCs w:val="20"/>
                <w:color w:val="auto"/>
              </w:rPr>
            </w:pPr>
            <w:r>
              <w:rPr>
                <w:rFonts w:ascii="Arial" w:cs="Arial" w:eastAsia="Arial" w:hAnsi="Arial"/>
                <w:sz w:val="18"/>
                <w:szCs w:val="18"/>
                <w:color w:val="auto"/>
              </w:rPr>
              <w:t xml:space="preserve">Emerging growth company </w:t>
            </w:r>
            <w:r>
              <w:rPr>
                <w:rFonts w:ascii="Arial Unicode MS" w:cs="Arial Unicode MS" w:eastAsia="Arial Unicode MS" w:hAnsi="Arial Unicode MS"/>
                <w:sz w:val="18"/>
                <w:szCs w:val="18"/>
                <w:color w:val="auto"/>
              </w:rPr>
              <w:t>☐</w:t>
            </w:r>
          </w:p>
        </w:tc>
      </w:tr>
    </w:tbl>
    <w:p>
      <w:pPr>
        <w:spacing w:after="0" w:line="75" w:lineRule="exact"/>
        <w:rPr>
          <w:sz w:val="24"/>
          <w:szCs w:val="24"/>
          <w:color w:val="auto"/>
        </w:rPr>
      </w:pPr>
    </w:p>
    <w:p>
      <w:pPr>
        <w:jc w:val="both"/>
        <w:ind w:left="6" w:firstLine="247"/>
        <w:spacing w:after="0" w:line="24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46"/>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ind w:left="6" w:firstLine="247"/>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2" w:lineRule="exact"/>
        <w:rPr>
          <w:sz w:val="24"/>
          <w:szCs w:val="24"/>
          <w:color w:val="auto"/>
        </w:rPr>
      </w:pPr>
    </w:p>
    <w:p>
      <w:pPr>
        <w:ind w:left="6" w:right="560" w:firstLine="247"/>
        <w:spacing w:after="0" w:line="271" w:lineRule="auto"/>
        <w:rPr>
          <w:sz w:val="20"/>
          <w:szCs w:val="20"/>
          <w:color w:val="auto"/>
        </w:rPr>
      </w:pPr>
      <w:r>
        <w:rPr>
          <w:rFonts w:ascii="Arial" w:cs="Arial" w:eastAsia="Arial" w:hAnsi="Arial"/>
          <w:sz w:val="18"/>
          <w:szCs w:val="18"/>
          <w:color w:val="auto"/>
        </w:rPr>
        <w:t>As of October 24, 2025, the registrant had 62,819,556 shares of Class A common stock, 39,466,964 shares of Class B common stock and one share of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443865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40640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Camping World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2025</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tcBorders>
              <w:bottom w:val="single" w:sz="8" w:color="0000EE"/>
            </w:tcBorders>
            <w:gridSpan w:val="11"/>
          </w:tcPr>
          <w:p>
            <w:pPr>
              <w:jc w:val="center"/>
              <w:spacing w:after="0"/>
              <w:rPr>
                <w:sz w:val="20"/>
                <w:szCs w:val="20"/>
                <w:color w:val="auto"/>
              </w:rPr>
            </w:pPr>
            <w:r>
              <w:rPr>
                <w:rFonts w:ascii="Arial" w:cs="Arial" w:eastAsia="Arial" w:hAnsi="Arial"/>
                <w:sz w:val="18"/>
                <w:szCs w:val="18"/>
                <w:b w:val="1"/>
                <w:bCs w:val="1"/>
                <w:color w:val="0000EE"/>
                <w:w w:val="99"/>
              </w:rPr>
              <w:t>PART I. FINANCIAL INFORMATION</w:t>
            </w:r>
          </w:p>
        </w:tc>
        <w:tc>
          <w:tcPr>
            <w:tcW w:w="270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EE"/>
              </w:rPr>
              <w:t>Item 1</w:t>
            </w:r>
          </w:p>
        </w:tc>
        <w:tc>
          <w:tcPr>
            <w:tcW w:w="7420" w:type="dxa"/>
            <w:vAlign w:val="bottom"/>
            <w:gridSpan w:val="24"/>
          </w:tcPr>
          <w:p>
            <w:pPr>
              <w:spacing w:after="0"/>
              <w:rPr>
                <w:sz w:val="20"/>
                <w:szCs w:val="20"/>
                <w:color w:val="auto"/>
              </w:rPr>
            </w:pPr>
            <w:r>
              <w:rPr>
                <w:rFonts w:ascii="Arial" w:cs="Arial" w:eastAsia="Arial" w:hAnsi="Arial"/>
                <w:sz w:val="18"/>
                <w:szCs w:val="18"/>
                <w:color w:val="0000EE"/>
              </w:rPr>
              <w:t>Financial Statements (unaudited)</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4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0"/>
              </w:rPr>
              <w:t>Unaudited Condensed Consolidated</w:t>
            </w:r>
          </w:p>
        </w:tc>
        <w:tc>
          <w:tcPr>
            <w:tcW w:w="4780" w:type="dxa"/>
            <w:vAlign w:val="bottom"/>
            <w:gridSpan w:val="13"/>
          </w:tcPr>
          <w:p>
            <w:pPr>
              <w:jc w:val="center"/>
              <w:ind w:left="50"/>
              <w:spacing w:after="0" w:line="182" w:lineRule="exact"/>
              <w:rPr>
                <w:sz w:val="20"/>
                <w:szCs w:val="20"/>
                <w:color w:val="auto"/>
              </w:rPr>
            </w:pPr>
            <w:r>
              <w:rPr>
                <w:rFonts w:ascii="Arial" w:cs="Arial" w:eastAsia="Arial" w:hAnsi="Arial"/>
                <w:sz w:val="18"/>
                <w:szCs w:val="18"/>
                <w:color w:val="0000EE"/>
                <w:w w:val="99"/>
              </w:rPr>
              <w:t>Balance Sheets – September 30, 2025, December 31,</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8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2024, and September 30, 2024</w:t>
            </w:r>
          </w:p>
        </w:tc>
        <w:tc>
          <w:tcPr>
            <w:tcW w:w="4780" w:type="dxa"/>
            <w:vAlign w:val="bottom"/>
            <w:tcBorders>
              <w:top w:val="single" w:sz="8" w:color="0000EE"/>
            </w:tcBorders>
            <w:gridSpan w:val="14"/>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20" w:type="dxa"/>
            <w:vAlign w:val="bottom"/>
            <w:gridSpan w:val="24"/>
          </w:tcPr>
          <w:p>
            <w:pPr>
              <w:spacing w:after="0" w:line="182" w:lineRule="exact"/>
              <w:rPr>
                <w:sz w:val="20"/>
                <w:szCs w:val="20"/>
                <w:color w:val="auto"/>
              </w:rPr>
            </w:pPr>
            <w:r>
              <w:rPr>
                <w:rFonts w:ascii="Arial" w:cs="Arial" w:eastAsia="Arial" w:hAnsi="Arial"/>
                <w:sz w:val="18"/>
                <w:szCs w:val="18"/>
                <w:color w:val="0000EE"/>
              </w:rPr>
              <w:t>Unaudited Condensed Consolidated Statements of Operations – Three and Nine Months</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6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Ended September 30, 2025 and 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Unaudited Condensed Consolidated</w:t>
            </w:r>
          </w:p>
        </w:tc>
        <w:tc>
          <w:tcPr>
            <w:tcW w:w="4420" w:type="dxa"/>
            <w:vAlign w:val="bottom"/>
            <w:gridSpan w:val="12"/>
          </w:tcPr>
          <w:p>
            <w:pPr>
              <w:jc w:val="center"/>
              <w:ind w:right="260"/>
              <w:spacing w:after="0" w:line="182" w:lineRule="exact"/>
              <w:rPr>
                <w:sz w:val="20"/>
                <w:szCs w:val="20"/>
                <w:color w:val="auto"/>
              </w:rPr>
            </w:pPr>
            <w:r>
              <w:rPr>
                <w:rFonts w:ascii="Arial" w:cs="Arial" w:eastAsia="Arial" w:hAnsi="Arial"/>
                <w:sz w:val="18"/>
                <w:szCs w:val="18"/>
                <w:color w:val="0000EE"/>
                <w:w w:val="98"/>
              </w:rPr>
              <w:t>Statements of Stockholders’ Equity – Three and Nine</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16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Months Ended September 30, 2025 and 2024</w:t>
            </w:r>
          </w:p>
        </w:tc>
        <w:tc>
          <w:tcPr>
            <w:tcW w:w="260" w:type="dxa"/>
            <w:vAlign w:val="bottom"/>
            <w:gridSpan w:val="2"/>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4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3"/>
              </w:rPr>
              <w:t>Unaudited Condensed Consolidated Statements</w:t>
            </w:r>
          </w:p>
        </w:tc>
        <w:tc>
          <w:tcPr>
            <w:tcW w:w="3780" w:type="dxa"/>
            <w:vAlign w:val="bottom"/>
            <w:gridSpan w:val="11"/>
          </w:tcPr>
          <w:p>
            <w:pPr>
              <w:ind w:left="260"/>
              <w:spacing w:after="0" w:line="182" w:lineRule="exact"/>
              <w:rPr>
                <w:sz w:val="20"/>
                <w:szCs w:val="20"/>
                <w:color w:val="auto"/>
              </w:rPr>
            </w:pPr>
            <w:r>
              <w:rPr>
                <w:rFonts w:ascii="Arial" w:cs="Arial" w:eastAsia="Arial" w:hAnsi="Arial"/>
                <w:sz w:val="18"/>
                <w:szCs w:val="18"/>
                <w:color w:val="0000EE"/>
              </w:rPr>
              <w:t>of Cash Flows – Nine Months Ended</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2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September 30, 2025 and 2024</w:t>
            </w:r>
          </w:p>
        </w:tc>
        <w:tc>
          <w:tcPr>
            <w:tcW w:w="260" w:type="dxa"/>
            <w:vAlign w:val="bottom"/>
            <w:gridSpan w:val="2"/>
          </w:tcPr>
          <w:p>
            <w:pPr>
              <w:spacing w:after="0"/>
              <w:rPr>
                <w:sz w:val="15"/>
                <w:szCs w:val="15"/>
                <w:color w:val="auto"/>
              </w:rPr>
            </w:pPr>
          </w:p>
        </w:tc>
        <w:tc>
          <w:tcPr>
            <w:tcW w:w="340" w:type="dxa"/>
            <w:vAlign w:val="bottom"/>
            <w:gridSpan w:val="3"/>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5"/>
              </w:rPr>
              <w:t>Notes to Unaudited Condensed</w:t>
            </w:r>
          </w:p>
        </w:tc>
        <w:tc>
          <w:tcPr>
            <w:tcW w:w="120" w:type="dxa"/>
            <w:vAlign w:val="bottom"/>
            <w:gridSpan w:val="2"/>
          </w:tcPr>
          <w:p>
            <w:pPr>
              <w:spacing w:after="0"/>
              <w:rPr>
                <w:sz w:val="15"/>
                <w:szCs w:val="15"/>
                <w:color w:val="auto"/>
              </w:rPr>
            </w:pPr>
          </w:p>
        </w:tc>
        <w:tc>
          <w:tcPr>
            <w:tcW w:w="4880" w:type="dxa"/>
            <w:vAlign w:val="bottom"/>
            <w:gridSpan w:val="14"/>
          </w:tcPr>
          <w:p>
            <w:pPr>
              <w:ind w:left="20"/>
              <w:spacing w:after="0" w:line="182" w:lineRule="exact"/>
              <w:rPr>
                <w:sz w:val="20"/>
                <w:szCs w:val="20"/>
                <w:color w:val="auto"/>
              </w:rPr>
            </w:pPr>
            <w:r>
              <w:rPr>
                <w:rFonts w:ascii="Arial" w:cs="Arial" w:eastAsia="Arial" w:hAnsi="Arial"/>
                <w:sz w:val="18"/>
                <w:szCs w:val="18"/>
                <w:color w:val="0000EE"/>
              </w:rPr>
              <w:t>Consolidated Financial Statements</w:t>
            </w: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gridSpan w:val="5"/>
          </w:tcPr>
          <w:p>
            <w:pPr>
              <w:spacing w:after="0" w:line="182" w:lineRule="exact"/>
              <w:rPr>
                <w:sz w:val="20"/>
                <w:szCs w:val="20"/>
                <w:color w:val="auto"/>
              </w:rPr>
            </w:pPr>
            <w:r>
              <w:rPr>
                <w:rFonts w:ascii="Arial" w:cs="Arial" w:eastAsia="Arial" w:hAnsi="Arial"/>
                <w:sz w:val="18"/>
                <w:szCs w:val="18"/>
                <w:color w:val="0000EE"/>
              </w:rPr>
              <w:t>Item 2</w:t>
            </w:r>
          </w:p>
        </w:tc>
        <w:tc>
          <w:tcPr>
            <w:tcW w:w="534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Management’s Discussion and Analysis of Financial Condition and</w:t>
            </w:r>
          </w:p>
        </w:tc>
        <w:tc>
          <w:tcPr>
            <w:tcW w:w="2080" w:type="dxa"/>
            <w:vAlign w:val="bottom"/>
            <w:gridSpan w:val="6"/>
          </w:tcPr>
          <w:p>
            <w:pPr>
              <w:spacing w:after="0" w:line="182" w:lineRule="exact"/>
              <w:rPr>
                <w:sz w:val="20"/>
                <w:szCs w:val="20"/>
                <w:color w:val="auto"/>
              </w:rPr>
            </w:pPr>
            <w:r>
              <w:rPr>
                <w:rFonts w:ascii="Arial" w:cs="Arial" w:eastAsia="Arial" w:hAnsi="Arial"/>
                <w:sz w:val="18"/>
                <w:szCs w:val="18"/>
                <w:color w:val="0000EE"/>
              </w:rPr>
              <w:t>Results of Operations</w:t>
            </w: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95"/>
              </w:rPr>
              <w:t>Item 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8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Quantitative and Qualitative Disclosures About Market Risk</w:t>
            </w:r>
          </w:p>
        </w:tc>
        <w:tc>
          <w:tcPr>
            <w:tcW w:w="340" w:type="dxa"/>
            <w:vAlign w:val="bottom"/>
            <w:gridSpan w:val="3"/>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95"/>
              </w:rPr>
              <w:t>Item 4</w:t>
            </w:r>
          </w:p>
        </w:tc>
        <w:tc>
          <w:tcPr>
            <w:tcW w:w="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70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Controls and Procedures</w:t>
            </w:r>
          </w:p>
        </w:tc>
        <w:tc>
          <w:tcPr>
            <w:tcW w:w="140" w:type="dxa"/>
            <w:vAlign w:val="bottom"/>
            <w:gridSpan w:val="2"/>
          </w:tcPr>
          <w:p>
            <w:pPr>
              <w:spacing w:after="0"/>
              <w:rPr>
                <w:sz w:val="15"/>
                <w:szCs w:val="15"/>
                <w:color w:val="auto"/>
              </w:rPr>
            </w:pPr>
          </w:p>
        </w:tc>
        <w:tc>
          <w:tcPr>
            <w:tcW w:w="2580" w:type="dxa"/>
            <w:vAlign w:val="bottom"/>
            <w:gridSpan w:val="7"/>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tcBorders>
              <w:bottom w:val="single" w:sz="8" w:color="0000EE"/>
            </w:tcBorders>
            <w:gridSpan w:val="8"/>
          </w:tcPr>
          <w:p>
            <w:pPr>
              <w:jc w:val="center"/>
              <w:spacing w:after="0"/>
              <w:rPr>
                <w:sz w:val="20"/>
                <w:szCs w:val="20"/>
                <w:color w:val="auto"/>
              </w:rPr>
            </w:pPr>
            <w:r>
              <w:rPr>
                <w:rFonts w:ascii="Arial" w:cs="Arial" w:eastAsia="Arial" w:hAnsi="Arial"/>
                <w:sz w:val="18"/>
                <w:szCs w:val="18"/>
                <w:b w:val="1"/>
                <w:bCs w:val="1"/>
                <w:color w:val="0000EE"/>
                <w:w w:val="99"/>
              </w:rPr>
              <w:t>PART II. OTHER INFORMATION</w:t>
            </w:r>
          </w:p>
        </w:tc>
        <w:tc>
          <w:tcPr>
            <w:tcW w:w="284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EE"/>
                <w:w w:val="99"/>
              </w:rPr>
              <w:t>Item 1</w:t>
            </w:r>
          </w:p>
        </w:tc>
        <w:tc>
          <w:tcPr>
            <w:tcW w:w="400" w:type="dxa"/>
            <w:vAlign w:val="bottom"/>
            <w:gridSpan w:val="3"/>
          </w:tcPr>
          <w:p>
            <w:pPr>
              <w:spacing w:after="0"/>
              <w:rPr>
                <w:sz w:val="24"/>
                <w:szCs w:val="24"/>
                <w:color w:val="auto"/>
              </w:rPr>
            </w:pPr>
          </w:p>
        </w:tc>
        <w:tc>
          <w:tcPr>
            <w:tcW w:w="7420" w:type="dxa"/>
            <w:vAlign w:val="bottom"/>
            <w:gridSpan w:val="24"/>
          </w:tcPr>
          <w:p>
            <w:pPr>
              <w:spacing w:after="0"/>
              <w:rPr>
                <w:sz w:val="20"/>
                <w:szCs w:val="20"/>
                <w:color w:val="auto"/>
              </w:rPr>
            </w:pPr>
            <w:r>
              <w:rPr>
                <w:rFonts w:ascii="Arial" w:cs="Arial" w:eastAsia="Arial" w:hAnsi="Arial"/>
                <w:sz w:val="18"/>
                <w:szCs w:val="18"/>
                <w:color w:val="0000EE"/>
              </w:rPr>
              <w:t>Legal Proceedings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vMerge w:val="restart"/>
          </w:tcPr>
          <w:p>
            <w:pPr>
              <w:spacing w:after="0" w:line="20" w:lineRule="exact"/>
              <w:rPr>
                <w:sz w:val="1"/>
                <w:szCs w:val="1"/>
                <w:color w:val="auto"/>
              </w:rPr>
            </w:pPr>
          </w:p>
        </w:tc>
        <w:tc>
          <w:tcPr>
            <w:tcW w:w="560" w:type="dxa"/>
            <w:vAlign w:val="bottom"/>
            <w:gridSpan w:val="3"/>
            <w:vMerge w:val="restart"/>
          </w:tcPr>
          <w:p>
            <w:pPr>
              <w:spacing w:after="0" w:line="20" w:lineRule="exact"/>
              <w:rPr>
                <w:sz w:val="1"/>
                <w:szCs w:val="1"/>
                <w:color w:val="auto"/>
              </w:rPr>
            </w:pPr>
          </w:p>
        </w:tc>
        <w:tc>
          <w:tcPr>
            <w:tcW w:w="2300" w:type="dxa"/>
            <w:vAlign w:val="bottom"/>
            <w:gridSpan w:val="7"/>
            <w:vMerge w:val="restart"/>
          </w:tcPr>
          <w:p>
            <w:pPr>
              <w:spacing w:after="0" w:line="20" w:lineRule="exact"/>
              <w:rPr>
                <w:sz w:val="1"/>
                <w:szCs w:val="1"/>
                <w:color w:val="auto"/>
              </w:rPr>
            </w:pPr>
          </w:p>
        </w:tc>
        <w:tc>
          <w:tcPr>
            <w:tcW w:w="2580" w:type="dxa"/>
            <w:vAlign w:val="bottom"/>
            <w:gridSpan w:val="7"/>
            <w:vMerge w:val="restart"/>
          </w:tcPr>
          <w:p>
            <w:pPr>
              <w:spacing w:after="0" w:line="20" w:lineRule="exact"/>
              <w:rPr>
                <w:sz w:val="1"/>
                <w:szCs w:val="1"/>
                <w:color w:val="auto"/>
              </w:rPr>
            </w:pPr>
          </w:p>
        </w:tc>
        <w:tc>
          <w:tcPr>
            <w:tcW w:w="5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58</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gridSpan w:val="5"/>
          </w:tcPr>
          <w:p>
            <w:pPr>
              <w:spacing w:after="0" w:line="182" w:lineRule="exact"/>
              <w:rPr>
                <w:sz w:val="20"/>
                <w:szCs w:val="20"/>
                <w:color w:val="auto"/>
              </w:rPr>
            </w:pPr>
            <w:r>
              <w:rPr>
                <w:rFonts w:ascii="Arial" w:cs="Arial" w:eastAsia="Arial" w:hAnsi="Arial"/>
                <w:sz w:val="18"/>
                <w:szCs w:val="18"/>
                <w:color w:val="0000EE"/>
              </w:rPr>
              <w:t>Item 1A</w:t>
            </w:r>
          </w:p>
        </w:tc>
        <w:tc>
          <w:tcPr>
            <w:tcW w:w="1480" w:type="dxa"/>
            <w:vAlign w:val="bottom"/>
            <w:gridSpan w:val="4"/>
          </w:tcPr>
          <w:p>
            <w:pPr>
              <w:spacing w:after="0" w:line="182" w:lineRule="exact"/>
              <w:rPr>
                <w:sz w:val="20"/>
                <w:szCs w:val="20"/>
                <w:color w:val="auto"/>
              </w:rPr>
            </w:pPr>
            <w:r>
              <w:rPr>
                <w:rFonts w:ascii="Arial" w:cs="Arial" w:eastAsia="Arial" w:hAnsi="Arial"/>
                <w:sz w:val="18"/>
                <w:szCs w:val="18"/>
                <w:color w:val="0000EE"/>
              </w:rPr>
              <w:t>Risk Factors</w:t>
            </w:r>
          </w:p>
        </w:tc>
        <w:tc>
          <w:tcPr>
            <w:tcW w:w="500" w:type="dxa"/>
            <w:vAlign w:val="bottom"/>
            <w:gridSpan w:val="3"/>
            <w:vMerge w:val="continue"/>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2300" w:type="dxa"/>
            <w:vAlign w:val="bottom"/>
            <w:gridSpan w:val="7"/>
            <w:vMerge w:val="continue"/>
          </w:tcPr>
          <w:p>
            <w:pPr>
              <w:spacing w:after="0"/>
              <w:rPr>
                <w:sz w:val="15"/>
                <w:szCs w:val="15"/>
                <w:color w:val="auto"/>
              </w:rPr>
            </w:pPr>
          </w:p>
        </w:tc>
        <w:tc>
          <w:tcPr>
            <w:tcW w:w="2580" w:type="dxa"/>
            <w:vAlign w:val="bottom"/>
            <w:gridSpan w:val="7"/>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Item 2</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Unregistered</w:t>
            </w:r>
          </w:p>
        </w:tc>
        <w:tc>
          <w:tcPr>
            <w:tcW w:w="6420" w:type="dxa"/>
            <w:vAlign w:val="bottom"/>
            <w:gridSpan w:val="22"/>
          </w:tcPr>
          <w:p>
            <w:pPr>
              <w:ind w:left="80"/>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3</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84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Defaults Upon Senior Securities</w:t>
            </w:r>
          </w:p>
        </w:tc>
        <w:tc>
          <w:tcPr>
            <w:tcW w:w="2580" w:type="dxa"/>
            <w:vAlign w:val="bottom"/>
            <w:gridSpan w:val="7"/>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4</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5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Mine Safety Disclosures</w:t>
            </w:r>
          </w:p>
        </w:tc>
        <w:tc>
          <w:tcPr>
            <w:tcW w:w="4880" w:type="dxa"/>
            <w:vAlign w:val="bottom"/>
            <w:gridSpan w:val="14"/>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5</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Other Information</w:t>
            </w:r>
          </w:p>
        </w:tc>
        <w:tc>
          <w:tcPr>
            <w:tcW w:w="5440" w:type="dxa"/>
            <w:vAlign w:val="bottom"/>
            <w:gridSpan w:val="17"/>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6</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Exhibits</w:t>
            </w:r>
          </w:p>
        </w:tc>
        <w:tc>
          <w:tcPr>
            <w:tcW w:w="6020" w:type="dxa"/>
            <w:vAlign w:val="bottom"/>
            <w:gridSpan w:val="21"/>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EE"/>
              </w:rPr>
              <w:t>Signatures</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1188"/>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8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As used in this Quarterly Report on Form 10-Q (this “Form 10-Q”), unless the context otherwise requires, references to:</w:t>
      </w:r>
    </w:p>
    <w:p>
      <w:pPr>
        <w:spacing w:after="0" w:line="113" w:lineRule="exact"/>
        <w:rPr>
          <w:sz w:val="20"/>
          <w:szCs w:val="20"/>
          <w:color w:val="auto"/>
        </w:rPr>
      </w:pPr>
    </w:p>
    <w:p>
      <w:pPr>
        <w:jc w:val="both"/>
        <w:ind w:left="1380" w:right="79" w:hanging="331"/>
        <w:spacing w:after="0" w:line="246"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“us,” “our,” “CWH,” the “Company,” “Camping World” and similar references refer to Camping World Holdings, Inc., and, unless referenced as “CWH” or otherwise stated, all of its subsidiaries, including CWGS Enterprises, LLC, which we refer to as “CWGS, LLC” and, unless otherwise stated, all of its subsidiaries.</w:t>
      </w:r>
    </w:p>
    <w:p>
      <w:pPr>
        <w:spacing w:after="0" w:line="136" w:lineRule="exact"/>
        <w:rPr>
          <w:rFonts w:ascii="Times New Roman" w:cs="Times New Roman" w:eastAsia="Times New Roman" w:hAnsi="Times New Roman"/>
          <w:sz w:val="18"/>
          <w:szCs w:val="18"/>
          <w:color w:val="auto"/>
        </w:rPr>
      </w:pPr>
    </w:p>
    <w:p>
      <w:pPr>
        <w:jc w:val="both"/>
        <w:ind w:left="1380" w:right="79" w:hanging="331"/>
        <w:spacing w:after="0" w:line="246"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"Active Customer" refers to a customer who has transacted with us in any of the eight most recently completed fiscal quarters prior to the date of measurement. Unless otherwise indicated, the date of measurement is September 30, 2025, our most recently completed fiscal quarter.</w:t>
      </w:r>
    </w:p>
    <w:p>
      <w:pPr>
        <w:spacing w:after="0" w:line="149"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“Annual Report” refers to our Annual Report on Form 10-K for the year ended December 31, 2024 filed with the Securities and Exchange Commission (“SEC”) on February 28, 2025.</w:t>
      </w:r>
    </w:p>
    <w:p>
      <w:pPr>
        <w:spacing w:after="0" w:line="113" w:lineRule="exact"/>
        <w:rPr>
          <w:rFonts w:ascii="Times New Roman" w:cs="Times New Roman" w:eastAsia="Times New Roman" w:hAnsi="Times New Roman"/>
          <w:sz w:val="18"/>
          <w:szCs w:val="18"/>
          <w:color w:val="auto"/>
        </w:rPr>
      </w:pPr>
    </w:p>
    <w:p>
      <w:pPr>
        <w:jc w:val="both"/>
        <w:ind w:left="1380" w:right="79" w:hanging="331"/>
        <w:spacing w:after="0" w:line="239"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Equity Owners” refers collectively to ML Acquisition, funds controlled by Crestview Partners II GP, L.P. and the Former Profits Unit Holders and each of their permitted transferees that own common units in CWGS, LLC and who may redeem at each of their options their common units for, at our election (determined solely by our independent directors within the meaning of the rules of the New York Stock Exchange who are disinterested), cash or newly-issued shares of our Class A common stock. Direct exchanges of common units in CWGS, LLC by the Continuing Equity Owners with CWH for Class A common stock are included in the reference to “redemptions” in relation to common units in CWGS, LLC.</w:t>
      </w:r>
    </w:p>
    <w:p>
      <w:pPr>
        <w:spacing w:after="0" w:line="145" w:lineRule="exact"/>
        <w:rPr>
          <w:rFonts w:ascii="Times New Roman" w:cs="Times New Roman" w:eastAsia="Times New Roman" w:hAnsi="Times New Roman"/>
          <w:sz w:val="18"/>
          <w:szCs w:val="18"/>
          <w:color w:val="auto"/>
        </w:rPr>
      </w:pPr>
    </w:p>
    <w:p>
      <w:pPr>
        <w:jc w:val="both"/>
        <w:ind w:left="1380" w:right="79" w:hanging="331"/>
        <w:spacing w:after="0" w:line="242"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“Former Profits Unit Holders” refers collectively to Brent L. Moody, Andris A. Baltins and K. Dillon Schickli, who are members of our Board of Directors, and certain other current and former non-executive employees, former executive officers, and former directors, in each case, who held common units of CWGS, LLC pursuant to CWGS, LLC’s equity incentive plan that was in existence prior to our IPO and received common units of CWGS, LLC in exchange for their profits units in CWGS, LLC.</w:t>
      </w:r>
    </w:p>
    <w:p>
      <w:pPr>
        <w:spacing w:after="0" w:line="150"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“ML Acquisition” refers to ML Acquisition Company, LLC, a Delaware limited liability company that is indirectly controlled by our Chairman and Chief Executive Officer, Marcus A. Lemonis.</w:t>
      </w:r>
    </w:p>
    <w:p>
      <w:pPr>
        <w:spacing w:after="0" w:line="113"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“RV” refers to recreational vehicles.</w:t>
      </w:r>
    </w:p>
    <w:p>
      <w:pPr>
        <w:spacing w:after="0" w:line="183" w:lineRule="exact"/>
        <w:rPr>
          <w:rFonts w:ascii="Times New Roman" w:cs="Times New Roman" w:eastAsia="Times New Roman" w:hAnsi="Times New Roman"/>
          <w:sz w:val="18"/>
          <w:szCs w:val="18"/>
          <w:color w:val="auto"/>
        </w:rPr>
      </w:pPr>
    </w:p>
    <w:p>
      <w:pPr>
        <w:ind w:left="1380" w:right="159" w:hanging="331"/>
        <w:spacing w:after="0" w:line="252"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“Tax Receivable Agreement” refers to the tax receivable agreement that the Company entered into with CWGS, LLC, each of the Continuing Equity Owners and Crestview Partners II GP, L.P. in connection with the Company’s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7"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This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Form 10-Q may be forward-looking statements. Statements regarding our future results of operations and financial position, business strategy and plans and objectives of management for future operations, including, among others, statements regarding expected new store location openings and closures, including greenfield locations and acquired locations; sufficiency of our sources of liquidity and capital and potential need for additional financing; our stock repurchase program; future capital expenditures and debt service obligations; refinancing, retirement or exchange of outstanding debt; expectations regarding industry trends and consumer behavior and growth; our product offerings and strategy; inventory management; volatility in sales and potential impact of miscalculating the demand for our products or our product mix; expectations regarding increase of certain expenses in connection with our growth and new or increased tariffs; timing and effectiveness of remediation plans for internal controls; potential future tax benefits; expectations regarding our pending litigation; effects of seasonality on our business; future effects of new federal legislation, and our plans related to dividend payments, are forward-looking statements. In some cases, you can identify forward-looking statements by terms such as “anticipate,” “believe,” “can,” “continue,” “could,” “designed,” “estimate,” “expect,” “forecast,” “goal,” “intend,” “may,” “might,” “plan,” “possible,” “potential,” “predict,” “project,” “should,” “target,” “will,” “would” or the negative of these terms or other similar expressions.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but not limited to, the following:</w:t>
      </w:r>
    </w:p>
    <w:p>
      <w:pPr>
        <w:spacing w:after="0" w:line="165" w:lineRule="exact"/>
        <w:rPr>
          <w:sz w:val="20"/>
          <w:szCs w:val="20"/>
          <w:color w:val="auto"/>
        </w:rPr>
      </w:pPr>
    </w:p>
    <w:p>
      <w:pPr>
        <w:ind w:left="1040" w:right="11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in our markets, including inflation and interest rates, as well as the health of the RV industry, and ongoing economic and financial uncertainties;</w:t>
      </w:r>
    </w:p>
    <w:p>
      <w:pPr>
        <w:spacing w:after="0" w:line="11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and cost of financing to us and our customers;</w:t>
      </w:r>
    </w:p>
    <w:p>
      <w:pPr>
        <w:spacing w:after="0" w:line="18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fuel shortages, high prices for fuel, or changes in energy sources;</w:t>
      </w:r>
    </w:p>
    <w:p>
      <w:pPr>
        <w:spacing w:after="0" w:line="197" w:lineRule="exact"/>
        <w:rPr>
          <w:rFonts w:ascii="Times New Roman" w:cs="Times New Roman" w:eastAsia="Times New Roman" w:hAnsi="Times New Roman"/>
          <w:sz w:val="18"/>
          <w:szCs w:val="18"/>
          <w:color w:val="auto"/>
        </w:rPr>
      </w:pPr>
    </w:p>
    <w:p>
      <w:pPr>
        <w:ind w:left="1040" w:right="45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well-being, as well as the continued popularity and reputation for quality, of our manufacturers, particularly Thor Industries, Inc. and Forest River, Inc.;</w:t>
      </w:r>
    </w:p>
    <w:p>
      <w:pPr>
        <w:spacing w:after="0" w:line="11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consumer preferences for our products or our failure to gauge those preferences;</w:t>
      </w:r>
    </w:p>
    <w:p>
      <w:pPr>
        <w:spacing w:after="0" w:line="183"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competition in the market for services, protection plans, products and resources targeting the RV lifestyle or RV enthusiast;</w:t>
      </w:r>
    </w:p>
    <w:p>
      <w:pPr>
        <w:spacing w:after="0" w:line="127"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expansion into new, unfamiliar markets, businesses, or product lines or categories, as well as delays in opening new RV dealership locations, including greenfield locations and acquisitions;</w:t>
      </w:r>
    </w:p>
    <w:p>
      <w:pPr>
        <w:spacing w:after="0" w:line="11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expenses, difficulties, and delays encountered in connection with acquisitions;</w:t>
      </w:r>
    </w:p>
    <w:p>
      <w:pPr>
        <w:spacing w:after="0" w:line="18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the strength and value of our brands;</w:t>
      </w:r>
    </w:p>
    <w:p>
      <w:pPr>
        <w:spacing w:after="0" w:line="197"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order and manage our inventory to reflect consumer demand in a volatile market and anticipate changing consumer preferences and buying trends;</w:t>
      </w:r>
    </w:p>
    <w:p>
      <w:pPr>
        <w:spacing w:after="0" w:line="113"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our same store revenue and whether such revenue will be a meaningful indicator of future performance;</w:t>
      </w:r>
    </w:p>
    <w:p>
      <w:pPr>
        <w:spacing w:after="0" w:line="11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cyclical and seasonal nature of our business;</w:t>
      </w:r>
    </w:p>
    <w:p>
      <w:pPr>
        <w:spacing w:after="0" w:line="197" w:lineRule="exact"/>
        <w:rPr>
          <w:rFonts w:ascii="Times New Roman" w:cs="Times New Roman" w:eastAsia="Times New Roman" w:hAnsi="Times New Roman"/>
          <w:sz w:val="18"/>
          <w:szCs w:val="18"/>
          <w:color w:val="auto"/>
        </w:rPr>
      </w:pPr>
    </w:p>
    <w:p>
      <w:pPr>
        <w:ind w:left="1040" w:right="3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operate and expand our business and to respond to changing business and economic conditions, which depends on the availability of adequate capital;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restrictive covenants imposed by our Senior Secured Credit Facilities and Floor Plan Facility;</w:t>
      </w:r>
    </w:p>
    <w:p>
      <w:pPr>
        <w:spacing w:after="0" w:line="197"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execute and achieve the expected benefits of our cost cutting initiatives and impairment charges incurred in connection with previous restructuring initiatives may be materially higher than expected or anticipated;</w:t>
      </w:r>
    </w:p>
    <w:p>
      <w:pPr>
        <w:spacing w:after="0" w:line="130" w:lineRule="exact"/>
        <w:rPr>
          <w:rFonts w:ascii="Times New Roman" w:cs="Times New Roman" w:eastAsia="Times New Roman" w:hAnsi="Times New Roman"/>
          <w:sz w:val="18"/>
          <w:szCs w:val="18"/>
          <w:color w:val="auto"/>
        </w:rPr>
      </w:pPr>
    </w:p>
    <w:p>
      <w:pPr>
        <w:ind w:left="1040" w:right="9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our fulfillment and distribution centers for our retail and e-commerce businesses, which may be susceptible to a natural disaster or other serious disruption at any such facility;</w:t>
      </w:r>
    </w:p>
    <w:p>
      <w:pPr>
        <w:spacing w:after="0" w:line="113" w:lineRule="exact"/>
        <w:rPr>
          <w:rFonts w:ascii="Times New Roman" w:cs="Times New Roman" w:eastAsia="Times New Roman" w:hAnsi="Times New Roman"/>
          <w:sz w:val="18"/>
          <w:szCs w:val="18"/>
          <w:color w:val="auto"/>
        </w:rPr>
      </w:pPr>
    </w:p>
    <w:p>
      <w:pPr>
        <w:ind w:left="1040" w:right="41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whether or not caused by climate change, unusual weather conditions, epidemic outbreaks, terrorist acts and political events;</w:t>
      </w:r>
    </w:p>
    <w:p>
      <w:pPr>
        <w:spacing w:after="0" w:line="127" w:lineRule="exact"/>
        <w:rPr>
          <w:rFonts w:ascii="Times New Roman" w:cs="Times New Roman" w:eastAsia="Times New Roman" w:hAnsi="Times New Roman"/>
          <w:sz w:val="18"/>
          <w:szCs w:val="18"/>
          <w:color w:val="auto"/>
        </w:rPr>
      </w:pPr>
    </w:p>
    <w:p>
      <w:pPr>
        <w:ind w:left="1040" w:right="23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our relationships with third party providers of services, protection plans, products and resources and a disruption of these relationships or of these providers’ operations;</w:t>
      </w:r>
    </w:p>
    <w:p>
      <w:pPr>
        <w:spacing w:after="0" w:line="113" w:lineRule="exact"/>
        <w:rPr>
          <w:rFonts w:ascii="Times New Roman" w:cs="Times New Roman" w:eastAsia="Times New Roman" w:hAnsi="Times New Roman"/>
          <w:sz w:val="18"/>
          <w:szCs w:val="18"/>
          <w:color w:val="auto"/>
        </w:rPr>
      </w:pPr>
    </w:p>
    <w:p>
      <w:pPr>
        <w:ind w:left="1040" w:right="17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certain of the products that we sell are manufactured abroad and any delays, new or increased tariffs, increased cost or quality control deficiencies in the importation of these products;</w:t>
      </w:r>
    </w:p>
    <w:p>
      <w:pPr>
        <w:spacing w:after="0" w:line="113" w:lineRule="exact"/>
        <w:rPr>
          <w:rFonts w:ascii="Times New Roman" w:cs="Times New Roman" w:eastAsia="Times New Roman" w:hAnsi="Times New Roman"/>
          <w:sz w:val="18"/>
          <w:szCs w:val="18"/>
          <w:color w:val="auto"/>
        </w:rPr>
      </w:pPr>
    </w:p>
    <w:p>
      <w:pPr>
        <w:ind w:left="1040" w:right="219" w:hanging="315"/>
        <w:spacing w:after="0" w:line="300" w:lineRule="auto"/>
        <w:tabs>
          <w:tab w:leader="none" w:pos="10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whether third-party lending institutions and insurance companies will continue to provide financing for RV purchases, insurance and extended service contracts that relate to a portion of our net income;</w:t>
      </w:r>
    </w:p>
    <w:p>
      <w:pPr>
        <w:spacing w:after="0" w:line="104"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retain senior executives and attract and retain other qualified employees;</w:t>
      </w:r>
    </w:p>
    <w:p>
      <w:pPr>
        <w:spacing w:after="0" w:line="18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associated with leasing substantial amounts of space;</w:t>
      </w:r>
    </w:p>
    <w:p>
      <w:pPr>
        <w:spacing w:after="0" w:line="18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private brand offerings exposing us to various risks;</w:t>
      </w:r>
    </w:p>
    <w:p>
      <w:pPr>
        <w:spacing w:after="0" w:line="19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whether we incur asset impairment charges for goodwill, intangible assets or other long-lived assets;</w:t>
      </w:r>
    </w:p>
    <w:p>
      <w:pPr>
        <w:spacing w:after="0" w:line="195"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subject to numerous federal, state and local regulations and litigation risk;</w:t>
      </w:r>
    </w:p>
    <w:p>
      <w:pPr>
        <w:spacing w:after="0" w:line="18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a failure in our e-commerce operations, security breaches and cybersecurity risks;</w:t>
      </w:r>
    </w:p>
    <w:p>
      <w:pPr>
        <w:spacing w:after="0" w:line="197" w:lineRule="exact"/>
        <w:rPr>
          <w:rFonts w:ascii="Times New Roman" w:cs="Times New Roman" w:eastAsia="Times New Roman" w:hAnsi="Times New Roman"/>
          <w:sz w:val="18"/>
          <w:szCs w:val="18"/>
          <w:color w:val="auto"/>
        </w:rPr>
      </w:pPr>
    </w:p>
    <w:p>
      <w:pPr>
        <w:ind w:left="1040" w:right="39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maintain or upgrade our information technology systems or our inability to convert to alternate systems in an efficient and timely manner;</w:t>
      </w:r>
    </w:p>
    <w:p>
      <w:pPr>
        <w:spacing w:after="0" w:line="113" w:lineRule="exact"/>
        <w:rPr>
          <w:rFonts w:ascii="Times New Roman" w:cs="Times New Roman" w:eastAsia="Times New Roman" w:hAnsi="Times New Roman"/>
          <w:sz w:val="18"/>
          <w:szCs w:val="18"/>
          <w:color w:val="auto"/>
        </w:rPr>
      </w:pPr>
    </w:p>
    <w:p>
      <w:pPr>
        <w:jc w:val="both"/>
        <w:ind w:left="1040" w:right="879" w:hanging="315"/>
        <w:spacing w:after="0" w:line="252"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disruptions or breaches involving our or our third-party providers’ information technology systems or confidential information or our failure to meet increasingly demanding regulatory requirements;</w:t>
      </w:r>
    </w:p>
    <w:p>
      <w:pPr>
        <w:spacing w:after="0" w:line="13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material weaknesses in our internal control over financial reporting;</w:t>
      </w:r>
    </w:p>
    <w:p>
      <w:pPr>
        <w:spacing w:after="0" w:line="197" w:lineRule="exact"/>
        <w:rPr>
          <w:rFonts w:ascii="Times New Roman" w:cs="Times New Roman" w:eastAsia="Times New Roman" w:hAnsi="Times New Roman"/>
          <w:sz w:val="18"/>
          <w:szCs w:val="18"/>
          <w:color w:val="auto"/>
        </w:rPr>
      </w:pPr>
    </w:p>
    <w:p>
      <w:pPr>
        <w:ind w:left="1040" w:right="15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relating to our organizational structure and to ownership of shares of our Class A common stock; and</w:t>
      </w:r>
    </w:p>
    <w:p>
      <w:pPr>
        <w:spacing w:after="0" w:line="113"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set forth under ‘‘Risk Factors’’ in Item 1A of Part I of our Annual Report and in our other filings with the SEC.</w:t>
      </w:r>
    </w:p>
    <w:p>
      <w:pPr>
        <w:spacing w:after="0" w:line="11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These risks may cause our actual results, performance or achievements to differ materially and adversely from those expressed or implied by the forward-looking statements.</w:t>
      </w:r>
    </w:p>
    <w:p>
      <w:pPr>
        <w:spacing w:after="0" w:line="127"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Any forward-looking statements made herein speak only as of the date of this Form 10-Q, and you should not rely on forward-looking statements as predictions of future events. Although we believe that the expectations reflected in the forward-looking statements are reasonable, we cannot guarantee that the future effects, results, performance, or achievements reflected in the forward-looking statements will be achieved or occur. We undertake no obligation to update any of these forward-looking statements for any reason after the date of this Form 10-Q or to conform these statements to actual results or revised expectations.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 – FINANCIAL INFORMATION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Item 1. Financial Statements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Camping World Holdings,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Amounts)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2025</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Cash and cash equivalents</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230,513</w:t>
            </w:r>
          </w:p>
        </w:tc>
        <w:tc>
          <w:tcPr>
            <w:tcW w:w="28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208,422</w:t>
            </w:r>
          </w:p>
        </w:tc>
        <w:tc>
          <w:tcPr>
            <w:tcW w:w="28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Contracts in transit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110,220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61,222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111,879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Accounts receivable, net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122,357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120,412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118,300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Inventories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2,026,392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1,821,837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1,781,656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Prepaid expenses and other assets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57,644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58,045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Assets held for sale</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38,431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2,585,557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2,271,288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2,107,726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895,270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846,760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836,824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3"/>
                <w:szCs w:val="13"/>
                <w:color w:val="auto"/>
              </w:rPr>
              <w:t>Operating lease assets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716,467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739,352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755,223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 net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215,140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3"/>
                <w:szCs w:val="13"/>
                <w:color w:val="auto"/>
              </w:rPr>
              <w:t>Intangible assets, net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16,703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19,469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20,413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748,951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734,023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732,813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assets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34,524</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37,245</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assets</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4,998,967</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4,863,277</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4,688,992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Accounts payable</w:t>
            </w:r>
          </w:p>
        </w:tc>
        <w:tc>
          <w:tcPr>
            <w:tcW w:w="24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224,615</w:t>
            </w:r>
          </w:p>
        </w:tc>
        <w:tc>
          <w:tcPr>
            <w:tcW w:w="280" w:type="dxa"/>
            <w:vAlign w:val="bottom"/>
            <w:gridSpan w:val="2"/>
          </w:tcPr>
          <w:p>
            <w:pPr>
              <w:jc w:val="right"/>
              <w:ind w:right="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145,346</w:t>
            </w:r>
          </w:p>
        </w:tc>
        <w:tc>
          <w:tcPr>
            <w:tcW w:w="280" w:type="dxa"/>
            <w:vAlign w:val="bottom"/>
            <w:gridSpan w:val="2"/>
          </w:tcPr>
          <w:p>
            <w:pPr>
              <w:jc w:val="right"/>
              <w:ind w:right="4"/>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221,292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Accrued liabilities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177,866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118,557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182,926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Deferred revenues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98,293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92,124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100,894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Current portion of operating lease liabilities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65,497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61,993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Current portion of finance lease liabilities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8,689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7,044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7,077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Current portion of Tax Receivable Agreement liability</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Current portion of long-term debt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22,749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23,275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23,798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Notes payable – floor plan, net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1,361,019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1,161,713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1,030,187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Other current liabilities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84,896</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70,900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83,906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2,044,824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1,680,952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1,710,561</w:t>
            </w:r>
          </w:p>
        </w:tc>
        <w:tc>
          <w:tcPr>
            <w:tcW w:w="0" w:type="dxa"/>
            <w:vAlign w:val="bottom"/>
          </w:tcPr>
          <w:p>
            <w:pPr>
              <w:spacing w:after="0"/>
              <w:rPr>
                <w:sz w:val="1"/>
                <w:szCs w:val="1"/>
                <w:color w:val="auto"/>
              </w:rPr>
            </w:pPr>
          </w:p>
        </w:tc>
      </w:tr>
      <w:tr>
        <w:trPr>
          <w:trHeight w:val="162"/>
        </w:trPr>
        <w:tc>
          <w:tcPr>
            <w:tcW w:w="55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liabilities, net of current portion</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732,884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764,113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779,873</w:t>
            </w:r>
          </w:p>
        </w:tc>
        <w:tc>
          <w:tcPr>
            <w:tcW w:w="0" w:type="dxa"/>
            <w:vAlign w:val="bottom"/>
          </w:tcPr>
          <w:p>
            <w:pPr>
              <w:spacing w:after="0"/>
              <w:rPr>
                <w:sz w:val="1"/>
                <w:szCs w:val="1"/>
                <w:color w:val="auto"/>
              </w:rPr>
            </w:pPr>
          </w:p>
        </w:tc>
      </w:tr>
      <w:tr>
        <w:trPr>
          <w:trHeight w:val="162"/>
        </w:trPr>
        <w:tc>
          <w:tcPr>
            <w:tcW w:w="5560" w:type="dxa"/>
            <w:vAlign w:val="bottom"/>
            <w:gridSpan w:val="2"/>
          </w:tcPr>
          <w:p>
            <w:pPr>
              <w:spacing w:after="0"/>
              <w:rPr>
                <w:sz w:val="20"/>
                <w:szCs w:val="20"/>
                <w:color w:val="auto"/>
              </w:rPr>
            </w:pPr>
            <w:r>
              <w:rPr>
                <w:rFonts w:ascii="Arial" w:cs="Arial" w:eastAsia="Arial" w:hAnsi="Arial"/>
                <w:sz w:val="13"/>
                <w:szCs w:val="13"/>
                <w:color w:val="auto"/>
              </w:rPr>
              <w:t>Finance lease liabilities, net of current portion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128,315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131,004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132,784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Tax Receivable Agreement liability, net of current portion</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150,372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149,866</w:t>
            </w:r>
          </w:p>
        </w:tc>
        <w:tc>
          <w:tcPr>
            <w:tcW w:w="0" w:type="dxa"/>
            <w:vAlign w:val="bottom"/>
          </w:tcPr>
          <w:p>
            <w:pPr>
              <w:spacing w:after="0"/>
              <w:rPr>
                <w:sz w:val="1"/>
                <w:szCs w:val="1"/>
                <w:color w:val="auto"/>
              </w:rPr>
            </w:pPr>
          </w:p>
        </w:tc>
      </w:tr>
      <w:tr>
        <w:trPr>
          <w:trHeight w:val="162"/>
        </w:trPr>
        <w:tc>
          <w:tcPr>
            <w:tcW w:w="5560" w:type="dxa"/>
            <w:vAlign w:val="bottom"/>
            <w:gridSpan w:val="2"/>
          </w:tcPr>
          <w:p>
            <w:pPr>
              <w:spacing w:after="0"/>
              <w:rPr>
                <w:sz w:val="20"/>
                <w:szCs w:val="20"/>
                <w:color w:val="auto"/>
              </w:rPr>
            </w:pPr>
            <w:r>
              <w:rPr>
                <w:rFonts w:ascii="Arial" w:cs="Arial" w:eastAsia="Arial" w:hAnsi="Arial"/>
                <w:sz w:val="13"/>
                <w:szCs w:val="13"/>
                <w:color w:val="auto"/>
              </w:rPr>
              <w:t>Revolving line of credit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31,885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Long-term debt, net of current portion</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1,459,307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1,493,318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1,506,027</w:t>
            </w:r>
          </w:p>
        </w:tc>
        <w:tc>
          <w:tcPr>
            <w:tcW w:w="0" w:type="dxa"/>
            <w:vAlign w:val="bottom"/>
          </w:tcPr>
          <w:p>
            <w:pPr>
              <w:spacing w:after="0"/>
              <w:rPr>
                <w:sz w:val="1"/>
                <w:szCs w:val="1"/>
                <w:color w:val="auto"/>
              </w:rPr>
            </w:pPr>
          </w:p>
        </w:tc>
      </w:tr>
      <w:tr>
        <w:trPr>
          <w:trHeight w:val="162"/>
        </w:trPr>
        <w:tc>
          <w:tcPr>
            <w:tcW w:w="5560" w:type="dxa"/>
            <w:vAlign w:val="bottom"/>
            <w:gridSpan w:val="2"/>
          </w:tcPr>
          <w:p>
            <w:pPr>
              <w:spacing w:after="0"/>
              <w:rPr>
                <w:sz w:val="20"/>
                <w:szCs w:val="20"/>
                <w:color w:val="auto"/>
              </w:rPr>
            </w:pPr>
            <w:r>
              <w:rPr>
                <w:rFonts w:ascii="Arial" w:cs="Arial" w:eastAsia="Arial" w:hAnsi="Arial"/>
                <w:sz w:val="13"/>
                <w:szCs w:val="13"/>
                <w:color w:val="auto"/>
              </w:rPr>
              <w:t>Deferred revenues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61,844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63,642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67,647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88,819</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94,927</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93,890</w:t>
            </w:r>
          </w:p>
        </w:tc>
        <w:tc>
          <w:tcPr>
            <w:tcW w:w="0" w:type="dxa"/>
            <w:vAlign w:val="bottom"/>
          </w:tcPr>
          <w:p>
            <w:pPr>
              <w:spacing w:after="0"/>
              <w:rPr>
                <w:sz w:val="1"/>
                <w:szCs w:val="1"/>
                <w:color w:val="auto"/>
              </w:rPr>
            </w:pPr>
          </w:p>
        </w:tc>
      </w:tr>
      <w:tr>
        <w:trPr>
          <w:trHeight w:val="142"/>
        </w:trPr>
        <w:tc>
          <w:tcPr>
            <w:tcW w:w="5560" w:type="dxa"/>
            <w:vAlign w:val="bottom"/>
            <w:gridSpan w:val="2"/>
          </w:tcPr>
          <w:p>
            <w:pPr>
              <w:spacing w:after="0" w:line="142" w:lineRule="exact"/>
              <w:rPr>
                <w:sz w:val="20"/>
                <w:szCs w:val="20"/>
                <w:color w:val="auto"/>
              </w:rPr>
            </w:pPr>
            <w:r>
              <w:rPr>
                <w:rFonts w:ascii="Arial" w:cs="Arial" w:eastAsia="Arial" w:hAnsi="Arial"/>
                <w:sz w:val="13"/>
                <w:szCs w:val="13"/>
                <w:color w:val="auto"/>
              </w:rPr>
              <w:t>Total liabilities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4,515,993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4,378,328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4,472,533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54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Preferred stock, par value $0.01 per share – 20,000 shares authorized; none issued and</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outstanding</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540" w:type="dxa"/>
            <w:vAlign w:val="bottom"/>
          </w:tcPr>
          <w:p>
            <w:pPr>
              <w:ind w:left="80"/>
              <w:spacing w:after="0" w:line="136" w:lineRule="exact"/>
              <w:rPr>
                <w:sz w:val="20"/>
                <w:szCs w:val="20"/>
                <w:color w:val="auto"/>
              </w:rPr>
            </w:pPr>
            <w:r>
              <w:rPr>
                <w:rFonts w:ascii="Arial" w:cs="Arial" w:eastAsia="Arial" w:hAnsi="Arial"/>
                <w:sz w:val="13"/>
                <w:szCs w:val="13"/>
                <w:color w:val="auto"/>
              </w:rPr>
              <w:t>Class A common stock, par value $0.01 per share – 250,000 shares authorized; 62,819,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62,502 and 49,571 shares issued, respectively, and 62,819, 62,502 and 45,342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outstanding, respectively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628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54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Class B common stock, par value $0.0001 per share – 75,000 shares authorized; 39,466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shares issued and outstanding</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540" w:type="dxa"/>
            <w:vAlign w:val="bottom"/>
          </w:tcPr>
          <w:p>
            <w:pPr>
              <w:ind w:left="80"/>
              <w:spacing w:after="0" w:line="136" w:lineRule="exact"/>
              <w:rPr>
                <w:sz w:val="20"/>
                <w:szCs w:val="20"/>
                <w:color w:val="auto"/>
              </w:rPr>
            </w:pPr>
            <w:r>
              <w:rPr>
                <w:rFonts w:ascii="Arial" w:cs="Arial" w:eastAsia="Arial" w:hAnsi="Arial"/>
                <w:sz w:val="13"/>
                <w:szCs w:val="13"/>
                <w:color w:val="auto"/>
              </w:rPr>
              <w:t>Class C common stock, par value $0.0001 per share – 0.001 share authorized, issued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and outstanding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209,349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193,692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127,602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Treasury stock, at cost; 4,229 shares at September 30, 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(148,170)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Retained earnings</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86,235</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132,241</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line="142" w:lineRule="exact"/>
              <w:rPr>
                <w:sz w:val="20"/>
                <w:szCs w:val="20"/>
                <w:color w:val="auto"/>
              </w:rPr>
            </w:pPr>
            <w:r>
              <w:rPr>
                <w:rFonts w:ascii="Arial" w:cs="Arial" w:eastAsia="Arial" w:hAnsi="Arial"/>
                <w:sz w:val="13"/>
                <w:szCs w:val="13"/>
                <w:color w:val="auto"/>
              </w:rPr>
              <w:t>Total stockholders' equity attributable to Camping World Holdings, Inc.</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296,216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326,562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151,584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186,758</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158,387</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64,875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tcPr>
          <w:p>
            <w:pPr>
              <w:spacing w:after="0" w:line="142" w:lineRule="exact"/>
              <w:rPr>
                <w:sz w:val="20"/>
                <w:szCs w:val="20"/>
                <w:color w:val="auto"/>
              </w:rPr>
            </w:pPr>
            <w:r>
              <w:rPr>
                <w:rFonts w:ascii="Arial" w:cs="Arial" w:eastAsia="Arial" w:hAnsi="Arial"/>
                <w:sz w:val="13"/>
                <w:szCs w:val="13"/>
                <w:color w:val="auto"/>
              </w:rPr>
              <w:t>Total stockholders' equity</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482,974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484,949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216,459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liabilities and stockholders' equity</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4,998,967</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4,863,277</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4,688,992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Condensed Consolidated Statements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Revenue:</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100"/>
              <w:spacing w:after="0"/>
              <w:rPr>
                <w:sz w:val="20"/>
                <w:szCs w:val="20"/>
                <w:color w:val="auto"/>
              </w:rPr>
            </w:pPr>
            <w:r>
              <w:rPr>
                <w:rFonts w:ascii="Arial" w:cs="Arial" w:eastAsia="Arial" w:hAnsi="Arial"/>
                <w:sz w:val="14"/>
                <w:szCs w:val="14"/>
                <w:color w:val="auto"/>
              </w:rPr>
              <w:t>Good Sam Services and Plans</w:t>
            </w:r>
          </w:p>
        </w:tc>
        <w:tc>
          <w:tcPr>
            <w:tcW w:w="6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52,508</w:t>
            </w: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50,841</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152,929</w:t>
            </w:r>
          </w:p>
        </w:tc>
        <w:tc>
          <w:tcPr>
            <w:tcW w:w="3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149,070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766,779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824,916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2,303,317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2,328,107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589,092</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447,242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1,583,714</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1,265,701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208,634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224,839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596,516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638,680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Finance and insurance, net</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178,297</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166,255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528,162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480,725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Good Sam Club</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10,895</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30,952</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Subtotal</w:t>
            </w:r>
          </w:p>
        </w:tc>
        <w:tc>
          <w:tcPr>
            <w:tcW w:w="4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1,753,610</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1,674,147</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5,042,661</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4,746,440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tcPr>
          <w:p>
            <w:pPr>
              <w:spacing w:after="0" w:line="155" w:lineRule="exact"/>
              <w:rPr>
                <w:sz w:val="20"/>
                <w:szCs w:val="20"/>
                <w:color w:val="auto"/>
              </w:rPr>
            </w:pPr>
            <w:r>
              <w:rPr>
                <w:rFonts w:ascii="Arial" w:cs="Arial" w:eastAsia="Arial" w:hAnsi="Arial"/>
                <w:sz w:val="14"/>
                <w:szCs w:val="14"/>
                <w:color w:val="auto"/>
              </w:rPr>
              <w:t>Total revenue</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1,806,118</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1,724,988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5,195,590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4,895,510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4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Costs applicable to revenue (exclusive of depreciation and amortization shown</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separately below):</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100"/>
              <w:spacing w:after="0"/>
              <w:rPr>
                <w:sz w:val="20"/>
                <w:szCs w:val="20"/>
                <w:color w:val="auto"/>
              </w:rPr>
            </w:pPr>
            <w:r>
              <w:rPr>
                <w:rFonts w:ascii="Arial" w:cs="Arial" w:eastAsia="Arial" w:hAnsi="Arial"/>
                <w:sz w:val="14"/>
                <w:szCs w:val="14"/>
                <w:color w:val="auto"/>
              </w:rPr>
              <w:t>Good Sam Services and Plans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22,772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19,700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62,440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52,075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669,415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713,515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1,994,647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1,996,204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481,217</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366,067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1,280,417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1,034,201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114,427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126,113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315,578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360,721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Good Sam Club</w:t>
            </w:r>
          </w:p>
        </w:tc>
        <w:tc>
          <w:tcPr>
            <w:tcW w:w="4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3,592</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20" w:type="dxa"/>
            <w:vAlign w:val="bottom"/>
            <w:tcBorders>
              <w:bottom w:val="single" w:sz="8" w:color="CCEEFF"/>
            </w:tcBorders>
          </w:tcPr>
          <w:p>
            <w:pPr>
              <w:ind w:left="200"/>
              <w:spacing w:after="0" w:line="155" w:lineRule="exact"/>
              <w:rPr>
                <w:sz w:val="20"/>
                <w:szCs w:val="20"/>
                <w:color w:val="auto"/>
              </w:rPr>
            </w:pPr>
            <w:r>
              <w:rPr>
                <w:rFonts w:ascii="Arial" w:cs="Arial" w:eastAsia="Arial" w:hAnsi="Arial"/>
                <w:sz w:val="14"/>
                <w:szCs w:val="14"/>
                <w:color w:val="auto"/>
              </w:rPr>
              <w:t>Subtotal</w:t>
            </w:r>
          </w:p>
        </w:tc>
        <w:tc>
          <w:tcPr>
            <w:tcW w:w="4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1,266,313</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1,206,764</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3,594,234</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3,394,855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costs applicable to revenue</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1,289,085</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1,226,464</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3,656,674</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3,446,930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20"/>
                <w:szCs w:val="20"/>
                <w:color w:val="auto"/>
              </w:rPr>
            </w:pPr>
            <w:r>
              <w:rPr>
                <w:rFonts w:ascii="Arial" w:cs="Arial" w:eastAsia="Arial" w:hAnsi="Arial"/>
                <w:sz w:val="14"/>
                <w:szCs w:val="14"/>
                <w:color w:val="auto"/>
              </w:rPr>
              <w:t>Operating expenses: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Selling, general, and administrative</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411,011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414,209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1,235,945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1,205,358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25,654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20,583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71,617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59,905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Long-lived asset impairment</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100"/>
              <w:spacing w:after="0"/>
              <w:rPr>
                <w:sz w:val="20"/>
                <w:szCs w:val="20"/>
                <w:color w:val="auto"/>
              </w:rPr>
            </w:pPr>
            <w:r>
              <w:rPr>
                <w:rFonts w:ascii="Arial" w:cs="Arial" w:eastAsia="Arial" w:hAnsi="Arial"/>
                <w:sz w:val="14"/>
                <w:szCs w:val="14"/>
                <w:color w:val="auto"/>
              </w:rPr>
              <w:t>Lease termination</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(2,625)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Loss (gain) on sale or disposal of assets</w:t>
            </w:r>
          </w:p>
        </w:tc>
        <w:tc>
          <w:tcPr>
            <w:tcW w:w="4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9,525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2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operating expenses</w:t>
            </w:r>
          </w:p>
        </w:tc>
        <w:tc>
          <w:tcPr>
            <w:tcW w:w="4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437,892</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434,106</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1,308,664</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1,284,558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Income from operations</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79,141</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64,418</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230,252</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164,022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20"/>
                <w:szCs w:val="20"/>
                <w:color w:val="auto"/>
              </w:rPr>
            </w:pPr>
            <w:r>
              <w:rPr>
                <w:rFonts w:ascii="Arial" w:cs="Arial" w:eastAsia="Arial" w:hAnsi="Arial"/>
                <w:sz w:val="14"/>
                <w:szCs w:val="14"/>
                <w:color w:val="auto"/>
              </w:rPr>
              <w:t>Other income (expense):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Floor plan interest expense</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(22,372)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(57,356)</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100"/>
              <w:spacing w:after="0"/>
              <w:rPr>
                <w:sz w:val="20"/>
                <w:szCs w:val="20"/>
                <w:color w:val="auto"/>
              </w:rPr>
            </w:pPr>
            <w:r>
              <w:rPr>
                <w:rFonts w:ascii="Arial" w:cs="Arial" w:eastAsia="Arial" w:hAnsi="Arial"/>
                <w:sz w:val="14"/>
                <w:szCs w:val="14"/>
                <w:color w:val="auto"/>
              </w:rPr>
              <w:t>Other interest expense, net</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(30,982)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(35,877)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(92,349)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(108,124)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Tax Receivable Agreement liability adjustment</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149,172</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149,172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expense, net</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other income (expense)</w:t>
            </w:r>
          </w:p>
        </w:tc>
        <w:tc>
          <w:tcPr>
            <w:tcW w:w="4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98,967</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(58,411)</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(4,453)</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(186,514)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tcPr>
          <w:p>
            <w:pPr>
              <w:spacing w:after="0" w:line="155" w:lineRule="exact"/>
              <w:rPr>
                <w:sz w:val="20"/>
                <w:szCs w:val="20"/>
                <w:color w:val="auto"/>
              </w:rPr>
            </w:pPr>
            <w:r>
              <w:rPr>
                <w:rFonts w:ascii="Arial" w:cs="Arial" w:eastAsia="Arial" w:hAnsi="Arial"/>
                <w:sz w:val="14"/>
                <w:szCs w:val="14"/>
                <w:color w:val="auto"/>
              </w:rPr>
              <w:t>Income (loss) before income taxes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178,108</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6,007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225,799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(22,492)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 benefit</w:t>
            </w:r>
          </w:p>
        </w:tc>
        <w:tc>
          <w:tcPr>
            <w:tcW w:w="4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(207,459)</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2,049</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(222,309)</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tcPr>
          <w:p>
            <w:pPr>
              <w:spacing w:after="0" w:line="155" w:lineRule="exact"/>
              <w:rPr>
                <w:sz w:val="20"/>
                <w:szCs w:val="20"/>
                <w:color w:val="auto"/>
              </w:rPr>
            </w:pPr>
            <w:r>
              <w:rPr>
                <w:rFonts w:ascii="Arial" w:cs="Arial" w:eastAsia="Arial" w:hAnsi="Arial"/>
                <w:sz w:val="14"/>
                <w:szCs w:val="14"/>
                <w:color w:val="auto"/>
              </w:rPr>
              <w:t>Net (loss) income</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(29,351)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8,056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3,490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(19,336)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Less: net (loss) income attributable to non-controlling interests</w:t>
            </w:r>
          </w:p>
        </w:tc>
        <w:tc>
          <w:tcPr>
            <w:tcW w:w="4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(11,087)</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(2,555)</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(25,992)</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(loss) income attributable to Camping World Holdings, Inc.</w:t>
            </w:r>
          </w:p>
        </w:tc>
        <w:tc>
          <w:tcPr>
            <w:tcW w:w="4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(40,438)</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5,501</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(22,502)</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(7,035)</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20" w:type="dxa"/>
            <w:vAlign w:val="bottom"/>
          </w:tcPr>
          <w:p>
            <w:pPr>
              <w:spacing w:after="0"/>
              <w:rPr>
                <w:sz w:val="20"/>
                <w:szCs w:val="20"/>
                <w:color w:val="auto"/>
              </w:rPr>
            </w:pPr>
            <w:r>
              <w:rPr>
                <w:rFonts w:ascii="Arial" w:cs="Arial" w:eastAsia="Arial" w:hAnsi="Arial"/>
                <w:sz w:val="14"/>
                <w:szCs w:val="14"/>
                <w:color w:val="auto"/>
              </w:rPr>
              <w:t>(Loss) earnings per share of Class A common stock:</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Basic</w:t>
            </w:r>
          </w:p>
        </w:tc>
        <w:tc>
          <w:tcPr>
            <w:tcW w:w="6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100"/>
              <w:spacing w:after="0"/>
              <w:rPr>
                <w:sz w:val="20"/>
                <w:szCs w:val="20"/>
                <w:color w:val="auto"/>
              </w:rPr>
            </w:pPr>
            <w:r>
              <w:rPr>
                <w:rFonts w:ascii="Arial" w:cs="Arial" w:eastAsia="Arial" w:hAnsi="Arial"/>
                <w:sz w:val="14"/>
                <w:szCs w:val="14"/>
                <w:color w:val="auto"/>
              </w:rPr>
              <w:t>Diluted</w:t>
            </w:r>
          </w:p>
        </w:tc>
        <w:tc>
          <w:tcPr>
            <w:tcW w:w="6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(0.64)</w:t>
            </w: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0.09</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(0.36)</w:t>
            </w:r>
          </w:p>
        </w:tc>
        <w:tc>
          <w:tcPr>
            <w:tcW w:w="3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of Class A common stock outstanding:</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100"/>
              <w:spacing w:after="0"/>
              <w:rPr>
                <w:sz w:val="20"/>
                <w:szCs w:val="20"/>
                <w:color w:val="auto"/>
              </w:rPr>
            </w:pPr>
            <w:r>
              <w:rPr>
                <w:rFonts w:ascii="Arial" w:cs="Arial" w:eastAsia="Arial" w:hAnsi="Arial"/>
                <w:sz w:val="14"/>
                <w:szCs w:val="14"/>
                <w:color w:val="auto"/>
              </w:rPr>
              <w:t>Basic</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62,735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45,232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62,627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45,124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Diluted</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62,735</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85,618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62,627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85,169</w:t>
            </w: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20" w:top="512" w:right="8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8"/>
              </w:rPr>
              <w:t>Additional</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Non-</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7"/>
        </w:trPr>
        <w:tc>
          <w:tcPr>
            <w:tcW w:w="2640" w:type="dxa"/>
            <w:vAlign w:val="bottom"/>
          </w:tcPr>
          <w:p>
            <w:pPr>
              <w:spacing w:after="0"/>
              <w:rPr>
                <w:sz w:val="11"/>
                <w:szCs w:val="11"/>
                <w:color w:val="auto"/>
              </w:rPr>
            </w:pPr>
          </w:p>
        </w:tc>
        <w:tc>
          <w:tcPr>
            <w:tcW w:w="122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9"/>
              </w:rPr>
              <w:t>Class A Common Stock</w:t>
            </w:r>
          </w:p>
        </w:tc>
        <w:tc>
          <w:tcPr>
            <w:tcW w:w="120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9"/>
              </w:rPr>
              <w:t>Class B Common Stock</w:t>
            </w:r>
          </w:p>
        </w:tc>
        <w:tc>
          <w:tcPr>
            <w:tcW w:w="1140" w:type="dxa"/>
            <w:vAlign w:val="bottom"/>
            <w:gridSpan w:val="4"/>
          </w:tcPr>
          <w:p>
            <w:pPr>
              <w:jc w:val="center"/>
              <w:spacing w:after="0"/>
              <w:rPr>
                <w:sz w:val="20"/>
                <w:szCs w:val="20"/>
                <w:color w:val="auto"/>
              </w:rPr>
            </w:pPr>
            <w:r>
              <w:rPr>
                <w:rFonts w:ascii="Arial" w:cs="Arial" w:eastAsia="Arial" w:hAnsi="Arial"/>
                <w:sz w:val="10"/>
                <w:szCs w:val="10"/>
                <w:b w:val="1"/>
                <w:bCs w:val="1"/>
                <w:color w:val="auto"/>
                <w:w w:val="97"/>
              </w:rPr>
              <w:t>Class C 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Paid-In</w:t>
            </w:r>
          </w:p>
        </w:tc>
        <w:tc>
          <w:tcPr>
            <w:tcW w:w="1200" w:type="dxa"/>
            <w:vAlign w:val="bottom"/>
            <w:gridSpan w:val="4"/>
          </w:tcPr>
          <w:p>
            <w:pPr>
              <w:ind w:left="240"/>
              <w:spacing w:after="0"/>
              <w:rPr>
                <w:sz w:val="20"/>
                <w:szCs w:val="20"/>
                <w:color w:val="auto"/>
              </w:rPr>
            </w:pPr>
            <w:r>
              <w:rPr>
                <w:rFonts w:ascii="Arial" w:cs="Arial" w:eastAsia="Arial" w:hAnsi="Arial"/>
                <w:sz w:val="10"/>
                <w:szCs w:val="10"/>
                <w:b w:val="1"/>
                <w:bCs w:val="1"/>
                <w:color w:val="auto"/>
              </w:rPr>
              <w:t>Treasury Stock</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Retained</w:t>
            </w:r>
          </w:p>
        </w:tc>
        <w:tc>
          <w:tcPr>
            <w:tcW w:w="80" w:type="dxa"/>
            <w:vAlign w:val="bottom"/>
          </w:tcPr>
          <w:p>
            <w:pPr>
              <w:spacing w:after="0"/>
              <w:rPr>
                <w:sz w:val="11"/>
                <w:szCs w:val="11"/>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Controlling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5"/>
        </w:trPr>
        <w:tc>
          <w:tcPr>
            <w:tcW w:w="2640" w:type="dxa"/>
            <w:vAlign w:val="bottom"/>
          </w:tcPr>
          <w:p>
            <w:pPr>
              <w:spacing w:after="0"/>
              <w:rPr>
                <w:sz w:val="10"/>
                <w:szCs w:val="10"/>
                <w:color w:val="auto"/>
              </w:rPr>
            </w:pPr>
          </w:p>
        </w:tc>
        <w:tc>
          <w:tcPr>
            <w:tcW w:w="56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54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Capital</w:t>
            </w: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10"/>
                <w:szCs w:val="1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9"/>
              </w:rPr>
              <w:t>Interest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ind w:right="166"/>
              <w:spacing w:after="0"/>
              <w:rPr>
                <w:sz w:val="20"/>
                <w:szCs w:val="20"/>
                <w:color w:val="auto"/>
              </w:rPr>
            </w:pPr>
            <w:r>
              <w:rPr>
                <w:rFonts w:ascii="Arial" w:cs="Arial" w:eastAsia="Arial" w:hAnsi="Arial"/>
                <w:sz w:val="10"/>
                <w:szCs w:val="10"/>
                <w:b w:val="1"/>
                <w:bCs w:val="1"/>
                <w:color w:val="auto"/>
              </w:rPr>
              <w:t>Total</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January 1, 2025</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62,502</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625</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4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193,692</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ind w:left="42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132,241</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158,387</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484,949</w:t>
            </w: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Stock-based compensation</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4,438</w:t>
            </w:r>
          </w:p>
        </w:tc>
        <w:tc>
          <w:tcPr>
            <w:tcW w:w="80" w:type="dxa"/>
            <w:vAlign w:val="bottom"/>
          </w:tcPr>
          <w:p>
            <w:pPr>
              <w:spacing w:after="0"/>
              <w:rPr>
                <w:sz w:val="11"/>
                <w:szCs w:val="11"/>
                <w:color w:val="auto"/>
              </w:rPr>
            </w:pP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ind w:left="4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2,832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7,270</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446</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(447)</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(871)</w:t>
            </w: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ind w:left="4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(871)</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(34)</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(7,821)</w:t>
            </w:r>
          </w:p>
        </w:tc>
        <w:tc>
          <w:tcPr>
            <w:tcW w:w="8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(7,821)</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(25)</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(12,280)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(12,402)</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(24,682)</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March 31, 2025</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62,570</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626</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4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197,730</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ind w:left="42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112,140</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148,311</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458,811</w:t>
            </w: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Stock-based compensation</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5,158</w:t>
            </w:r>
          </w:p>
        </w:tc>
        <w:tc>
          <w:tcPr>
            <w:tcW w:w="80" w:type="dxa"/>
            <w:vAlign w:val="bottom"/>
          </w:tcPr>
          <w:p>
            <w:pPr>
              <w:spacing w:after="0"/>
              <w:rPr>
                <w:sz w:val="11"/>
                <w:szCs w:val="11"/>
                <w:color w:val="auto"/>
              </w:rPr>
            </w:pP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ind w:left="4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3,286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8,444</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98</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226</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(226)</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(304)</w:t>
            </w: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ind w:left="4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(304)</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(64)</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(64)</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(7,831)</w:t>
            </w:r>
          </w:p>
        </w:tc>
        <w:tc>
          <w:tcPr>
            <w:tcW w:w="8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(7,831)</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2,573</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(2,573)</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Net income</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30,216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27,307</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57,523</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June 30, 2025</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62,649</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626</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4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205,383</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180" w:type="dxa"/>
            <w:vAlign w:val="bottom"/>
            <w:tcBorders>
              <w:top w:val="single" w:sz="8" w:color="CCEEFF"/>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60" w:type="dxa"/>
            <w:vAlign w:val="bottom"/>
            <w:tcBorders>
              <w:top w:val="single" w:sz="8" w:color="auto"/>
            </w:tcBorders>
            <w:shd w:val="clear" w:color="auto" w:fill="CCEEFF"/>
          </w:tcPr>
          <w:p>
            <w:pPr>
              <w:ind w:left="42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134,525</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176,041</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516,579</w:t>
            </w: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Stock-based compensation</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4,738</w:t>
            </w:r>
          </w:p>
        </w:tc>
        <w:tc>
          <w:tcPr>
            <w:tcW w:w="80" w:type="dxa"/>
            <w:vAlign w:val="bottom"/>
          </w:tcPr>
          <w:p>
            <w:pPr>
              <w:spacing w:after="0"/>
              <w:rPr>
                <w:sz w:val="11"/>
                <w:szCs w:val="11"/>
                <w:color w:val="auto"/>
              </w:rPr>
            </w:pP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ind w:left="4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3,013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7,751</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272</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973</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(976)</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rPr>
              <w:t>(102)</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(1,764)</w:t>
            </w: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ind w:left="4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(1,765)</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(2,388)</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(2,388)</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(7,852)</w:t>
            </w:r>
          </w:p>
        </w:tc>
        <w:tc>
          <w:tcPr>
            <w:tcW w:w="8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(7,852)</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(19)</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40" w:type="dxa"/>
            <w:vAlign w:val="bottom"/>
            <w:tcBorders>
              <w:bottom w:val="single" w:sz="8" w:color="CCEEFF"/>
            </w:tcBorders>
          </w:tcPr>
          <w:p>
            <w:pPr>
              <w:ind w:left="100"/>
              <w:spacing w:after="0" w:line="122" w:lineRule="exact"/>
              <w:rPr>
                <w:sz w:val="20"/>
                <w:szCs w:val="20"/>
                <w:color w:val="auto"/>
              </w:rPr>
            </w:pPr>
            <w:r>
              <w:rPr>
                <w:rFonts w:ascii="Arial" w:cs="Arial" w:eastAsia="Arial" w:hAnsi="Arial"/>
                <w:sz w:val="11"/>
                <w:szCs w:val="11"/>
                <w:color w:val="auto"/>
              </w:rPr>
              <w:t>Net (loss) income</w:t>
            </w:r>
          </w:p>
        </w:tc>
        <w:tc>
          <w:tcPr>
            <w:tcW w:w="5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ind w:left="420"/>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(40,438)</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11,087</w:t>
            </w: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(29,351)</w:t>
            </w:r>
          </w:p>
        </w:tc>
      </w:tr>
      <w:tr>
        <w:trPr>
          <w:trHeight w:val="128"/>
        </w:trPr>
        <w:tc>
          <w:tcPr>
            <w:tcW w:w="2640" w:type="dxa"/>
            <w:vAlign w:val="bottom"/>
            <w:shd w:val="clear" w:color="auto" w:fill="CCEEFF"/>
          </w:tcPr>
          <w:p>
            <w:pPr>
              <w:spacing w:after="0"/>
              <w:rPr>
                <w:sz w:val="20"/>
                <w:szCs w:val="20"/>
                <w:color w:val="auto"/>
              </w:rPr>
            </w:pPr>
            <w:r>
              <w:rPr>
                <w:rFonts w:ascii="Arial" w:cs="Arial" w:eastAsia="Arial" w:hAnsi="Arial"/>
                <w:sz w:val="11"/>
                <w:szCs w:val="11"/>
                <w:color w:val="auto"/>
              </w:rPr>
              <w:t>Balance at September 30, 2025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62,819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628</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39,466</w:t>
            </w: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209,349</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86,235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186,758</w:t>
            </w:r>
          </w:p>
        </w:tc>
        <w:tc>
          <w:tcPr>
            <w:tcW w:w="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51"/>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482,974</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760" w:hanging="333"/>
        <w:spacing w:after="0"/>
        <w:tabs>
          <w:tab w:leader="none" w:pos="760" w:val="left"/>
        </w:tabs>
        <w:numPr>
          <w:ilvl w:val="0"/>
          <w:numId w:val="6"/>
        </w:numPr>
        <w:rPr>
          <w:rFonts w:ascii="Arial" w:cs="Arial" w:eastAsia="Arial" w:hAnsi="Arial"/>
          <w:sz w:val="16"/>
          <w:szCs w:val="16"/>
          <w:color w:val="auto"/>
          <w:vertAlign w:val="superscript"/>
        </w:rPr>
      </w:pPr>
      <w:r>
        <w:rPr>
          <w:rFonts w:ascii="Arial" w:cs="Arial" w:eastAsia="Arial" w:hAnsi="Arial"/>
          <w:sz w:val="11"/>
          <w:szCs w:val="11"/>
          <w:color w:val="auto"/>
        </w:rPr>
        <w:t>The Company declared dividends per share of Class A common stock of $0.125 for each of the three months ended March 31, 2025, June 30, 2025 and September 30, 2025.</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6635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40"/>
          </w:cols>
          <w:pgMar w:left="720" w:top="512" w:right="7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Additional</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6"/>
              <w:spacing w:after="0"/>
              <w:rPr>
                <w:sz w:val="20"/>
                <w:szCs w:val="20"/>
                <w:color w:val="auto"/>
              </w:rPr>
            </w:pPr>
            <w:r>
              <w:rPr>
                <w:rFonts w:ascii="Arial" w:cs="Arial" w:eastAsia="Arial" w:hAnsi="Arial"/>
                <w:sz w:val="10"/>
                <w:szCs w:val="10"/>
                <w:b w:val="1"/>
                <w:bCs w:val="1"/>
                <w:color w:val="auto"/>
              </w:rPr>
              <w:t>Non-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7"/>
        </w:trPr>
        <w:tc>
          <w:tcPr>
            <w:tcW w:w="2640" w:type="dxa"/>
            <w:vAlign w:val="bottom"/>
          </w:tcPr>
          <w:p>
            <w:pPr>
              <w:spacing w:after="0"/>
              <w:rPr>
                <w:sz w:val="11"/>
                <w:szCs w:val="11"/>
                <w:color w:val="auto"/>
              </w:rPr>
            </w:pPr>
          </w:p>
        </w:tc>
        <w:tc>
          <w:tcPr>
            <w:tcW w:w="122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9"/>
              </w:rPr>
              <w:t>Class A Common Stock</w:t>
            </w:r>
          </w:p>
        </w:tc>
        <w:tc>
          <w:tcPr>
            <w:tcW w:w="120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9"/>
              </w:rPr>
              <w:t>Class B Common Stock</w:t>
            </w:r>
          </w:p>
        </w:tc>
        <w:tc>
          <w:tcPr>
            <w:tcW w:w="1140" w:type="dxa"/>
            <w:vAlign w:val="bottom"/>
            <w:gridSpan w:val="4"/>
          </w:tcPr>
          <w:p>
            <w:pPr>
              <w:jc w:val="center"/>
              <w:spacing w:after="0"/>
              <w:rPr>
                <w:sz w:val="20"/>
                <w:szCs w:val="20"/>
                <w:color w:val="auto"/>
              </w:rPr>
            </w:pPr>
            <w:r>
              <w:rPr>
                <w:rFonts w:ascii="Arial" w:cs="Arial" w:eastAsia="Arial" w:hAnsi="Arial"/>
                <w:sz w:val="10"/>
                <w:szCs w:val="10"/>
                <w:b w:val="1"/>
                <w:bCs w:val="1"/>
                <w:color w:val="auto"/>
                <w:w w:val="99"/>
              </w:rPr>
              <w:t>Class C 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Paid-In</w:t>
            </w:r>
          </w:p>
        </w:tc>
        <w:tc>
          <w:tcPr>
            <w:tcW w:w="1200" w:type="dxa"/>
            <w:vAlign w:val="bottom"/>
            <w:gridSpan w:val="4"/>
          </w:tcPr>
          <w:p>
            <w:pPr>
              <w:jc w:val="center"/>
              <w:spacing w:after="0"/>
              <w:rPr>
                <w:sz w:val="20"/>
                <w:szCs w:val="20"/>
                <w:color w:val="auto"/>
              </w:rPr>
            </w:pPr>
            <w:r>
              <w:rPr>
                <w:rFonts w:ascii="Arial" w:cs="Arial" w:eastAsia="Arial" w:hAnsi="Arial"/>
                <w:sz w:val="10"/>
                <w:szCs w:val="10"/>
                <w:b w:val="1"/>
                <w:bCs w:val="1"/>
                <w:color w:val="auto"/>
                <w:w w:val="96"/>
              </w:rPr>
              <w:t>Treasury Stock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0"/>
                <w:szCs w:val="10"/>
                <w:b w:val="1"/>
                <w:bCs w:val="1"/>
                <w:color w:val="auto"/>
                <w:w w:val="99"/>
              </w:rPr>
              <w:t>Retained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6"/>
              <w:spacing w:after="0"/>
              <w:rPr>
                <w:sz w:val="20"/>
                <w:szCs w:val="20"/>
                <w:color w:val="auto"/>
              </w:rPr>
            </w:pPr>
            <w:r>
              <w:rPr>
                <w:rFonts w:ascii="Arial" w:cs="Arial" w:eastAsia="Arial" w:hAnsi="Arial"/>
                <w:sz w:val="10"/>
                <w:szCs w:val="10"/>
                <w:b w:val="1"/>
                <w:bCs w:val="1"/>
                <w:color w:val="auto"/>
                <w:w w:val="97"/>
              </w:rPr>
              <w:t>Controlling</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5"/>
        </w:trPr>
        <w:tc>
          <w:tcPr>
            <w:tcW w:w="2640" w:type="dxa"/>
            <w:vAlign w:val="bottom"/>
          </w:tcPr>
          <w:p>
            <w:pPr>
              <w:spacing w:after="0"/>
              <w:rPr>
                <w:sz w:val="10"/>
                <w:szCs w:val="10"/>
                <w:color w:val="auto"/>
              </w:rPr>
            </w:pPr>
          </w:p>
        </w:tc>
        <w:tc>
          <w:tcPr>
            <w:tcW w:w="500" w:type="dxa"/>
            <w:vAlign w:val="bottom"/>
            <w:tcBorders>
              <w:top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48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Capital</w:t>
            </w: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86"/>
              <w:spacing w:after="0"/>
              <w:rPr>
                <w:sz w:val="20"/>
                <w:szCs w:val="20"/>
                <w:color w:val="auto"/>
              </w:rPr>
            </w:pPr>
            <w:r>
              <w:rPr>
                <w:rFonts w:ascii="Arial" w:cs="Arial" w:eastAsia="Arial" w:hAnsi="Arial"/>
                <w:sz w:val="10"/>
                <w:szCs w:val="10"/>
                <w:b w:val="1"/>
                <w:bCs w:val="1"/>
                <w:color w:val="auto"/>
                <w:w w:val="98"/>
              </w:rPr>
              <w:t>Earnings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6"/>
              <w:spacing w:after="0"/>
              <w:rPr>
                <w:sz w:val="20"/>
                <w:szCs w:val="20"/>
                <w:color w:val="auto"/>
              </w:rPr>
            </w:pPr>
            <w:r>
              <w:rPr>
                <w:rFonts w:ascii="Arial" w:cs="Arial" w:eastAsia="Arial" w:hAnsi="Arial"/>
                <w:sz w:val="10"/>
                <w:szCs w:val="10"/>
                <w:b w:val="1"/>
                <w:bCs w:val="1"/>
                <w:color w:val="auto"/>
                <w:w w:val="99"/>
              </w:rPr>
              <w:t>Interest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ind w:right="186"/>
              <w:spacing w:after="0"/>
              <w:rPr>
                <w:sz w:val="20"/>
                <w:szCs w:val="20"/>
                <w:color w:val="auto"/>
              </w:rPr>
            </w:pPr>
            <w:r>
              <w:rPr>
                <w:rFonts w:ascii="Arial" w:cs="Arial" w:eastAsia="Arial" w:hAnsi="Arial"/>
                <w:sz w:val="10"/>
                <w:szCs w:val="10"/>
                <w:b w:val="1"/>
                <w:bCs w:val="1"/>
                <w:color w:val="auto"/>
              </w:rPr>
              <w:t>Total</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January 1, 2024</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49,571</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4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ind w:left="40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131,665</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(4,551)</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(159,440)</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195,627</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89,623</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257,975</w:t>
            </w:r>
          </w:p>
        </w:tc>
      </w:tr>
      <w:tr>
        <w:trPr>
          <w:trHeight w:val="121"/>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Stock-based compensation</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2,751</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2,446</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5,197</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Exercise of stock options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81</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Non-controlling  interest  adjustment  for  capital</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1"/>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contribution of proceeds from the exercise of stock</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options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(2,234)</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2,595</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(361)</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209</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(867)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(658)</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(9,947)</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(9,947)</w:t>
            </w:r>
          </w:p>
        </w:tc>
      </w:tr>
      <w:tr>
        <w:trPr>
          <w:trHeight w:val="121"/>
        </w:trPr>
        <w:tc>
          <w:tcPr>
            <w:tcW w:w="264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(5,634)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(5,634)</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(22,307)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(28,499)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(50,806)</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March 31, 2024</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49,571</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4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ind w:left="40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132,213</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(4,499)</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(157,631)</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167,686</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53,410</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196,178</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Stock-based compensation</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2,858</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2,539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5,397</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(1,599)</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1,671</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60</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(96)</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(8,848)</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(8,848)</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(5,640)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(5,640)</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Net income</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9,771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13,643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23,414</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June 30, 2024</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49,571</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4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ind w:left="40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133,461</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(4,456)</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(156,116)</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171,817</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60,743</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210,405</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Stock-based compensation</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2,956</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2,617</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5,573</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Exercise of stock options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(315)</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813</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498</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Non-controlling  interest  adjustment  for  capital</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contribution of proceeds from the exercise of stock</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options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(217)</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(9,783)</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11,033</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(1,250)</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1,544</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(2,356)</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(5,666)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(5,666)</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Net income</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5,501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2,555</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8,056</w:t>
            </w:r>
          </w:p>
        </w:tc>
      </w:tr>
      <w:tr>
        <w:trPr>
          <w:trHeight w:val="115"/>
        </w:trPr>
        <w:tc>
          <w:tcPr>
            <w:tcW w:w="264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September 30, 2024</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49,571</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ind w:left="34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ind w:left="40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127,602</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(4,229)</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(148,170)</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171,652</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64,875</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216,459</w:t>
            </w:r>
          </w:p>
        </w:tc>
      </w:tr>
      <w:tr>
        <w:trPr>
          <w:trHeight w:val="20"/>
        </w:trPr>
        <w:tc>
          <w:tcPr>
            <w:tcW w:w="2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left="760" w:hanging="333"/>
        <w:spacing w:after="0"/>
        <w:tabs>
          <w:tab w:leader="none" w:pos="76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The Company declared dividends per share of Class A common stock of $0.125 for each of the three months ended March 31, 2024, June 30, 2024 and September 30, 2024.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6635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40"/>
          </w:cols>
          <w:pgMar w:left="720" w:top="512" w:right="73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3,490</w:t>
            </w:r>
          </w:p>
        </w:tc>
        <w:tc>
          <w:tcPr>
            <w:tcW w:w="580" w:type="dxa"/>
            <w:vAlign w:val="bottom"/>
            <w:gridSpan w:val="2"/>
          </w:tcPr>
          <w:p>
            <w:pPr>
              <w:jc w:val="right"/>
              <w:ind w:right="167"/>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(19,336)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6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5760" w:type="dxa"/>
            <w:vAlign w:val="bottom"/>
          </w:tcPr>
          <w:p>
            <w:pPr>
              <w:spacing w:after="0" w:line="183" w:lineRule="exact"/>
              <w:rPr>
                <w:sz w:val="20"/>
                <w:szCs w:val="20"/>
                <w:color w:val="auto"/>
              </w:rPr>
            </w:pPr>
            <w:r>
              <w:rPr>
                <w:rFonts w:ascii="Arial" w:cs="Arial" w:eastAsia="Arial" w:hAnsi="Arial"/>
                <w:sz w:val="18"/>
                <w:szCs w:val="18"/>
                <w:color w:val="auto"/>
              </w:rPr>
              <w:t>Adjustments to reconcile net income (loss) to net cash provided by</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78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71,617</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23,464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16,167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lease termination</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Long-lived asset impairment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1,237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12,355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(Gain) loss on sale or disposal of assets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9,525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Provision for losses on accounts receivable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1,796</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lease expense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44,566</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42,475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Accretion of original debt issuance discount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1,934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interest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3,208</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213,645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Tax Receivable Agreement liability adjustment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(149,172)</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Change in assets and liabilities, net of acquisitions: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Receivables and contracts in transit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(57,016)</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(38,543)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ind w:left="300"/>
              <w:spacing w:after="0" w:line="202" w:lineRule="exact"/>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(136,973)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270,061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(1,013)</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(8,683)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300"/>
              <w:spacing w:after="0" w:line="202" w:lineRule="exact"/>
              <w:rPr>
                <w:sz w:val="20"/>
                <w:szCs w:val="20"/>
                <w:color w:val="auto"/>
              </w:rPr>
            </w:pPr>
            <w:r>
              <w:rPr>
                <w:rFonts w:ascii="Arial" w:cs="Arial" w:eastAsia="Arial" w:hAnsi="Arial"/>
                <w:sz w:val="18"/>
                <w:szCs w:val="18"/>
                <w:color w:val="auto"/>
              </w:rPr>
              <w:t>Accounts payable and other accrued expenses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119,078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113,413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Payment pursuant to Tax Receivable Agreement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300"/>
              <w:spacing w:after="0" w:line="202" w:lineRule="exact"/>
              <w:rPr>
                <w:sz w:val="20"/>
                <w:szCs w:val="20"/>
                <w:color w:val="auto"/>
              </w:rPr>
            </w:pPr>
            <w:r>
              <w:rPr>
                <w:rFonts w:ascii="Arial" w:cs="Arial" w:eastAsia="Arial" w:hAnsi="Arial"/>
                <w:sz w:val="18"/>
                <w:szCs w:val="18"/>
                <w:color w:val="auto"/>
              </w:rPr>
              <w:t>Deferred revenues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4,371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9,394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(47,409)</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(48,428)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CCEEFF"/>
            </w:tcBorders>
          </w:tcPr>
          <w:p>
            <w:pPr>
              <w:ind w:left="300"/>
              <w:spacing w:after="0" w:line="202" w:lineRule="exact"/>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(1,329)</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1,783</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95,236</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408,541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(84,130)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or disposal of property and equipment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3,650</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Purchases of real property</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(122,842)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from the sale or disposal of real property</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53,769</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48,434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Purchases of businesses, net of cash acquired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(81,203)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(62,323)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from divestiture of business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11,027</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Purchases of other investments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(6,668)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from other investments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Purchases of intangible assets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intangible assets</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2,595</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(226,071)</w:t>
            </w:r>
          </w:p>
        </w:tc>
        <w:tc>
          <w:tcPr>
            <w:tcW w:w="260" w:type="dxa"/>
            <w:vAlign w:val="bottom"/>
          </w:tcPr>
          <w:p>
            <w:pPr>
              <w:spacing w:after="0"/>
              <w:rPr>
                <w:sz w:val="20"/>
                <w:szCs w:val="20"/>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(57,096)</w:t>
            </w:r>
          </w:p>
        </w:tc>
        <w:tc>
          <w:tcPr>
            <w:tcW w:w="0" w:type="dxa"/>
            <w:vAlign w:val="bottom"/>
          </w:tcPr>
          <w:p>
            <w:pPr>
              <w:spacing w:after="0"/>
              <w:rPr>
                <w:sz w:val="1"/>
                <w:szCs w:val="1"/>
                <w:color w:val="auto"/>
              </w:rPr>
            </w:pPr>
          </w:p>
        </w:tc>
      </w:tr>
      <w:tr>
        <w:trPr>
          <w:trHeight w:val="832"/>
        </w:trPr>
        <w:tc>
          <w:tcPr>
            <w:tcW w:w="5780" w:type="dxa"/>
            <w:vAlign w:val="bottom"/>
            <w:gridSpan w:val="2"/>
          </w:tcPr>
          <w:p>
            <w:pPr>
              <w:jc w:val="right"/>
              <w:ind w:right="115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20" w:type="dxa"/>
            <w:vAlign w:val="bottom"/>
          </w:tcPr>
          <w:p>
            <w:pPr>
              <w:spacing w:after="0"/>
              <w:rPr>
                <w:sz w:val="13"/>
                <w:szCs w:val="13"/>
                <w:color w:val="auto"/>
              </w:rPr>
            </w:pPr>
          </w:p>
        </w:tc>
        <w:tc>
          <w:tcPr>
            <w:tcW w:w="558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20" w:type="dxa"/>
            <w:vAlign w:val="bottom"/>
          </w:tcPr>
          <w:p>
            <w:pPr>
              <w:spacing w:after="0"/>
              <w:rPr>
                <w:sz w:val="17"/>
                <w:szCs w:val="17"/>
                <w:color w:val="auto"/>
              </w:rPr>
            </w:pPr>
          </w:p>
        </w:tc>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Arial" w:cs="Arial" w:eastAsia="Arial" w:hAnsi="Arial"/>
                <w:sz w:val="18"/>
                <w:szCs w:val="18"/>
                <w:color w:val="auto"/>
              </w:rPr>
              <w:t>Proceeds from long-term debt</w:t>
            </w:r>
          </w:p>
        </w:tc>
        <w:tc>
          <w:tcPr>
            <w:tcW w:w="11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55,624</w:t>
            </w: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on long-term debt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(38,223)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(66,763)</w:t>
            </w: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Arial" w:cs="Arial" w:eastAsia="Arial" w:hAnsi="Arial"/>
                <w:sz w:val="18"/>
                <w:szCs w:val="18"/>
                <w:color w:val="auto"/>
              </w:rPr>
              <w:t>Net proceeds (payments) on notes payable – floor plan, net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226,342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(317,519)</w:t>
            </w: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Borrowings on revolving line of credit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43,000</w:t>
            </w: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Arial" w:cs="Arial" w:eastAsia="Arial" w:hAnsi="Arial"/>
                <w:sz w:val="18"/>
                <w:szCs w:val="18"/>
                <w:color w:val="auto"/>
              </w:rPr>
              <w:t>Payments on revolving line of credit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(32,000)</w:t>
            </w: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on finance leases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(5,684)</w:t>
            </w: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Arial" w:cs="Arial" w:eastAsia="Arial" w:hAnsi="Arial"/>
                <w:sz w:val="18"/>
                <w:szCs w:val="18"/>
                <w:color w:val="auto"/>
              </w:rPr>
              <w:t>Payments on sale-leaseback arrangement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debt issuance costs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(876)</w:t>
            </w: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Arial" w:cs="Arial" w:eastAsia="Arial" w:hAnsi="Arial"/>
                <w:sz w:val="18"/>
                <w:szCs w:val="18"/>
                <w:color w:val="auto"/>
              </w:rPr>
              <w:t>Payments of stock offering costs</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(572)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on Class A common stock</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(23,504)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(16,940)</w:t>
            </w: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549</w:t>
            </w: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RSU shares withheld for tax</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(3,110)</w:t>
            </w:r>
          </w:p>
        </w:tc>
      </w:tr>
      <w:tr>
        <w:trPr>
          <w:trHeight w:val="203"/>
        </w:trPr>
        <w:tc>
          <w:tcPr>
            <w:tcW w:w="20" w:type="dxa"/>
            <w:vAlign w:val="bottom"/>
          </w:tcPr>
          <w:p>
            <w:pPr>
              <w:spacing w:after="0"/>
              <w:rPr>
                <w:sz w:val="17"/>
                <w:szCs w:val="17"/>
                <w:color w:val="auto"/>
              </w:rPr>
            </w:pPr>
          </w:p>
        </w:tc>
        <w:tc>
          <w:tcPr>
            <w:tcW w:w="55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Distributions to holders of LLC common units</w:t>
            </w:r>
          </w:p>
        </w:tc>
        <w:tc>
          <w:tcPr>
            <w:tcW w:w="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(2,486)</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(18,846)</w:t>
            </w:r>
          </w:p>
        </w:tc>
      </w:tr>
      <w:tr>
        <w:trPr>
          <w:trHeight w:val="196"/>
        </w:trPr>
        <w:tc>
          <w:tcPr>
            <w:tcW w:w="20" w:type="dxa"/>
            <w:vAlign w:val="bottom"/>
          </w:tcPr>
          <w:p>
            <w:pPr>
              <w:spacing w:after="0"/>
              <w:rPr>
                <w:sz w:val="17"/>
                <w:szCs w:val="17"/>
                <w:color w:val="auto"/>
              </w:rPr>
            </w:pPr>
          </w:p>
        </w:tc>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152,926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(362,712)</w:t>
            </w:r>
          </w:p>
        </w:tc>
      </w:tr>
      <w:tr>
        <w:trPr>
          <w:trHeight w:val="203"/>
        </w:trPr>
        <w:tc>
          <w:tcPr>
            <w:tcW w:w="20" w:type="dxa"/>
            <w:vAlign w:val="bottom"/>
          </w:tcPr>
          <w:p>
            <w:pPr>
              <w:spacing w:after="0"/>
              <w:rPr>
                <w:sz w:val="17"/>
                <w:szCs w:val="17"/>
                <w:color w:val="auto"/>
              </w:rPr>
            </w:pPr>
          </w:p>
        </w:tc>
        <w:tc>
          <w:tcPr>
            <w:tcW w:w="55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 cash and cash equivalents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22,091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(11,267)</w:t>
            </w:r>
          </w:p>
        </w:tc>
      </w:tr>
      <w:tr>
        <w:trPr>
          <w:trHeight w:val="203"/>
        </w:trPr>
        <w:tc>
          <w:tcPr>
            <w:tcW w:w="20" w:type="dxa"/>
            <w:vAlign w:val="bottom"/>
          </w:tcPr>
          <w:p>
            <w:pPr>
              <w:spacing w:after="0"/>
              <w:rPr>
                <w:sz w:val="17"/>
                <w:szCs w:val="17"/>
                <w:color w:val="auto"/>
              </w:rPr>
            </w:pPr>
          </w:p>
        </w:tc>
        <w:tc>
          <w:tcPr>
            <w:tcW w:w="55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at beginning of the period</w:t>
            </w:r>
          </w:p>
        </w:tc>
        <w:tc>
          <w:tcPr>
            <w:tcW w:w="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208,422</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39,647</w:t>
            </w:r>
          </w:p>
        </w:tc>
      </w:tr>
      <w:tr>
        <w:trPr>
          <w:trHeight w:val="196"/>
        </w:trPr>
        <w:tc>
          <w:tcPr>
            <w:tcW w:w="20" w:type="dxa"/>
            <w:vAlign w:val="bottom"/>
          </w:tcPr>
          <w:p>
            <w:pPr>
              <w:spacing w:after="0"/>
              <w:rPr>
                <w:sz w:val="17"/>
                <w:szCs w:val="17"/>
                <w:color w:val="auto"/>
              </w:rPr>
            </w:pPr>
          </w:p>
        </w:tc>
        <w:tc>
          <w:tcPr>
            <w:tcW w:w="55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at end of the period</w:t>
            </w: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230,513</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28,380</w:t>
            </w: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2025</w:t>
      </w:r>
    </w:p>
    <w:p>
      <w:pPr>
        <w:spacing w:after="0" w:line="198" w:lineRule="exact"/>
        <w:rPr>
          <w:sz w:val="20"/>
          <w:szCs w:val="20"/>
          <w:color w:val="auto"/>
        </w:rPr>
      </w:pPr>
    </w:p>
    <w:p>
      <w:pPr>
        <w:ind w:left="60" w:right="4379" w:hanging="10"/>
        <w:spacing w:after="0" w:line="513" w:lineRule="auto"/>
        <w:tabs>
          <w:tab w:leader="none" w:pos="2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Principles of Consolidation and Basis of Presentation</w:t>
      </w:r>
    </w:p>
    <w:p>
      <w:pPr>
        <w:spacing w:after="0" w:line="1"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condensed consolidated financial statements include the accounts of Camping World Holdings, Inc. and its subsidiaries, and are presented in accordance with accounting principles generally accepted in the United States (“GAAP”) for interim financial information and pursuant to the rules and regulations of the SEC. Accordingly, these interim financial statements do not include all of the information and footnotes required by GAAP for complete financial statements. In the opinion of management, all adjustments (consisting of normal recurring adjustments) necessary for a fair statement of the results of operations, financial position and cash flows for the periods presented have been reflected. All intercompany accounts and transactions of the Company and its subsidiaries have been eliminated in consolidation.</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condensed consolidated financial statements as of and for the three and nine months ended September 30, 2025 and 2024 are unaudited. The condensed consolidated balance sheet as of December 31, 2024 has been derived from the audited financial statements at that date but does not include all of the disclosures required by GAAP. These interim condensed consolidated financial statements should be read in conjunction with the Company’s Annual Report on Form 10-K for the year ended December 31, 2024 filed with the SEC on February 28, 2025 (“Annual Report”). Operating results for interim periods are not necessarily indicative of the results that may be expected for the full year.</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CWH has sole voting power in and control of the management of CWGS, LLC. As of September 30, 2025, December 31, 2024, and September 30, 2024, CWH owned 61.2%, 61.0%, and 53.1%, respectively, of CWGS, LLC. Accordingly, the Company consolidates the financial results of CWGS, LLC and reports a non-controlling interest in its condensed consolidated financial statements.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does not have any material components of other comprehensive income recorded within its condensed consolidated financial statements, and, therefore, does not separately present a statement of comprehensive income in its condensed consolidated financial statements.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Revisions to Prior Period Condensed Consolidated Financial Statements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Subsequent to the issuance of the Company's condensed consolidated financial statements for the three and nine months ended September 30, 2024, the Company's management identified prior period misstatements related to the measurement of the realizable portion of the Company’s outside basis difference deferred tax asset in CWGS, LLC, including the associated valuation allowance. As a result, deferred tax assets, net, additional paid-in capital, and income tax benefit (expense) as of and for the years ended December 31, 2023 and 2022 were revised in the Company’s Annual Report. The misstatements impacted the beginning balances of deferred taxes, net, additional paid-in capital, and retained earnings, which have been revised from the amounts previously reported as of September 30, 2024. The Company evaluated the materiality of these errors, both qualitatively and quantitatively, and determined the effect of these revisions was not material to the previously issued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The following table presents the effect of the immaterial misstatements on the Company’s condensed consolidated balance sheet for the period indicated:</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4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7"/>
              </w:rPr>
              <w:t>As of September 30, 2024</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4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ind w:right="91"/>
              <w:spacing w:after="0" w:line="111" w:lineRule="exact"/>
              <w:rPr>
                <w:sz w:val="20"/>
                <w:szCs w:val="20"/>
                <w:color w:val="auto"/>
              </w:rPr>
            </w:pPr>
            <w:r>
              <w:rPr>
                <w:rFonts w:ascii="Arial" w:cs="Arial" w:eastAsia="Arial" w:hAnsi="Arial"/>
                <w:sz w:val="12"/>
                <w:szCs w:val="12"/>
                <w:b w:val="1"/>
                <w:bCs w:val="1"/>
                <w:color w:val="auto"/>
              </w:rPr>
              <w:t>As Previously</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Adjustment</w:t>
            </w:r>
          </w:p>
        </w:tc>
        <w:tc>
          <w:tcPr>
            <w:tcW w:w="160" w:type="dxa"/>
            <w:vAlign w:val="bottom"/>
          </w:tcPr>
          <w:p>
            <w:pPr>
              <w:spacing w:after="0"/>
              <w:rPr>
                <w:sz w:val="9"/>
                <w:szCs w:val="9"/>
                <w:color w:val="auto"/>
              </w:rPr>
            </w:pPr>
          </w:p>
        </w:tc>
        <w:tc>
          <w:tcPr>
            <w:tcW w:w="100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As Revised</w:t>
            </w:r>
          </w:p>
        </w:tc>
        <w:tc>
          <w:tcPr>
            <w:tcW w:w="0" w:type="dxa"/>
            <w:vAlign w:val="bottom"/>
          </w:tcPr>
          <w:p>
            <w:pPr>
              <w:spacing w:after="0"/>
              <w:rPr>
                <w:sz w:val="1"/>
                <w:szCs w:val="1"/>
                <w:color w:val="auto"/>
              </w:rPr>
            </w:pPr>
          </w:p>
        </w:tc>
      </w:tr>
      <w:tr>
        <w:trPr>
          <w:trHeight w:val="153"/>
        </w:trPr>
        <w:tc>
          <w:tcPr>
            <w:tcW w:w="500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20" w:type="dxa"/>
            <w:vAlign w:val="bottom"/>
          </w:tcPr>
          <w:p>
            <w:pPr>
              <w:spacing w:after="0"/>
              <w:rPr>
                <w:sz w:val="13"/>
                <w:szCs w:val="13"/>
                <w:color w:val="auto"/>
              </w:rPr>
            </w:pPr>
          </w:p>
        </w:tc>
        <w:tc>
          <w:tcPr>
            <w:tcW w:w="1020" w:type="dxa"/>
            <w:vAlign w:val="bottom"/>
          </w:tcPr>
          <w:p>
            <w:pPr>
              <w:jc w:val="right"/>
              <w:ind w:right="231"/>
              <w:spacing w:after="0"/>
              <w:rPr>
                <w:sz w:val="20"/>
                <w:szCs w:val="20"/>
                <w:color w:val="auto"/>
              </w:rPr>
            </w:pPr>
            <w:r>
              <w:rPr>
                <w:rFonts w:ascii="Arial" w:cs="Arial" w:eastAsia="Arial" w:hAnsi="Arial"/>
                <w:sz w:val="13"/>
                <w:szCs w:val="13"/>
                <w:b w:val="1"/>
                <w:bCs w:val="1"/>
                <w:color w:val="auto"/>
              </w:rPr>
              <w:t>Reported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Deferred tax assets, net</w:t>
            </w: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157,886</w:t>
            </w: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43,768</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201,654</w:t>
            </w:r>
          </w:p>
        </w:tc>
        <w:tc>
          <w:tcPr>
            <w:tcW w:w="0" w:type="dxa"/>
            <w:vAlign w:val="bottom"/>
          </w:tcPr>
          <w:p>
            <w:pPr>
              <w:spacing w:after="0"/>
              <w:rPr>
                <w:sz w:val="1"/>
                <w:szCs w:val="1"/>
                <w:color w:val="auto"/>
              </w:rPr>
            </w:pPr>
          </w:p>
        </w:tc>
      </w:tr>
      <w:tr>
        <w:trPr>
          <w:trHeight w:val="162"/>
        </w:trPr>
        <w:tc>
          <w:tcPr>
            <w:tcW w:w="5000" w:type="dxa"/>
            <w:vAlign w:val="bottom"/>
            <w:gridSpan w:val="2"/>
          </w:tcPr>
          <w:p>
            <w:pPr>
              <w:ind w:left="20"/>
              <w:spacing w:after="0"/>
              <w:rPr>
                <w:sz w:val="20"/>
                <w:szCs w:val="20"/>
                <w:color w:val="auto"/>
              </w:rPr>
            </w:pPr>
            <w:r>
              <w:rPr>
                <w:rFonts w:ascii="Arial" w:cs="Arial" w:eastAsia="Arial" w:hAnsi="Arial"/>
                <w:sz w:val="14"/>
                <w:szCs w:val="14"/>
                <w:color w:val="auto"/>
              </w:rPr>
              <w:t>Total assets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4,645,224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43,768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4,688,992</w:t>
            </w:r>
          </w:p>
        </w:tc>
        <w:tc>
          <w:tcPr>
            <w:tcW w:w="0" w:type="dxa"/>
            <w:vAlign w:val="bottom"/>
          </w:tcPr>
          <w:p>
            <w:pPr>
              <w:spacing w:after="0"/>
              <w:rPr>
                <w:sz w:val="1"/>
                <w:szCs w:val="1"/>
                <w:color w:val="auto"/>
              </w:rPr>
            </w:pPr>
          </w:p>
        </w:tc>
      </w:tr>
      <w:tr>
        <w:trPr>
          <w:trHeight w:val="162"/>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94,217</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33,385</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127,602</w:t>
            </w:r>
          </w:p>
        </w:tc>
        <w:tc>
          <w:tcPr>
            <w:tcW w:w="0" w:type="dxa"/>
            <w:vAlign w:val="bottom"/>
          </w:tcPr>
          <w:p>
            <w:pPr>
              <w:spacing w:after="0"/>
              <w:rPr>
                <w:sz w:val="1"/>
                <w:szCs w:val="1"/>
                <w:color w:val="auto"/>
              </w:rPr>
            </w:pPr>
          </w:p>
        </w:tc>
      </w:tr>
      <w:tr>
        <w:trPr>
          <w:trHeight w:val="162"/>
        </w:trPr>
        <w:tc>
          <w:tcPr>
            <w:tcW w:w="5000" w:type="dxa"/>
            <w:vAlign w:val="bottom"/>
            <w:gridSpan w:val="2"/>
          </w:tcPr>
          <w:p>
            <w:pPr>
              <w:ind w:left="20"/>
              <w:spacing w:after="0"/>
              <w:rPr>
                <w:sz w:val="20"/>
                <w:szCs w:val="20"/>
                <w:color w:val="auto"/>
              </w:rPr>
            </w:pPr>
            <w:r>
              <w:rPr>
                <w:rFonts w:ascii="Arial" w:cs="Arial" w:eastAsia="Arial" w:hAnsi="Arial"/>
                <w:sz w:val="14"/>
                <w:szCs w:val="14"/>
                <w:color w:val="auto"/>
              </w:rPr>
              <w:t>Retained earnings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161,269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10,383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171,652</w:t>
            </w:r>
          </w:p>
        </w:tc>
        <w:tc>
          <w:tcPr>
            <w:tcW w:w="0" w:type="dxa"/>
            <w:vAlign w:val="bottom"/>
          </w:tcPr>
          <w:p>
            <w:pPr>
              <w:spacing w:after="0"/>
              <w:rPr>
                <w:sz w:val="1"/>
                <w:szCs w:val="1"/>
                <w:color w:val="auto"/>
              </w:rPr>
            </w:pPr>
          </w:p>
        </w:tc>
      </w:tr>
      <w:tr>
        <w:trPr>
          <w:trHeight w:val="162"/>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stockholders' equity attributable to Camping World Holdings, Inc.</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107,816</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43,768</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151,584</w:t>
            </w:r>
          </w:p>
        </w:tc>
        <w:tc>
          <w:tcPr>
            <w:tcW w:w="0" w:type="dxa"/>
            <w:vAlign w:val="bottom"/>
          </w:tcPr>
          <w:p>
            <w:pPr>
              <w:spacing w:after="0"/>
              <w:rPr>
                <w:sz w:val="1"/>
                <w:szCs w:val="1"/>
                <w:color w:val="auto"/>
              </w:rPr>
            </w:pPr>
          </w:p>
        </w:tc>
      </w:tr>
      <w:tr>
        <w:trPr>
          <w:trHeight w:val="162"/>
        </w:trPr>
        <w:tc>
          <w:tcPr>
            <w:tcW w:w="5000" w:type="dxa"/>
            <w:vAlign w:val="bottom"/>
            <w:gridSpan w:val="2"/>
          </w:tcPr>
          <w:p>
            <w:pPr>
              <w:ind w:left="20"/>
              <w:spacing w:after="0"/>
              <w:rPr>
                <w:sz w:val="20"/>
                <w:szCs w:val="20"/>
                <w:color w:val="auto"/>
              </w:rPr>
            </w:pPr>
            <w:r>
              <w:rPr>
                <w:rFonts w:ascii="Arial" w:cs="Arial" w:eastAsia="Arial" w:hAnsi="Arial"/>
                <w:sz w:val="14"/>
                <w:szCs w:val="14"/>
                <w:color w:val="auto"/>
              </w:rPr>
              <w:t>Total stockholders' equity</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172,691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43,768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216,459</w:t>
            </w:r>
          </w:p>
        </w:tc>
        <w:tc>
          <w:tcPr>
            <w:tcW w:w="0" w:type="dxa"/>
            <w:vAlign w:val="bottom"/>
          </w:tcPr>
          <w:p>
            <w:pPr>
              <w:spacing w:after="0"/>
              <w:rPr>
                <w:sz w:val="1"/>
                <w:szCs w:val="1"/>
                <w:color w:val="auto"/>
              </w:rPr>
            </w:pPr>
          </w:p>
        </w:tc>
      </w:tr>
      <w:tr>
        <w:trPr>
          <w:trHeight w:val="162"/>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4,645,224</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43,768</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4,688,992</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presents the effect of the immaterial misstatements on the condensed consolidated statements of stockholders’ equity for the periods indicated: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35"/>
        </w:trPr>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20" w:type="dxa"/>
            <w:vAlign w:val="bottom"/>
            <w:gridSpan w:val="8"/>
          </w:tcPr>
          <w:p>
            <w:pPr>
              <w:ind w:left="320"/>
              <w:spacing w:after="0"/>
              <w:rPr>
                <w:sz w:val="20"/>
                <w:szCs w:val="20"/>
                <w:color w:val="auto"/>
              </w:rPr>
            </w:pPr>
            <w:r>
              <w:rPr>
                <w:rFonts w:ascii="Arial" w:cs="Arial" w:eastAsia="Arial" w:hAnsi="Arial"/>
                <w:sz w:val="11"/>
                <w:szCs w:val="11"/>
                <w:b w:val="1"/>
                <w:bCs w:val="1"/>
                <w:color w:val="auto"/>
              </w:rPr>
              <w:t>Additional Paid-In Capital</w:t>
            </w:r>
          </w:p>
        </w:tc>
        <w:tc>
          <w:tcPr>
            <w:tcW w:w="60" w:type="dxa"/>
            <w:vAlign w:val="bottom"/>
          </w:tcPr>
          <w:p>
            <w:pPr>
              <w:spacing w:after="0"/>
              <w:rPr>
                <w:sz w:val="11"/>
                <w:szCs w:val="11"/>
                <w:color w:val="auto"/>
              </w:rPr>
            </w:pPr>
          </w:p>
        </w:tc>
        <w:tc>
          <w:tcPr>
            <w:tcW w:w="1540" w:type="dxa"/>
            <w:vAlign w:val="bottom"/>
            <w:gridSpan w:val="6"/>
          </w:tcPr>
          <w:p>
            <w:pPr>
              <w:ind w:left="500"/>
              <w:spacing w:after="0"/>
              <w:rPr>
                <w:sz w:val="20"/>
                <w:szCs w:val="20"/>
                <w:color w:val="auto"/>
              </w:rPr>
            </w:pPr>
            <w:r>
              <w:rPr>
                <w:rFonts w:ascii="Arial" w:cs="Arial" w:eastAsia="Arial" w:hAnsi="Arial"/>
                <w:sz w:val="11"/>
                <w:szCs w:val="11"/>
                <w:b w:val="1"/>
                <w:bCs w:val="1"/>
                <w:color w:val="auto"/>
              </w:rPr>
              <w:t>Retained Earnings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40" w:type="dxa"/>
            <w:vAlign w:val="bottom"/>
            <w:gridSpan w:val="7"/>
          </w:tcPr>
          <w:p>
            <w:pPr>
              <w:jc w:val="center"/>
              <w:ind w:right="6"/>
              <w:spacing w:after="0"/>
              <w:rPr>
                <w:sz w:val="20"/>
                <w:szCs w:val="20"/>
                <w:color w:val="auto"/>
              </w:rPr>
            </w:pPr>
            <w:r>
              <w:rPr>
                <w:rFonts w:ascii="Arial" w:cs="Arial" w:eastAsia="Arial" w:hAnsi="Arial"/>
                <w:sz w:val="11"/>
                <w:szCs w:val="11"/>
                <w:b w:val="1"/>
                <w:bCs w:val="1"/>
                <w:color w:val="auto"/>
                <w:w w:val="96"/>
              </w:rPr>
              <w:t>Total Stockholders' Equity</w:t>
            </w:r>
          </w:p>
        </w:tc>
      </w:tr>
      <w:tr>
        <w:trPr>
          <w:trHeight w:val="102"/>
        </w:trPr>
        <w:tc>
          <w:tcPr>
            <w:tcW w:w="2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99"/>
              </w:rPr>
              <w:t>As</w:t>
            </w:r>
          </w:p>
        </w:tc>
        <w:tc>
          <w:tcPr>
            <w:tcW w:w="1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9"/>
              </w:rPr>
              <w:t>As</w:t>
            </w:r>
          </w:p>
        </w:tc>
        <w:tc>
          <w:tcPr>
            <w:tcW w:w="1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9"/>
              </w:rPr>
              <w:t>As</w:t>
            </w:r>
          </w:p>
        </w:tc>
        <w:tc>
          <w:tcPr>
            <w:tcW w:w="1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r>
      <w:tr>
        <w:trPr>
          <w:trHeight w:val="122"/>
        </w:trPr>
        <w:tc>
          <w:tcPr>
            <w:tcW w:w="2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6"/>
              </w:rPr>
              <w:t>Previously</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6"/>
              </w:rPr>
              <w:t>Previously</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6"/>
              </w:rPr>
              <w:t>Previously</w:t>
            </w: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35"/>
        </w:trPr>
        <w:tc>
          <w:tcPr>
            <w:tcW w:w="242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60" w:type="dxa"/>
            <w:vAlign w:val="bottom"/>
          </w:tcPr>
          <w:p>
            <w:pPr>
              <w:spacing w:after="0"/>
              <w:rPr>
                <w:sz w:val="11"/>
                <w:szCs w:val="11"/>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Reported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Adjustment</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As Revised</w:t>
            </w:r>
          </w:p>
        </w:tc>
        <w:tc>
          <w:tcPr>
            <w:tcW w:w="6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Reported</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Adjustment</w:t>
            </w: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As Revised</w:t>
            </w:r>
          </w:p>
        </w:tc>
        <w:tc>
          <w:tcPr>
            <w:tcW w:w="6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Reported</w:t>
            </w:r>
          </w:p>
        </w:tc>
        <w:tc>
          <w:tcPr>
            <w:tcW w:w="7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5"/>
              </w:rPr>
              <w:t>Adjustment</w:t>
            </w:r>
          </w:p>
        </w:tc>
        <w:tc>
          <w:tcPr>
            <w:tcW w:w="620" w:type="dxa"/>
            <w:vAlign w:val="bottom"/>
            <w:gridSpan w:val="2"/>
          </w:tcPr>
          <w:p>
            <w:pPr>
              <w:jc w:val="right"/>
              <w:spacing w:after="0"/>
              <w:rPr>
                <w:sz w:val="20"/>
                <w:szCs w:val="20"/>
                <w:color w:val="auto"/>
              </w:rPr>
            </w:pPr>
            <w:r>
              <w:rPr>
                <w:rFonts w:ascii="Arial" w:cs="Arial" w:eastAsia="Arial" w:hAnsi="Arial"/>
                <w:sz w:val="11"/>
                <w:szCs w:val="11"/>
                <w:b w:val="1"/>
                <w:bCs w:val="1"/>
                <w:color w:val="auto"/>
                <w:w w:val="97"/>
              </w:rPr>
              <w:t>As Revised</w:t>
            </w:r>
          </w:p>
        </w:tc>
      </w:tr>
      <w:tr>
        <w:trPr>
          <w:trHeight w:val="115"/>
        </w:trPr>
        <w:tc>
          <w:tcPr>
            <w:tcW w:w="224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Balance at January 1, 2024</w:t>
            </w: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98,280</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33,385</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131,665</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185,244</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10,383</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195,627</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214,207</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46"/>
              <w:spacing w:after="0" w:line="115" w:lineRule="exact"/>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43,768</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257,975</w:t>
            </w: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Stock-based compensation</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2,751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2,751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5,197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5,197</w:t>
            </w:r>
          </w:p>
        </w:tc>
      </w:tr>
      <w:tr>
        <w:trPr>
          <w:trHeight w:val="121"/>
        </w:trPr>
        <w:tc>
          <w:tcPr>
            <w:tcW w:w="24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Exercise of stock options</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(30)</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(30)</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w:t>
            </w:r>
          </w:p>
        </w:tc>
      </w:tr>
      <w:tr>
        <w:trPr>
          <w:trHeight w:val="108"/>
        </w:trPr>
        <w:tc>
          <w:tcPr>
            <w:tcW w:w="2420" w:type="dxa"/>
            <w:vAlign w:val="bottom"/>
            <w:gridSpan w:val="2"/>
          </w:tcPr>
          <w:p>
            <w:pPr>
              <w:ind w:left="120"/>
              <w:spacing w:after="0" w:line="109" w:lineRule="exact"/>
              <w:rPr>
                <w:sz w:val="20"/>
                <w:szCs w:val="20"/>
                <w:color w:val="auto"/>
              </w:rPr>
            </w:pPr>
            <w:r>
              <w:rPr>
                <w:rFonts w:ascii="Arial" w:cs="Arial" w:eastAsia="Arial" w:hAnsi="Arial"/>
                <w:sz w:val="11"/>
                <w:szCs w:val="11"/>
                <w:color w:val="auto"/>
              </w:rPr>
              <w:t>Non-controlling  interest  adjustment  for</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capital contribution of proceeds from the</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3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exercise of stock options</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(22)</w:t>
            </w:r>
          </w:p>
        </w:tc>
        <w:tc>
          <w:tcPr>
            <w:tcW w:w="1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2"/>
        </w:trPr>
        <w:tc>
          <w:tcPr>
            <w:tcW w:w="24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Vesting of restricted stock units</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(2,234)</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(2,234)</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420" w:type="dxa"/>
            <w:vAlign w:val="bottom"/>
            <w:gridSpan w:val="2"/>
          </w:tcPr>
          <w:p>
            <w:pPr>
              <w:ind w:left="120"/>
              <w:spacing w:after="0" w:line="109" w:lineRule="exact"/>
              <w:rPr>
                <w:sz w:val="20"/>
                <w:szCs w:val="20"/>
                <w:color w:val="auto"/>
              </w:rPr>
            </w:pPr>
            <w:r>
              <w:rPr>
                <w:rFonts w:ascii="Arial" w:cs="Arial" w:eastAsia="Arial" w:hAnsi="Arial"/>
                <w:sz w:val="11"/>
                <w:szCs w:val="11"/>
                <w:color w:val="auto"/>
              </w:rPr>
              <w:t>Repurchases of Class A common stock for</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3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withholding taxes on vested RSUs</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(658)</w:t>
            </w:r>
          </w:p>
        </w:tc>
        <w:tc>
          <w:tcPr>
            <w:tcW w:w="1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(658)</w:t>
            </w:r>
          </w:p>
        </w:tc>
      </w:tr>
      <w:tr>
        <w:trPr>
          <w:trHeight w:val="108"/>
        </w:trPr>
        <w:tc>
          <w:tcPr>
            <w:tcW w:w="2420" w:type="dxa"/>
            <w:vAlign w:val="bottom"/>
            <w:gridSpan w:val="2"/>
            <w:shd w:val="clear" w:color="auto" w:fill="CCEEFF"/>
          </w:tcPr>
          <w:p>
            <w:pPr>
              <w:ind w:left="120"/>
              <w:spacing w:after="0" w:line="109" w:lineRule="exact"/>
              <w:rPr>
                <w:sz w:val="20"/>
                <w:szCs w:val="20"/>
                <w:color w:val="auto"/>
              </w:rPr>
            </w:pPr>
            <w:r>
              <w:rPr>
                <w:rFonts w:ascii="Arial" w:cs="Arial" w:eastAsia="Arial" w:hAnsi="Arial"/>
                <w:sz w:val="11"/>
                <w:szCs w:val="11"/>
                <w:color w:val="auto"/>
              </w:rPr>
              <w:t>Distributions  to  holders  of  LLC  common</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r>
      <w:tr>
        <w:trPr>
          <w:trHeight w:val="135"/>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units</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(9,947)</w:t>
            </w: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(9,947)</w:t>
            </w:r>
          </w:p>
        </w:tc>
      </w:tr>
      <w:tr>
        <w:trPr>
          <w:trHeight w:val="121"/>
        </w:trPr>
        <w:tc>
          <w:tcPr>
            <w:tcW w:w="2420" w:type="dxa"/>
            <w:vAlign w:val="bottom"/>
            <w:gridSpan w:val="2"/>
          </w:tcPr>
          <w:p>
            <w:pPr>
              <w:ind w:left="12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6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(5,634)</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(5,634)</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(5,634)</w:t>
            </w:r>
          </w:p>
        </w:tc>
        <w:tc>
          <w:tcPr>
            <w:tcW w:w="18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(5,634)</w:t>
            </w:r>
          </w:p>
        </w:tc>
      </w:tr>
      <w:tr>
        <w:trPr>
          <w:trHeight w:val="122"/>
        </w:trPr>
        <w:tc>
          <w:tcPr>
            <w:tcW w:w="24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Non-controlling interest adjustment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(126)</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(126)</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Net income</w:t>
            </w:r>
          </w:p>
        </w:tc>
        <w:tc>
          <w:tcPr>
            <w:tcW w:w="6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(22,307)</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(22,307)</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(50,806)</w:t>
            </w:r>
          </w:p>
        </w:tc>
        <w:tc>
          <w:tcPr>
            <w:tcW w:w="18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(50,806)</w:t>
            </w:r>
          </w:p>
        </w:tc>
      </w:tr>
      <w:tr>
        <w:trPr>
          <w:trHeight w:val="115"/>
        </w:trPr>
        <w:tc>
          <w:tcPr>
            <w:tcW w:w="242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Balance at March 31, 2024</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98,828</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33,385</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132,213</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157,303</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10,383</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167,686</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152,410</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46"/>
              <w:spacing w:after="0" w:line="115" w:lineRule="exact"/>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43,768</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196,178</w:t>
            </w: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Stock-based compensation</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2,858</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2,858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5,397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5,397</w:t>
            </w:r>
          </w:p>
        </w:tc>
      </w:tr>
      <w:tr>
        <w:trPr>
          <w:trHeight w:val="121"/>
        </w:trPr>
        <w:tc>
          <w:tcPr>
            <w:tcW w:w="24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Vesting of restricted stock units</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(1,599)</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(1,599)</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420" w:type="dxa"/>
            <w:vAlign w:val="bottom"/>
            <w:gridSpan w:val="2"/>
          </w:tcPr>
          <w:p>
            <w:pPr>
              <w:ind w:left="120"/>
              <w:spacing w:after="0" w:line="109" w:lineRule="exact"/>
              <w:rPr>
                <w:sz w:val="20"/>
                <w:szCs w:val="20"/>
                <w:color w:val="auto"/>
              </w:rPr>
            </w:pPr>
            <w:r>
              <w:rPr>
                <w:rFonts w:ascii="Arial" w:cs="Arial" w:eastAsia="Arial" w:hAnsi="Arial"/>
                <w:sz w:val="11"/>
                <w:szCs w:val="11"/>
                <w:color w:val="auto"/>
              </w:rPr>
              <w:t>Repurchases of Class A common stock for</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3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withholding taxes on vested RSUs</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(96)</w:t>
            </w:r>
          </w:p>
        </w:tc>
        <w:tc>
          <w:tcPr>
            <w:tcW w:w="1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(96)</w:t>
            </w:r>
          </w:p>
        </w:tc>
      </w:tr>
      <w:tr>
        <w:trPr>
          <w:trHeight w:val="108"/>
        </w:trPr>
        <w:tc>
          <w:tcPr>
            <w:tcW w:w="2420" w:type="dxa"/>
            <w:vAlign w:val="bottom"/>
            <w:gridSpan w:val="2"/>
            <w:shd w:val="clear" w:color="auto" w:fill="CCEEFF"/>
          </w:tcPr>
          <w:p>
            <w:pPr>
              <w:ind w:left="120"/>
              <w:spacing w:after="0" w:line="109" w:lineRule="exact"/>
              <w:rPr>
                <w:sz w:val="20"/>
                <w:szCs w:val="20"/>
                <w:color w:val="auto"/>
              </w:rPr>
            </w:pPr>
            <w:r>
              <w:rPr>
                <w:rFonts w:ascii="Arial" w:cs="Arial" w:eastAsia="Arial" w:hAnsi="Arial"/>
                <w:sz w:val="11"/>
                <w:szCs w:val="11"/>
                <w:color w:val="auto"/>
              </w:rPr>
              <w:t>Distributions  to  holders  of  LLC  common</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r>
      <w:tr>
        <w:trPr>
          <w:trHeight w:val="135"/>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units</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(8,848)</w:t>
            </w: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(8,848)</w:t>
            </w:r>
          </w:p>
        </w:tc>
      </w:tr>
      <w:tr>
        <w:trPr>
          <w:trHeight w:val="121"/>
        </w:trPr>
        <w:tc>
          <w:tcPr>
            <w:tcW w:w="2420" w:type="dxa"/>
            <w:vAlign w:val="bottom"/>
            <w:gridSpan w:val="2"/>
          </w:tcPr>
          <w:p>
            <w:pPr>
              <w:ind w:left="12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6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(5,640)</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(5,640)</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(5,640)</w:t>
            </w:r>
          </w:p>
        </w:tc>
        <w:tc>
          <w:tcPr>
            <w:tcW w:w="18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(5,640)</w:t>
            </w:r>
          </w:p>
        </w:tc>
      </w:tr>
      <w:tr>
        <w:trPr>
          <w:trHeight w:val="122"/>
        </w:trPr>
        <w:tc>
          <w:tcPr>
            <w:tcW w:w="24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Non-controlling interest adjustment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(71)</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(71)</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Net income</w:t>
            </w:r>
          </w:p>
        </w:tc>
        <w:tc>
          <w:tcPr>
            <w:tcW w:w="6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9,771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9,771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23,414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23,414</w:t>
            </w:r>
          </w:p>
        </w:tc>
      </w:tr>
      <w:tr>
        <w:trPr>
          <w:trHeight w:val="115"/>
        </w:trPr>
        <w:tc>
          <w:tcPr>
            <w:tcW w:w="242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Balance at June 30, 2024</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100,076</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33,385</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133,461</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161,434</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10,383</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171,817</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166,637</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46"/>
              <w:spacing w:after="0" w:line="115" w:lineRule="exact"/>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43,768</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210,405</w:t>
            </w: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Stock-based compensation</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2,956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2,956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5,573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5,573</w:t>
            </w:r>
          </w:p>
        </w:tc>
      </w:tr>
      <w:tr>
        <w:trPr>
          <w:trHeight w:val="122"/>
        </w:trPr>
        <w:tc>
          <w:tcPr>
            <w:tcW w:w="24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Exercise of stock options</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(315)</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(315)</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498</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498</w:t>
            </w:r>
          </w:p>
        </w:tc>
      </w:tr>
      <w:tr>
        <w:trPr>
          <w:trHeight w:val="108"/>
        </w:trPr>
        <w:tc>
          <w:tcPr>
            <w:tcW w:w="2420" w:type="dxa"/>
            <w:vAlign w:val="bottom"/>
            <w:gridSpan w:val="2"/>
          </w:tcPr>
          <w:p>
            <w:pPr>
              <w:ind w:left="120"/>
              <w:spacing w:after="0" w:line="109" w:lineRule="exact"/>
              <w:rPr>
                <w:sz w:val="20"/>
                <w:szCs w:val="20"/>
                <w:color w:val="auto"/>
              </w:rPr>
            </w:pPr>
            <w:r>
              <w:rPr>
                <w:rFonts w:ascii="Arial" w:cs="Arial" w:eastAsia="Arial" w:hAnsi="Arial"/>
                <w:sz w:val="11"/>
                <w:szCs w:val="11"/>
                <w:color w:val="auto"/>
              </w:rPr>
              <w:t>Non-controlling  interest  adjustment  for</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21"/>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capital contribution of proceeds from the</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3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exercise of stock options</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(217)</w:t>
            </w:r>
          </w:p>
        </w:tc>
        <w:tc>
          <w:tcPr>
            <w:tcW w:w="1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(217)</w:t>
            </w:r>
          </w:p>
        </w:tc>
        <w:tc>
          <w:tcPr>
            <w:tcW w:w="6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2"/>
        </w:trPr>
        <w:tc>
          <w:tcPr>
            <w:tcW w:w="24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Vesting of restricted stock units</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(9,783)</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(9,783)</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420" w:type="dxa"/>
            <w:vAlign w:val="bottom"/>
            <w:gridSpan w:val="2"/>
          </w:tcPr>
          <w:p>
            <w:pPr>
              <w:ind w:left="120"/>
              <w:spacing w:after="0" w:line="109" w:lineRule="exact"/>
              <w:rPr>
                <w:sz w:val="20"/>
                <w:szCs w:val="20"/>
                <w:color w:val="auto"/>
              </w:rPr>
            </w:pPr>
            <w:r>
              <w:rPr>
                <w:rFonts w:ascii="Arial" w:cs="Arial" w:eastAsia="Arial" w:hAnsi="Arial"/>
                <w:sz w:val="11"/>
                <w:szCs w:val="11"/>
                <w:color w:val="auto"/>
              </w:rPr>
              <w:t>Repurchases of Class A common stock for</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3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withholding taxes on vested RSUs</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1,544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1,544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(2,356)</w:t>
            </w:r>
          </w:p>
        </w:tc>
        <w:tc>
          <w:tcPr>
            <w:tcW w:w="1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(2,356)</w:t>
            </w:r>
          </w:p>
        </w:tc>
      </w:tr>
      <w:tr>
        <w:trPr>
          <w:trHeight w:val="108"/>
        </w:trPr>
        <w:tc>
          <w:tcPr>
            <w:tcW w:w="2420" w:type="dxa"/>
            <w:vAlign w:val="bottom"/>
            <w:gridSpan w:val="2"/>
            <w:shd w:val="clear" w:color="auto" w:fill="CCEEFF"/>
          </w:tcPr>
          <w:p>
            <w:pPr>
              <w:ind w:left="120"/>
              <w:spacing w:after="0" w:line="109" w:lineRule="exact"/>
              <w:rPr>
                <w:sz w:val="20"/>
                <w:szCs w:val="20"/>
                <w:color w:val="auto"/>
              </w:rPr>
            </w:pPr>
            <w:r>
              <w:rPr>
                <w:rFonts w:ascii="Arial" w:cs="Arial" w:eastAsia="Arial" w:hAnsi="Arial"/>
                <w:sz w:val="11"/>
                <w:szCs w:val="11"/>
                <w:color w:val="auto"/>
              </w:rPr>
              <w:t>Distributions  to  holders  of  LLC  common</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r>
      <w:tr>
        <w:trPr>
          <w:trHeight w:val="135"/>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units</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(51)</w:t>
            </w: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w:t>
            </w: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6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(5,666)</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(5,666)</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(5,666)</w:t>
            </w:r>
          </w:p>
        </w:tc>
        <w:tc>
          <w:tcPr>
            <w:tcW w:w="18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(5,666)</w:t>
            </w:r>
          </w:p>
        </w:tc>
      </w:tr>
      <w:tr>
        <w:trPr>
          <w:trHeight w:val="121"/>
        </w:trPr>
        <w:tc>
          <w:tcPr>
            <w:tcW w:w="24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Non-controlling interest adjustment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(44)</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(44)</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Net income</w:t>
            </w:r>
          </w:p>
        </w:tc>
        <w:tc>
          <w:tcPr>
            <w:tcW w:w="6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5,501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5,501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8,056</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8,056</w:t>
            </w:r>
          </w:p>
        </w:tc>
      </w:tr>
      <w:tr>
        <w:trPr>
          <w:trHeight w:val="115"/>
        </w:trPr>
        <w:tc>
          <w:tcPr>
            <w:tcW w:w="2420" w:type="dxa"/>
            <w:vAlign w:val="bottom"/>
            <w:tcBorders>
              <w:top w:val="single" w:sz="8" w:color="CCEEFF"/>
              <w:bottom w:val="single" w:sz="8" w:color="CCEEFF"/>
            </w:tcBorders>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Balance at September 30, 2024</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94,217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33,385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w:t>
            </w: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127,602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161,269</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10,383</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171,652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172,691</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46"/>
              <w:spacing w:after="0" w:line="115" w:lineRule="exact"/>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43,768</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216,459</w:t>
            </w:r>
          </w:p>
        </w:tc>
      </w:tr>
      <w:tr>
        <w:trPr>
          <w:trHeight w:val="20"/>
        </w:trPr>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800" w:hanging="318"/>
        <w:spacing w:after="0"/>
        <w:tabs>
          <w:tab w:leader="none" w:pos="80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The Company declared dividends per share of Class A common stock of $0.125 for each of the three months ended March 31, 2024, June 30, 2024 and September 30, 2024.</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19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has experienced, and expects to continue to experience, variability in revenue, net income, and cash flows as a result of annual seasonality in its business. Because RVs are used primarily by vacationers and campers, demand for services, protection plans, products, and resources generally declines during the winter season, while sales and profits are generally highest during the spring and summer months. In addition, unusually severe weather conditions in some geographic areas may impact demand.</w:t>
      </w:r>
    </w:p>
    <w:p>
      <w:pPr>
        <w:spacing w:after="0" w:line="68"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generates a disproportionately higher amount of its annual revenue in its second and third fiscal quarters, which include the spring and summer months. The Company incurs additional expenses in the second and third fiscal quarters due to higher sale volumes, increased staffing in its store locations and program costs. If, for any reason, the Company miscalculates the demand for its products or its product mix</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during the second and third fiscal quarters, its sales in these quarters could decline, resulting in higher labor costs as a percentage of gross profit, lower margins and excess inventory, which could cause the Company’s annual results of operations to suffer and its stock price to decline.</w:t>
      </w:r>
    </w:p>
    <w:p>
      <w:pPr>
        <w:spacing w:after="0" w:line="6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Additionally, selling, general, and administrative (“SG&amp;A”) expenses as a percentage of gross profit tend to be higher in the first and fourth quarters due to the seasonality of the Company’s business.</w:t>
      </w:r>
    </w:p>
    <w:p>
      <w:pPr>
        <w:spacing w:after="0" w:line="4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Due to the Company’s seasonality, the possible adverse impact from other risks associated with its business, including atypical weather, consumer spending levels, changes in the costs of the Company’s products including the impact of tariffs, and general business conditions, is potentially greater if any such risks occur during the Company’s peak sales seasons.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December 2023, the Financial Accounting Standards Board (“FASB”) issued Accounting Standards Update (“ASU”) 2023-09, Income Taxes (Topic 740): Improvements to Income Tax Disclosures. This ASU requires that public business entities on an annual basis disclose (1) consistent categories and greater disaggregation of information in the rate reconciliation, and (2) income taxes paid disaggregated by jurisdiction. The standard is effective for annual periods beginning after December 15, 2024, with early adoption permitted. The Company adopted the provisions of this ASU as of January 1, 2025, with respect to the annual disclosures beginning with the year ending December 31, 2025, including the presentation of the comparable prior periods. The adoption of this ASU will result in additional annual income tax disclosures and does not otherwise have a material impact on the Company’s condensed consolidated financial statements.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(Subtopic 220-40): Disaggregation of Income Statement Expenses. This ASU requires that at each interim and annual reporting period entities present a new tabular disclosure in the notes to the financial statements, presenting disaggregation of the amounts of purchases of inventory, employee compensation, depreciation, intangible asset amortization and depletion. Furthermore, the ASU requires entities to include certain amounts that are already required to be disclosed under GAAP in the same disclosure as other disaggregation requirements and disclose a qualitative description of the amounts remaining in relevant expense captions that are not separately disaggregated quantitatively. Additionally, entities are required to disclose the total amount of selling expenses and, in annual reporting period, an entity’s definition of selling expenses. The standard is effective for fiscal years beginning after December 15, 2026 and interim periods within fiscal years beginning after December 15, 2027, with early adoption permitted. The Company is currently evaluating the impact that the adoption of the provisions of the ASU will have on its condensed consolidated financial statements.</w:t>
      </w:r>
    </w:p>
    <w:p>
      <w:pPr>
        <w:spacing w:after="0" w:line="16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7"/>
          <w:szCs w:val="17"/>
          <w:color w:val="auto"/>
        </w:rPr>
        <w:t>In July 2025, the FASB issued ASU 2025-05, Financial Instruments―Credit Losses (Topic 326): Measurement of Credit Losses for Accounts Receivable and Contract Assets. This ASU provides a practical expedient for all entities and a related accounting policy election for entities other than public business entities for the calculation of current expected credit losses on current accounts receivable and current contract assets. The practical expedient allows all entities to assume that conditions at the balance sheet date will remain unchanged for an asset’s remaining life when estimating credit losses on current accounts receivable and current contract assets arising from transactions under ASC 606. The standard is effective for fiscal years beginning after December 15, 2025 and interim periods within those annual reporting periods, with early adoption permitted. The adoption of this ASU will result in a disclosure of the election of the practical expedient and does not otherwise have a material impact on the Company’s condensed consolidated financial statements.</w:t>
      </w:r>
    </w:p>
    <w:p>
      <w:pPr>
        <w:spacing w:after="0" w:line="17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September 2025, the FASB issued ASU 2025-06, Intangibles―Goodwill and Other―Internal-Use Software (Subtopic 350-40): Targeted Improvements to the Accounting for Internal-Use Software. This ASU removes all references to software development stages throughout Subtopic 350-40. Instead,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(referred to as the “probable-to-complete recognition threshold”). In evaluating the probable-to-complete threshold, an entity is required to consider whether there is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significant uncertainty associated with the development activities of the software, as described by the standard. This ASU specifies that the disclosures in Subtopic 360-10, Property, Plant, and Equipment—Overall, are required for all capitalized internal -use software costs, regardless of how those costs are presented in the financial statements. The standard is effective for fiscal years beginning after December 15, 2027 and interim periods within those annual reporting periods, with early adoption permitted. The Company is currently evaluating the impact that the adoption of the provisions of the ASU will have on its condensed consolidated financial statements.</w:t>
      </w:r>
    </w:p>
    <w:p>
      <w:pPr>
        <w:spacing w:after="0" w:line="198" w:lineRule="exact"/>
        <w:rPr>
          <w:sz w:val="20"/>
          <w:szCs w:val="20"/>
          <w:color w:val="auto"/>
        </w:rPr>
      </w:pPr>
    </w:p>
    <w:p>
      <w:pPr>
        <w:ind w:left="60" w:right="7579" w:hanging="10"/>
        <w:spacing w:after="0" w:line="513" w:lineRule="auto"/>
        <w:tabs>
          <w:tab w:leader="none" w:pos="2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Revenue Contract Assets</w:t>
      </w:r>
    </w:p>
    <w:p>
      <w:pPr>
        <w:spacing w:after="0" w:line="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September 30, 2025, December 31, 2024, and September 30, 2024 contract assets of $11.1 million, $10.0 million and $13.4 million, respectively, relating to RV service revenues, were included in accounts receivable in the accompanying condensed consolidated balance sheets.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Revenues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records deferred revenues when cash payments are received or due in advance of the Company’s performance, net of estimated refunds that are presented separately as a component of accrued liabilities. For the nine months ended September 30, 2025, the Company estimates approximately $75.4 million of revenues recognized were included in the deferred revenue balance at the beginning of the period. These estimates consider factors including, but not limited to, average service term, cash received for the period, cancellations, contract extensions, and upgrades.</w:t>
      </w:r>
    </w:p>
    <w:p>
      <w:pPr>
        <w:spacing w:after="0" w:line="165"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As of September 30, 2025, the Company had unsatisfied performance obligations primarily relating to plans for its roadside assistance, Good Sam Club memberships, Good Sam Club loyalty program, Coast to Coast memberships, the annual campground guide, and magazine publication revenue streams. The total unsatisfied performance obligations for these revenue streams as of September 30, 2025 and the periods during which the Company expects to recognize the amounts as revenue are presented as follows (in thousands):</w:t>
      </w:r>
    </w:p>
    <w:tbl>
      <w:tblPr>
        <w:tblLayout w:type="fixed"/>
        <w:tblInd w:w="760" w:type="dxa"/>
        <w:tblCellMar>
          <w:top w:w="0" w:type="dxa"/>
          <w:left w:w="0" w:type="dxa"/>
          <w:bottom w:w="0" w:type="dxa"/>
          <w:right w:w="0" w:type="dxa"/>
        </w:tblCellMar>
      </w:tblPr>
      <w:tr>
        <w:trPr>
          <w:trHeight w:val="153"/>
        </w:trPr>
        <w:tc>
          <w:tcPr>
            <w:tcW w:w="6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As of</w:t>
            </w:r>
          </w:p>
        </w:tc>
      </w:tr>
      <w:tr>
        <w:trPr>
          <w:trHeight w:val="171"/>
        </w:trPr>
        <w:tc>
          <w:tcPr>
            <w:tcW w:w="604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2025</w:t>
            </w: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35,021</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73,093</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26,657</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13,129</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2029</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7,235</w:t>
            </w:r>
          </w:p>
        </w:tc>
      </w:tr>
      <w:tr>
        <w:trPr>
          <w:trHeight w:val="203"/>
        </w:trPr>
        <w:tc>
          <w:tcPr>
            <w:tcW w:w="60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5,002</w:t>
            </w:r>
          </w:p>
        </w:tc>
      </w:tr>
      <w:tr>
        <w:trPr>
          <w:trHeight w:val="196"/>
        </w:trPr>
        <w:tc>
          <w:tcPr>
            <w:tcW w:w="60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160,137</w:t>
            </w:r>
          </w:p>
        </w:tc>
      </w:tr>
      <w:tr>
        <w:trPr>
          <w:trHeight w:val="20"/>
        </w:trPr>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Inventories and Floor Plan Payables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consisted of the following (in thousands):</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155"/>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55"/>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155"/>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37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r>
      <w:tr>
        <w:trPr>
          <w:trHeight w:val="196"/>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 Sam services and plans</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256</w:t>
            </w: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New RVs</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1,258,539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1,241,533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1,189,880</w:t>
            </w: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Used RVs</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595,055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413,546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420,727</w:t>
            </w:r>
          </w:p>
        </w:tc>
      </w:tr>
      <w:tr>
        <w:trPr>
          <w:trHeight w:val="203"/>
        </w:trPr>
        <w:tc>
          <w:tcPr>
            <w:tcW w:w="3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Products, parts, accessories and other</w:t>
            </w:r>
          </w:p>
        </w:tc>
        <w:tc>
          <w:tcPr>
            <w:tcW w:w="6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172,520</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166,495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170,793</w:t>
            </w:r>
          </w:p>
        </w:tc>
      </w:tr>
      <w:tr>
        <w:trPr>
          <w:trHeight w:val="196"/>
        </w:trPr>
        <w:tc>
          <w:tcPr>
            <w:tcW w:w="37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2,026,392</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1,821,837</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1,781,656</w:t>
            </w:r>
          </w:p>
        </w:tc>
      </w:tr>
      <w:tr>
        <w:trPr>
          <w:trHeight w:val="20"/>
        </w:trPr>
        <w:tc>
          <w:tcPr>
            <w:tcW w:w="3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Substantially all of the Company’s new RV inventory and certain of its used RV inventory, included in the RV and Outdoor Retail segment, is financed by a floor plan credit agreement (“Floor Plan Facility”) with a syndication of banks (“Floor Plan Lenders”).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February 2025, FreedomRoads, LLC entered into an amendment to the Floor Plan Facility, which (a) increased the commitment for floor plan borrowings by $ 300.0 million to $ 2.15 billion, (b) increased the commitment for the letter of credit facility by $ 15.0 million to $45.0 million, and (c) extended the maturity date from September 30, 2026 to the earlier of, if applicable, (i) February 18, 2030 or (ii) March 5, 2028, if the Company’s Term Loan Facility (as defined and discussed in Note 7 — Long-Term Debt) has not been repaid, refinanced, or defeased and the maturity has not been extended by at least 180 days after February 18, 2030.</w:t>
      </w:r>
    </w:p>
    <w:p>
      <w:pPr>
        <w:spacing w:after="0" w:line="17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September 30, 2025, December 31, 2024, and September 30, 2024, the applicable interest rate for the floor plan notes payable under the Floor Plan Facility was 6.29%, 6.72%, and 7.47%, respectively.</w:t>
      </w:r>
    </w:p>
    <w:p>
      <w:pPr>
        <w:spacing w:after="0" w:line="15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outstanding balance of the revolving line of credit under the Floor Plan Facility was paid off in November 2024 and there was no balance outstanding as of September 30, 2025 and December 31, 2024. As of September 30, 2024, the applicable interest rate for revolving line of credit borrowings under the Floor Plan Facility was 7.57%. Additionally, under the Floor Plan Facility, the revolving line of credit borrowings are subject to a borrowing base calculation, which did not limit the borrowing capacity as of September 30, 2025, December 31, 2024, and September 30, 2024.</w:t>
      </w:r>
    </w:p>
    <w:p>
      <w:pPr>
        <w:spacing w:after="0" w:line="17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Management has determined that the credit agreement governing the Floor Plan Facility includes subjective acceleration clauses, which could impact debt classification. Management believes that no events have occurred as of September 30, 2025 that would trigger a subjective acceleration clause. Additionally, the credit agreement governing the Floor Plan Facility contains certain financial covenants. FreedomRoads, LLC was in compliance with all financial debt covenants as of September 30, 2025, December 31, 2024, and September 30, 2024.</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details the outstanding amounts and available borrowings under the Floor Plan Facility as of September 30, 2025 and December 31, 2024, and September 30, 2024 (in thousands):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45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2024</w:t>
            </w: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Floor Plan Facility</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80" w:type="dxa"/>
            <w:vAlign w:val="bottom"/>
          </w:tcPr>
          <w:p>
            <w:pPr>
              <w:ind w:left="220"/>
              <w:spacing w:after="0" w:line="202" w:lineRule="exact"/>
              <w:rPr>
                <w:sz w:val="20"/>
                <w:szCs w:val="20"/>
                <w:color w:val="auto"/>
              </w:rPr>
            </w:pPr>
            <w:r>
              <w:rPr>
                <w:rFonts w:ascii="Arial" w:cs="Arial" w:eastAsia="Arial" w:hAnsi="Arial"/>
                <w:sz w:val="18"/>
                <w:szCs w:val="18"/>
                <w:color w:val="auto"/>
              </w:rPr>
              <w:t>Notes payable - floor plan: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commitment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2,150,000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1,850,000</w:t>
            </w:r>
          </w:p>
        </w:tc>
        <w:tc>
          <w:tcPr>
            <w:tcW w:w="2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1,850,000</w:t>
            </w:r>
          </w:p>
        </w:tc>
      </w:tr>
      <w:tr>
        <w:trPr>
          <w:trHeight w:val="203"/>
        </w:trPr>
        <w:tc>
          <w:tcPr>
            <w:tcW w:w="4580" w:type="dxa"/>
            <w:vAlign w:val="bottom"/>
          </w:tcPr>
          <w:p>
            <w:pPr>
              <w:ind w:left="320"/>
              <w:spacing w:after="0" w:line="202" w:lineRule="exact"/>
              <w:rPr>
                <w:sz w:val="20"/>
                <w:szCs w:val="20"/>
                <w:color w:val="auto"/>
              </w:rPr>
            </w:pPr>
            <w:r>
              <w:rPr>
                <w:rFonts w:ascii="Arial" w:cs="Arial" w:eastAsia="Arial" w:hAnsi="Arial"/>
                <w:sz w:val="18"/>
                <w:szCs w:val="18"/>
                <w:color w:val="auto"/>
              </w:rPr>
              <w:t>Less: borrowings, net of FLAIR offset account</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(1,361,019)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(1,161,713)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(1,030,187)</w:t>
            </w:r>
          </w:p>
        </w:tc>
      </w:tr>
      <w:tr>
        <w:trPr>
          <w:trHeight w:val="202"/>
        </w:trPr>
        <w:tc>
          <w:tcPr>
            <w:tcW w:w="4580" w:type="dxa"/>
            <w:vAlign w:val="bottom"/>
            <w:shd w:val="clear" w:color="auto" w:fill="CCEEFF"/>
          </w:tcPr>
          <w:p>
            <w:pPr>
              <w:ind w:left="320"/>
              <w:spacing w:after="0" w:line="202" w:lineRule="exact"/>
              <w:rPr>
                <w:sz w:val="20"/>
                <w:szCs w:val="20"/>
                <w:color w:val="auto"/>
              </w:rPr>
            </w:pPr>
            <w:r>
              <w:rPr>
                <w:rFonts w:ascii="Arial" w:cs="Arial" w:eastAsia="Arial" w:hAnsi="Arial"/>
                <w:sz w:val="16"/>
                <w:szCs w:val="16"/>
                <w:color w:val="auto"/>
              </w:rPr>
              <w:t>Less: FLAIR offset account</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(79,472)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(151,539)</w:t>
            </w:r>
          </w:p>
        </w:tc>
      </w:tr>
      <w:tr>
        <w:trPr>
          <w:trHeight w:val="196"/>
        </w:trPr>
        <w:tc>
          <w:tcPr>
            <w:tcW w:w="4580" w:type="dxa"/>
            <w:vAlign w:val="bottom"/>
          </w:tcPr>
          <w:p>
            <w:pPr>
              <w:ind w:left="420"/>
              <w:spacing w:after="0" w:line="196" w:lineRule="exact"/>
              <w:rPr>
                <w:sz w:val="20"/>
                <w:szCs w:val="20"/>
                <w:color w:val="auto"/>
              </w:rPr>
            </w:pPr>
            <w:r>
              <w:rPr>
                <w:rFonts w:ascii="Arial" w:cs="Arial" w:eastAsia="Arial" w:hAnsi="Arial"/>
                <w:sz w:val="18"/>
                <w:szCs w:val="18"/>
                <w:color w:val="auto"/>
              </w:rPr>
              <w:t>Additional borrowing capacity</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788,704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608,815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668,274</w:t>
            </w:r>
          </w:p>
        </w:tc>
      </w:tr>
      <w:tr>
        <w:trPr>
          <w:trHeight w:val="203"/>
        </w:trPr>
        <w:tc>
          <w:tcPr>
            <w:tcW w:w="4580" w:type="dxa"/>
            <w:vAlign w:val="bottom"/>
            <w:shd w:val="clear" w:color="auto" w:fill="CCEEFF"/>
          </w:tcPr>
          <w:p>
            <w:pPr>
              <w:ind w:left="420"/>
              <w:spacing w:after="0" w:line="202" w:lineRule="exact"/>
              <w:rPr>
                <w:sz w:val="20"/>
                <w:szCs w:val="20"/>
                <w:color w:val="auto"/>
              </w:rPr>
            </w:pPr>
            <w:r>
              <w:rPr>
                <w:rFonts w:ascii="Arial" w:cs="Arial" w:eastAsia="Arial" w:hAnsi="Arial"/>
                <w:sz w:val="16"/>
                <w:szCs w:val="16"/>
                <w:color w:val="auto"/>
              </w:rPr>
              <w:t>Less: short-term payable for sold inventory</w:t>
            </w:r>
            <w:r>
              <w:rPr>
                <w:rFonts w:ascii="Arial" w:cs="Arial" w:eastAsia="Arial" w:hAnsi="Arial"/>
                <w:sz w:val="23"/>
                <w:szCs w:val="23"/>
                <w:color w:val="auto"/>
                <w:vertAlign w:val="superscript"/>
              </w:rPr>
              <w:t>(2)</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(60,188)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(33,152)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(65,015)</w:t>
            </w:r>
          </w:p>
        </w:tc>
      </w:tr>
      <w:tr>
        <w:trPr>
          <w:trHeight w:val="203"/>
        </w:trPr>
        <w:tc>
          <w:tcPr>
            <w:tcW w:w="4580" w:type="dxa"/>
            <w:vAlign w:val="bottom"/>
            <w:tcBorders>
              <w:bottom w:val="single" w:sz="8" w:color="CCEEFF"/>
            </w:tcBorders>
          </w:tcPr>
          <w:p>
            <w:pPr>
              <w:ind w:left="420"/>
              <w:spacing w:after="0" w:line="202" w:lineRule="exact"/>
              <w:rPr>
                <w:sz w:val="20"/>
                <w:szCs w:val="20"/>
                <w:color w:val="auto"/>
              </w:rPr>
            </w:pPr>
            <w:r>
              <w:rPr>
                <w:rFonts w:ascii="Arial" w:cs="Arial" w:eastAsia="Arial" w:hAnsi="Arial"/>
                <w:sz w:val="16"/>
                <w:szCs w:val="16"/>
                <w:color w:val="auto"/>
              </w:rPr>
              <w:t>Less: purchase commitments</w:t>
            </w:r>
            <w:r>
              <w:rPr>
                <w:rFonts w:ascii="Arial" w:cs="Arial" w:eastAsia="Arial" w:hAnsi="Arial"/>
                <w:sz w:val="23"/>
                <w:szCs w:val="23"/>
                <w:color w:val="auto"/>
                <w:vertAlign w:val="superscript"/>
              </w:rPr>
              <w:t>(3)</w:t>
            </w:r>
          </w:p>
        </w:tc>
        <w:tc>
          <w:tcPr>
            <w:tcW w:w="6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(43,471)</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(9,340)</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(30,432)</w:t>
            </w:r>
          </w:p>
        </w:tc>
      </w:tr>
      <w:tr>
        <w:trPr>
          <w:trHeight w:val="196"/>
        </w:trPr>
        <w:tc>
          <w:tcPr>
            <w:tcW w:w="4580" w:type="dxa"/>
            <w:vAlign w:val="bottom"/>
            <w:tcBorders>
              <w:bottom w:val="single" w:sz="8" w:color="CCEEFF"/>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Unencumbered borrowing capacity</w:t>
            </w: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685,045</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566,323</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572,827</w:t>
            </w:r>
          </w:p>
        </w:tc>
      </w:tr>
      <w:tr>
        <w:trPr>
          <w:trHeight w:val="20"/>
        </w:trPr>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Revolving line of credit: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r>
      <w:tr>
        <w:trPr>
          <w:trHeight w:val="203"/>
        </w:trPr>
        <w:tc>
          <w:tcPr>
            <w:tcW w:w="4580" w:type="dxa"/>
            <w:vAlign w:val="bottom"/>
          </w:tcPr>
          <w:p>
            <w:pPr>
              <w:ind w:left="320"/>
              <w:spacing w:after="0" w:line="202" w:lineRule="exact"/>
              <w:rPr>
                <w:sz w:val="20"/>
                <w:szCs w:val="20"/>
                <w:color w:val="auto"/>
              </w:rPr>
            </w:pPr>
            <w:r>
              <w:rPr>
                <w:rFonts w:ascii="Arial" w:cs="Arial" w:eastAsia="Arial" w:hAnsi="Arial"/>
                <w:sz w:val="18"/>
                <w:szCs w:val="18"/>
                <w:color w:val="auto"/>
              </w:rPr>
              <w:t>Less: borrowings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(31,885)</w:t>
            </w:r>
          </w:p>
        </w:tc>
      </w:tr>
      <w:tr>
        <w:trPr>
          <w:trHeight w:val="196"/>
        </w:trPr>
        <w:tc>
          <w:tcPr>
            <w:tcW w:w="4580" w:type="dxa"/>
            <w:vAlign w:val="bottom"/>
            <w:tcBorders>
              <w:top w:val="single" w:sz="8" w:color="CCEEFF"/>
              <w:bottom w:val="single" w:sz="8" w:color="CCEEFF"/>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Additional borrowing capacity</w:t>
            </w: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38,115</w:t>
            </w:r>
          </w:p>
        </w:tc>
      </w:tr>
      <w:tr>
        <w:trPr>
          <w:trHeight w:val="20"/>
        </w:trPr>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Letters of credit:</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80" w:type="dxa"/>
            <w:vAlign w:val="bottom"/>
          </w:tcPr>
          <w:p>
            <w:pPr>
              <w:ind w:left="320"/>
              <w:spacing w:after="0" w:line="202" w:lineRule="exact"/>
              <w:rPr>
                <w:sz w:val="20"/>
                <w:szCs w:val="20"/>
                <w:color w:val="auto"/>
              </w:rPr>
            </w:pPr>
            <w:r>
              <w:rPr>
                <w:rFonts w:ascii="Arial" w:cs="Arial" w:eastAsia="Arial" w:hAnsi="Arial"/>
                <w:sz w:val="18"/>
                <w:szCs w:val="18"/>
                <w:color w:val="auto"/>
              </w:rPr>
              <w:t>Total commitment</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45,000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22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r>
      <w:tr>
        <w:trPr>
          <w:trHeight w:val="203"/>
        </w:trPr>
        <w:tc>
          <w:tcPr>
            <w:tcW w:w="4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Less: outstanding letters of credit</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(14,300)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(12,300)</w:t>
            </w:r>
          </w:p>
        </w:tc>
      </w:tr>
      <w:tr>
        <w:trPr>
          <w:trHeight w:val="196"/>
        </w:trPr>
        <w:tc>
          <w:tcPr>
            <w:tcW w:w="4580" w:type="dxa"/>
            <w:vAlign w:val="bottom"/>
          </w:tcPr>
          <w:p>
            <w:pPr>
              <w:ind w:left="420"/>
              <w:spacing w:after="0" w:line="196" w:lineRule="exact"/>
              <w:rPr>
                <w:sz w:val="20"/>
                <w:szCs w:val="20"/>
                <w:color w:val="auto"/>
              </w:rPr>
            </w:pPr>
            <w:r>
              <w:rPr>
                <w:rFonts w:ascii="Arial" w:cs="Arial" w:eastAsia="Arial" w:hAnsi="Arial"/>
                <w:sz w:val="18"/>
                <w:szCs w:val="18"/>
                <w:color w:val="auto"/>
              </w:rPr>
              <w:t>Additional letters of credit capacity</w:t>
            </w:r>
          </w:p>
        </w:tc>
        <w:tc>
          <w:tcPr>
            <w:tcW w:w="6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30,700</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15,700</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17,700</w:t>
            </w:r>
          </w:p>
        </w:tc>
      </w:tr>
      <w:tr>
        <w:trPr>
          <w:trHeight w:val="20"/>
        </w:trPr>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380" w:right="79" w:hanging="330"/>
        <w:spacing w:after="0" w:line="263" w:lineRule="auto"/>
        <w:tabs>
          <w:tab w:leader="none" w:pos="380" w:val="left"/>
        </w:tabs>
        <w:numPr>
          <w:ilvl w:val="0"/>
          <w:numId w:val="11"/>
        </w:numPr>
        <w:rPr>
          <w:rFonts w:ascii="Arial" w:cs="Arial" w:eastAsia="Arial" w:hAnsi="Arial"/>
          <w:sz w:val="13"/>
          <w:szCs w:val="13"/>
          <w:color w:val="auto"/>
        </w:rPr>
      </w:pPr>
      <w:r>
        <w:rPr>
          <w:rFonts w:ascii="Arial" w:cs="Arial" w:eastAsia="Arial" w:hAnsi="Arial"/>
          <w:sz w:val="14"/>
          <w:szCs w:val="14"/>
          <w:color w:val="auto"/>
        </w:rPr>
        <w:t>Flooring line aggregate interest reduction (“FLAIR”) offset account that allows the Company to transfer cash to the Floor Plan Lenders as an offset to the payables under the Floor Plan Facility. The FLAIR offset account does not reduce the outstanding amount of loans under the Floor Plan Facility for purposes of determining the unencumbered borrowing capacity under the Floor Plan Facility.</w:t>
      </w:r>
    </w:p>
    <w:p>
      <w:pPr>
        <w:spacing w:after="0" w:line="10" w:lineRule="exact"/>
        <w:rPr>
          <w:rFonts w:ascii="Arial" w:cs="Arial" w:eastAsia="Arial" w:hAnsi="Arial"/>
          <w:sz w:val="13"/>
          <w:szCs w:val="13"/>
          <w:color w:val="auto"/>
        </w:rPr>
      </w:pPr>
    </w:p>
    <w:p>
      <w:pPr>
        <w:jc w:val="both"/>
        <w:ind w:left="380" w:right="79" w:hanging="330"/>
        <w:spacing w:after="0" w:line="262" w:lineRule="auto"/>
        <w:tabs>
          <w:tab w:leader="none" w:pos="380" w:val="left"/>
        </w:tabs>
        <w:numPr>
          <w:ilvl w:val="0"/>
          <w:numId w:val="11"/>
        </w:numPr>
        <w:rPr>
          <w:rFonts w:ascii="Arial" w:cs="Arial" w:eastAsia="Arial" w:hAnsi="Arial"/>
          <w:sz w:val="13"/>
          <w:szCs w:val="13"/>
          <w:color w:val="auto"/>
        </w:rPr>
      </w:pPr>
      <w:r>
        <w:rPr>
          <w:rFonts w:ascii="Arial" w:cs="Arial" w:eastAsia="Arial" w:hAnsi="Arial"/>
          <w:sz w:val="14"/>
          <w:szCs w:val="14"/>
          <w:color w:val="auto"/>
        </w:rPr>
        <w:t>The short-term payable represents the amount due for sold inventory. A payment for any floor plan units sold is due within three to ten business days of sale. Due to the short-term nature of these payables, the Company reclassifies the amounts from notes payable‒floor plan, net to accounts payable in the condensed consolidated balance sheets. Changes in the vehicle floor plan payable are reported as cash flows from financing activities in the condensed consolidated statements of cash flows.</w:t>
      </w:r>
    </w:p>
    <w:p>
      <w:pPr>
        <w:spacing w:after="0" w:line="12" w:lineRule="exact"/>
        <w:rPr>
          <w:rFonts w:ascii="Arial" w:cs="Arial" w:eastAsia="Arial" w:hAnsi="Arial"/>
          <w:sz w:val="13"/>
          <w:szCs w:val="13"/>
          <w:color w:val="auto"/>
        </w:rPr>
      </w:pPr>
    </w:p>
    <w:p>
      <w:pPr>
        <w:ind w:left="380" w:right="79" w:hanging="330"/>
        <w:spacing w:after="0" w:line="285" w:lineRule="auto"/>
        <w:tabs>
          <w:tab w:leader="none" w:pos="380" w:val="left"/>
        </w:tabs>
        <w:numPr>
          <w:ilvl w:val="0"/>
          <w:numId w:val="11"/>
        </w:numPr>
        <w:rPr>
          <w:rFonts w:ascii="Arial" w:cs="Arial" w:eastAsia="Arial" w:hAnsi="Arial"/>
          <w:sz w:val="13"/>
          <w:szCs w:val="13"/>
          <w:color w:val="auto"/>
        </w:rPr>
      </w:pPr>
      <w:r>
        <w:rPr>
          <w:rFonts w:ascii="Arial" w:cs="Arial" w:eastAsia="Arial" w:hAnsi="Arial"/>
          <w:sz w:val="14"/>
          <w:szCs w:val="14"/>
          <w:color w:val="auto"/>
        </w:rPr>
        <w:t>Purchase commitments represent vehicles approved for floor plan financing where the inventory has not yet been received by the Company from the supplier and no floor plan borrowing is outstanding.</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Long-Lived Asset Impairment</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During the three and nine months ended September 30, 2025 and September 30, 2024, the Company had indicators of impairment of the long-lived assets for certain locations. Such indicators primarily included decreases in market rental rates or decreases in the market value of real property for closed locations, and the Company’s review of location performance in the normal course of business. As a result of updating certain assumptions in the long-lived asset impairment analysis for these locations, the Company determined that the fair value of certain long-lived assets was below their carrying value and were impaired.</w:t>
      </w:r>
    </w:p>
    <w:p>
      <w:pPr>
        <w:spacing w:after="0" w:line="71"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long-lived asset impairment charges were calculated as the amount that the carrying value of these locations exceeded the estimated fair value, except that individual assets cannot be impaired below their individual fair values when that fair value can be determined without undue cost and effort. Estimated fair value is typically based on estimated discounted future cash flows, while property appraisals or market rent analyses are utilized for determining the fair value of certain assets related to properties and leases.</w:t>
      </w:r>
    </w:p>
    <w:p>
      <w:pPr>
        <w:spacing w:after="0" w:line="6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details long-lived asset impairment charges by type of long-lived asset, all of which relate to the RV and Outdoor Retail segment (in thousands):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4"/>
          </w:tcPr>
          <w:p>
            <w:pPr>
              <w:jc w:val="center"/>
              <w:ind w:right="15"/>
              <w:spacing w:after="0"/>
              <w:rPr>
                <w:sz w:val="20"/>
                <w:szCs w:val="20"/>
                <w:color w:val="auto"/>
              </w:rPr>
            </w:pPr>
            <w:r>
              <w:rPr>
                <w:rFonts w:ascii="Arial" w:cs="Arial" w:eastAsia="Arial" w:hAnsi="Arial"/>
                <w:sz w:val="13"/>
                <w:szCs w:val="13"/>
                <w:b w:val="1"/>
                <w:bCs w:val="1"/>
                <w:color w:val="auto"/>
                <w:w w:val="97"/>
              </w:rPr>
              <w:t>Three Months Ended September</w:t>
            </w:r>
          </w:p>
        </w:tc>
        <w:tc>
          <w:tcPr>
            <w:tcW w:w="180" w:type="dxa"/>
            <w:vAlign w:val="bottom"/>
          </w:tcPr>
          <w:p>
            <w:pPr>
              <w:spacing w:after="0"/>
              <w:rPr>
                <w:sz w:val="13"/>
                <w:szCs w:val="13"/>
                <w:color w:val="auto"/>
              </w:rPr>
            </w:pPr>
          </w:p>
        </w:tc>
        <w:tc>
          <w:tcPr>
            <w:tcW w:w="216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w w:val="98"/>
              </w:rPr>
              <w:t>Nine Months Ended September 30,</w:t>
            </w:r>
          </w:p>
        </w:tc>
        <w:tc>
          <w:tcPr>
            <w:tcW w:w="0" w:type="dxa"/>
            <w:vAlign w:val="bottom"/>
          </w:tcPr>
          <w:p>
            <w:pPr>
              <w:spacing w:after="0"/>
              <w:rPr>
                <w:sz w:val="1"/>
                <w:szCs w:val="1"/>
                <w:color w:val="auto"/>
              </w:rPr>
            </w:pPr>
          </w:p>
        </w:tc>
      </w:tr>
      <w:tr>
        <w:trPr>
          <w:trHeight w:val="104"/>
        </w:trPr>
        <w:tc>
          <w:tcPr>
            <w:tcW w:w="4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8"/>
              </w:rPr>
              <w:t>30,</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4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3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3"/>
                <w:szCs w:val="13"/>
                <w:b w:val="1"/>
                <w:bCs w:val="1"/>
                <w:color w:val="auto"/>
              </w:rPr>
              <w:t>2025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3"/>
                <w:szCs w:val="13"/>
                <w:b w:val="1"/>
                <w:bCs w:val="1"/>
                <w:color w:val="auto"/>
              </w:rPr>
              <w:t>2025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Long-lived asset impairment charges by type of long-lived</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asset: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20"/>
              <w:spacing w:after="0"/>
              <w:rPr>
                <w:sz w:val="20"/>
                <w:szCs w:val="20"/>
                <w:color w:val="auto"/>
              </w:rPr>
            </w:pPr>
            <w:r>
              <w:rPr>
                <w:rFonts w:ascii="Arial" w:cs="Arial" w:eastAsia="Arial" w:hAnsi="Arial"/>
                <w:sz w:val="16"/>
                <w:szCs w:val="16"/>
                <w:color w:val="auto"/>
              </w:rPr>
              <w:t>Leasehold improvements</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400" w:type="dxa"/>
            <w:vAlign w:val="bottom"/>
            <w:gridSpan w:val="2"/>
          </w:tcPr>
          <w:p>
            <w:pPr>
              <w:jc w:val="right"/>
              <w:ind w:right="44"/>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4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right of use assets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547</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03"/>
        </w:trPr>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Building and improvements</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1,183</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430</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long-lived asset impairment charges</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617</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1,944</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4"/>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1,237</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12,355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Assets Held for Sale and Business Divestitures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of September 30, 2025, December 31, 2024, and September 30, 2024, six, two, and five RV and Outdoor Retail segment properties, respectively, met the criteria to be classified as held for sale.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components of assets held for sale as of September 30, 2025,</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2024, and September 30, 2024 (in thousands):</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18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36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2024</w:t>
            </w:r>
          </w:p>
        </w:tc>
      </w:tr>
      <w:tr>
        <w:trPr>
          <w:trHeight w:val="196"/>
        </w:trPr>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 held for sale:</w:t>
            </w: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Property and equipment, net</w:t>
            </w:r>
          </w:p>
        </w:tc>
        <w:tc>
          <w:tcPr>
            <w:tcW w:w="1520" w:type="dxa"/>
            <w:vAlign w:val="bottom"/>
            <w:gridSpan w:val="2"/>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38,431</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1,350</w:t>
            </w:r>
          </w:p>
        </w:tc>
        <w:tc>
          <w:tcPr>
            <w:tcW w:w="500" w:type="dxa"/>
            <w:vAlign w:val="bottom"/>
            <w:gridSpan w:val="2"/>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10,353</w:t>
            </w:r>
          </w:p>
        </w:tc>
      </w:tr>
      <w:tr>
        <w:trPr>
          <w:trHeight w:val="196"/>
        </w:trPr>
        <w:tc>
          <w:tcPr>
            <w:tcW w:w="362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38,431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10,353</w:t>
            </w:r>
          </w:p>
        </w:tc>
      </w:tr>
      <w:tr>
        <w:trPr>
          <w:trHeight w:val="20"/>
        </w:trPr>
        <w:tc>
          <w:tcPr>
            <w:tcW w:w="3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Additionally, on May 3, 2024, the Company closed on the sale of certain assets of the RV and Outdoor Retail segment’s RV furniture business (“CWDS”) and, in connection with the sale, entered into a supply agreement (“Supplier Agreement”) with the buyer and the sublease of certain properties and equipment to the buyer. The approximately $30.4 million fair value of consideration received from the divestiture were comprised of approximately $20.0 million of cash consideration, $9.5 million of an intangible asset for the Supplier Agreement, and $0.9 million of cash consideration as a holdback. During the nine months ended September 30, 2025, $ 0.7 million of the holdback was paid to the Company and the remainder of the holdback was offset against warranty costs incurred by the buyer that were indemnified by the Company. The divested net assets of CWDS were comprised primarily of approximately $28.8 million of products, parts, accessories and other inventories, $0.9 million of net intangible assets, $1.2 million of accounts payable assumed and $8.9 million of goodwill allocated from the RV and Outdoor Retail segment based on the relative fair value of CWDS. This divestiture transaction resulted in a loss of $7.1 million and is included in loss (gain) on sale or disposal of assets in the condensed consolidated statements of operations for the nine months ended September 30, 2024. The Company believes that it gained operational efficiencies by exiting the manufacture of RV furniture and focusing its resources on the sourcing and sale of its RV and aftermarket accessory products. The fair value of the Supplier Agreement intangible asset was estimated as the present value of the estimated benefits that a market participant would receive under the Supplier Agreement, such as favorable pricing and rebates, over</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term of the agreement, which is categorized as a Level 3 measurement, as defined in Note 9 – Fair Value Measurements. This Supplier Agreement intangible asset is expected to be amortized over the term of the agreement of approximately 10 years.</w:t>
      </w:r>
    </w:p>
    <w:p>
      <w:pPr>
        <w:spacing w:after="0" w:line="61"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Additionally, on June 30, 2025, the Company closed on the sale of certain assets of one RV dealership. The approximately $10.3 million fair value of consideration received from the divestiture was comprised of $4.4 million of cash consideration and $5.9 million paid directly to the Floor Plan Lenders for new vehicles included in the Company’s floor plan. Included in the $4.4 million of cash consideration was $1.0 million for a deposit related to a future purchase of real estate. The divested net assets were comprised primarily of approximately $6.1 million of inventories, net; $0.1 million of property and equipment, net; and $3.4 million of goodwill allocated from the RV and Outdoor Retail segment based on the relative fair value of the dealership. This divestiture transaction resulted in a loss of $0.3 million and is included in loss (gain) on sale or disposal of assets in the condensed consolidated statements of operations for the nine months ended September 30, 2025. In addition to receiving a return for the assets, the sale allowed the Company to avoid significant brand-specific capital improvements which would have been required to support the dealership on an on-going basis.</w:t>
      </w:r>
    </w:p>
    <w:p>
      <w:pPr>
        <w:spacing w:after="0" w:line="294" w:lineRule="exact"/>
        <w:rPr>
          <w:sz w:val="20"/>
          <w:szCs w:val="20"/>
          <w:color w:val="auto"/>
        </w:rPr>
      </w:pPr>
    </w:p>
    <w:p>
      <w:pPr>
        <w:ind w:left="60" w:right="6099" w:hanging="10"/>
        <w:spacing w:after="0" w:line="485" w:lineRule="auto"/>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Goodwill</w:t>
      </w:r>
    </w:p>
    <w:p>
      <w:pPr>
        <w:ind w:left="60" w:right="59" w:firstLine="648"/>
        <w:spacing w:after="0" w:line="271" w:lineRule="auto"/>
        <w:rPr>
          <w:sz w:val="20"/>
          <w:szCs w:val="20"/>
          <w:color w:val="auto"/>
        </w:rPr>
      </w:pPr>
      <w:r>
        <w:rPr>
          <w:rFonts w:ascii="Arial" w:cs="Arial" w:eastAsia="Arial" w:hAnsi="Arial"/>
          <w:sz w:val="18"/>
          <w:szCs w:val="18"/>
          <w:color w:val="auto"/>
        </w:rPr>
        <w:t>The following table presents a summary of changes in the Company’s goodwill by segment for the nine months ended September 30, 2025 and 2024 and three months ended December 31, 2024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rPr>
              <w:t>Good Sam</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1"/>
              <w:spacing w:after="0"/>
              <w:rPr>
                <w:sz w:val="20"/>
                <w:szCs w:val="20"/>
                <w:color w:val="auto"/>
              </w:rPr>
            </w:pPr>
            <w:r>
              <w:rPr>
                <w:rFonts w:ascii="Arial" w:cs="Arial" w:eastAsia="Arial" w:hAnsi="Arial"/>
                <w:sz w:val="14"/>
                <w:szCs w:val="14"/>
                <w:b w:val="1"/>
                <w:bCs w:val="1"/>
                <w:color w:val="auto"/>
              </w:rPr>
              <w:t>Services and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RV and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9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Plans</w:t>
            </w:r>
          </w:p>
        </w:tc>
        <w:tc>
          <w:tcPr>
            <w:tcW w:w="1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Outdoor Retail</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Consolidated</w:t>
            </w:r>
          </w:p>
        </w:tc>
      </w:tr>
      <w:tr>
        <w:trPr>
          <w:trHeight w:val="183"/>
        </w:trPr>
        <w:tc>
          <w:tcPr>
            <w:tcW w:w="4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December 31, 2023 (excluding impairment charges)</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71,118</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881,941</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953,059</w:t>
            </w:r>
          </w:p>
        </w:tc>
      </w:tr>
      <w:tr>
        <w:trPr>
          <w:trHeight w:val="189"/>
        </w:trPr>
        <w:tc>
          <w:tcPr>
            <w:tcW w:w="4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impairment charges</w:t>
            </w: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(46,884)</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(194,953)</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(241,837)</w:t>
            </w:r>
          </w:p>
        </w:tc>
      </w:tr>
      <w:tr>
        <w:trPr>
          <w:trHeight w:val="183"/>
        </w:trPr>
        <w:tc>
          <w:tcPr>
            <w:tcW w:w="4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December 31, 2023</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24,234</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686,988</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711,222</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Acquisitions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28,929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30,490</w:t>
            </w:r>
          </w:p>
        </w:tc>
      </w:tr>
      <w:tr>
        <w:trPr>
          <w:trHeight w:val="189"/>
        </w:trPr>
        <w:tc>
          <w:tcPr>
            <w:tcW w:w="494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Divestiture </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(8,899)</w:t>
            </w: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(8,899)</w:t>
            </w:r>
          </w:p>
        </w:tc>
      </w:tr>
      <w:tr>
        <w:trPr>
          <w:trHeight w:val="183"/>
        </w:trPr>
        <w:tc>
          <w:tcPr>
            <w:tcW w:w="4940" w:type="dxa"/>
            <w:vAlign w:val="bottom"/>
          </w:tcPr>
          <w:p>
            <w:pPr>
              <w:spacing w:after="0" w:line="183" w:lineRule="exact"/>
              <w:rPr>
                <w:sz w:val="20"/>
                <w:szCs w:val="20"/>
                <w:color w:val="auto"/>
              </w:rPr>
            </w:pPr>
            <w:r>
              <w:rPr>
                <w:rFonts w:ascii="Arial" w:cs="Arial" w:eastAsia="Arial" w:hAnsi="Arial"/>
                <w:sz w:val="16"/>
                <w:szCs w:val="16"/>
                <w:color w:val="auto"/>
              </w:rPr>
              <w:t>Balance at September 30, 2024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25,795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707,018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732,813</w:t>
            </w: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Acquisitions</w:t>
            </w:r>
          </w:p>
        </w:tc>
        <w:tc>
          <w:tcPr>
            <w:tcW w:w="4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w:t>
            </w:r>
          </w:p>
        </w:tc>
      </w:tr>
      <w:tr>
        <w:trPr>
          <w:trHeight w:val="183"/>
        </w:trPr>
        <w:tc>
          <w:tcPr>
            <w:tcW w:w="4940" w:type="dxa"/>
            <w:vAlign w:val="bottom"/>
          </w:tcPr>
          <w:p>
            <w:pPr>
              <w:spacing w:after="0" w:line="183" w:lineRule="exact"/>
              <w:rPr>
                <w:sz w:val="20"/>
                <w:szCs w:val="20"/>
                <w:color w:val="auto"/>
              </w:rPr>
            </w:pPr>
            <w:r>
              <w:rPr>
                <w:rFonts w:ascii="Arial" w:cs="Arial" w:eastAsia="Arial" w:hAnsi="Arial"/>
                <w:sz w:val="16"/>
                <w:szCs w:val="16"/>
                <w:color w:val="auto"/>
              </w:rPr>
              <w:t>Balance at December 31, 2024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25,795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708,228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734,023</w:t>
            </w: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Acquisitions</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18,341</w:t>
            </w:r>
          </w:p>
        </w:tc>
      </w:tr>
      <w:tr>
        <w:trPr>
          <w:trHeight w:val="189"/>
        </w:trPr>
        <w:tc>
          <w:tcPr>
            <w:tcW w:w="4940" w:type="dxa"/>
            <w:vAlign w:val="bottom"/>
            <w:tcBorders>
              <w:bottom w:val="single" w:sz="8" w:color="CCEEFF"/>
            </w:tcBorders>
          </w:tcPr>
          <w:p>
            <w:pPr>
              <w:spacing w:after="0" w:line="189" w:lineRule="exact"/>
              <w:rPr>
                <w:sz w:val="20"/>
                <w:szCs w:val="20"/>
                <w:color w:val="auto"/>
              </w:rPr>
            </w:pPr>
            <w:r>
              <w:rPr>
                <w:rFonts w:ascii="Arial" w:cs="Arial" w:eastAsia="Arial" w:hAnsi="Arial"/>
                <w:sz w:val="14"/>
                <w:szCs w:val="14"/>
                <w:color w:val="auto"/>
              </w:rPr>
              <w:t xml:space="preserve">Divestiture </w:t>
            </w:r>
            <w:r>
              <w:rPr>
                <w:rFonts w:ascii="Arial" w:cs="Arial" w:eastAsia="Arial" w:hAnsi="Arial"/>
                <w:sz w:val="21"/>
                <w:szCs w:val="21"/>
                <w:color w:val="auto"/>
                <w:vertAlign w:val="superscript"/>
              </w:rPr>
              <w:t>(2)</w:t>
            </w: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w:t>
            </w:r>
          </w:p>
        </w:tc>
      </w:tr>
      <w:tr>
        <w:trPr>
          <w:trHeight w:val="183"/>
        </w:trPr>
        <w:tc>
          <w:tcPr>
            <w:tcW w:w="49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 at September 30, 2025</w:t>
            </w: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25,795</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723,156</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748,951</w:t>
            </w:r>
          </w:p>
        </w:tc>
      </w:tr>
      <w:tr>
        <w:trPr>
          <w:trHeight w:val="20"/>
        </w:trPr>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80" w:hanging="330"/>
        <w:spacing w:after="0"/>
        <w:tabs>
          <w:tab w:leader="none" w:pos="380" w:val="left"/>
        </w:tabs>
        <w:numPr>
          <w:ilvl w:val="0"/>
          <w:numId w:val="13"/>
        </w:numPr>
        <w:rPr>
          <w:rFonts w:ascii="Arial" w:cs="Arial" w:eastAsia="Arial" w:hAnsi="Arial"/>
          <w:sz w:val="13"/>
          <w:szCs w:val="13"/>
          <w:color w:val="auto"/>
        </w:rPr>
      </w:pPr>
      <w:r>
        <w:rPr>
          <w:rFonts w:ascii="Arial" w:cs="Arial" w:eastAsia="Arial" w:hAnsi="Arial"/>
          <w:sz w:val="14"/>
          <w:szCs w:val="14"/>
          <w:color w:val="auto"/>
        </w:rPr>
        <w:t>In May 2024, the Company closed on the sale of CWDS.</w:t>
      </w:r>
    </w:p>
    <w:p>
      <w:pPr>
        <w:spacing w:after="0" w:line="15" w:lineRule="exact"/>
        <w:rPr>
          <w:rFonts w:ascii="Arial" w:cs="Arial" w:eastAsia="Arial" w:hAnsi="Arial"/>
          <w:sz w:val="13"/>
          <w:szCs w:val="13"/>
          <w:color w:val="auto"/>
        </w:rPr>
      </w:pPr>
    </w:p>
    <w:p>
      <w:pPr>
        <w:ind w:left="380" w:hanging="330"/>
        <w:spacing w:after="0"/>
        <w:tabs>
          <w:tab w:leader="none" w:pos="380" w:val="left"/>
        </w:tabs>
        <w:numPr>
          <w:ilvl w:val="0"/>
          <w:numId w:val="13"/>
        </w:numPr>
        <w:rPr>
          <w:rFonts w:ascii="Arial" w:cs="Arial" w:eastAsia="Arial" w:hAnsi="Arial"/>
          <w:sz w:val="13"/>
          <w:szCs w:val="13"/>
          <w:color w:val="auto"/>
        </w:rPr>
      </w:pPr>
      <w:r>
        <w:rPr>
          <w:rFonts w:ascii="Arial" w:cs="Arial" w:eastAsia="Arial" w:hAnsi="Arial"/>
          <w:sz w:val="14"/>
          <w:szCs w:val="14"/>
          <w:color w:val="auto"/>
        </w:rPr>
        <w:t>In June 2025, the Company closed on the sale of a dealership.</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Finite-lived intangible assets and related accumulated amortization consisted of the following as of</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2025, December 31, 2024 and September 30, 2024 (in thousands):</w:t>
      </w:r>
    </w:p>
    <w:p>
      <w:pPr>
        <w:spacing w:after="0" w:line="109"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7"/>
          </w:tcPr>
          <w:p>
            <w:pPr>
              <w:jc w:val="right"/>
              <w:ind w:right="7"/>
              <w:spacing w:after="0"/>
              <w:rPr>
                <w:sz w:val="20"/>
                <w:szCs w:val="20"/>
                <w:color w:val="auto"/>
              </w:rPr>
            </w:pPr>
            <w:r>
              <w:rPr>
                <w:rFonts w:ascii="Arial" w:cs="Arial" w:eastAsia="Arial" w:hAnsi="Arial"/>
                <w:sz w:val="14"/>
                <w:szCs w:val="14"/>
                <w:b w:val="1"/>
                <w:bCs w:val="1"/>
                <w:color w:val="auto"/>
              </w:rPr>
              <w:t>September 30, 2025</w:t>
            </w:r>
          </w:p>
        </w:tc>
        <w:tc>
          <w:tcPr>
            <w:tcW w:w="640" w:type="dxa"/>
            <w:vAlign w:val="bottom"/>
            <w:tcBorders>
              <w:bottom w:val="single" w:sz="8" w:color="auto"/>
            </w:tcBorders>
          </w:tcPr>
          <w:p>
            <w:pPr>
              <w:spacing w:after="0"/>
              <w:rPr>
                <w:sz w:val="14"/>
                <w:szCs w:val="14"/>
                <w:color w:val="auto"/>
              </w:rPr>
            </w:pPr>
          </w:p>
        </w:tc>
      </w:tr>
      <w:tr>
        <w:trPr>
          <w:trHeight w:val="146"/>
        </w:trPr>
        <w:tc>
          <w:tcPr>
            <w:tcW w:w="5560" w:type="dxa"/>
            <w:vAlign w:val="bottom"/>
          </w:tcPr>
          <w:p>
            <w:pPr>
              <w:spacing w:after="0"/>
              <w:rPr>
                <w:sz w:val="12"/>
                <w:szCs w:val="12"/>
                <w:color w:val="auto"/>
              </w:rPr>
            </w:pPr>
          </w:p>
        </w:tc>
        <w:tc>
          <w:tcPr>
            <w:tcW w:w="7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1"/>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Net</w:t>
            </w:r>
          </w:p>
        </w:tc>
      </w:tr>
      <w:tr>
        <w:trPr>
          <w:trHeight w:val="183"/>
        </w:trPr>
        <w:tc>
          <w:tcPr>
            <w:tcW w:w="5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Good Sam Services and Plans:</w:t>
            </w: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203"/>
        </w:trPr>
        <w:tc>
          <w:tcPr>
            <w:tcW w:w="5560" w:type="dxa"/>
            <w:vAlign w:val="bottom"/>
          </w:tcPr>
          <w:p>
            <w:pPr>
              <w:ind w:left="220"/>
              <w:spacing w:after="0" w:line="202" w:lineRule="exact"/>
              <w:rPr>
                <w:sz w:val="20"/>
                <w:szCs w:val="20"/>
                <w:color w:val="auto"/>
              </w:rPr>
            </w:pPr>
            <w:r>
              <w:rPr>
                <w:rFonts w:ascii="Arial" w:cs="Arial" w:eastAsia="Arial" w:hAnsi="Arial"/>
                <w:sz w:val="18"/>
                <w:szCs w:val="18"/>
                <w:color w:val="auto"/>
              </w:rPr>
              <w:t>Membership, customer lists and other</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9,194</w:t>
            </w:r>
          </w:p>
        </w:tc>
        <w:tc>
          <w:tcPr>
            <w:tcW w:w="4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(9,133)</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5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Trademarks and trade names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(486)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1,646</w:t>
            </w:r>
          </w:p>
        </w:tc>
      </w:tr>
      <w:tr>
        <w:trPr>
          <w:trHeight w:val="203"/>
        </w:trPr>
        <w:tc>
          <w:tcPr>
            <w:tcW w:w="5560" w:type="dxa"/>
            <w:vAlign w:val="bottom"/>
          </w:tcPr>
          <w:p>
            <w:pPr>
              <w:ind w:left="220"/>
              <w:spacing w:after="0" w:line="202" w:lineRule="exact"/>
              <w:rPr>
                <w:sz w:val="20"/>
                <w:szCs w:val="20"/>
                <w:color w:val="auto"/>
              </w:rPr>
            </w:pPr>
            <w:r>
              <w:rPr>
                <w:rFonts w:ascii="Arial" w:cs="Arial" w:eastAsia="Arial" w:hAnsi="Arial"/>
                <w:sz w:val="18"/>
                <w:szCs w:val="18"/>
                <w:color w:val="auto"/>
              </w:rPr>
              <w:t>Websites and developed technology</w:t>
            </w: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3,650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1,619</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2"/>
        </w:trPr>
        <w:tc>
          <w:tcPr>
            <w:tcW w:w="5560" w:type="dxa"/>
            <w:vAlign w:val="bottom"/>
          </w:tcPr>
          <w:p>
            <w:pPr>
              <w:ind w:left="220"/>
              <w:spacing w:after="0" w:line="202" w:lineRule="exact"/>
              <w:rPr>
                <w:sz w:val="20"/>
                <w:szCs w:val="20"/>
                <w:color w:val="auto"/>
              </w:rPr>
            </w:pPr>
            <w:r>
              <w:rPr>
                <w:rFonts w:ascii="Arial" w:cs="Arial" w:eastAsia="Arial" w:hAnsi="Arial"/>
                <w:sz w:val="18"/>
                <w:szCs w:val="18"/>
                <w:color w:val="auto"/>
              </w:rPr>
              <w:t>Customer lists, domain names and other</w:t>
            </w: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4,154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(3,052)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1,102</w:t>
            </w:r>
          </w:p>
        </w:tc>
      </w:tr>
      <w:tr>
        <w:trPr>
          <w:trHeight w:val="203"/>
        </w:trPr>
        <w:tc>
          <w:tcPr>
            <w:tcW w:w="5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Supplier lists and agreements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(1,262)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8,238</w:t>
            </w:r>
          </w:p>
        </w:tc>
      </w:tr>
      <w:tr>
        <w:trPr>
          <w:trHeight w:val="203"/>
        </w:trPr>
        <w:tc>
          <w:tcPr>
            <w:tcW w:w="5560" w:type="dxa"/>
            <w:vAlign w:val="bottom"/>
          </w:tcPr>
          <w:p>
            <w:pPr>
              <w:ind w:left="220"/>
              <w:spacing w:after="0" w:line="202" w:lineRule="exact"/>
              <w:rPr>
                <w:sz w:val="20"/>
                <w:szCs w:val="20"/>
                <w:color w:val="auto"/>
              </w:rPr>
            </w:pPr>
            <w:r>
              <w:rPr>
                <w:rFonts w:ascii="Arial" w:cs="Arial" w:eastAsia="Arial" w:hAnsi="Arial"/>
                <w:sz w:val="18"/>
                <w:szCs w:val="18"/>
                <w:color w:val="auto"/>
              </w:rPr>
              <w:t>Trademarks and trade names</w:t>
            </w: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26,526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(23,010)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3,516</w:t>
            </w:r>
          </w:p>
        </w:tc>
      </w:tr>
      <w:tr>
        <w:trPr>
          <w:trHeight w:val="203"/>
        </w:trPr>
        <w:tc>
          <w:tcPr>
            <w:tcW w:w="5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Websites and developed technology</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(5,630)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w:t>
            </w:r>
          </w:p>
        </w:tc>
      </w:tr>
      <w:tr>
        <w:trPr>
          <w:trHeight w:val="196"/>
        </w:trPr>
        <w:tc>
          <w:tcPr>
            <w:tcW w:w="55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61,307</w:t>
            </w:r>
          </w:p>
        </w:tc>
        <w:tc>
          <w:tcPr>
            <w:tcW w:w="6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(44,604)</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16,703</w:t>
            </w: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7"/>
          </w:tcPr>
          <w:p>
            <w:pPr>
              <w:jc w:val="right"/>
              <w:ind w:right="27"/>
              <w:spacing w:after="0"/>
              <w:rPr>
                <w:sz w:val="20"/>
                <w:szCs w:val="20"/>
                <w:color w:val="auto"/>
              </w:rPr>
            </w:pPr>
            <w:r>
              <w:rPr>
                <w:rFonts w:ascii="Arial" w:cs="Arial" w:eastAsia="Arial" w:hAnsi="Arial"/>
                <w:sz w:val="14"/>
                <w:szCs w:val="14"/>
                <w:b w:val="1"/>
                <w:bCs w:val="1"/>
                <w:color w:val="auto"/>
              </w:rPr>
              <w:t>December 31, 2024</w:t>
            </w:r>
          </w:p>
        </w:tc>
        <w:tc>
          <w:tcPr>
            <w:tcW w:w="640" w:type="dxa"/>
            <w:vAlign w:val="bottom"/>
            <w:tcBorders>
              <w:bottom w:val="single" w:sz="8" w:color="auto"/>
            </w:tcBorders>
          </w:tcPr>
          <w:p>
            <w:pPr>
              <w:spacing w:after="0"/>
              <w:rPr>
                <w:sz w:val="14"/>
                <w:szCs w:val="14"/>
                <w:color w:val="auto"/>
              </w:rPr>
            </w:pPr>
          </w:p>
        </w:tc>
      </w:tr>
      <w:tr>
        <w:trPr>
          <w:trHeight w:val="146"/>
        </w:trPr>
        <w:tc>
          <w:tcPr>
            <w:tcW w:w="5560" w:type="dxa"/>
            <w:vAlign w:val="bottom"/>
          </w:tcPr>
          <w:p>
            <w:pPr>
              <w:spacing w:after="0"/>
              <w:rPr>
                <w:sz w:val="12"/>
                <w:szCs w:val="12"/>
                <w:color w:val="auto"/>
              </w:rPr>
            </w:pP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Net</w:t>
            </w:r>
          </w:p>
        </w:tc>
      </w:tr>
      <w:tr>
        <w:trPr>
          <w:trHeight w:val="183"/>
        </w:trPr>
        <w:tc>
          <w:tcPr>
            <w:tcW w:w="5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Good Sam Services and Plans:</w:t>
            </w: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Membership, customer lists and other</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9,740</w:t>
            </w:r>
          </w:p>
        </w:tc>
        <w:tc>
          <w:tcPr>
            <w:tcW w:w="3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(9,537)</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1,753</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3,650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(1,614)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2,036</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Customer lists and domain names</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4,154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(2,752)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1,402</w:t>
            </w:r>
          </w:p>
        </w:tc>
      </w:tr>
      <w:tr>
        <w:trPr>
          <w:trHeight w:val="202"/>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Supplier lists and agreements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(594)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8,906</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26,526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(22,005)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4,521</w:t>
            </w: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(5,700)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w:t>
            </w:r>
          </w:p>
        </w:tc>
      </w:tr>
      <w:tr>
        <w:trPr>
          <w:trHeight w:val="196"/>
        </w:trPr>
        <w:tc>
          <w:tcPr>
            <w:tcW w:w="556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$ 62,050</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(42,581)</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19,469</w:t>
            </w: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45"/>
        </w:trPr>
        <w:tc>
          <w:tcPr>
            <w:tcW w:w="5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7"/>
          </w:tcPr>
          <w:p>
            <w:pPr>
              <w:jc w:val="right"/>
              <w:ind w:right="7"/>
              <w:spacing w:after="0"/>
              <w:rPr>
                <w:sz w:val="20"/>
                <w:szCs w:val="20"/>
                <w:color w:val="auto"/>
              </w:rPr>
            </w:pPr>
            <w:r>
              <w:rPr>
                <w:rFonts w:ascii="Arial" w:cs="Arial" w:eastAsia="Arial" w:hAnsi="Arial"/>
                <w:sz w:val="14"/>
                <w:szCs w:val="14"/>
                <w:b w:val="1"/>
                <w:bCs w:val="1"/>
                <w:color w:val="auto"/>
              </w:rPr>
              <w:t>September 30, 2024</w:t>
            </w:r>
          </w:p>
        </w:tc>
        <w:tc>
          <w:tcPr>
            <w:tcW w:w="640" w:type="dxa"/>
            <w:vAlign w:val="bottom"/>
            <w:tcBorders>
              <w:bottom w:val="single" w:sz="8" w:color="auto"/>
            </w:tcBorders>
          </w:tcPr>
          <w:p>
            <w:pPr>
              <w:spacing w:after="0"/>
              <w:rPr>
                <w:sz w:val="24"/>
                <w:szCs w:val="24"/>
                <w:color w:val="auto"/>
              </w:rPr>
            </w:pPr>
          </w:p>
        </w:tc>
      </w:tr>
      <w:tr>
        <w:trPr>
          <w:trHeight w:val="146"/>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Cost or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1"/>
        </w:trPr>
        <w:tc>
          <w:tcPr>
            <w:tcW w:w="55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Net</w:t>
            </w:r>
          </w:p>
        </w:tc>
      </w:tr>
      <w:tr>
        <w:trPr>
          <w:trHeight w:val="183"/>
        </w:trPr>
        <w:tc>
          <w:tcPr>
            <w:tcW w:w="5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Good Sam Services and Plans:</w:t>
            </w: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Membership, customer lists and other</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9,740</w:t>
            </w:r>
          </w:p>
        </w:tc>
        <w:tc>
          <w:tcPr>
            <w:tcW w:w="3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(9,464)</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1,789</w:t>
            </w:r>
          </w:p>
        </w:tc>
      </w:tr>
      <w:tr>
        <w:trPr>
          <w:trHeight w:val="202"/>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3,650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(1,475)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2,175</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Customer lists and domain names and other</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4,154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(2,652)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1,502</w:t>
            </w: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Supplier lists and agreements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9,129</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26,526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(21,670)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4,856</w:t>
            </w: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(5,659)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686</w:t>
            </w:r>
          </w:p>
        </w:tc>
      </w:tr>
      <w:tr>
        <w:trPr>
          <w:trHeight w:val="196"/>
        </w:trPr>
        <w:tc>
          <w:tcPr>
            <w:tcW w:w="556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$ 62,047</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(41,634)</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20,413</w:t>
            </w: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Long-Term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Outstanding long-term debt consisted of the following (in thousands):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75"/>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195"/>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29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r>
      <w:tr>
        <w:trPr>
          <w:trHeight w:val="196"/>
        </w:trPr>
        <w:tc>
          <w:tcPr>
            <w:tcW w:w="2900" w:type="dxa"/>
            <w:vAlign w:val="bottom"/>
            <w:shd w:val="clear" w:color="auto" w:fill="CCEEFF"/>
          </w:tcPr>
          <w:p>
            <w:pPr>
              <w:spacing w:after="0" w:line="195" w:lineRule="exact"/>
              <w:rPr>
                <w:sz w:val="20"/>
                <w:szCs w:val="20"/>
                <w:color w:val="auto"/>
              </w:rPr>
            </w:pPr>
            <w:r>
              <w:rPr>
                <w:rFonts w:ascii="Arial" w:cs="Arial" w:eastAsia="Arial" w:hAnsi="Arial"/>
                <w:sz w:val="16"/>
                <w:szCs w:val="16"/>
                <w:color w:val="auto"/>
              </w:rPr>
              <w:t xml:space="preserve">Term Loan Facility </w:t>
            </w:r>
            <w:r>
              <w:rPr>
                <w:rFonts w:ascii="Arial" w:cs="Arial" w:eastAsia="Arial" w:hAnsi="Arial"/>
                <w:sz w:val="22"/>
                <w:szCs w:val="22"/>
                <w:color w:val="auto"/>
                <w:vertAlign w:val="superscript"/>
              </w:rPr>
              <w:t>(1)</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1,311,362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1,335,535</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1,338,321</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6"/>
                <w:szCs w:val="16"/>
                <w:color w:val="auto"/>
              </w:rPr>
              <w:t xml:space="preserve">Real Estate Facilities </w:t>
            </w:r>
            <w:r>
              <w:rPr>
                <w:rFonts w:ascii="Arial" w:cs="Arial" w:eastAsia="Arial" w:hAnsi="Arial"/>
                <w:sz w:val="23"/>
                <w:szCs w:val="23"/>
                <w:color w:val="auto"/>
                <w:vertAlign w:val="superscript"/>
              </w:rPr>
              <w:t>(2)</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163,018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173,132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183,497</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Debt</w:t>
            </w:r>
          </w:p>
        </w:tc>
        <w:tc>
          <w:tcPr>
            <w:tcW w:w="10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7,676</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7,926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8,007</w:t>
            </w: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Subtotal</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1,482,056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1,516,593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1,529,825</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w:t>
            </w:r>
          </w:p>
        </w:tc>
        <w:tc>
          <w:tcPr>
            <w:tcW w:w="10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(22,749)</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(23,275)</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(23,798)</w:t>
            </w: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1,459,307</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1,493,318</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1,506,027</w:t>
            </w:r>
          </w:p>
        </w:tc>
      </w:tr>
      <w:tr>
        <w:trPr>
          <w:trHeight w:val="20"/>
        </w:trPr>
        <w:tc>
          <w:tcPr>
            <w:tcW w:w="2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380" w:right="79" w:hanging="330"/>
        <w:spacing w:after="0" w:line="214" w:lineRule="auto"/>
        <w:tabs>
          <w:tab w:leader="none" w:pos="38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Net of $7.7 million, $9.6 million, and $10.2 million of original issue discount as of September 30, 2025, December 31, 2024, and September 30, 2024, respectively, and $2.9 million, $3.8 million, and $3.9 million of finance costs as of September 30, 2025, December 31, 2024, and September 30, 2024, respectively.</w:t>
      </w:r>
    </w:p>
    <w:p>
      <w:pPr>
        <w:spacing w:after="0" w:line="81"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Net of $2.2 million, $3.1 million, and $3.3 million of finance costs as of September 30, 2025, December 31, 2024, and September 30, 2024, respectively.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Credit Facilities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As of September 30, 2025, December 31, 2024, and September 30, 2024, CWGS Group, LLC (the “Borrower”), a wholly-owned subsidiary of CWGS, LLC, was party to a credit agreement (the “Credit Agreement”) for a term loan facility (the “Term Loan Facility”) and a revolving credit facility (the “Revolving Credit Facility” and collectively the “Senior Secured Credit Facilities”).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details the outstanding amounts and available borrowings under the Senior Secured Credit Facilities as of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120" w:type="dxa"/>
            <w:vAlign w:val="bottom"/>
          </w:tcPr>
          <w:p>
            <w:pPr>
              <w:jc w:val="right"/>
              <w:ind w:right="5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8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Senior Secured Credit Facilities: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120"/>
              <w:spacing w:after="0" w:line="202" w:lineRule="exact"/>
              <w:rPr>
                <w:sz w:val="20"/>
                <w:szCs w:val="20"/>
                <w:color w:val="auto"/>
              </w:rPr>
            </w:pPr>
            <w:r>
              <w:rPr>
                <w:rFonts w:ascii="Arial" w:cs="Arial" w:eastAsia="Arial" w:hAnsi="Arial"/>
                <w:sz w:val="18"/>
                <w:szCs w:val="18"/>
                <w:color w:val="auto"/>
              </w:rPr>
              <w:t>Term Loan Facility:</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Principal amount of borrowings</w:t>
            </w: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Less: cumulative principal payments</w:t>
            </w:r>
          </w:p>
        </w:tc>
        <w:tc>
          <w:tcPr>
            <w:tcW w:w="22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(78,060)</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(51,049)</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(47,545)</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unamortized original issue discount</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(7,665)</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(9,600)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(10,228)</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Less: unamortized finance costs</w:t>
            </w:r>
          </w:p>
        </w:tc>
        <w:tc>
          <w:tcPr>
            <w:tcW w:w="22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(2,913)</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(3,816)</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1,311,362</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1,335,535</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1,338,321</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(14,015)</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(14,015)</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(14,015)</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Long-term debt, net of current portion</w:t>
            </w:r>
          </w:p>
        </w:tc>
        <w:tc>
          <w:tcPr>
            <w:tcW w:w="220" w:type="dxa"/>
            <w:vAlign w:val="bottom"/>
            <w:tcBorders>
              <w:top w:val="single" w:sz="8" w:color="auto"/>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1,297,347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1,321,520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1,324,306</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120"/>
              <w:spacing w:after="0"/>
              <w:rPr>
                <w:sz w:val="20"/>
                <w:szCs w:val="20"/>
                <w:color w:val="auto"/>
              </w:rPr>
            </w:pPr>
            <w:r>
              <w:rPr>
                <w:rFonts w:ascii="Arial" w:cs="Arial" w:eastAsia="Arial" w:hAnsi="Arial"/>
                <w:sz w:val="18"/>
                <w:szCs w:val="18"/>
                <w:color w:val="auto"/>
              </w:rPr>
              <w:t>Revolving Credit Facility:</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commitment</w:t>
            </w: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Less: outstanding letters of credit</w:t>
            </w:r>
          </w:p>
        </w:tc>
        <w:tc>
          <w:tcPr>
            <w:tcW w:w="22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(4,902)</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(4,902)</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total net leverage ratio borrowing limitation</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(37,348)</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(37,348)</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(37,348)</w:t>
            </w:r>
          </w:p>
        </w:tc>
        <w:tc>
          <w:tcPr>
            <w:tcW w:w="0" w:type="dxa"/>
            <w:vAlign w:val="bottom"/>
          </w:tcPr>
          <w:p>
            <w:pPr>
              <w:spacing w:after="0"/>
              <w:rPr>
                <w:sz w:val="1"/>
                <w:szCs w:val="1"/>
                <w:color w:val="auto"/>
              </w:rPr>
            </w:pPr>
          </w:p>
        </w:tc>
      </w:tr>
      <w:tr>
        <w:trPr>
          <w:trHeight w:val="196"/>
        </w:trPr>
        <w:tc>
          <w:tcPr>
            <w:tcW w:w="4820" w:type="dxa"/>
            <w:vAlign w:val="bottom"/>
          </w:tcPr>
          <w:p>
            <w:pPr>
              <w:ind w:left="340"/>
              <w:spacing w:after="0" w:line="196" w:lineRule="exact"/>
              <w:rPr>
                <w:sz w:val="20"/>
                <w:szCs w:val="20"/>
                <w:color w:val="auto"/>
              </w:rPr>
            </w:pPr>
            <w:r>
              <w:rPr>
                <w:rFonts w:ascii="Arial" w:cs="Arial" w:eastAsia="Arial" w:hAnsi="Arial"/>
                <w:sz w:val="18"/>
                <w:szCs w:val="18"/>
                <w:color w:val="auto"/>
              </w:rPr>
              <w:t>Additional borrowing capacity</w:t>
            </w:r>
          </w:p>
        </w:tc>
        <w:tc>
          <w:tcPr>
            <w:tcW w:w="220" w:type="dxa"/>
            <w:vAlign w:val="bottom"/>
            <w:tcBorders>
              <w:top w:val="single" w:sz="8" w:color="auto"/>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22,750</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22,750</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22,750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As of September 30, 2025, December 31, 2024, and September 30, 2024, the average interest rate on the Term Loan Facility was 6.78%, 6.97%, and 7.47%, respectively, and the effective interest rates were 7.17%, 7.43%, and 7.92%, respectively. In addition to the regularly scheduled quarterly principal payments, the Company made a voluntary principal payment on the Term Loan Facility of $16.5 million in July 2025.</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Management has determined that the Senior Secured Credit Facilities include subjective acceleration clauses, which could impact debt classification. Management believes that no events have occurred as of September 30, 2025 that would trigger a subjective acceleration clause.</w:t>
      </w:r>
    </w:p>
    <w:p>
      <w:pPr>
        <w:spacing w:after="0" w:line="16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Credit Agreement requires the Borrower and its subsidiaries to comply on a quarterly basis with a maximum Total Net Leverage Ratio (as defined in the Credit Agreement), which covenant is in effect only if, as of the end of each calendar quarter, the aggregate amount of borrowings under the revolving credit facility, letters of credit and unreimbursed letter of credit disbursements outstanding at such time is greater than 35% of the total commitment on the Revolving Credit Facility (excluding (i) up to $15.0 million attributable to any outstanding undrawn letters of credit and (ii) any cash collateralized or backstopped letters of credit), as defined in the Credit Agreement. As of September 30, 2025, the Company was not subject to this covenant as borrowings under the Revolving Credit Facility did not exceed the 35% threshold, however the Company’s borrowing capacity was reduced by $37.3 million in light of this covenant. The Company was in compliance with all applicable financial debt covenants as of September 30, 2025, December 31, 2024, and September 30, 2024.</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 Facilities</w:t>
      </w:r>
    </w:p>
    <w:p>
      <w:pPr>
        <w:spacing w:after="0" w:line="21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As of September 30, 2025, December 31, 2024 and September 30, 2024, subsidiaries of FRHP Lincolnshire, LLC (“FRHP”), an indirect wholly-owned subsidiary of CWGS, LLC, were party to a credit agreement with a syndication of banks for a real estate credit facility (as amended from time to time, the “M&amp;T Real Estate Facility”) with aggregate maximum principal capacity of $300.0 million with an option that allows FRHP to request an additional $100.0 million of principal capacity. During the nine months ended September 30, 2025, FRHP had no additional borrowings under the M&amp;T Real Estate facility, and during the nine months ended September 30, 2024, FRHP borrowed an additional $55.6 million. During the nine months ended September 30, 2025, FRHP repaid $2.9 million of the M&amp;T Real Estate Facility to pay off the remaining principal balances relating to one property. During the nine months ended September 30, 2024, FRHP repaid $38.6 million of the M&amp;T Real Estate Facility to pay off the remaining principal balances relating to six properties. As of September 30, 2025, the remaining available borrowing capacity was $57.4 million.</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September 30, 2025, December 31, 2024, and September 30, 2024, Camping World Property, LLC, successor by conversion to Camping World Property, Inc. (the ‘‘Real Estate Borrower’’), an indirect wholly-owned subsidiary of CWGS, LLC, and CIBC Bank USA, were parties to loan and security agreements for real estate credit facilities (as amended from time to time, the “First CIBC Real Estate Facility” and the “Third CIBC Real Estate Facility” and together with the M&amp;T Real Estate Facility, the “Real Estate Facilities”). In May 2024, the Real Estate Borrower repaid the outstanding balance of the Third CIBC Real Estate Facility of $8.9 million, which related to the facility for the divested operations of CWDS in Elkhart, Indiana, and the Third CIBC Real Estate Facility was terminated. The First CIBC Real Estate Facility matures in October 2028.</w:t>
      </w:r>
    </w:p>
    <w:p>
      <w:pPr>
        <w:spacing w:after="0" w:line="18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shows a summary of the outstanding balances, remaining available borrowings, and weighted average interest rate under the Real Estate Facilities as of September 30, 2025:</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center"/>
              <w:ind w:right="124"/>
              <w:spacing w:after="0"/>
              <w:rPr>
                <w:sz w:val="20"/>
                <w:szCs w:val="20"/>
                <w:color w:val="auto"/>
              </w:rPr>
            </w:pPr>
            <w:r>
              <w:rPr>
                <w:rFonts w:ascii="Arial" w:cs="Arial" w:eastAsia="Arial" w:hAnsi="Arial"/>
                <w:sz w:val="14"/>
                <w:szCs w:val="14"/>
                <w:b w:val="1"/>
                <w:bCs w:val="1"/>
                <w:color w:val="auto"/>
              </w:rPr>
              <w:t>As of September 30, 2025</w:t>
            </w: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Outstanding</w:t>
            </w:r>
            <w:r>
              <w:rPr>
                <w:rFonts w:ascii="Arial" w:cs="Arial" w:eastAsia="Arial" w:hAnsi="Arial"/>
                <w:sz w:val="21"/>
                <w:szCs w:val="21"/>
                <w:b w:val="1"/>
                <w:bCs w:val="1"/>
                <w:color w:val="auto"/>
                <w:vertAlign w:val="superscript"/>
              </w:rPr>
              <w:t>(1)</w:t>
            </w: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Wtd. Average</w:t>
            </w:r>
          </w:p>
        </w:tc>
        <w:tc>
          <w:tcPr>
            <w:tcW w:w="0" w:type="dxa"/>
            <w:vAlign w:val="bottom"/>
          </w:tcPr>
          <w:p>
            <w:pPr>
              <w:spacing w:after="0"/>
              <w:rPr>
                <w:sz w:val="1"/>
                <w:szCs w:val="1"/>
                <w:color w:val="auto"/>
              </w:rPr>
            </w:pPr>
          </w:p>
        </w:tc>
      </w:tr>
      <w:tr>
        <w:trPr>
          <w:trHeight w:val="189"/>
        </w:trPr>
        <w:tc>
          <w:tcPr>
            <w:tcW w:w="5780" w:type="dxa"/>
            <w:vAlign w:val="bottom"/>
            <w:gridSpan w:val="2"/>
          </w:tcPr>
          <w:p>
            <w:pPr>
              <w:ind w:left="20"/>
              <w:spacing w:after="0"/>
              <w:rPr>
                <w:sz w:val="20"/>
                <w:szCs w:val="20"/>
                <w:color w:val="auto"/>
              </w:rPr>
            </w:pPr>
            <w:r>
              <w:rPr>
                <w:rFonts w:ascii="Arial" w:cs="Arial" w:eastAsia="Arial" w:hAnsi="Arial"/>
                <w:sz w:val="11"/>
                <w:szCs w:val="11"/>
                <w:color w:val="auto"/>
              </w:rPr>
              <w:t>(In thousands)</w:t>
            </w:r>
          </w:p>
        </w:tc>
        <w:tc>
          <w:tcPr>
            <w:tcW w:w="1140" w:type="dxa"/>
            <w:vAlign w:val="bottom"/>
            <w:gridSpan w:val="3"/>
            <w:vMerge w:val="continue"/>
          </w:tcPr>
          <w:p>
            <w:pPr>
              <w:spacing w:after="0"/>
              <w:rPr>
                <w:sz w:val="16"/>
                <w:szCs w:val="16"/>
                <w:color w:val="auto"/>
              </w:rPr>
            </w:pPr>
          </w:p>
        </w:tc>
        <w:tc>
          <w:tcPr>
            <w:tcW w:w="88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96"/>
              </w:rPr>
              <w:t>Available</w:t>
            </w:r>
            <w:r>
              <w:rPr>
                <w:rFonts w:ascii="Arial" w:cs="Arial" w:eastAsia="Arial" w:hAnsi="Arial"/>
                <w:sz w:val="21"/>
                <w:szCs w:val="21"/>
                <w:b w:val="1"/>
                <w:bCs w:val="1"/>
                <w:color w:val="auto"/>
                <w:w w:val="96"/>
                <w:vertAlign w:val="superscript"/>
              </w:rPr>
              <w:t>(2)</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83"/>
        </w:trPr>
        <w:tc>
          <w:tcPr>
            <w:tcW w:w="562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Real Estate Facilities</w:t>
            </w: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ind w:left="120"/>
              <w:spacing w:after="0"/>
              <w:rPr>
                <w:sz w:val="20"/>
                <w:szCs w:val="20"/>
                <w:color w:val="auto"/>
              </w:rPr>
            </w:pPr>
            <w:r>
              <w:rPr>
                <w:rFonts w:ascii="Arial" w:cs="Arial" w:eastAsia="Arial" w:hAnsi="Arial"/>
                <w:sz w:val="16"/>
                <w:szCs w:val="16"/>
                <w:color w:val="auto"/>
              </w:rPr>
              <w:t>M&amp;T Real Estate Facility</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159,850</w:t>
            </w:r>
          </w:p>
        </w:tc>
        <w:tc>
          <w:tcPr>
            <w:tcW w:w="16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57,390</w:t>
            </w:r>
          </w:p>
        </w:tc>
        <w:tc>
          <w:tcPr>
            <w:tcW w:w="16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940" w:type="dxa"/>
            <w:vAlign w:val="bottom"/>
          </w:tcPr>
          <w:p>
            <w:pPr>
              <w:jc w:val="right"/>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First CIBC Real Estate Facility</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3,168</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163,018</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44"/>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57,390</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380" w:hanging="330"/>
        <w:spacing w:after="0"/>
        <w:tabs>
          <w:tab w:leader="none" w:pos="38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Outstanding principal amounts are net of unamortized finance costs.</w:t>
      </w:r>
    </w:p>
    <w:p>
      <w:pPr>
        <w:spacing w:after="0" w:line="66" w:lineRule="exact"/>
        <w:rPr>
          <w:rFonts w:ascii="Arial" w:cs="Arial" w:eastAsia="Arial" w:hAnsi="Arial"/>
          <w:sz w:val="22"/>
          <w:szCs w:val="22"/>
          <w:color w:val="auto"/>
          <w:vertAlign w:val="superscript"/>
        </w:rPr>
      </w:pPr>
    </w:p>
    <w:p>
      <w:pPr>
        <w:ind w:left="380" w:hanging="330"/>
        <w:spacing w:after="0" w:line="183" w:lineRule="auto"/>
        <w:tabs>
          <w:tab w:leader="none" w:pos="38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Amounts cannot be reborrowed.</w:t>
      </w:r>
    </w:p>
    <w:p>
      <w:pPr>
        <w:spacing w:after="0" w:line="67" w:lineRule="exact"/>
        <w:rPr>
          <w:rFonts w:ascii="Arial" w:cs="Arial" w:eastAsia="Arial" w:hAnsi="Arial"/>
          <w:sz w:val="20"/>
          <w:szCs w:val="20"/>
          <w:color w:val="auto"/>
          <w:vertAlign w:val="superscript"/>
        </w:rPr>
      </w:pPr>
    </w:p>
    <w:p>
      <w:pPr>
        <w:ind w:left="380" w:right="79" w:hanging="330"/>
        <w:spacing w:after="0" w:line="211" w:lineRule="auto"/>
        <w:tabs>
          <w:tab w:leader="none" w:pos="38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Additional borrowings on the M&amp;T Real Estate Facility are subject to a debt service coverage ratio covenant and to the property collateral requirements under the M&amp;T Real Estate Facility.</w:t>
      </w:r>
    </w:p>
    <w:p>
      <w:pPr>
        <w:spacing w:after="0" w:line="23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Management has determined that the credit agreements governing the Real Estate Facilities include subjective acceleration clauses, which could impact debt classification. Management believes that no events have occurred as of September 30, 2025 that would trigger a subjective acceleration clause. Additionally, the Real Estate Facilities are subject to certain cross default provisions, a debt service coverage ratio, and other customary covenants. The Company was in compliance with all financial debt covenants as of September 30, 2025, December 31, 2024, and September 30, 2024.</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Long-Term Debt</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September 30, 2025, the outstanding principal balance of other long-term debt was $7.7 million with a weighted average interest rate of 4.27%.</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Lease Obligations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presents certain information related to the costs for leases where the Company is the lessee (in thousands):</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29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492"/>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43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28,951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28,999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87,727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87,483</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Finance lease cost:</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Amortization of finance lease assets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8,011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8,484</w:t>
            </w:r>
          </w:p>
        </w:tc>
      </w:tr>
      <w:tr>
        <w:trPr>
          <w:trHeight w:val="202"/>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Interest on finance lease liabilities</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2,161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2,233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6,583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7,079</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1,398</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6,701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6,422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18,560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19,312</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Sublease income</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(922)</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(893)</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(2,650)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(2,464)</w:t>
            </w:r>
          </w:p>
        </w:tc>
      </w:tr>
      <w:tr>
        <w:trPr>
          <w:trHeight w:val="196"/>
        </w:trPr>
        <w:tc>
          <w:tcPr>
            <w:tcW w:w="4380" w:type="dxa"/>
            <w:vAlign w:val="bottom"/>
          </w:tcPr>
          <w:p>
            <w:pPr>
              <w:spacing w:after="0" w:line="196" w:lineRule="exact"/>
              <w:rPr>
                <w:sz w:val="20"/>
                <w:szCs w:val="20"/>
                <w:color w:val="auto"/>
              </w:rPr>
            </w:pPr>
            <w:r>
              <w:rPr>
                <w:rFonts w:ascii="Arial" w:cs="Arial" w:eastAsia="Arial" w:hAnsi="Arial"/>
                <w:sz w:val="18"/>
                <w:szCs w:val="18"/>
                <w:color w:val="auto"/>
              </w:rPr>
              <w:t>Net lease costs</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39,819</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40,111</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119,039</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121,292</w:t>
            </w:r>
          </w:p>
        </w:tc>
      </w:tr>
      <w:tr>
        <w:trPr>
          <w:trHeight w:val="20"/>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September 30, 2025, December 31, 2024, and September 30, 2024, finance lease assets of $116.5 million, $120.0 million, and $122.7 million, respectively, were included in property and equipment, net in the accompanying condensed consolidated balance sheets.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supplemental cash flow information related to leases (in thousands):</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7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2024</w:t>
            </w:r>
          </w:p>
        </w:tc>
      </w:tr>
      <w:tr>
        <w:trPr>
          <w:trHeight w:val="164"/>
        </w:trPr>
        <w:tc>
          <w:tcPr>
            <w:tcW w:w="570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Cash  paid  for  amounts  included  in  the  measurement  of  lease</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21"/>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Operating cash flows for operating leases</w:t>
            </w:r>
          </w:p>
        </w:tc>
        <w:tc>
          <w:tcPr>
            <w:tcW w:w="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90,571</w:t>
            </w:r>
          </w:p>
        </w:tc>
        <w:tc>
          <w:tcPr>
            <w:tcW w:w="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89,213</w:t>
            </w:r>
          </w:p>
        </w:tc>
      </w:tr>
      <w:tr>
        <w:trPr>
          <w:trHeight w:val="203"/>
        </w:trPr>
        <w:tc>
          <w:tcPr>
            <w:tcW w:w="5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cash flows for finance leases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6,577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7,079</w:t>
            </w: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Financing cash flows for finance leases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5,540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5,684</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assets obtained in exchange for lease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New, remeasured and terminated operating leases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22,299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62,520</w:t>
            </w:r>
          </w:p>
        </w:tc>
      </w:tr>
      <w:tr>
        <w:trPr>
          <w:trHeight w:val="203"/>
        </w:trPr>
        <w:tc>
          <w:tcPr>
            <w:tcW w:w="5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New, remeasured and terminated finance leases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30,771</w:t>
            </w:r>
          </w:p>
        </w:tc>
      </w:tr>
    </w:tbl>
    <w:p>
      <w:pPr>
        <w:spacing w:after="0" w:line="13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During the nine months ended September 30, 2025 and 2024, the Company entered into sale-leaseback transactions for three properties each period associated with store locations in the RV and Outdoor Retail segment and received consideration of $ 40.2 million and $ 37.7 million of cash, respectively. The Company recorded a gain of $0.1 million and $0.4 million for the nine months ended September 30, 2025 and September 30, 2024, respectively, that was included in (gain) loss on sale or disposal of assets in the condensed consolidated statements of operations. The Company entered into lease agreements for the properties as the lessee with each of the buyers with lease terms ranging from 17 to 20 years.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Fair Value Measurements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Accounting guidance for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Recurring Fair Value Measurements</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presents the reported carrying values and the fair values by level of the Company’s assets and liabilities measured at fair value on a recurring basis: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ind w:left="120"/>
              <w:spacing w:after="0"/>
              <w:rPr>
                <w:sz w:val="20"/>
                <w:szCs w:val="20"/>
                <w:color w:val="auto"/>
              </w:rPr>
            </w:pPr>
            <w:r>
              <w:rPr>
                <w:rFonts w:ascii="Arial" w:cs="Arial" w:eastAsia="Arial" w:hAnsi="Arial"/>
                <w:sz w:val="13"/>
                <w:szCs w:val="13"/>
                <w:b w:val="1"/>
                <w:bCs w:val="1"/>
                <w:color w:val="auto"/>
              </w:rPr>
              <w:t>September 30, 2025</w:t>
            </w:r>
          </w:p>
        </w:tc>
        <w:tc>
          <w:tcPr>
            <w:tcW w:w="200" w:type="dxa"/>
            <w:vAlign w:val="bottom"/>
          </w:tcPr>
          <w:p>
            <w:pPr>
              <w:spacing w:after="0"/>
              <w:rPr>
                <w:sz w:val="14"/>
                <w:szCs w:val="14"/>
                <w:color w:val="auto"/>
              </w:rPr>
            </w:pPr>
          </w:p>
        </w:tc>
        <w:tc>
          <w:tcPr>
            <w:tcW w:w="1780" w:type="dxa"/>
            <w:vAlign w:val="bottom"/>
            <w:gridSpan w:val="5"/>
          </w:tcPr>
          <w:p>
            <w:pPr>
              <w:ind w:left="120"/>
              <w:spacing w:after="0"/>
              <w:rPr>
                <w:sz w:val="20"/>
                <w:szCs w:val="20"/>
                <w:color w:val="auto"/>
              </w:rPr>
            </w:pPr>
            <w:r>
              <w:rPr>
                <w:rFonts w:ascii="Arial" w:cs="Arial" w:eastAsia="Arial" w:hAnsi="Arial"/>
                <w:sz w:val="13"/>
                <w:szCs w:val="13"/>
                <w:b w:val="1"/>
                <w:bCs w:val="1"/>
                <w:color w:val="auto"/>
              </w:rPr>
              <w:t>December 31, 2024</w:t>
            </w:r>
          </w:p>
        </w:tc>
        <w:tc>
          <w:tcPr>
            <w:tcW w:w="200" w:type="dxa"/>
            <w:vAlign w:val="bottom"/>
          </w:tcPr>
          <w:p>
            <w:pPr>
              <w:spacing w:after="0"/>
              <w:rPr>
                <w:sz w:val="14"/>
                <w:szCs w:val="14"/>
                <w:color w:val="auto"/>
              </w:rPr>
            </w:pPr>
          </w:p>
        </w:tc>
        <w:tc>
          <w:tcPr>
            <w:tcW w:w="1680" w:type="dxa"/>
            <w:vAlign w:val="bottom"/>
            <w:gridSpan w:val="4"/>
          </w:tcPr>
          <w:p>
            <w:pPr>
              <w:jc w:val="right"/>
              <w:ind w:right="233"/>
              <w:spacing w:after="0"/>
              <w:rPr>
                <w:sz w:val="20"/>
                <w:szCs w:val="20"/>
                <w:color w:val="auto"/>
              </w:rPr>
            </w:pPr>
            <w:r>
              <w:rPr>
                <w:rFonts w:ascii="Arial" w:cs="Arial" w:eastAsia="Arial" w:hAnsi="Arial"/>
                <w:sz w:val="13"/>
                <w:szCs w:val="13"/>
                <w:b w:val="1"/>
                <w:bCs w:val="1"/>
                <w:color w:val="auto"/>
              </w:rPr>
              <w:t>September 30, 2024</w:t>
            </w:r>
          </w:p>
        </w:tc>
      </w:tr>
      <w:tr>
        <w:trPr>
          <w:trHeight w:val="142"/>
        </w:trPr>
        <w:tc>
          <w:tcPr>
            <w:tcW w:w="300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1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3"/>
                <w:szCs w:val="13"/>
                <w:b w:val="1"/>
                <w:bCs w:val="1"/>
                <w:color w:val="auto"/>
              </w:rPr>
              <w:t>Carrying Value</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Level 3</w:t>
            </w:r>
          </w:p>
        </w:tc>
        <w:tc>
          <w:tcPr>
            <w:tcW w:w="180" w:type="dxa"/>
            <w:vAlign w:val="bottom"/>
          </w:tcPr>
          <w:p>
            <w:pPr>
              <w:spacing w:after="0"/>
              <w:rPr>
                <w:sz w:val="12"/>
                <w:szCs w:val="12"/>
                <w:color w:val="auto"/>
              </w:rPr>
            </w:pPr>
          </w:p>
        </w:tc>
        <w:tc>
          <w:tcPr>
            <w:tcW w:w="11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3"/>
                <w:szCs w:val="13"/>
                <w:b w:val="1"/>
                <w:bCs w:val="1"/>
                <w:color w:val="auto"/>
              </w:rPr>
              <w:t>Carrying Value</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Level 3</w:t>
            </w:r>
          </w:p>
        </w:tc>
        <w:tc>
          <w:tcPr>
            <w:tcW w:w="120" w:type="dxa"/>
            <w:vAlign w:val="bottom"/>
          </w:tcPr>
          <w:p>
            <w:pPr>
              <w:spacing w:after="0"/>
              <w:rPr>
                <w:sz w:val="12"/>
                <w:szCs w:val="12"/>
                <w:color w:val="auto"/>
              </w:rPr>
            </w:pPr>
          </w:p>
        </w:tc>
        <w:tc>
          <w:tcPr>
            <w:tcW w:w="11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3"/>
                <w:szCs w:val="13"/>
                <w:b w:val="1"/>
                <w:bCs w:val="1"/>
                <w:color w:val="auto"/>
              </w:rPr>
              <w:t>Carrying Value</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Level 3</w:t>
            </w:r>
          </w:p>
        </w:tc>
      </w:tr>
      <w:tr>
        <w:trPr>
          <w:trHeight w:val="142"/>
        </w:trPr>
        <w:tc>
          <w:tcPr>
            <w:tcW w:w="28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Assets:</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r>
      <w:tr>
        <w:trPr>
          <w:trHeight w:val="148"/>
        </w:trPr>
        <w:tc>
          <w:tcPr>
            <w:tcW w:w="3000" w:type="dxa"/>
            <w:vAlign w:val="bottom"/>
            <w:gridSpan w:val="2"/>
          </w:tcPr>
          <w:p>
            <w:pPr>
              <w:ind w:left="20"/>
              <w:spacing w:after="0" w:line="149" w:lineRule="exact"/>
              <w:rPr>
                <w:sz w:val="20"/>
                <w:szCs w:val="20"/>
                <w:color w:val="auto"/>
              </w:rPr>
            </w:pPr>
            <w:r>
              <w:rPr>
                <w:rFonts w:ascii="Arial" w:cs="Arial" w:eastAsia="Arial" w:hAnsi="Arial"/>
                <w:sz w:val="12"/>
                <w:szCs w:val="12"/>
                <w:color w:val="auto"/>
              </w:rPr>
              <w:t xml:space="preserve">Derived participation investment </w:t>
            </w:r>
            <w:r>
              <w:rPr>
                <w:rFonts w:ascii="Arial" w:cs="Arial" w:eastAsia="Arial" w:hAnsi="Arial"/>
                <w:sz w:val="17"/>
                <w:szCs w:val="17"/>
                <w:color w:val="auto"/>
                <w:vertAlign w:val="superscript"/>
              </w:rPr>
              <w:t>(1)</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6,546</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6,546</w:t>
            </w:r>
          </w:p>
        </w:tc>
        <w:tc>
          <w:tcPr>
            <w:tcW w:w="18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156</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156</w:t>
            </w:r>
          </w:p>
        </w:tc>
        <w:tc>
          <w:tcPr>
            <w:tcW w:w="12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3,947</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3,947</w:t>
            </w:r>
          </w:p>
        </w:tc>
      </w:tr>
      <w:tr>
        <w:trPr>
          <w:trHeight w:val="20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77"/>
        </w:trPr>
        <w:tc>
          <w:tcPr>
            <w:tcW w:w="3000" w:type="dxa"/>
            <w:vAlign w:val="bottom"/>
            <w:gridSpan w:val="2"/>
          </w:tcPr>
          <w:p>
            <w:pPr>
              <w:ind w:left="20"/>
              <w:spacing w:after="0"/>
              <w:rPr>
                <w:sz w:val="20"/>
                <w:szCs w:val="20"/>
                <w:color w:val="auto"/>
              </w:rPr>
            </w:pPr>
            <w:r>
              <w:rPr>
                <w:rFonts w:ascii="Arial" w:cs="Arial" w:eastAsia="Arial" w:hAnsi="Arial"/>
                <w:sz w:val="13"/>
                <w:szCs w:val="13"/>
                <w:color w:val="auto"/>
              </w:rPr>
              <w:t xml:space="preserve">Acquisition-related contingent consideration </w:t>
            </w:r>
            <w:r>
              <w:rPr>
                <w:rFonts w:ascii="Arial" w:cs="Arial" w:eastAsia="Arial" w:hAnsi="Arial"/>
                <w:sz w:val="20"/>
                <w:szCs w:val="20"/>
                <w:color w:val="auto"/>
                <w:vertAlign w:val="superscript"/>
              </w:rPr>
              <w:t>(2)</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368</w:t>
            </w:r>
          </w:p>
        </w:tc>
      </w:tr>
    </w:tbl>
    <w:p>
      <w:pPr>
        <w:ind w:left="380" w:hanging="330"/>
        <w:spacing w:after="0" w:line="199"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3"/>
          <w:szCs w:val="13"/>
          <w:color w:val="auto"/>
        </w:rPr>
        <w:t>Derived participation investment was included in other assets in the accompanying condensed consolidated balance sheets.</w:t>
      </w:r>
    </w:p>
    <w:p>
      <w:pPr>
        <w:spacing w:after="0" w:line="62" w:lineRule="exact"/>
        <w:rPr>
          <w:rFonts w:ascii="Arial" w:cs="Arial" w:eastAsia="Arial" w:hAnsi="Arial"/>
          <w:sz w:val="19"/>
          <w:szCs w:val="19"/>
          <w:color w:val="auto"/>
          <w:vertAlign w:val="superscript"/>
        </w:rPr>
      </w:pPr>
    </w:p>
    <w:p>
      <w:pPr>
        <w:ind w:left="380" w:right="159" w:hanging="330"/>
        <w:spacing w:after="0" w:line="201"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3"/>
          <w:szCs w:val="13"/>
          <w:color w:val="auto"/>
        </w:rPr>
        <w:t>As of September 30, 2025, the $0.4 million of the acquisition-related contingent consideration was included in accrued liabilities in the accompanying condensed consolidated balance sheets. As of December 31, 2024 and September 30, 2024, the $0.2 million current and $0.2 million non-current portions of acquisition-related contingent consideration were included in accrued liabilities and other long-term liabilities, respectively, in the accompanying condensed consolidated balance sheets.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fair value measurements using significant unobservable inputs (Level 3):</w:t>
      </w: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163"/>
        </w:trPr>
        <w:tc>
          <w:tcPr>
            <w:tcW w:w="4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3"/>
                <w:szCs w:val="13"/>
                <w:b w:val="1"/>
                <w:bCs w:val="1"/>
                <w:color w:val="auto"/>
              </w:rPr>
              <w:t>Nine Months Ended September 30, 2025</w:t>
            </w:r>
          </w:p>
        </w:tc>
      </w:tr>
      <w:tr>
        <w:trPr>
          <w:trHeight w:val="127"/>
        </w:trPr>
        <w:tc>
          <w:tcPr>
            <w:tcW w:w="4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jc w:val="right"/>
              <w:ind w:right="213"/>
              <w:spacing w:after="0" w:line="128" w:lineRule="exact"/>
              <w:rPr>
                <w:sz w:val="20"/>
                <w:szCs w:val="20"/>
                <w:color w:val="auto"/>
              </w:rPr>
            </w:pPr>
            <w:r>
              <w:rPr>
                <w:rFonts w:ascii="Arial" w:cs="Arial" w:eastAsia="Arial" w:hAnsi="Arial"/>
                <w:sz w:val="13"/>
                <w:szCs w:val="13"/>
                <w:b w:val="1"/>
                <w:bCs w:val="1"/>
                <w:color w:val="auto"/>
              </w:rPr>
              <w:t>Derived Participation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jc w:val="right"/>
              <w:ind w:right="273"/>
              <w:spacing w:after="0" w:line="128" w:lineRule="exact"/>
              <w:rPr>
                <w:sz w:val="20"/>
                <w:szCs w:val="20"/>
                <w:color w:val="auto"/>
              </w:rPr>
            </w:pPr>
            <w:r>
              <w:rPr>
                <w:rFonts w:ascii="Arial" w:cs="Arial" w:eastAsia="Arial" w:hAnsi="Arial"/>
                <w:sz w:val="13"/>
                <w:szCs w:val="13"/>
                <w:b w:val="1"/>
                <w:bCs w:val="1"/>
                <w:color w:val="auto"/>
              </w:rPr>
              <w:t>Acquisition-related</w:t>
            </w:r>
          </w:p>
        </w:tc>
      </w:tr>
      <w:tr>
        <w:trPr>
          <w:trHeight w:val="163"/>
        </w:trPr>
        <w:tc>
          <w:tcPr>
            <w:tcW w:w="43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 in thousands)</w:t>
            </w: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Investment</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contingent consideration</w:t>
            </w:r>
          </w:p>
        </w:tc>
      </w:tr>
      <w:tr>
        <w:trPr>
          <w:trHeight w:val="142"/>
        </w:trPr>
        <w:tc>
          <w:tcPr>
            <w:tcW w:w="43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Beginning balance</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156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368</w:t>
            </w:r>
          </w:p>
        </w:tc>
      </w:tr>
      <w:tr>
        <w:trPr>
          <w:trHeight w:val="203"/>
        </w:trPr>
        <w:tc>
          <w:tcPr>
            <w:tcW w:w="4380" w:type="dxa"/>
            <w:vAlign w:val="bottom"/>
          </w:tcPr>
          <w:p>
            <w:pPr>
              <w:spacing w:after="0"/>
              <w:rPr>
                <w:sz w:val="20"/>
                <w:szCs w:val="20"/>
                <w:color w:val="auto"/>
              </w:rPr>
            </w:pPr>
            <w:r>
              <w:rPr>
                <w:rFonts w:ascii="Arial" w:cs="Arial" w:eastAsia="Arial" w:hAnsi="Arial"/>
                <w:sz w:val="13"/>
                <w:szCs w:val="13"/>
                <w:color w:val="auto"/>
              </w:rPr>
              <w:t>Purchases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6,717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2"/>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Settlements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4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Gains included in earnings</w:t>
            </w:r>
          </w:p>
        </w:tc>
        <w:tc>
          <w:tcPr>
            <w:tcW w:w="5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797</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66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Derived Participation Investment</w:t>
      </w:r>
    </w:p>
    <w:p>
      <w:pPr>
        <w:spacing w:after="0" w:line="10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Company has entered into an arrangement with a consumer financing partner to invest in a participation interest in the cash flows of certain financing transactions under the white label financing program</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with such consumer financing partner (the “Derived Participation Investment”). The fair value of this investment was estimated by discounting the projected cash flows subject to the participation interest. The assumptions in the analysis included loan losses, prepayments, and recoveries derived based on historical observation of such data pertaining to the RV industry, as well as other relevant industries with loan structure similar to that of the RV industry. This is categorized as a Level 3 measurement and there was no significant change in unrealized gains or losses during the nine months ended September 30, 2025.</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Contingent Consideration</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Company’s contingent consideration liability was established as part of the consideration for the acquisition of a tire rescue roadside assistance business in June 2024. The fair value of this liability was estimated as the present value of the probability weighted milestone payments at each of the first two anniversaries of the date of the acquisition for a maximum aggregate payment of $0.5 million if all milestones are reached. The assumptions in the analysis included the Company’s assessment of the probability that the milestones will be reached and a discount rate based primarily on the Company’s credit risk and its ability to pay. This is categorized as a Level 3 measurement and there was no significant change in unrealized gains or losses during the nine months ended September 30, 2025.</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Fair Value Disclosures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There have been no transfers of assets or liabilities between the fair value measurement levels and there were no material re-measurements to fair value during 2025 and 2024 of assets and liabilities that are not measured at fair value on a recurring basis.</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For floor plan notes payable under the Floor Plan Facility, the amounts reported in the accompanying condensed consolidated balance sheets approximate the fair value due to their short-term nature or the existence of variable interest rates that approximate prevailing market rates.</w:t>
      </w:r>
    </w:p>
    <w:p>
      <w:pPr>
        <w:spacing w:after="0" w:line="16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following table presents the reported carrying value and fair value information for the Company’s debt instruments. The fair values shown below for the Term Loan Facility, as applicable, are based on quoted prices in the inactive market for identical assets (Level 2) and the fair values shown below for the Floor Plan Facility Revolving Line of Credit, the Real Estate Facilities and the Other Long-Term Debt are estimated by discounting the future contractual cash flows at the current market interest rate that is available based on similar financial instruments.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27"/>
        </w:trPr>
        <w:tc>
          <w:tcPr>
            <w:tcW w:w="2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Fair Value</w:t>
            </w:r>
          </w:p>
        </w:tc>
        <w:tc>
          <w:tcPr>
            <w:tcW w:w="166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0"/>
                <w:szCs w:val="10"/>
                <w:b w:val="1"/>
                <w:bCs w:val="1"/>
                <w:color w:val="auto"/>
              </w:rPr>
              <w:t>September 30, 2025</w:t>
            </w:r>
          </w:p>
        </w:tc>
        <w:tc>
          <w:tcPr>
            <w:tcW w:w="120" w:type="dxa"/>
            <w:vAlign w:val="bottom"/>
          </w:tcPr>
          <w:p>
            <w:pPr>
              <w:spacing w:after="0"/>
              <w:rPr>
                <w:sz w:val="11"/>
                <w:szCs w:val="11"/>
                <w:color w:val="auto"/>
              </w:rPr>
            </w:pPr>
          </w:p>
        </w:tc>
        <w:tc>
          <w:tcPr>
            <w:tcW w:w="166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0"/>
                <w:szCs w:val="10"/>
                <w:b w:val="1"/>
                <w:bCs w:val="1"/>
                <w:color w:val="auto"/>
              </w:rPr>
              <w:t>December 31, 2024</w:t>
            </w:r>
          </w:p>
        </w:tc>
        <w:tc>
          <w:tcPr>
            <w:tcW w:w="100" w:type="dxa"/>
            <w:vAlign w:val="bottom"/>
          </w:tcPr>
          <w:p>
            <w:pPr>
              <w:spacing w:after="0"/>
              <w:rPr>
                <w:sz w:val="11"/>
                <w:szCs w:val="11"/>
                <w:color w:val="auto"/>
              </w:rPr>
            </w:pPr>
          </w:p>
        </w:tc>
        <w:tc>
          <w:tcPr>
            <w:tcW w:w="170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0"/>
                <w:szCs w:val="10"/>
                <w:b w:val="1"/>
                <w:bCs w:val="1"/>
                <w:color w:val="auto"/>
              </w:rPr>
              <w:t>September 30, 2024</w:t>
            </w:r>
          </w:p>
        </w:tc>
      </w:tr>
      <w:tr>
        <w:trPr>
          <w:trHeight w:val="142"/>
        </w:trPr>
        <w:tc>
          <w:tcPr>
            <w:tcW w:w="276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9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Measurement</w:t>
            </w:r>
          </w:p>
        </w:tc>
        <w:tc>
          <w:tcPr>
            <w:tcW w:w="880" w:type="dxa"/>
            <w:vAlign w:val="bottom"/>
            <w:gridSpan w:val="2"/>
          </w:tcPr>
          <w:p>
            <w:pPr>
              <w:ind w:left="40"/>
              <w:spacing w:after="0"/>
              <w:rPr>
                <w:sz w:val="20"/>
                <w:szCs w:val="20"/>
                <w:color w:val="auto"/>
              </w:rPr>
            </w:pPr>
            <w:r>
              <w:rPr>
                <w:rFonts w:ascii="Arial" w:cs="Arial" w:eastAsia="Arial" w:hAnsi="Arial"/>
                <w:sz w:val="10"/>
                <w:szCs w:val="10"/>
                <w:b w:val="1"/>
                <w:bCs w:val="1"/>
                <w:color w:val="auto"/>
              </w:rPr>
              <w:t>Carrying Value</w:t>
            </w:r>
          </w:p>
        </w:tc>
        <w:tc>
          <w:tcPr>
            <w:tcW w:w="900" w:type="dxa"/>
            <w:vAlign w:val="bottom"/>
            <w:gridSpan w:val="2"/>
          </w:tcPr>
          <w:p>
            <w:pPr>
              <w:ind w:left="160"/>
              <w:spacing w:after="0"/>
              <w:rPr>
                <w:sz w:val="20"/>
                <w:szCs w:val="20"/>
                <w:color w:val="auto"/>
              </w:rPr>
            </w:pPr>
            <w:r>
              <w:rPr>
                <w:rFonts w:ascii="Arial" w:cs="Arial" w:eastAsia="Arial" w:hAnsi="Arial"/>
                <w:sz w:val="10"/>
                <w:szCs w:val="10"/>
                <w:b w:val="1"/>
                <w:bCs w:val="1"/>
                <w:color w:val="auto"/>
              </w:rPr>
              <w:t>Fair Value</w:t>
            </w:r>
          </w:p>
        </w:tc>
        <w:tc>
          <w:tcPr>
            <w:tcW w:w="880" w:type="dxa"/>
            <w:vAlign w:val="bottom"/>
            <w:gridSpan w:val="2"/>
          </w:tcPr>
          <w:p>
            <w:pPr>
              <w:ind w:left="40"/>
              <w:spacing w:after="0"/>
              <w:rPr>
                <w:sz w:val="20"/>
                <w:szCs w:val="20"/>
                <w:color w:val="auto"/>
              </w:rPr>
            </w:pPr>
            <w:r>
              <w:rPr>
                <w:rFonts w:ascii="Arial" w:cs="Arial" w:eastAsia="Arial" w:hAnsi="Arial"/>
                <w:sz w:val="10"/>
                <w:szCs w:val="10"/>
                <w:b w:val="1"/>
                <w:bCs w:val="1"/>
                <w:color w:val="auto"/>
              </w:rPr>
              <w:t>Carrying Value</w:t>
            </w:r>
          </w:p>
        </w:tc>
        <w:tc>
          <w:tcPr>
            <w:tcW w:w="880" w:type="dxa"/>
            <w:vAlign w:val="bottom"/>
            <w:gridSpan w:val="2"/>
          </w:tcPr>
          <w:p>
            <w:pPr>
              <w:ind w:left="160"/>
              <w:spacing w:after="0"/>
              <w:rPr>
                <w:sz w:val="20"/>
                <w:szCs w:val="20"/>
                <w:color w:val="auto"/>
              </w:rPr>
            </w:pPr>
            <w:r>
              <w:rPr>
                <w:rFonts w:ascii="Arial" w:cs="Arial" w:eastAsia="Arial" w:hAnsi="Arial"/>
                <w:sz w:val="10"/>
                <w:szCs w:val="10"/>
                <w:b w:val="1"/>
                <w:bCs w:val="1"/>
                <w:color w:val="auto"/>
              </w:rPr>
              <w:t>Fair Value</w:t>
            </w:r>
          </w:p>
        </w:tc>
        <w:tc>
          <w:tcPr>
            <w:tcW w:w="900" w:type="dxa"/>
            <w:vAlign w:val="bottom"/>
            <w:gridSpan w:val="2"/>
          </w:tcPr>
          <w:p>
            <w:pPr>
              <w:ind w:left="40"/>
              <w:spacing w:after="0"/>
              <w:rPr>
                <w:sz w:val="20"/>
                <w:szCs w:val="20"/>
                <w:color w:val="auto"/>
              </w:rPr>
            </w:pPr>
            <w:r>
              <w:rPr>
                <w:rFonts w:ascii="Arial" w:cs="Arial" w:eastAsia="Arial" w:hAnsi="Arial"/>
                <w:sz w:val="10"/>
                <w:szCs w:val="10"/>
                <w:b w:val="1"/>
                <w:bCs w:val="1"/>
                <w:color w:val="auto"/>
              </w:rPr>
              <w:t>Carrying Value</w:t>
            </w:r>
          </w:p>
        </w:tc>
        <w:tc>
          <w:tcPr>
            <w:tcW w:w="800" w:type="dxa"/>
            <w:vAlign w:val="bottom"/>
          </w:tcPr>
          <w:p>
            <w:pPr>
              <w:jc w:val="right"/>
              <w:ind w:right="96"/>
              <w:spacing w:after="0"/>
              <w:rPr>
                <w:sz w:val="20"/>
                <w:szCs w:val="20"/>
                <w:color w:val="auto"/>
              </w:rPr>
            </w:pPr>
            <w:r>
              <w:rPr>
                <w:rFonts w:ascii="Arial" w:cs="Arial" w:eastAsia="Arial" w:hAnsi="Arial"/>
                <w:sz w:val="10"/>
                <w:szCs w:val="10"/>
                <w:b w:val="1"/>
                <w:bCs w:val="1"/>
                <w:color w:val="auto"/>
              </w:rPr>
              <w:t>Fair Value</w:t>
            </w:r>
          </w:p>
        </w:tc>
      </w:tr>
      <w:tr>
        <w:trPr>
          <w:trHeight w:val="142"/>
        </w:trPr>
        <w:tc>
          <w:tcPr>
            <w:tcW w:w="26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Term Loan Facility</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rPr>
              <w:t>Level 2</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$ 1,311,362</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$ 1,290,544</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$ 1,335,535</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$ 1,320,286</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$ 1,338,321</w:t>
            </w: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$ 1,296,666</w:t>
            </w:r>
          </w:p>
        </w:tc>
      </w:tr>
      <w:tr>
        <w:trPr>
          <w:trHeight w:val="148"/>
        </w:trPr>
        <w:tc>
          <w:tcPr>
            <w:tcW w:w="2760" w:type="dxa"/>
            <w:vAlign w:val="bottom"/>
            <w:gridSpan w:val="2"/>
          </w:tcPr>
          <w:p>
            <w:pPr>
              <w:ind w:left="20"/>
              <w:spacing w:after="0"/>
              <w:rPr>
                <w:sz w:val="20"/>
                <w:szCs w:val="20"/>
                <w:color w:val="auto"/>
              </w:rPr>
            </w:pPr>
            <w:r>
              <w:rPr>
                <w:rFonts w:ascii="Arial" w:cs="Arial" w:eastAsia="Arial" w:hAnsi="Arial"/>
                <w:sz w:val="13"/>
                <w:szCs w:val="13"/>
                <w:color w:val="auto"/>
              </w:rPr>
              <w:t>Floor Plan Facility Revolving Line of Credit</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color w:val="auto"/>
              </w:rPr>
              <w:t>Level 2</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31,885</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32,791</w:t>
            </w:r>
          </w:p>
        </w:tc>
      </w:tr>
      <w:tr>
        <w:trPr>
          <w:trHeight w:val="14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Real Estate Facilities</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Level 2</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163,018</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167,572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173,132</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176,684</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183,497</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189,002</w:t>
            </w:r>
          </w:p>
        </w:tc>
      </w:tr>
      <w:tr>
        <w:trPr>
          <w:trHeight w:val="176"/>
        </w:trPr>
        <w:tc>
          <w:tcPr>
            <w:tcW w:w="2760" w:type="dxa"/>
            <w:vAlign w:val="bottom"/>
            <w:gridSpan w:val="2"/>
          </w:tcPr>
          <w:p>
            <w:pPr>
              <w:ind w:left="20"/>
              <w:spacing w:after="0"/>
              <w:rPr>
                <w:sz w:val="20"/>
                <w:szCs w:val="20"/>
                <w:color w:val="auto"/>
              </w:rPr>
            </w:pPr>
            <w:r>
              <w:rPr>
                <w:rFonts w:ascii="Arial" w:cs="Arial" w:eastAsia="Arial" w:hAnsi="Arial"/>
                <w:sz w:val="13"/>
                <w:szCs w:val="13"/>
                <w:color w:val="auto"/>
              </w:rPr>
              <w:t>Other Long-Term Debt</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color w:val="auto"/>
              </w:rPr>
              <w:t>Level 2</w:t>
            </w:r>
          </w:p>
        </w:tc>
        <w:tc>
          <w:tcPr>
            <w:tcW w:w="760" w:type="dxa"/>
            <w:vAlign w:val="bottom"/>
          </w:tcPr>
          <w:p>
            <w:pPr>
              <w:jc w:val="right"/>
              <w:spacing w:after="0"/>
              <w:rPr>
                <w:sz w:val="20"/>
                <w:szCs w:val="20"/>
                <w:color w:val="auto"/>
              </w:rPr>
            </w:pPr>
            <w:r>
              <w:rPr>
                <w:rFonts w:ascii="Arial" w:cs="Arial" w:eastAsia="Arial" w:hAnsi="Arial"/>
                <w:sz w:val="13"/>
                <w:szCs w:val="13"/>
                <w:color w:val="auto"/>
              </w:rPr>
              <w:t>7,676</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6,677</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7,926</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6,652</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8,007</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6,929</w:t>
            </w:r>
          </w:p>
        </w:tc>
      </w:tr>
    </w:tbl>
    <w:p>
      <w:pPr>
        <w:spacing w:after="0" w:line="210" w:lineRule="exact"/>
        <w:rPr>
          <w:sz w:val="20"/>
          <w:szCs w:val="20"/>
          <w:color w:val="auto"/>
        </w:rPr>
      </w:pPr>
    </w:p>
    <w:p>
      <w:pPr>
        <w:ind w:left="60" w:right="5819" w:hanging="10"/>
        <w:spacing w:after="0" w:line="486" w:lineRule="auto"/>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Weissmann Complaint</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On June 22, 2021, FreedomRoads Holding Company, LLC (“FR Holdco”), an indirect wholly-owned subsidiary of CWGS, LLC, filed a one-count complaint captioned FreedomRoads Holding Company, LLC v. Steve Weissmann in the Circuit Court of Cook County, Illinois against Steve Weissmann (“Weissmann”) for breach of contractual obligation under note guarantee (the “Note”) (the “Weissmann Complaint”). On October 8, 2021, Weissmann brought a counterclaim against FR Holdco and third-party defendants Marcus A. Lemonis, NBCUniversal Media, LLC, the Consumer National Broadcasting Company, Camping World, Inc. (“CW”), and Machete Productions (“Machete”) (the “Weissmann Counterclaim”), in which he alleges claims in connection with the Note and his appearance on the reality television show The Profit. Weissmann alleges the following causes of action against FR Holdco and all third-party defendants, including CW: (i) fraud; (ii) fraud in the inducement; (iii) fraudulent concealment; (iv) breach of fiduciary duty; (v) defamation; (vi) defamation per se;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hanging="10"/>
        <w:spacing w:after="0" w:line="236" w:lineRule="auto"/>
        <w:tabs>
          <w:tab w:leader="none" w:pos="4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false light; (viii) intentional infliction of emotional distress; (ix) negligence; (x) unjust enrichment; and (xi) RICO § 1962. Weissmann seeks costs and damages in an amount to be proven at trial but no less than the amount in the Note (approximately $2.5 million); in connection with his RICO claim, Weissmann asserts he is entitled to damages in the amount of three times the Note. On February 18, 2022, NBCUniversal, CNBC, and Machete filed a motion to compel arbitration (the “NBC Arbitration Motion”). On May 5, 2022, an agreed order was filed staying the litigation in favor of arbitration. On May 31, 2022, FR Holdco filed an arbitration demand against Weissmann for collection on the Note. Weissmann filed his response and counterclaims, and third-party claims against FR Holdco, CW, Marcus A. Lemonis, NBCUniversal, and Machete on July 7, 2022. On or about July 21, 2022, FR Holdco and the other respondents filed their responses and affirmative defenses. On March 11, 2024, FR Holdco’s arbitration demand and the Weissmann arbitration demand were tried before a single arbitrator pursuant to the JAMS streamlined arbitration rules in a confidential arbitration hearing. On May 23, 2024, the arbitrator issued an interim award in favor of FR Holdco in the amount of $4,318,892, plus interest, costs, and attorneys’ fees as set forth in the Tumbleweed bankruptcy plan and to be determined by the arbitrator in subsequent proceedings. On July 31, 2024, the arbitrator heard the parties’ arguments on the amount of attorneys’ fees and costs owed to FR Holdco, after Weissmann conceded in a written briefing the obligation to pay attorneys’ fees and costs to FR Holdco as the prevailing party. On September 12, 2024, the arbitrator issued a final award in favor of FR Holdco in the amount of $4,990,006, in the manner described in the Tumbleweed bankruptcy plan. Weissmann is jointly and severally liable for $4,106,884 of that amount. On September 24, 2024, Weissmann and Tumbleweed filed a Petition to Vacate Arbitration Award in the Superior Court for the State of California, County of Los Angeles. On September 27, 2024, FR Holdco, CW, Marcus A. Lemonis, NBCUniversal, and Machete filed a Petition to Confirm Arbitration Award in the Superior Court for the State of California, County of Los Angeles. On January 16, 2025, Superior Court for the State of California, County of Los Angeles granted the Petition to Confirm Arbitration Award and denied the Petition to Vacate Arbitration Award, concluding the litigation. On July 8, 2025, Superior Court for the State of California, County of Los Angeles entered the Judgment in favor of FR Holdco, CW, Marcus A. Lemonis, NBCUniversal, and Machete. On August 21, 2025, Weissmann and Tumbleweed filed a notice of appeal. There can be no assurances that we will be able to collect amounts owed pursuant to the Arbitration Award.</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Tumbleweed Complaint</w:t>
      </w:r>
    </w:p>
    <w:p>
      <w:pPr>
        <w:spacing w:after="0" w:line="210"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7"/>
          <w:szCs w:val="17"/>
          <w:color w:val="auto"/>
        </w:rPr>
        <w:t>On November 10, 2021, Tumbleweed Tiny House Company, Inc. (“Tumbleweed”) filed a complaint against FR Holdco, CW, Marcus A. Lemonis, NBCUniversal Media, LLC, and Machete Productions in which Tumbleweed alleges claims in connection with the Note and its appearance on the reality television show The Profit (the “Tumbleweed Complaint”), seeking primarily monetary damages. Tumbleweed alleges the following claims against the defendants, including FR Holdco and CW: (i) fraud; (ii) false promise; (iii) breach of fiduciary duty (and aiding and abetting the same); (iv) breach of contract; (v) breach of oral contract; (vi) tortious interference with prospective economic advantage; (vii) fraud in the inducement; (viii) negligent misrepresentation; (ix) fraudulent concealment; (x) conspiracy; (xi) unlawful business practices; (xii) defamation; and (xiii) declaratory judgment. On April 21, 2022, the Court granted a motion to compel arbitration filed by NBCUniversal and joined by all defendants, including FR Holdco, CW, and Marcus A. Lemonis, compelling Tumbleweed’s claims to arbitration. Tumbleweed served its arbitration demand on FR Holdco, CW, and Marcus A. Lemonis on May 17, 2022. FR Holdco, CW, and Marcus A. Lemonis filed responses and affirmative defenses on May 31, 2022. On July 20, 2022, pursuant to the JAMS streamlined arbitration rules, the Tumbleweed Complaint was consolidated together with the Weissmann Complaint. The parties have exchanged discovery. On March 11, 2024, FR Holdco’s arbitration demand and the Weissman arbitration demand were tried before a single arbitrator pursuant to the JAMS streamlined arbitration rules in a confidential arbitration hearing. On May 23, 2024, the arbitrator issued an interim award in favor of all respondents, including FR Holdco, CW, and Lemonis. On July 31, 2024, the arbitrator heard the parties arguments on the amount of attorneys’ fees and costs owed to FR Holdco, CW, Lemonis, and the other defendants, after Tumbleweed conceded the obligation to pay attorneys’ fees and costs to the prevailing parties. On September 12, 2024, the arbitrator issued a final award in favor of FR Holdco, CW, Lemonis in the amount of $3,793,455 in attorneys’ fees and $626,611 in costs. The arbitrator also awarded $4,990,006 in favor of FR Holdco. On September 24, 2024, Weissmann and Tumbleweed filed a Petition to Vacate Arbitration Award in the Superior Court for the State of California, County of Los Angeles. On September 27, 2024, FR Holdco, CW, Marcus A. Lemonis, NBCUniversal, and Machete filed a Petition to Confirm Arbitration Award in the Superior Court for the State of California, County of Los Angeles. On January 16, 2025, Superior Court for the State of California, County of Los Angeles granted the Petition to Confirm Arbitration Award and denied the Petition to Vacate Arbitration</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Award, concluding the litigation. On July 8, 2025, Superior Court for the State of California, County of Los Angeles entered the Judgment in favor of FR Holdco, CW, Marcus A. Lemonis, NBCUniversal, and Machete. On August 21, 2025, Weissmann and Tumbleweed filed a notice of appeal. There can be no assurances that we will be able to collect amounts owed pursuant to the Arbitration Award.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General</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From time to time, the Company is involved in litigation arising in the normal course of business operations. While the outcome of litigation cannot be predicted with certainty, and some of these lawsuits, claims or proceedings may be determined adversely to the Company, management does not believe that the disposition of any such pending matters is likely to have a material adverse effect on the Company’s financial statements. No assurance can be made that these or similar suits will not result in a material financial exposure in excess of insurance coverage, which could have a material adverse effect upon the Company’s financial condition and results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Supplier Agreement</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connection with the divestiture of CWDS in May 2024, the Company entered into the Supplier Agreement with the buyer that requires the Company to purchase an aggregate $250.0 million of product over the approximately 10-year term of the Supplier Agreement. Any shortfall under this aggregate purchase threshold results in an extension of the term of the Supplier Agreement and does not otherwise result in financial penalties. See Note 5 — Assets Held for Sale and Business Divestitures for a discussion of the divestiture of CWDS.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Employment Agreements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has employment agreements with certain officers. The agreements include, among other things, an annual bonus based on certain performance-based criteria and certain severance benefits in the event of a qualifying termination.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Assurances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the normal course of business, the Company obtains standby letters of credit and surety bonds from financial institutions and other third parties. These instruments guarantee the Company’s future performance and provide third parties with financial and performance assurance in the event that the Company does not perform. These instruments support a wide variety of the Company’s business activities. As of September 30, 2025, December 31, 2024, and September 30, 2024, outstanding standby letters of credit issued through our Floor Plan Facility were $14.3 million, $14.3 million, and $12.3 million, respectively (see Note 3 — Inventories and Floor Plan Payables). The outstanding standby letters of credit issued through the Senior Secured Credit Facilities as of September 30, 2025, December 31, 2024, and September 30, 2024 were $4.9 million (see Note 7 — Long-Term Debt). As of September 30, 2025, December 31, 2024, and September 30, 2024, outstanding surety bonds were $24.8 million, $26.6 million, and $25.0 million, respectively. The underlying liabilities to which these instruments relate are reflected on the Company’s condensed consolidated balance sheets, where applicable. Therefore, no additional liability is reflected for the letters of credit and surety bonds themselves.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Statement of Cash Flows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disclosures of cash flow information for the following periods (in thousands) were as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6840" w:type="dxa"/>
            <w:vAlign w:val="bottom"/>
          </w:tcPr>
          <w:p>
            <w:pPr>
              <w:spacing w:after="0"/>
              <w:rPr>
                <w:sz w:val="12"/>
                <w:szCs w:val="12"/>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rPr>
              <w:t>Nine Months Ended September 30,</w:t>
            </w:r>
          </w:p>
        </w:tc>
      </w:tr>
      <w:tr>
        <w:trPr>
          <w:trHeight w:val="142"/>
        </w:trPr>
        <w:tc>
          <w:tcPr>
            <w:tcW w:w="68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2024</w:t>
            </w:r>
          </w:p>
        </w:tc>
      </w:tr>
      <w:tr>
        <w:trPr>
          <w:trHeight w:val="196"/>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during the period for:</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840" w:type="dxa"/>
            <w:vAlign w:val="bottom"/>
          </w:tcPr>
          <w:p>
            <w:pPr>
              <w:ind w:left="220"/>
              <w:spacing w:after="0"/>
              <w:rPr>
                <w:sz w:val="20"/>
                <w:szCs w:val="20"/>
                <w:color w:val="auto"/>
              </w:rPr>
            </w:pPr>
            <w:r>
              <w:rPr>
                <w:rFonts w:ascii="Arial" w:cs="Arial" w:eastAsia="Arial" w:hAnsi="Arial"/>
                <w:sz w:val="14"/>
                <w:szCs w:val="14"/>
                <w:color w:val="auto"/>
              </w:rPr>
              <w:t>Interest</w:t>
            </w:r>
          </w:p>
        </w:tc>
        <w:tc>
          <w:tcPr>
            <w:tcW w:w="200" w:type="dxa"/>
            <w:vAlign w:val="bottom"/>
          </w:tcPr>
          <w:p>
            <w:pPr>
              <w:jc w:val="right"/>
              <w:ind w:right="55"/>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146,325</w:t>
            </w:r>
          </w:p>
        </w:tc>
        <w:tc>
          <w:tcPr>
            <w:tcW w:w="2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187,231</w:t>
            </w: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3,546</w:t>
            </w:r>
          </w:p>
        </w:tc>
      </w:tr>
      <w:tr>
        <w:trPr>
          <w:trHeight w:val="203"/>
        </w:trPr>
        <w:tc>
          <w:tcPr>
            <w:tcW w:w="6840" w:type="dxa"/>
            <w:vAlign w:val="bottom"/>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Leasehold improvements paid by lessor</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840" w:type="dxa"/>
            <w:vAlign w:val="bottom"/>
          </w:tcPr>
          <w:p>
            <w:pPr>
              <w:ind w:left="220"/>
              <w:spacing w:after="0"/>
              <w:rPr>
                <w:sz w:val="20"/>
                <w:szCs w:val="20"/>
                <w:color w:val="auto"/>
              </w:rPr>
            </w:pPr>
            <w:r>
              <w:rPr>
                <w:rFonts w:ascii="Arial" w:cs="Arial" w:eastAsia="Arial" w:hAnsi="Arial"/>
                <w:sz w:val="14"/>
                <w:szCs w:val="14"/>
                <w:color w:val="auto"/>
              </w:rPr>
              <w:t>Capital expenditures in accounts payable and accrued liabilities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14,638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6,145</w:t>
            </w: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Prior period deposit applied to portion of purchase price of RV dealership acquisition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8,873</w:t>
            </w:r>
          </w:p>
        </w:tc>
      </w:tr>
      <w:tr>
        <w:trPr>
          <w:trHeight w:val="203"/>
        </w:trPr>
        <w:tc>
          <w:tcPr>
            <w:tcW w:w="6840" w:type="dxa"/>
            <w:vAlign w:val="bottom"/>
          </w:tcPr>
          <w:p>
            <w:pPr>
              <w:ind w:left="220"/>
              <w:spacing w:after="0"/>
              <w:rPr>
                <w:sz w:val="20"/>
                <w:szCs w:val="20"/>
                <w:color w:val="auto"/>
              </w:rPr>
            </w:pPr>
            <w:r>
              <w:rPr>
                <w:rFonts w:ascii="Arial" w:cs="Arial" w:eastAsia="Arial" w:hAnsi="Arial"/>
                <w:sz w:val="14"/>
                <w:szCs w:val="14"/>
                <w:color w:val="auto"/>
              </w:rPr>
              <w:t>Note receivable forgiven as partial consideration for the purchase of real property</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1,128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Contingent consideration recognized as partial consideration for purchase of a business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r>
      <w:tr>
        <w:trPr>
          <w:trHeight w:val="203"/>
        </w:trPr>
        <w:tc>
          <w:tcPr>
            <w:tcW w:w="6840" w:type="dxa"/>
            <w:vAlign w:val="bottom"/>
          </w:tcPr>
          <w:p>
            <w:pPr>
              <w:ind w:left="220"/>
              <w:spacing w:after="0"/>
              <w:rPr>
                <w:sz w:val="20"/>
                <w:szCs w:val="20"/>
                <w:color w:val="auto"/>
              </w:rPr>
            </w:pPr>
            <w:r>
              <w:rPr>
                <w:rFonts w:ascii="Arial" w:cs="Arial" w:eastAsia="Arial" w:hAnsi="Arial"/>
                <w:sz w:val="14"/>
                <w:szCs w:val="14"/>
                <w:color w:val="auto"/>
              </w:rPr>
              <w:t>Fair value of holdback receivable recognized as partial consideration for divestiture of a business</w:t>
            </w:r>
          </w:p>
        </w:tc>
        <w:tc>
          <w:tcPr>
            <w:tcW w:w="2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933</w:t>
            </w: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Supplier agreement intangible asset recognized as partial consideration for divestiture of a business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9,500</w:t>
            </w:r>
          </w:p>
        </w:tc>
      </w:tr>
      <w:tr>
        <w:trPr>
          <w:trHeight w:val="222"/>
        </w:trPr>
        <w:tc>
          <w:tcPr>
            <w:tcW w:w="6840" w:type="dxa"/>
            <w:vAlign w:val="bottom"/>
          </w:tcPr>
          <w:p>
            <w:pPr>
              <w:ind w:left="220"/>
              <w:spacing w:after="0"/>
              <w:rPr>
                <w:sz w:val="20"/>
                <w:szCs w:val="20"/>
                <w:color w:val="auto"/>
              </w:rPr>
            </w:pPr>
            <w:r>
              <w:rPr>
                <w:rFonts w:ascii="Arial" w:cs="Arial" w:eastAsia="Arial" w:hAnsi="Arial"/>
                <w:sz w:val="14"/>
                <w:szCs w:val="14"/>
                <w:color w:val="auto"/>
              </w:rPr>
              <w:t>Cost of treasury stock issued for vested restricted stock units</w:t>
            </w:r>
          </w:p>
        </w:tc>
        <w:tc>
          <w:tcPr>
            <w:tcW w:w="2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15,299</w:t>
            </w:r>
          </w:p>
        </w:tc>
      </w:tr>
    </w:tbl>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Acquisitions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During the nine months ended September 30, 2025 and 2024, subsidiaries of the Company acquired the assets of multiple RV dealerships that constituted businesses under GAAP. The Company used cash and borrowings under its Floor Plan Facility to complete the acquisitions. The Company considers acquisitions of independent dealerships to be a fast and capital efficient alternative to opening new store locations to expand its business and grow its customer base. The acquired businesses were recorded at their estimated fair values under the acquisition method of accounting. The balance of the purchase prices in excess of the fair values of net assets acquired were recorded as goodwill.</w:t>
      </w:r>
    </w:p>
    <w:p>
      <w:pPr>
        <w:spacing w:after="0" w:line="18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During the nine months ended September 30, 2025, the RV and Outdoor Retail segment acquired the assets of various RV dealerships comprised of eight locations for an aggregate purchase price of approximately $92.2 million. As a component of the aggregate purchase price to acquire certain of these locations, $ 10.0 million was paid as a deposit in November 2024, which would convert into shares of Lazydays Holdings, Inc. (“Lazydays”) common stock if the Company completed the acquisition of all seven RV dealerships originally contemplated under the November 2024 agreement with Lazydays. However, the Company acquired only five of the seven Lazydays RV dealerships, so the deposit did not convert to shares of Lazydays common stock. Instead, the deposit was considered a component of the purchase price of those acquisitions. Additionally, a $1.0 million deposit was made in December 2024 for non-Lazydays RV dealership acquisitions that were completed during the nine months ended September 30, 2025. Separate from these acquisitions, during the nine months ended September 30, 2025, the Company purchased real property for an aggregate purchase price of $123.9 million, inclusive of a $1.1 million note receivable that was forgiven as partial consideration for one of the properties.</w:t>
      </w:r>
    </w:p>
    <w:p>
      <w:pPr>
        <w:spacing w:after="0" w:line="18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During the nine months ended September 30, 2024, the RV and Outdoor Retail segment acquired the assets of various RV dealerships comprised of nine locations for an aggregate purchase price of approximately $69.4 million, of which one RV dealership had not opened by September 30, 2024. Separate from these acquisitions, during the nine months ended September 30, 2024, the Company purchased real property for an aggregate purchase price of $1.2 million. Additionally, in June 2024, the Good Sam Services and Plans segment acquired the assets of a tire rescue roadside assistance business for $1.8 million in cash and up to an aggregate $0.5 million of milestone payments of which half is potentially payable at each of the first two anniversaries of the date of the acquisition. Those potential milestone payments were recorded as contingent consideration with a fair value of $0.4 million. The tire rescue roadside assistance business included a robust dispatch platform and strong network of service providers, which provide an opportunity to serve our customer base more effectively and reduce cost.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estimated fair values of the assets acquired and liabilities assumed for the acquisitions discussed above consist of the following, net of insignificant measurement period adjustments relating to acquisitions from the respective previous year:</w:t>
      </w:r>
    </w:p>
    <w:p>
      <w:pPr>
        <w:spacing w:after="0" w:line="19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6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58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Tangible assets (liabilities) acquired (assumed):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73,002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37,642</w:t>
            </w: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Operating lease assets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9,366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15,328</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(8,312)</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(14,216)</w:t>
            </w:r>
          </w:p>
        </w:tc>
        <w:tc>
          <w:tcPr>
            <w:tcW w:w="0" w:type="dxa"/>
            <w:vAlign w:val="bottom"/>
          </w:tcPr>
          <w:p>
            <w:pPr>
              <w:spacing w:after="0"/>
              <w:rPr>
                <w:sz w:val="1"/>
                <w:szCs w:val="1"/>
                <w:color w:val="auto"/>
              </w:rPr>
            </w:pPr>
          </w:p>
        </w:tc>
      </w:tr>
      <w:tr>
        <w:trPr>
          <w:trHeight w:val="196"/>
        </w:trPr>
        <w:tc>
          <w:tcPr>
            <w:tcW w:w="5860" w:type="dxa"/>
            <w:vAlign w:val="bottom"/>
          </w:tcPr>
          <w:p>
            <w:pPr>
              <w:ind w:left="220"/>
              <w:spacing w:after="0" w:line="196" w:lineRule="exact"/>
              <w:rPr>
                <w:sz w:val="20"/>
                <w:szCs w:val="20"/>
                <w:color w:val="auto"/>
              </w:rPr>
            </w:pPr>
            <w:r>
              <w:rPr>
                <w:rFonts w:ascii="Arial" w:cs="Arial" w:eastAsia="Arial" w:hAnsi="Arial"/>
                <w:sz w:val="18"/>
                <w:szCs w:val="18"/>
                <w:color w:val="auto"/>
              </w:rPr>
              <w:t>Total tangible net assets acquired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73,862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37,879</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acquired: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Supplier and customer relationships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196"/>
        </w:trPr>
        <w:tc>
          <w:tcPr>
            <w:tcW w:w="5860" w:type="dxa"/>
            <w:vAlign w:val="bottom"/>
          </w:tcPr>
          <w:p>
            <w:pPr>
              <w:ind w:left="220"/>
              <w:spacing w:after="0" w:line="196" w:lineRule="exact"/>
              <w:rPr>
                <w:sz w:val="20"/>
                <w:szCs w:val="20"/>
                <w:color w:val="auto"/>
              </w:rPr>
            </w:pPr>
            <w:r>
              <w:rPr>
                <w:rFonts w:ascii="Arial" w:cs="Arial" w:eastAsia="Arial" w:hAnsi="Arial"/>
                <w:sz w:val="18"/>
                <w:szCs w:val="18"/>
                <w:color w:val="auto"/>
              </w:rPr>
              <w:t>Total intangible assets acquired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18,341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30,490</w:t>
            </w:r>
          </w:p>
        </w:tc>
        <w:tc>
          <w:tcPr>
            <w:tcW w:w="0" w:type="dxa"/>
            <w:vAlign w:val="bottom"/>
          </w:tcPr>
          <w:p>
            <w:pPr>
              <w:spacing w:after="0"/>
              <w:rPr>
                <w:sz w:val="1"/>
                <w:szCs w:val="1"/>
                <w:color w:val="auto"/>
              </w:rPr>
            </w:pP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Purchase price of acquisitions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92,203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71,564</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Application of deposit paid in prior period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03"/>
        </w:trPr>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acquisitions, net of cash acquired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81,203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62,323</w:t>
            </w:r>
          </w:p>
        </w:tc>
        <w:tc>
          <w:tcPr>
            <w:tcW w:w="0" w:type="dxa"/>
            <w:vAlign w:val="bottom"/>
          </w:tcPr>
          <w:p>
            <w:pPr>
              <w:spacing w:after="0"/>
              <w:rPr>
                <w:sz w:val="1"/>
                <w:szCs w:val="1"/>
                <w:color w:val="auto"/>
              </w:rPr>
            </w:pPr>
          </w:p>
        </w:tc>
      </w:tr>
      <w:tr>
        <w:trPr>
          <w:trHeight w:val="203"/>
        </w:trPr>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Inventory purchases financed via floor plan</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(71,181)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(49,162)</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payment net of floor plan financing</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10,022</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13,161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fair values above for the nine months ended September 30, 2025 are preliminary as they are subject to measurement period adjustments for up to one year from the date of acquisition as new information is obtained about facts and circumstances that existed as of the acquisition date relating to the valuation of the acquired assets, primarily the acquired inventories. For the nine months ended September 30, 2024, the fair values include a measurement period adjustment to record $2.6 million of other intangible assets from a RV dealership acquisition that occurred during the year ended December 31, 2023. These intangible assets had an estimated useful life of 15 years; however, these intangible assets were sold for $2.6 million during 2024. Acquired developed technology asset of $0.6 million has a remaining useful life of approximately four years.</w:t>
      </w:r>
    </w:p>
    <w:p>
      <w:pPr>
        <w:spacing w:after="0" w:line="7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primary items that generated the goodwill are the value of the expected synergies between the acquired businesses and the Company and the acquired assembled workforce, neither of which qualify for recognition as a separately identified intangible asset. For the nine months ended September 30, 2025 and 2024, acquired goodwill of $18.3 million and $30.5 million, respectively, was expected to be deductible for tax purposes.</w:t>
      </w:r>
    </w:p>
    <w:p>
      <w:pPr>
        <w:spacing w:after="0" w:line="68"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Included in the condensed consolidated financial statements for the nine months ended September 30, 2025 were revenue of $150.4 million and pre-tax income of $5.2 million from the acquired dealerships from the applicable acquisition dates in 2025. Included in the condensed consolidated financial statements for the nine months ended September 30, 2024 were revenue of $69.0 million and pre-tax income of $1.1 million from the acquired dealerships from the applicable acquisition dates in 2024. Included in the condensed consolidated financial statements for the nine months ended September 30, 2024 were insignificant amounts of revenue and pre-tax income from the acquired tire rescue roadside assistance business from the applicable acquisition date in 2024. Pro forma information on these acquisitions has not been included, because the Company has deemed them to not be individually or cumulatively material.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CWH is organized as a Subchapter C corporation and, as of September 30, 2025, was a 61.2% owner of CWGS, LLC (see Note 15 — Non-Controlling Interests). CWGS, LLC is organized as a limited liability company and treated as a partnership for U.S. federal and most applicable state and local income tax purposes and as such, is generally not subject to any U.S. federal entity-level income taxes. However, certain active CWGS, LLC subsidiaries, including CWFR Capital, LLC; Americas Road and Travel Club, Inc.; and FreedomRoads RV, Inc. and their wholly-owned subsidiaries, are subject to entity-level taxes as they are, or subject to income taxes as, Subchapter C corporations (“C-Corp”).</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Effective Income Tax Rate</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For the nine months ended September 30, 2025 and 2024, the Company's effective income tax rate was 98.5% and 14.0%, respectively. The increase in the tax rate for the nine months ended September 30, 2025, mainly reflects the establishment of a full valuation allowance on the net deferred tax assets of the public holding company, CWH. The deferred tax assets of C-Corp subsidiaries were not impacted by the establishment of this valuation allowance. The Company records a valuation allowance when it concludes that it is not more likely than not that a portion of deferred tax assets will not be realized based upon the evaluation of all available positive and negative evidence.</w:t>
      </w:r>
    </w:p>
    <w:p>
      <w:pPr>
        <w:spacing w:after="0" w:line="18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During the three months ended September 30, 2025, management evaluated both positive and negative evidence and concluded that a full valuation allowance was necessary to be recorded against CWH net deferred tax assets due to its expected cumulative historical operating results for income tax purposes over the past several years in each of the tax jurisdictions where it operates. Accordingly, the Company recorded a $175.4 million valuation allowance on its CWH net deferred tax assets during the nine months ended September 30, 2025. This valuation allowance will be maintained until sufficient positive evidence exists to justify its reversal. In addition, because of the full valuation allowance recorded against CWH’s investment in CWGS, LLC net deferred tax asset and certain other tax attribute carryforward deferred tax assets, full payment of the entire amount calculated related to the Tax Receivable Agreement (as defined below) liability was considered not probable. As a result, management reversed $149.2 million of the Tax Receivable Agreement liability and reduced the related deferred tax asset by $37.3 million, which were recorded to Tax Receivable Agreement liability adjustment and income tax (expense) benefit, respectively, in the condensed consolidated statements of operations for the three and nine months ended September 30, 2025.</w:t>
      </w:r>
    </w:p>
    <w:p>
      <w:pPr>
        <w:spacing w:after="0" w:line="18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determines its quarterly income tax provision using an estimated annual effective tax rate that considers expected annual income, statutory tax rates, and available tax planning opportunities across the jurisdictions where it operates. Current income taxes are recorded based on statutory obligations for the current period for certain C-Corp taxable entities within the Company. Accordingly, income tax provisions for these jurisdictions were recorded for the three and nine months ended September 30, 2025.</w:t>
      </w:r>
    </w:p>
    <w:p>
      <w:pPr>
        <w:spacing w:after="0" w:line="176"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On July 4, 2025, the U.S. federal legislation commonly referred to as the One Big Beautiful Bill Act (“OBBBA”) was enacted into law, introducing significant changes to the U.S. tax code. The Company determined that the provisions of the OBBBA are not expected to have a material impact on its effective income tax rate or income tax accounts.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Tax Receivable Agreement</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 is party to a tax receivable agreement (the “Tax Receivable Agreement”) that provides for the payment by the Company to the Continuing Equity Owners and Crestview Partners II GP, L.P. of 85% of the amount of tax benefits, if any, the Company actually realizes, or in some circumstances is deemed to realize, as a result of (i) increases in the tax basis from the purchase of common units from Crestview Partners</w:t>
      </w:r>
    </w:p>
    <w:p>
      <w:pPr>
        <w:jc w:val="both"/>
        <w:ind w:left="60" w:right="59" w:hanging="10"/>
        <w:spacing w:after="0" w:line="238" w:lineRule="auto"/>
        <w:tabs>
          <w:tab w:leader="none" w:pos="2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GP, L.P in exchange for Class A common stock in connection with the consummation of the IPO and the related transactions and any future redemptions that are funded by the Company and any further redemptions of common units by Continuing Equity Owners and (ii) certain other tax benefits attributable to payments made under the Tax Receivable Agreement. The above payments are predicated on CWGS, LLC making an election under Section 754 of the Internal Revenue Code effective for each tax year in which a redemption of common units for cash or stock occurs. These tax benefit payments are not conditioned upon one or more of the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Continuing Equity Owners or Crestview Partners II GP, L.P. maintaining a continued ownership interest in CWGS, LLC. In general, the Continuing Equity Owners’ or Crestview Partners II GP, L.P.’s rights under the Tax Receivable Agreement are assignable, including to transferees of its common units in CWGS, LLC (other than the Company as transferee pursuant to a redemption of common units in CWGS, LLC). The Company has determined it is more likely than not it will not benefit from the entirety of the remaining 15% of the tax benefits, and has remeasured the liability under the Tax Receivable Agreement. The Company has recorded a $149.2 million gain on the reduction in the associated liability, as described above. As of September 30, 2025, the remaining Tax Receivable Agreement liability after this adjustment was $1.2 million.</w:t>
      </w:r>
    </w:p>
    <w:p>
      <w:pPr>
        <w:spacing w:after="0" w:line="18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If utilization of the deferred tax assets subject to the Tax Receivable Agreement becomes more likely than not in the future, the Company expects to record additional liability related to the Tax Receivable Agreement which will be recognized as an expense and recorded to Tax Receivable Agreement liability adjustment in the condensed consolidated statements of operations.</w:t>
      </w:r>
    </w:p>
    <w:p>
      <w:pPr>
        <w:spacing w:after="0" w:line="17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During the nine months ended September 30, 2025 and 2024, there were no redemptions of common units by Continuing Equity Owners.</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14. Related Party Transactions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Transactions with Directors, Equity Holders and Executive Officers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From January 2012 until its expiration in March 2024, FreedomRoads, LLC was the lessee of what is now its previous corporate headquarters in Lincolnshire, Illinois (as amended from time to time, the “Lincolnshire Lease”). For the nine months ended September 30, 2024, rental payments for the Lincolnshire Lease, including common area maintenance charges, were $0.2 million, which were included in SG&amp;A expenses in the condensed consolidated statements of operations. The Company’s Chairman and Chief Executive Officer had personally guaranteed the Lincolnshire Lease.</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Non-Controlling Interests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summarizes the CWGS, LLC common unit ownership by CWH and the Continuing Equity Owners: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3"/>
                <w:szCs w:val="13"/>
                <w:b w:val="1"/>
                <w:bCs w:val="1"/>
                <w:color w:val="auto"/>
              </w:rPr>
              <w:t>As of September 30, 2025</w:t>
            </w:r>
          </w:p>
        </w:tc>
        <w:tc>
          <w:tcPr>
            <w:tcW w:w="16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3"/>
                <w:szCs w:val="13"/>
                <w:b w:val="1"/>
                <w:bCs w:val="1"/>
                <w:color w:val="auto"/>
              </w:rPr>
              <w:t>As of December 31, 2024</w:t>
            </w:r>
          </w:p>
        </w:tc>
        <w:tc>
          <w:tcPr>
            <w:tcW w:w="16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3"/>
                <w:szCs w:val="13"/>
                <w:b w:val="1"/>
                <w:bCs w:val="1"/>
                <w:color w:val="auto"/>
              </w:rPr>
              <w:t>As of September 30, 2024</w:t>
            </w:r>
          </w:p>
        </w:tc>
        <w:tc>
          <w:tcPr>
            <w:tcW w:w="0" w:type="dxa"/>
            <w:vAlign w:val="bottom"/>
          </w:tcPr>
          <w:p>
            <w:pPr>
              <w:spacing w:after="0"/>
              <w:rPr>
                <w:sz w:val="1"/>
                <w:szCs w:val="1"/>
                <w:color w:val="auto"/>
              </w:rPr>
            </w:pPr>
          </w:p>
        </w:tc>
      </w:tr>
      <w:tr>
        <w:trPr>
          <w:trHeight w:val="127"/>
        </w:trPr>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Common Units</w:t>
            </w:r>
          </w:p>
        </w:tc>
        <w:tc>
          <w:tcPr>
            <w:tcW w:w="860" w:type="dxa"/>
            <w:vAlign w:val="bottom"/>
          </w:tcPr>
          <w:p>
            <w:pPr>
              <w:jc w:val="right"/>
              <w:ind w:right="10"/>
              <w:spacing w:after="0" w:line="128" w:lineRule="exact"/>
              <w:rPr>
                <w:sz w:val="20"/>
                <w:szCs w:val="20"/>
                <w:color w:val="auto"/>
              </w:rPr>
            </w:pPr>
            <w:r>
              <w:rPr>
                <w:rFonts w:ascii="Arial" w:cs="Arial" w:eastAsia="Arial" w:hAnsi="Arial"/>
                <w:sz w:val="13"/>
                <w:szCs w:val="13"/>
                <w:b w:val="1"/>
                <w:bCs w:val="1"/>
                <w:color w:val="auto"/>
              </w:rPr>
              <w:t>Ownership</w:t>
            </w:r>
          </w:p>
        </w:tc>
        <w:tc>
          <w:tcPr>
            <w:tcW w:w="16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Common Units</w:t>
            </w:r>
          </w:p>
        </w:tc>
        <w:tc>
          <w:tcPr>
            <w:tcW w:w="10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Ownership %</w:t>
            </w: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Common Units</w:t>
            </w:r>
          </w:p>
        </w:tc>
        <w:tc>
          <w:tcPr>
            <w:tcW w:w="84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Ownership</w:t>
            </w:r>
          </w:p>
        </w:tc>
        <w:tc>
          <w:tcPr>
            <w:tcW w:w="0" w:type="dxa"/>
            <w:vAlign w:val="bottom"/>
          </w:tcPr>
          <w:p>
            <w:pPr>
              <w:spacing w:after="0"/>
              <w:rPr>
                <w:sz w:val="1"/>
                <w:szCs w:val="1"/>
                <w:color w:val="auto"/>
              </w:rPr>
            </w:pPr>
          </w:p>
        </w:tc>
      </w:tr>
      <w:tr>
        <w:trPr>
          <w:trHeight w:val="163"/>
        </w:trPr>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60" w:type="dxa"/>
            <w:vAlign w:val="bottom"/>
          </w:tcPr>
          <w:p>
            <w:pPr>
              <w:jc w:val="right"/>
              <w:ind w:right="31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40" w:type="dxa"/>
            <w:vAlign w:val="bottom"/>
          </w:tcPr>
          <w:p>
            <w:pPr>
              <w:jc w:val="right"/>
              <w:ind w:right="29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5"/>
        </w:trPr>
        <w:tc>
          <w:tcPr>
            <w:tcW w:w="24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CWH</w:t>
            </w:r>
          </w:p>
        </w:tc>
        <w:tc>
          <w:tcPr>
            <w:tcW w:w="2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62,818,624</w:t>
            </w:r>
          </w:p>
        </w:tc>
        <w:tc>
          <w:tcPr>
            <w:tcW w:w="1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61.2%</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62,502,096</w:t>
            </w:r>
          </w:p>
        </w:tc>
        <w:tc>
          <w:tcPr>
            <w:tcW w:w="1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61.0%</w:t>
            </w:r>
          </w:p>
        </w:tc>
        <w:tc>
          <w:tcPr>
            <w:tcW w:w="1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45,341,818</w:t>
            </w:r>
          </w:p>
        </w:tc>
        <w:tc>
          <w:tcPr>
            <w:tcW w:w="1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62"/>
        </w:trPr>
        <w:tc>
          <w:tcPr>
            <w:tcW w:w="2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Continuing Equity Owners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39,895,393</w:t>
            </w: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1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39,895,393</w:t>
            </w: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40,044,536</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55"/>
        </w:trPr>
        <w:tc>
          <w:tcPr>
            <w:tcW w:w="2500" w:type="dxa"/>
            <w:vAlign w:val="bottom"/>
            <w:tcBorders>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102,714,017</w:t>
            </w: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102,397,489</w:t>
            </w: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85,386,354</w:t>
            </w:r>
          </w:p>
        </w:tc>
        <w:tc>
          <w:tcPr>
            <w:tcW w:w="1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effects of changes in ownership in CWGS, LLC on the Company’s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equity:</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6"/>
          </w:tcPr>
          <w:p>
            <w:pPr>
              <w:spacing w:after="0"/>
              <w:rPr>
                <w:sz w:val="20"/>
                <w:szCs w:val="20"/>
                <w:color w:val="auto"/>
              </w:rPr>
            </w:pPr>
            <w:r>
              <w:rPr>
                <w:rFonts w:ascii="Arial" w:cs="Arial" w:eastAsia="Arial" w:hAnsi="Arial"/>
                <w:sz w:val="12"/>
                <w:szCs w:val="12"/>
                <w:b w:val="1"/>
                <w:bCs w:val="1"/>
                <w:color w:val="auto"/>
              </w:rPr>
              <w:t>Three Months Ended September 30,</w:t>
            </w:r>
          </w:p>
        </w:tc>
        <w:tc>
          <w:tcPr>
            <w:tcW w:w="1960" w:type="dxa"/>
            <w:vAlign w:val="bottom"/>
            <w:gridSpan w:val="5"/>
          </w:tcPr>
          <w:p>
            <w:pPr>
              <w:ind w:left="20"/>
              <w:spacing w:after="0"/>
              <w:rPr>
                <w:sz w:val="20"/>
                <w:szCs w:val="20"/>
                <w:color w:val="auto"/>
              </w:rPr>
            </w:pPr>
            <w:r>
              <w:rPr>
                <w:rFonts w:ascii="Arial" w:cs="Arial" w:eastAsia="Arial" w:hAnsi="Arial"/>
                <w:sz w:val="12"/>
                <w:szCs w:val="12"/>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486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55"/>
        </w:trPr>
        <w:tc>
          <w:tcPr>
            <w:tcW w:w="47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(loss) income attributable to Camping World Holdings, Inc.</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(40,438)</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5,501</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(22,502)</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(7,035)</w:t>
            </w:r>
          </w:p>
        </w:tc>
        <w:tc>
          <w:tcPr>
            <w:tcW w:w="0" w:type="dxa"/>
            <w:vAlign w:val="bottom"/>
          </w:tcPr>
          <w:p>
            <w:pPr>
              <w:spacing w:after="0"/>
              <w:rPr>
                <w:sz w:val="1"/>
                <w:szCs w:val="1"/>
                <w:color w:val="auto"/>
              </w:rPr>
            </w:pPr>
          </w:p>
        </w:tc>
      </w:tr>
      <w:tr>
        <w:trPr>
          <w:trHeight w:val="162"/>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Transfers to non-controlling interests: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6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Decrease in additional paid-in capital as a result of the purchase of</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common units from CWGS, LLC with proceeds from the exercise of</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stock options</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(217)</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53"/>
        </w:trPr>
        <w:tc>
          <w:tcPr>
            <w:tcW w:w="4860" w:type="dxa"/>
            <w:vAlign w:val="bottom"/>
            <w:gridSpan w:val="2"/>
          </w:tcPr>
          <w:p>
            <w:pPr>
              <w:ind w:left="120"/>
              <w:spacing w:after="0" w:line="153" w:lineRule="exact"/>
              <w:rPr>
                <w:sz w:val="20"/>
                <w:szCs w:val="20"/>
                <w:color w:val="auto"/>
              </w:rPr>
            </w:pPr>
            <w:r>
              <w:rPr>
                <w:rFonts w:ascii="Arial" w:cs="Arial" w:eastAsia="Arial" w:hAnsi="Arial"/>
                <w:sz w:val="14"/>
                <w:szCs w:val="14"/>
                <w:color w:val="auto"/>
              </w:rPr>
              <w:t>Increase (decrease) in additional paid-in capital as a result of the vesting</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60" w:type="dxa"/>
            <w:vAlign w:val="bottom"/>
            <w:gridSpan w:val="2"/>
          </w:tcPr>
          <w:p>
            <w:pPr>
              <w:ind w:left="120"/>
              <w:spacing w:after="0"/>
              <w:rPr>
                <w:sz w:val="20"/>
                <w:szCs w:val="20"/>
                <w:color w:val="auto"/>
              </w:rPr>
            </w:pPr>
            <w:r>
              <w:rPr>
                <w:rFonts w:ascii="Arial" w:cs="Arial" w:eastAsia="Arial" w:hAnsi="Arial"/>
                <w:sz w:val="14"/>
                <w:szCs w:val="14"/>
                <w:color w:val="auto"/>
              </w:rPr>
              <w:t>of restricted stock units</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(9,783)</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1,645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(13,616)</w:t>
            </w:r>
          </w:p>
        </w:tc>
        <w:tc>
          <w:tcPr>
            <w:tcW w:w="0" w:type="dxa"/>
            <w:vAlign w:val="bottom"/>
          </w:tcPr>
          <w:p>
            <w:pPr>
              <w:spacing w:after="0"/>
              <w:rPr>
                <w:sz w:val="1"/>
                <w:szCs w:val="1"/>
                <w:color w:val="auto"/>
              </w:rPr>
            </w:pPr>
          </w:p>
        </w:tc>
      </w:tr>
      <w:tr>
        <w:trPr>
          <w:trHeight w:val="153"/>
        </w:trPr>
        <w:tc>
          <w:tcPr>
            <w:tcW w:w="486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(Decrease)  increase  in  additional  paid-in  capital  as  a  result  of</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repurchases of Class A common stock for withholding taxes on vested</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RSUs</w:t>
            </w: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(1,764)</w:t>
            </w:r>
          </w:p>
        </w:tc>
        <w:tc>
          <w:tcPr>
            <w:tcW w:w="2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(2,939)</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1,813</w:t>
            </w:r>
          </w:p>
        </w:tc>
        <w:tc>
          <w:tcPr>
            <w:tcW w:w="0" w:type="dxa"/>
            <w:vAlign w:val="bottom"/>
          </w:tcPr>
          <w:p>
            <w:pPr>
              <w:spacing w:after="0"/>
              <w:rPr>
                <w:sz w:val="1"/>
                <w:szCs w:val="1"/>
                <w:color w:val="auto"/>
              </w:rPr>
            </w:pPr>
          </w:p>
        </w:tc>
      </w:tr>
      <w:tr>
        <w:trPr>
          <w:trHeight w:val="133"/>
        </w:trPr>
        <w:tc>
          <w:tcPr>
            <w:tcW w:w="4860" w:type="dxa"/>
            <w:vAlign w:val="bottom"/>
            <w:gridSpan w:val="2"/>
          </w:tcPr>
          <w:p>
            <w:pPr>
              <w:ind w:left="120"/>
              <w:spacing w:after="0" w:line="133" w:lineRule="exact"/>
              <w:rPr>
                <w:sz w:val="20"/>
                <w:szCs w:val="20"/>
                <w:color w:val="auto"/>
              </w:rPr>
            </w:pPr>
            <w:r>
              <w:rPr>
                <w:rFonts w:ascii="Arial" w:cs="Arial" w:eastAsia="Arial" w:hAnsi="Arial"/>
                <w:sz w:val="14"/>
                <w:szCs w:val="14"/>
                <w:color w:val="auto"/>
              </w:rPr>
              <w:t>Change from net (loss) income attributable to Camping World Holdings,</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(41,229)</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(2,955)</w:t>
            </w:r>
          </w:p>
        </w:tc>
        <w:tc>
          <w:tcPr>
            <w:tcW w:w="220" w:type="dxa"/>
            <w:vAlign w:val="bottom"/>
            <w:vMerge w:val="restart"/>
          </w:tcPr>
          <w:p>
            <w:pPr>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(23,796)</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(19,077)</w:t>
            </w:r>
          </w:p>
        </w:tc>
        <w:tc>
          <w:tcPr>
            <w:tcW w:w="0" w:type="dxa"/>
            <w:vAlign w:val="bottom"/>
          </w:tcPr>
          <w:p>
            <w:pPr>
              <w:spacing w:after="0"/>
              <w:rPr>
                <w:sz w:val="1"/>
                <w:szCs w:val="1"/>
                <w:color w:val="auto"/>
              </w:rPr>
            </w:pPr>
          </w:p>
        </w:tc>
      </w:tr>
      <w:tr>
        <w:trPr>
          <w:trHeight w:val="158"/>
        </w:trPr>
        <w:tc>
          <w:tcPr>
            <w:tcW w:w="4860" w:type="dxa"/>
            <w:vAlign w:val="bottom"/>
            <w:gridSpan w:val="2"/>
          </w:tcPr>
          <w:p>
            <w:pPr>
              <w:ind w:left="120"/>
              <w:spacing w:after="0" w:line="158" w:lineRule="exact"/>
              <w:rPr>
                <w:sz w:val="20"/>
                <w:szCs w:val="20"/>
                <w:color w:val="auto"/>
              </w:rPr>
            </w:pPr>
            <w:r>
              <w:rPr>
                <w:rFonts w:ascii="Arial" w:cs="Arial" w:eastAsia="Arial" w:hAnsi="Arial"/>
                <w:sz w:val="14"/>
                <w:szCs w:val="14"/>
                <w:color w:val="auto"/>
              </w:rPr>
              <w:t>Inc. and transfers to non-controlling interests</w:t>
            </w:r>
          </w:p>
        </w:tc>
        <w:tc>
          <w:tcPr>
            <w:tcW w:w="20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Stock-Based Compensation Plans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summarizes the stock-based compensation (“SBC”) that has been included in the following line items within the condensed consolidated statements of operations during:</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80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25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440" w:type="dxa"/>
            <w:vAlign w:val="bottom"/>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380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Stock-based compensation expense:</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Costs applicable to revenue</w:t>
            </w:r>
          </w:p>
        </w:tc>
        <w:tc>
          <w:tcPr>
            <w:tcW w:w="3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40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343</w:t>
            </w:r>
          </w:p>
        </w:tc>
        <w:tc>
          <w:tcPr>
            <w:tcW w:w="220" w:type="dxa"/>
            <w:vAlign w:val="bottom"/>
          </w:tcPr>
          <w:p>
            <w:pPr>
              <w:spacing w:after="0"/>
              <w:rPr>
                <w:sz w:val="17"/>
                <w:szCs w:val="17"/>
                <w:color w:val="auto"/>
              </w:rPr>
            </w:pPr>
          </w:p>
        </w:tc>
        <w:tc>
          <w:tcPr>
            <w:tcW w:w="26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7,632</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5,478</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23,121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15,891</w:t>
            </w:r>
          </w:p>
        </w:tc>
        <w:tc>
          <w:tcPr>
            <w:tcW w:w="0" w:type="dxa"/>
            <w:vAlign w:val="bottom"/>
          </w:tcPr>
          <w:p>
            <w:pPr>
              <w:spacing w:after="0"/>
              <w:rPr>
                <w:sz w:val="1"/>
                <w:szCs w:val="1"/>
                <w:color w:val="auto"/>
              </w:rPr>
            </w:pPr>
          </w:p>
        </w:tc>
      </w:tr>
      <w:tr>
        <w:trPr>
          <w:trHeight w:val="196"/>
        </w:trPr>
        <w:tc>
          <w:tcPr>
            <w:tcW w:w="3800" w:type="dxa"/>
            <w:vAlign w:val="bottom"/>
          </w:tcPr>
          <w:p>
            <w:pPr>
              <w:spacing w:after="0" w:line="196" w:lineRule="exact"/>
              <w:rPr>
                <w:sz w:val="20"/>
                <w:szCs w:val="20"/>
                <w:color w:val="auto"/>
              </w:rPr>
            </w:pPr>
            <w:r>
              <w:rPr>
                <w:rFonts w:ascii="Arial" w:cs="Arial" w:eastAsia="Arial" w:hAnsi="Arial"/>
                <w:sz w:val="18"/>
                <w:szCs w:val="18"/>
                <w:color w:val="auto"/>
              </w:rPr>
              <w:t>Total stock-based compensation expense</w:t>
            </w: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7,750</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5,573</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23,464</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16,167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summarizes stock option, restricted stock unit (“RSU”) and performance stock unit (“PSU”) activities for the nine months ended September 30, 2025:</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center"/>
              <w:ind w:left="317"/>
              <w:spacing w:after="0"/>
              <w:rPr>
                <w:sz w:val="20"/>
                <w:szCs w:val="20"/>
                <w:color w:val="auto"/>
              </w:rPr>
            </w:pPr>
            <w:r>
              <w:rPr>
                <w:rFonts w:ascii="Arial" w:cs="Arial" w:eastAsia="Arial" w:hAnsi="Arial"/>
                <w:sz w:val="13"/>
                <w:szCs w:val="13"/>
                <w:b w:val="1"/>
                <w:bCs w:val="1"/>
                <w:color w:val="auto"/>
                <w:w w:val="95"/>
              </w:rPr>
              <w:t>Stock</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Restricted</w:t>
            </w:r>
          </w:p>
        </w:tc>
        <w:tc>
          <w:tcPr>
            <w:tcW w:w="1340" w:type="dxa"/>
            <w:vAlign w:val="bottom"/>
          </w:tcPr>
          <w:p>
            <w:pPr>
              <w:jc w:val="right"/>
              <w:ind w:right="197"/>
              <w:spacing w:after="0"/>
              <w:rPr>
                <w:sz w:val="20"/>
                <w:szCs w:val="20"/>
                <w:color w:val="auto"/>
              </w:rPr>
            </w:pPr>
            <w:r>
              <w:rPr>
                <w:rFonts w:ascii="Arial" w:cs="Arial" w:eastAsia="Arial" w:hAnsi="Arial"/>
                <w:sz w:val="13"/>
                <w:szCs w:val="13"/>
                <w:b w:val="1"/>
                <w:bCs w:val="1"/>
                <w:color w:val="auto"/>
              </w:rPr>
              <w:t>Performance</w:t>
            </w:r>
          </w:p>
        </w:tc>
        <w:tc>
          <w:tcPr>
            <w:tcW w:w="0" w:type="dxa"/>
            <w:vAlign w:val="bottom"/>
          </w:tcPr>
          <w:p>
            <w:pPr>
              <w:spacing w:after="0"/>
              <w:rPr>
                <w:sz w:val="1"/>
                <w:szCs w:val="1"/>
                <w:color w:val="auto"/>
              </w:rPr>
            </w:pPr>
          </w:p>
        </w:tc>
      </w:tr>
      <w:tr>
        <w:trPr>
          <w:trHeight w:val="153"/>
        </w:trPr>
        <w:tc>
          <w:tcPr>
            <w:tcW w:w="4500" w:type="dxa"/>
            <w:vAlign w:val="bottom"/>
            <w:gridSpan w:val="2"/>
          </w:tcPr>
          <w:p>
            <w:pPr>
              <w:ind w:left="20"/>
              <w:spacing w:after="0"/>
              <w:rPr>
                <w:sz w:val="20"/>
                <w:szCs w:val="20"/>
                <w:color w:val="auto"/>
              </w:rPr>
            </w:pPr>
            <w:r>
              <w:rPr>
                <w:rFonts w:ascii="Arial" w:cs="Arial" w:eastAsia="Arial" w:hAnsi="Arial"/>
                <w:sz w:val="11"/>
                <w:szCs w:val="11"/>
                <w:color w:val="auto"/>
              </w:rPr>
              <w:t>(in thousands)</w:t>
            </w:r>
          </w:p>
        </w:tc>
        <w:tc>
          <w:tcPr>
            <w:tcW w:w="920" w:type="dxa"/>
            <w:vAlign w:val="bottom"/>
          </w:tcPr>
          <w:p>
            <w:pPr>
              <w:jc w:val="center"/>
              <w:ind w:left="297"/>
              <w:spacing w:after="0"/>
              <w:rPr>
                <w:sz w:val="20"/>
                <w:szCs w:val="20"/>
                <w:color w:val="auto"/>
              </w:rPr>
            </w:pPr>
            <w:r>
              <w:rPr>
                <w:rFonts w:ascii="Arial" w:cs="Arial" w:eastAsia="Arial" w:hAnsi="Arial"/>
                <w:sz w:val="13"/>
                <w:szCs w:val="13"/>
                <w:b w:val="1"/>
                <w:bCs w:val="1"/>
                <w:color w:val="auto"/>
                <w:w w:val="97"/>
              </w:rPr>
              <w:t>Options</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Stock Units</w:t>
            </w:r>
          </w:p>
        </w:tc>
        <w:tc>
          <w:tcPr>
            <w:tcW w:w="1340" w:type="dxa"/>
            <w:vAlign w:val="bottom"/>
          </w:tcPr>
          <w:p>
            <w:pPr>
              <w:jc w:val="right"/>
              <w:ind w:right="237"/>
              <w:spacing w:after="0"/>
              <w:rPr>
                <w:sz w:val="20"/>
                <w:szCs w:val="20"/>
                <w:color w:val="auto"/>
              </w:rPr>
            </w:pPr>
            <w:r>
              <w:rPr>
                <w:rFonts w:ascii="Arial" w:cs="Arial" w:eastAsia="Arial" w:hAnsi="Arial"/>
                <w:sz w:val="13"/>
                <w:szCs w:val="13"/>
                <w:b w:val="1"/>
                <w:bCs w:val="1"/>
                <w:color w:val="auto"/>
              </w:rPr>
              <w:t>Stock Units</w:t>
            </w:r>
          </w:p>
        </w:tc>
        <w:tc>
          <w:tcPr>
            <w:tcW w:w="0" w:type="dxa"/>
            <w:vAlign w:val="bottom"/>
          </w:tcPr>
          <w:p>
            <w:pPr>
              <w:spacing w:after="0"/>
              <w:rPr>
                <w:sz w:val="1"/>
                <w:szCs w:val="1"/>
                <w:color w:val="auto"/>
              </w:rPr>
            </w:pPr>
          </w:p>
        </w:tc>
      </w:tr>
      <w:tr>
        <w:trPr>
          <w:trHeight w:val="196"/>
        </w:trPr>
        <w:tc>
          <w:tcPr>
            <w:tcW w:w="42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December 31, 2024</w:t>
            </w:r>
          </w:p>
        </w:tc>
        <w:tc>
          <w:tcPr>
            <w:tcW w:w="3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w:t>
            </w:r>
          </w:p>
        </w:tc>
        <w:tc>
          <w:tcPr>
            <w:tcW w:w="2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1,652</w:t>
            </w:r>
          </w:p>
        </w:tc>
        <w:tc>
          <w:tcPr>
            <w:tcW w:w="2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spacing w:after="0"/>
              <w:rPr>
                <w:sz w:val="17"/>
                <w:szCs w:val="17"/>
                <w:color w:val="auto"/>
              </w:rPr>
            </w:pP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1,189</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(479)</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Forfeited</w:t>
            </w:r>
          </w:p>
        </w:tc>
        <w:tc>
          <w:tcPr>
            <w:tcW w:w="920" w:type="dxa"/>
            <w:vAlign w:val="bottom"/>
          </w:tcPr>
          <w:p>
            <w:pPr>
              <w:spacing w:after="0"/>
              <w:rPr>
                <w:sz w:val="17"/>
                <w:szCs w:val="17"/>
                <w:color w:val="auto"/>
              </w:rPr>
            </w:pPr>
          </w:p>
        </w:tc>
        <w:tc>
          <w:tcPr>
            <w:tcW w:w="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w:t>
            </w:r>
          </w:p>
        </w:tc>
        <w:tc>
          <w:tcPr>
            <w:tcW w:w="15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(140)</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September 30, 2025</w:t>
            </w: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20"/>
              <w:spacing w:after="0"/>
              <w:rPr>
                <w:sz w:val="20"/>
                <w:szCs w:val="20"/>
                <w:color w:val="auto"/>
              </w:rPr>
            </w:pPr>
            <w:r>
              <w:rPr>
                <w:rFonts w:ascii="Arial" w:cs="Arial" w:eastAsia="Arial" w:hAnsi="Arial"/>
                <w:sz w:val="18"/>
                <w:szCs w:val="18"/>
                <w:color w:val="auto"/>
              </w:rPr>
              <w:t>Exercisable at September 30, 2025</w:t>
            </w: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50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vMerge w:val="continue"/>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n/a</w:t>
            </w:r>
          </w:p>
        </w:tc>
        <w:tc>
          <w:tcPr>
            <w:tcW w:w="240" w:type="dxa"/>
            <w:vAlign w:val="bottom"/>
            <w:vMerge w:val="continue"/>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nine months ended September 30, 2025, the Company granted a total of 514,770 RSUs to non-executive employees with an aggregate grant date fair value of $10.8 million and weighted-average grant date fair value of $20.93 per RSU, which will be recognized, net of forfeitures, over a vesting period of five years.</w:t>
      </w:r>
    </w:p>
    <w:p>
      <w:pPr>
        <w:spacing w:after="0" w:line="61"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On May 15, 2025, at the Company’s annual meeting of stockholders, the Company’s stockholders approved an amendment and restatement of the Company’s 2016 Incentive Award Plan (the “2016 Plan”).</w:t>
      </w:r>
    </w:p>
    <w:p>
      <w:pPr>
        <w:spacing w:after="0" w:line="4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addition, on the date of the Company’s annual stockholders’ meeting in May 2025, in accordance with the Company’s non-employee director compensation policy, each of the seven non-employee directors received grants of 9,650 RSUs and the vice chairman of the Board of Directors received an additional grant of 6,433 RSUs with an aggregate grant date fair value of $1.1 million and a weighted-average grant date fair value of $15.54 per RSU, which will be recognized, net of forfeitures, over a vesting period of one year.</w:t>
      </w:r>
    </w:p>
    <w:p>
      <w:pPr>
        <w:spacing w:after="0" w:line="68"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January 2025, pursuant to the amended and restated employment agreement entered into with Marcus A. Lemonis, the Company granted Mr. Lemonis (i) an award of 600,000 RSUs with a grant date fair value of $ 22.13 per RSU, which will be recognized, net of forfeitures, over a vesting period through November 15, 2027, and (ii) an award of PSUs under the 2016 Plan with respect to 750,000 PSUs if earned at “target” levels of performance, which will be eligible to vest based on the achievement of specified stock price hurdles over a three-year performance period ending on December 31, 2027.</w:t>
      </w:r>
    </w:p>
    <w:p>
      <w:pPr>
        <w:spacing w:after="0" w:line="7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PSUs are comprised of four tranches of 187,500 PSUs with hurdles ranging from $ 32.50 per share to $47.50 per share in $5.00 per share increments. The achievement of the stock price hurdles is based on the average 30 consecutive trading day closing stock price of the Company’s Class A common stock. The grant date fair value was estimated using a Monte Carlo simulation to simulate stock price trajectories over the performance period. Key inputs to the model as of the date of grant included the duration of the performance period, the risk-free interest rate, and the closing stock price, volatility and dividend yield of the Company’s Class A common stock. The PSUs had a weighted-average grant date fair value of $13.84 per PSU, which will be recognized over a weighted-average derived service period of approximately one year, net of any forfeitures for termination of employment prior to the completion of the derived service period for any tranches with unsatisfied vesting conditions.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(Loss) Earnings Per Share</w:t>
      </w:r>
    </w:p>
    <w:p>
      <w:pPr>
        <w:spacing w:after="0" w:line="212" w:lineRule="exact"/>
        <w:rPr>
          <w:sz w:val="20"/>
          <w:szCs w:val="20"/>
          <w:color w:val="auto"/>
        </w:rPr>
      </w:pPr>
    </w:p>
    <w:p>
      <w:pPr>
        <w:jc w:val="both"/>
        <w:ind w:left="60" w:right="120" w:firstLine="648"/>
        <w:spacing w:after="0" w:line="244" w:lineRule="auto"/>
        <w:rPr>
          <w:sz w:val="20"/>
          <w:szCs w:val="20"/>
          <w:color w:val="auto"/>
        </w:rPr>
      </w:pPr>
      <w:r>
        <w:rPr>
          <w:rFonts w:ascii="Arial" w:cs="Arial" w:eastAsia="Arial" w:hAnsi="Arial"/>
          <w:sz w:val="18"/>
          <w:szCs w:val="18"/>
          <w:color w:val="auto"/>
        </w:rPr>
        <w:t>Basic (loss) earnings per share of Class A common stock is computed by dividing net (loss) income attributable to Camping World Holdings, Inc. by the weighted-average number of shares of Class A common stock outstanding during the period. Diluted (loss) earnings per share of Class A common stock is computed by dividing net (loss) income attributable to Camping World Holdings, Inc. by the weighted-average number of shares of Class A common stock outstanding adjusted to give effect to potentially dilutive securities.</w:t>
      </w:r>
    </w:p>
    <w:p>
      <w:pPr>
        <w:spacing w:after="0" w:line="176" w:lineRule="exact"/>
        <w:rPr>
          <w:sz w:val="20"/>
          <w:szCs w:val="20"/>
          <w:color w:val="auto"/>
        </w:rPr>
      </w:pPr>
    </w:p>
    <w:p>
      <w:pPr>
        <w:jc w:val="both"/>
        <w:ind w:left="60" w:right="100" w:firstLine="648"/>
        <w:spacing w:after="0" w:line="271" w:lineRule="auto"/>
        <w:rPr>
          <w:sz w:val="20"/>
          <w:szCs w:val="20"/>
          <w:color w:val="auto"/>
        </w:rPr>
      </w:pPr>
      <w:r>
        <w:rPr>
          <w:rFonts w:ascii="Arial" w:cs="Arial" w:eastAsia="Arial" w:hAnsi="Arial"/>
          <w:sz w:val="18"/>
          <w:szCs w:val="18"/>
          <w:color w:val="auto"/>
        </w:rPr>
        <w:t>The following table sets forth reconciliations of the numerators and denominators used to compute basic and diluted (loss) earnings per share of Class A common stock:</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6"/>
          </w:tcPr>
          <w:p>
            <w:pPr>
              <w:ind w:left="20"/>
              <w:spacing w:after="0"/>
              <w:rPr>
                <w:sz w:val="20"/>
                <w:szCs w:val="20"/>
                <w:color w:val="auto"/>
              </w:rPr>
            </w:pPr>
            <w:r>
              <w:rPr>
                <w:rFonts w:ascii="Arial" w:cs="Arial" w:eastAsia="Arial" w:hAnsi="Arial"/>
                <w:sz w:val="12"/>
                <w:szCs w:val="12"/>
                <w:b w:val="1"/>
                <w:bCs w:val="1"/>
                <w:color w:val="auto"/>
              </w:rPr>
              <w:t>Three Months Ended September 30,</w:t>
            </w:r>
          </w:p>
        </w:tc>
        <w:tc>
          <w:tcPr>
            <w:tcW w:w="1940" w:type="dxa"/>
            <w:vAlign w:val="bottom"/>
            <w:gridSpan w:val="6"/>
          </w:tcPr>
          <w:p>
            <w:pPr>
              <w:spacing w:after="0"/>
              <w:rPr>
                <w:sz w:val="20"/>
                <w:szCs w:val="20"/>
                <w:color w:val="auto"/>
              </w:rPr>
            </w:pPr>
            <w:r>
              <w:rPr>
                <w:rFonts w:ascii="Arial" w:cs="Arial" w:eastAsia="Arial" w:hAnsi="Arial"/>
                <w:sz w:val="12"/>
                <w:szCs w:val="12"/>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 except per share amounts)</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Numerator:</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60" w:type="dxa"/>
            <w:vAlign w:val="bottom"/>
          </w:tcPr>
          <w:p>
            <w:pPr>
              <w:ind w:left="120"/>
              <w:spacing w:after="0"/>
              <w:rPr>
                <w:sz w:val="20"/>
                <w:szCs w:val="20"/>
                <w:color w:val="auto"/>
              </w:rPr>
            </w:pPr>
            <w:r>
              <w:rPr>
                <w:rFonts w:ascii="Arial" w:cs="Arial" w:eastAsia="Arial" w:hAnsi="Arial"/>
                <w:sz w:val="14"/>
                <w:szCs w:val="14"/>
                <w:color w:val="auto"/>
              </w:rPr>
              <w:t>Net (loss) income</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(29,351)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8,056</w:t>
            </w:r>
          </w:p>
        </w:tc>
        <w:tc>
          <w:tcPr>
            <w:tcW w:w="14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3,490</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(19,336)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net (loss) income attributable to non-controlling interests</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(11,087)</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(2,555)</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(25,992)</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220"/>
              <w:spacing w:after="0" w:line="153" w:lineRule="exact"/>
              <w:rPr>
                <w:sz w:val="20"/>
                <w:szCs w:val="20"/>
                <w:color w:val="auto"/>
              </w:rPr>
            </w:pPr>
            <w:r>
              <w:rPr>
                <w:rFonts w:ascii="Arial" w:cs="Arial" w:eastAsia="Arial" w:hAnsi="Arial"/>
                <w:sz w:val="14"/>
                <w:szCs w:val="14"/>
                <w:color w:val="auto"/>
              </w:rPr>
              <w:t>Net (loss) income attributable to Camping World Holdings, Inc. —</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960" w:type="dxa"/>
            <w:vAlign w:val="bottom"/>
            <w:gridSpan w:val="3"/>
            <w:vMerge w:val="continue"/>
          </w:tcPr>
          <w:p>
            <w:pPr>
              <w:spacing w:after="0"/>
              <w:rPr>
                <w:sz w:val="11"/>
                <w:szCs w:val="11"/>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(40,438)</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5,501</w:t>
            </w:r>
          </w:p>
        </w:tc>
        <w:tc>
          <w:tcPr>
            <w:tcW w:w="14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(22,502)</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(7,035)</w:t>
            </w:r>
          </w:p>
        </w:tc>
        <w:tc>
          <w:tcPr>
            <w:tcW w:w="0" w:type="dxa"/>
            <w:vAlign w:val="bottom"/>
          </w:tcPr>
          <w:p>
            <w:pPr>
              <w:spacing w:after="0"/>
              <w:rPr>
                <w:sz w:val="1"/>
                <w:szCs w:val="1"/>
                <w:color w:val="auto"/>
              </w:rPr>
            </w:pPr>
          </w:p>
        </w:tc>
      </w:tr>
      <w:tr>
        <w:trPr>
          <w:trHeight w:val="109"/>
        </w:trPr>
        <w:tc>
          <w:tcPr>
            <w:tcW w:w="4560" w:type="dxa"/>
            <w:vAlign w:val="bottom"/>
            <w:vMerge w:val="restart"/>
          </w:tcPr>
          <w:p>
            <w:pPr>
              <w:ind w:left="220"/>
              <w:spacing w:after="0"/>
              <w:rPr>
                <w:sz w:val="20"/>
                <w:szCs w:val="20"/>
                <w:color w:val="auto"/>
              </w:rPr>
            </w:pPr>
            <w:r>
              <w:rPr>
                <w:rFonts w:ascii="Arial" w:cs="Arial" w:eastAsia="Arial" w:hAnsi="Arial"/>
                <w:sz w:val="14"/>
                <w:szCs w:val="14"/>
                <w:color w:val="auto"/>
              </w:rPr>
              <w:t>basic</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4960" w:type="dxa"/>
            <w:vAlign w:val="bottom"/>
            <w:gridSpan w:val="3"/>
            <w:shd w:val="clear" w:color="auto" w:fill="CCEEFF"/>
          </w:tcPr>
          <w:p>
            <w:pPr>
              <w:ind w:left="340"/>
              <w:spacing w:after="0" w:line="153" w:lineRule="exact"/>
              <w:rPr>
                <w:sz w:val="20"/>
                <w:szCs w:val="20"/>
                <w:color w:val="auto"/>
              </w:rPr>
            </w:pPr>
            <w:r>
              <w:rPr>
                <w:rFonts w:ascii="Arial" w:cs="Arial" w:eastAsia="Arial" w:hAnsi="Arial"/>
                <w:sz w:val="14"/>
                <w:szCs w:val="14"/>
                <w:color w:val="auto"/>
              </w:rPr>
              <w:t>Add: reallocation of net (loss) income attributable to non-controlling</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interests from the assumed redemption of common units of CWGS,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LLC for Class A common stock</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2,127</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60" w:type="dxa"/>
            <w:vAlign w:val="bottom"/>
            <w:gridSpan w:val="3"/>
          </w:tcPr>
          <w:p>
            <w:pPr>
              <w:ind w:left="440"/>
              <w:spacing w:after="0" w:line="133" w:lineRule="exact"/>
              <w:rPr>
                <w:sz w:val="20"/>
                <w:szCs w:val="20"/>
                <w:color w:val="auto"/>
              </w:rPr>
            </w:pPr>
            <w:r>
              <w:rPr>
                <w:rFonts w:ascii="Arial" w:cs="Arial" w:eastAsia="Arial" w:hAnsi="Arial"/>
                <w:sz w:val="14"/>
                <w:szCs w:val="14"/>
                <w:color w:val="auto"/>
              </w:rPr>
              <w:t>Net (loss) income attributable to Camping World Holdings, Inc. —</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(40,438)</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7,628</w:t>
            </w:r>
          </w:p>
        </w:tc>
        <w:tc>
          <w:tcPr>
            <w:tcW w:w="14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(22,502)</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(15,560)</w:t>
            </w:r>
          </w:p>
        </w:tc>
        <w:tc>
          <w:tcPr>
            <w:tcW w:w="0" w:type="dxa"/>
            <w:vAlign w:val="bottom"/>
          </w:tcPr>
          <w:p>
            <w:pPr>
              <w:spacing w:after="0"/>
              <w:rPr>
                <w:sz w:val="1"/>
                <w:szCs w:val="1"/>
                <w:color w:val="auto"/>
              </w:rPr>
            </w:pPr>
          </w:p>
        </w:tc>
      </w:tr>
      <w:tr>
        <w:trPr>
          <w:trHeight w:val="109"/>
        </w:trPr>
        <w:tc>
          <w:tcPr>
            <w:tcW w:w="4560" w:type="dxa"/>
            <w:vAlign w:val="bottom"/>
            <w:vMerge w:val="restart"/>
          </w:tcPr>
          <w:p>
            <w:pPr>
              <w:ind w:left="440"/>
              <w:spacing w:after="0"/>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560" w:type="dxa"/>
            <w:vAlign w:val="bottom"/>
          </w:tcPr>
          <w:p>
            <w:pPr>
              <w:ind w:left="120"/>
              <w:spacing w:after="0" w:line="153" w:lineRule="exact"/>
              <w:rPr>
                <w:sz w:val="20"/>
                <w:szCs w:val="20"/>
                <w:color w:val="auto"/>
              </w:rPr>
            </w:pPr>
            <w:r>
              <w:rPr>
                <w:rFonts w:ascii="Arial" w:cs="Arial" w:eastAsia="Arial" w:hAnsi="Arial"/>
                <w:sz w:val="14"/>
                <w:szCs w:val="14"/>
                <w:color w:val="auto"/>
              </w:rPr>
              <w:t>Weighted-average shares of Class A common stock outstanding</w:t>
            </w:r>
          </w:p>
        </w:tc>
        <w:tc>
          <w:tcPr>
            <w:tcW w:w="400" w:type="dxa"/>
            <w:vAlign w:val="bottom"/>
            <w:gridSpan w:val="2"/>
          </w:tcPr>
          <w:p>
            <w:pPr>
              <w:ind w:left="4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62,735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45,232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62,627</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45,124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560" w:type="dxa"/>
            <w:vAlign w:val="bottom"/>
            <w:vMerge w:val="restart"/>
          </w:tcPr>
          <w:p>
            <w:pPr>
              <w:ind w:left="120"/>
              <w:spacing w:after="0"/>
              <w:rPr>
                <w:sz w:val="20"/>
                <w:szCs w:val="20"/>
                <w:color w:val="auto"/>
              </w:rPr>
            </w:pPr>
            <w:r>
              <w:rPr>
                <w:rFonts w:ascii="Arial" w:cs="Arial" w:eastAsia="Arial" w:hAnsi="Arial"/>
                <w:sz w:val="14"/>
                <w:szCs w:val="14"/>
                <w:color w:val="auto"/>
              </w:rPr>
              <w:t>basic</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Dilutive restricted stock units</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60" w:type="dxa"/>
            <w:vAlign w:val="bottom"/>
            <w:gridSpan w:val="3"/>
          </w:tcPr>
          <w:p>
            <w:pPr>
              <w:ind w:left="220"/>
              <w:spacing w:after="0" w:line="153" w:lineRule="exact"/>
              <w:rPr>
                <w:sz w:val="20"/>
                <w:szCs w:val="20"/>
                <w:color w:val="auto"/>
              </w:rPr>
            </w:pPr>
            <w:r>
              <w:rPr>
                <w:rFonts w:ascii="Arial" w:cs="Arial" w:eastAsia="Arial" w:hAnsi="Arial"/>
                <w:sz w:val="14"/>
                <w:szCs w:val="14"/>
                <w:color w:val="auto"/>
              </w:rPr>
              <w:t>Dilutive common units of CWGS, LLC that are convertible into Class A</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60" w:type="dxa"/>
            <w:vAlign w:val="bottom"/>
          </w:tcPr>
          <w:p>
            <w:pPr>
              <w:ind w:left="22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40,045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40,045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60" w:type="dxa"/>
            <w:vAlign w:val="bottom"/>
            <w:tcBorders>
              <w:top w:val="single" w:sz="8" w:color="CCEEFF"/>
            </w:tcBorders>
            <w:gridSpan w:val="3"/>
            <w:shd w:val="clear" w:color="auto" w:fill="CCEEFF"/>
          </w:tcPr>
          <w:p>
            <w:pPr>
              <w:ind w:left="340"/>
              <w:spacing w:after="0" w:line="133" w:lineRule="exact"/>
              <w:rPr>
                <w:sz w:val="20"/>
                <w:szCs w:val="20"/>
                <w:color w:val="auto"/>
              </w:rPr>
            </w:pPr>
            <w:r>
              <w:rPr>
                <w:rFonts w:ascii="Arial" w:cs="Arial" w:eastAsia="Arial" w:hAnsi="Arial"/>
                <w:sz w:val="14"/>
                <w:szCs w:val="14"/>
                <w:color w:val="auto"/>
              </w:rPr>
              <w:t>Weighted-average shares of Class A common stock outstanding —</w:t>
            </w: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62,735</w:t>
            </w: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85,618</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62,627</w:t>
            </w: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85,169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560" w:type="dxa"/>
            <w:vAlign w:val="bottom"/>
            <w:vMerge w:val="restart"/>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5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earnings per share of Class A common stock — basic</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(0.64)</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(0.36)</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Pr>
          <w:p>
            <w:pPr>
              <w:ind w:left="20"/>
              <w:spacing w:after="0"/>
              <w:rPr>
                <w:sz w:val="20"/>
                <w:szCs w:val="20"/>
                <w:color w:val="auto"/>
              </w:rPr>
            </w:pPr>
            <w:r>
              <w:rPr>
                <w:rFonts w:ascii="Arial" w:cs="Arial" w:eastAsia="Arial" w:hAnsi="Arial"/>
                <w:sz w:val="14"/>
                <w:szCs w:val="14"/>
                <w:color w:val="auto"/>
              </w:rPr>
              <w:t>(Loss) earnings per share of Class A common stock — diluted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(0.64)</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0.09</w:t>
            </w:r>
          </w:p>
        </w:tc>
        <w:tc>
          <w:tcPr>
            <w:tcW w:w="14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(0.36)</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6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Weighted-average anti-dilutive securities excluded from the computation</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60" w:type="dxa"/>
            <w:vAlign w:val="bottom"/>
          </w:tcPr>
          <w:p>
            <w:pPr>
              <w:ind w:left="20"/>
              <w:spacing w:after="0"/>
              <w:rPr>
                <w:sz w:val="20"/>
                <w:szCs w:val="20"/>
                <w:color w:val="auto"/>
              </w:rPr>
            </w:pPr>
            <w:r>
              <w:rPr>
                <w:rFonts w:ascii="Arial" w:cs="Arial" w:eastAsia="Arial" w:hAnsi="Arial"/>
                <w:sz w:val="14"/>
                <w:szCs w:val="14"/>
                <w:color w:val="auto"/>
              </w:rPr>
              <w:t>of diluted (loss) earnings per share of Class A common stock:</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options to purchase Class A common stock</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Pr>
          <w:p>
            <w:pPr>
              <w:ind w:left="120"/>
              <w:spacing w:after="0"/>
              <w:rPr>
                <w:sz w:val="20"/>
                <w:szCs w:val="20"/>
                <w:color w:val="auto"/>
              </w:rPr>
            </w:pPr>
            <w:r>
              <w:rPr>
                <w:rFonts w:ascii="Arial" w:cs="Arial" w:eastAsia="Arial" w:hAnsi="Arial"/>
                <w:sz w:val="14"/>
                <w:szCs w:val="14"/>
                <w:color w:val="auto"/>
              </w:rPr>
              <w:t>Restricted stock units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890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2,423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60" w:type="dxa"/>
            <w:vAlign w:val="bottom"/>
            <w:gridSpan w:val="3"/>
            <w:shd w:val="clear" w:color="auto" w:fill="CCEEFF"/>
          </w:tcPr>
          <w:p>
            <w:pPr>
              <w:ind w:left="120"/>
              <w:spacing w:after="0" w:line="153" w:lineRule="exact"/>
              <w:rPr>
                <w:sz w:val="20"/>
                <w:szCs w:val="20"/>
                <w:color w:val="auto"/>
              </w:rPr>
            </w:pPr>
            <w:r>
              <w:rPr>
                <w:rFonts w:ascii="Arial" w:cs="Arial" w:eastAsia="Arial" w:hAnsi="Arial"/>
                <w:sz w:val="14"/>
                <w:szCs w:val="14"/>
                <w:color w:val="auto"/>
              </w:rPr>
              <w:t>Common units of CWGS, LLC that are convertible into Class A common</w:t>
            </w:r>
          </w:p>
        </w:tc>
        <w:tc>
          <w:tcPr>
            <w:tcW w:w="2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39,895</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39,895</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56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stock</w:t>
            </w: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5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6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Weighted-average  contingently  issuable  shares  excluded  from  the</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computation of diluted (loss) earnings per share of Class A common stock</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since all necessary conditions had not been satisfied:</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4560" w:type="dxa"/>
            <w:vAlign w:val="bottom"/>
          </w:tcPr>
          <w:p>
            <w:pPr>
              <w:ind w:left="120"/>
              <w:spacing w:after="0"/>
              <w:rPr>
                <w:sz w:val="20"/>
                <w:szCs w:val="20"/>
                <w:color w:val="auto"/>
              </w:rPr>
            </w:pPr>
            <w:r>
              <w:rPr>
                <w:rFonts w:ascii="Arial" w:cs="Arial" w:eastAsia="Arial" w:hAnsi="Arial"/>
                <w:sz w:val="14"/>
                <w:szCs w:val="14"/>
                <w:color w:val="auto"/>
              </w:rPr>
              <w:t>Performance stock units</w:t>
            </w:r>
            <w:r>
              <w:rPr>
                <w:rFonts w:ascii="Arial" w:cs="Arial" w:eastAsia="Arial" w:hAnsi="Arial"/>
                <w:sz w:val="21"/>
                <w:szCs w:val="21"/>
                <w:color w:val="auto"/>
                <w:vertAlign w:val="superscript"/>
              </w:rPr>
              <w:t>(1)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60" w:hanging="329"/>
        <w:spacing w:after="0"/>
        <w:tabs>
          <w:tab w:leader="none" w:pos="460" w:val="left"/>
        </w:tabs>
        <w:numPr>
          <w:ilvl w:val="0"/>
          <w:numId w:val="20"/>
        </w:numPr>
        <w:rPr>
          <w:rFonts w:ascii="Arial" w:cs="Arial" w:eastAsia="Arial" w:hAnsi="Arial"/>
          <w:sz w:val="22"/>
          <w:szCs w:val="22"/>
          <w:color w:val="231F20"/>
          <w:vertAlign w:val="superscript"/>
        </w:rPr>
      </w:pPr>
      <w:r>
        <w:rPr>
          <w:rFonts w:ascii="Arial" w:cs="Arial" w:eastAsia="Arial" w:hAnsi="Arial"/>
          <w:sz w:val="14"/>
          <w:szCs w:val="14"/>
          <w:color w:val="auto"/>
        </w:rPr>
        <w:t>See Note 16 – Stock-Based Compensation Plans for further details of PSUs.</w:t>
      </w:r>
    </w:p>
    <w:p>
      <w:pPr>
        <w:spacing w:after="0" w:line="88" w:lineRule="exact"/>
        <w:rPr>
          <w:sz w:val="20"/>
          <w:szCs w:val="20"/>
          <w:color w:val="auto"/>
        </w:rPr>
      </w:pPr>
    </w:p>
    <w:p>
      <w:pPr>
        <w:jc w:val="both"/>
        <w:ind w:left="60" w:right="100" w:firstLine="648"/>
        <w:spacing w:after="0"/>
        <w:rPr>
          <w:sz w:val="20"/>
          <w:szCs w:val="20"/>
          <w:color w:val="auto"/>
        </w:rPr>
      </w:pPr>
      <w:r>
        <w:rPr>
          <w:rFonts w:ascii="Arial" w:cs="Arial" w:eastAsia="Arial" w:hAnsi="Arial"/>
          <w:sz w:val="18"/>
          <w:szCs w:val="18"/>
          <w:color w:val="auto"/>
        </w:rPr>
        <w:t>Shares of the Company’s Class B common stock and Class C common stock do not share in the earnings or losses of the Company and are therefore not participating securities. As such, separate basic and diluted (loss) earnings per share of Class B common stock or Class C common stock under the two-class method has not been presented.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Segments Information</w:t>
      </w:r>
    </w:p>
    <w:p>
      <w:pPr>
        <w:spacing w:after="0" w:line="212" w:lineRule="exact"/>
        <w:rPr>
          <w:sz w:val="20"/>
          <w:szCs w:val="20"/>
          <w:color w:val="auto"/>
        </w:rPr>
      </w:pPr>
    </w:p>
    <w:p>
      <w:pPr>
        <w:jc w:val="both"/>
        <w:ind w:left="60" w:right="100" w:firstLine="648"/>
        <w:spacing w:after="0" w:line="239" w:lineRule="auto"/>
        <w:rPr>
          <w:sz w:val="20"/>
          <w:szCs w:val="20"/>
          <w:color w:val="auto"/>
        </w:rPr>
      </w:pPr>
      <w:r>
        <w:rPr>
          <w:rFonts w:ascii="Arial" w:cs="Arial" w:eastAsia="Arial" w:hAnsi="Arial"/>
          <w:sz w:val="18"/>
          <w:szCs w:val="18"/>
          <w:color w:val="auto"/>
        </w:rPr>
        <w:t>The Company has the following two reportable segments: (i) Good Sam Services and Plans, and (ii) RV and Outdoor Retail. The Company evaluates performance for all of its reportable segments based on Segment Adjusted EBITDA. The Company defines “Segment Adjusted EBITDA” as the reportable segments’ total revenue less segment expenses which are comprised of (i) adjusted costs applicable to revenue, (ii) intersegment costs applicable to revenues, (iii) adjusted SG&amp;A expense, (iv) floor plan interest expense, and (v) other segment items. Segment expenses exclude depreciation and amortization and certain noncash and other items that the Chief Operating Decision Maker does not consider in his evaluation of ongoing operating performance. These excluded items include (a) SBC and (b) loss and/or impairment on investments in equity securities.</w:t>
      </w:r>
    </w:p>
    <w:p>
      <w:pPr>
        <w:sectPr>
          <w:pgSz w:w="11900" w:h="16838" w:orient="portrait"/>
          <w:cols w:equalWidth="0" w:num="1">
            <w:col w:w="9060"/>
          </w:cols>
          <w:pgMar w:left="1440" w:top="51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2" w:right="1399" w:bottom="1440" w:gutter="0" w:footer="0" w:header="0"/>
          <w:type w:val="continuous"/>
        </w:sectPr>
      </w:pPr>
    </w:p>
    <w:bookmarkStart w:id="31" w:name="page32"/>
    <w:bookmarkEnd w:id="31"/>
    <w:p>
      <w:pPr>
        <w:ind w:left="1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right="100" w:firstLine="648"/>
        <w:spacing w:after="0" w:line="271" w:lineRule="auto"/>
        <w:rPr>
          <w:sz w:val="20"/>
          <w:szCs w:val="20"/>
          <w:color w:val="auto"/>
        </w:rPr>
      </w:pPr>
      <w:r>
        <w:rPr>
          <w:rFonts w:ascii="Arial" w:cs="Arial" w:eastAsia="Arial" w:hAnsi="Arial"/>
          <w:sz w:val="18"/>
          <w:szCs w:val="18"/>
          <w:color w:val="auto"/>
        </w:rPr>
        <w:t>Reportable segment revenue; segment adjusted EBITDA; depreciation and amortization; other interest expense, net; total assets; and capital expenditures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40" w:type="dxa"/>
            <w:vAlign w:val="bottom"/>
            <w:gridSpan w:val="12"/>
          </w:tcPr>
          <w:p>
            <w:pPr>
              <w:ind w:left="360"/>
              <w:spacing w:after="0"/>
              <w:rPr>
                <w:sz w:val="20"/>
                <w:szCs w:val="20"/>
                <w:color w:val="auto"/>
              </w:rPr>
            </w:pPr>
            <w:r>
              <w:rPr>
                <w:rFonts w:ascii="Arial" w:cs="Arial" w:eastAsia="Arial" w:hAnsi="Arial"/>
                <w:sz w:val="12"/>
                <w:szCs w:val="12"/>
                <w:b w:val="1"/>
                <w:bCs w:val="1"/>
                <w:color w:val="auto"/>
              </w:rPr>
              <w:t>Three Months Ended September 30,</w:t>
            </w:r>
          </w:p>
        </w:tc>
        <w:tc>
          <w:tcPr>
            <w:tcW w:w="120" w:type="dxa"/>
            <w:vAlign w:val="bottom"/>
          </w:tcPr>
          <w:p>
            <w:pPr>
              <w:spacing w:after="0"/>
              <w:rPr>
                <w:sz w:val="12"/>
                <w:szCs w:val="12"/>
                <w:color w:val="auto"/>
              </w:rPr>
            </w:pPr>
          </w:p>
        </w:tc>
        <w:tc>
          <w:tcPr>
            <w:tcW w:w="3000" w:type="dxa"/>
            <w:vAlign w:val="bottom"/>
            <w:gridSpan w:val="12"/>
          </w:tcPr>
          <w:p>
            <w:pPr>
              <w:ind w:left="440"/>
              <w:spacing w:after="0"/>
              <w:rPr>
                <w:sz w:val="20"/>
                <w:szCs w:val="20"/>
                <w:color w:val="auto"/>
              </w:rPr>
            </w:pPr>
            <w:r>
              <w:rPr>
                <w:rFonts w:ascii="Arial" w:cs="Arial" w:eastAsia="Arial" w:hAnsi="Arial"/>
                <w:sz w:val="12"/>
                <w:szCs w:val="12"/>
                <w:b w:val="1"/>
                <w:bCs w:val="1"/>
                <w:color w:val="auto"/>
              </w:rPr>
              <w:t>Nine Months Ended September 30,</w:t>
            </w:r>
          </w:p>
        </w:tc>
      </w:tr>
      <w:tr>
        <w:trPr>
          <w:trHeight w:val="169"/>
        </w:trPr>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gridSpan w:val="4"/>
          </w:tcPr>
          <w:p>
            <w:pPr>
              <w:jc w:val="right"/>
              <w:ind w:right="558"/>
              <w:spacing w:after="0"/>
              <w:rPr>
                <w:sz w:val="20"/>
                <w:szCs w:val="20"/>
                <w:color w:val="auto"/>
              </w:rPr>
            </w:pPr>
            <w:r>
              <w:rPr>
                <w:rFonts w:ascii="Arial" w:cs="Arial" w:eastAsia="Arial" w:hAnsi="Arial"/>
                <w:sz w:val="12"/>
                <w:szCs w:val="12"/>
                <w:b w:val="1"/>
                <w:bCs w:val="1"/>
                <w:color w:val="auto"/>
                <w:w w:val="89"/>
              </w:rPr>
              <w:t>2025</w:t>
            </w: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2025</w:t>
            </w:r>
          </w:p>
        </w:tc>
        <w:tc>
          <w:tcPr>
            <w:tcW w:w="6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9"/>
              </w:rPr>
              <w:t>2024</w:t>
            </w:r>
          </w:p>
        </w:tc>
        <w:tc>
          <w:tcPr>
            <w:tcW w:w="6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84"/>
        </w:trPr>
        <w:tc>
          <w:tcPr>
            <w:tcW w:w="2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5"/>
          </w:tcPr>
          <w:p>
            <w:pPr>
              <w:ind w:left="20"/>
              <w:spacing w:after="0"/>
              <w:rPr>
                <w:sz w:val="20"/>
                <w:szCs w:val="20"/>
                <w:color w:val="auto"/>
              </w:rPr>
            </w:pPr>
            <w:r>
              <w:rPr>
                <w:rFonts w:ascii="Arial" w:cs="Arial" w:eastAsia="Arial" w:hAnsi="Arial"/>
                <w:sz w:val="12"/>
                <w:szCs w:val="12"/>
                <w:b w:val="1"/>
                <w:bCs w:val="1"/>
                <w:color w:val="auto"/>
              </w:rPr>
              <w:t>Good Sam</w:t>
            </w:r>
          </w:p>
        </w:tc>
        <w:tc>
          <w:tcPr>
            <w:tcW w:w="6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RV and</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Good Sam</w:t>
            </w:r>
          </w:p>
        </w:tc>
        <w:tc>
          <w:tcPr>
            <w:tcW w:w="140" w:type="dxa"/>
            <w:vAlign w:val="bottom"/>
          </w:tcPr>
          <w:p>
            <w:pPr>
              <w:spacing w:after="0"/>
              <w:rPr>
                <w:sz w:val="16"/>
                <w:szCs w:val="16"/>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RV and</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Good Sam</w:t>
            </w:r>
          </w:p>
        </w:tc>
        <w:tc>
          <w:tcPr>
            <w:tcW w:w="12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6"/>
              </w:rPr>
              <w:t>RV and</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3"/>
              </w:rPr>
              <w:t>Good Sam</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RV and</w:t>
            </w:r>
          </w:p>
        </w:tc>
      </w:tr>
      <w:tr>
        <w:trPr>
          <w:trHeight w:val="189"/>
        </w:trPr>
        <w:tc>
          <w:tcPr>
            <w:tcW w:w="2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Services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Outdoor</w:t>
            </w:r>
          </w:p>
        </w:tc>
        <w:tc>
          <w:tcPr>
            <w:tcW w:w="740" w:type="dxa"/>
            <w:vAlign w:val="bottom"/>
            <w:gridSpan w:val="3"/>
          </w:tcPr>
          <w:p>
            <w:pPr>
              <w:ind w:left="100"/>
              <w:spacing w:after="0"/>
              <w:rPr>
                <w:sz w:val="20"/>
                <w:szCs w:val="20"/>
                <w:color w:val="auto"/>
              </w:rPr>
            </w:pPr>
            <w:r>
              <w:rPr>
                <w:rFonts w:ascii="Arial" w:cs="Arial" w:eastAsia="Arial" w:hAnsi="Arial"/>
                <w:sz w:val="12"/>
                <w:szCs w:val="12"/>
                <w:b w:val="1"/>
                <w:bCs w:val="1"/>
                <w:color w:val="auto"/>
              </w:rPr>
              <w:t>Services</w:t>
            </w:r>
          </w:p>
        </w:tc>
        <w:tc>
          <w:tcPr>
            <w:tcW w:w="14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Outdoor</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Services</w:t>
            </w:r>
          </w:p>
        </w:tc>
        <w:tc>
          <w:tcPr>
            <w:tcW w:w="12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Outdoor</w:t>
            </w:r>
          </w:p>
        </w:tc>
        <w:tc>
          <w:tcPr>
            <w:tcW w:w="620" w:type="dxa"/>
            <w:vAlign w:val="bottom"/>
            <w:gridSpan w:val="2"/>
          </w:tcPr>
          <w:p>
            <w:pPr>
              <w:jc w:val="right"/>
              <w:spacing w:after="0"/>
              <w:rPr>
                <w:sz w:val="20"/>
                <w:szCs w:val="20"/>
                <w:color w:val="auto"/>
              </w:rPr>
            </w:pPr>
            <w:r>
              <w:rPr>
                <w:rFonts w:ascii="Arial" w:cs="Arial" w:eastAsia="Arial" w:hAnsi="Arial"/>
                <w:sz w:val="12"/>
                <w:szCs w:val="12"/>
                <w:b w:val="1"/>
                <w:bCs w:val="1"/>
                <w:color w:val="auto"/>
              </w:rPr>
              <w:t>Services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Outdoor</w:t>
            </w:r>
          </w:p>
        </w:tc>
      </w:tr>
      <w:tr>
        <w:trPr>
          <w:trHeight w:val="147"/>
        </w:trPr>
        <w:tc>
          <w:tcPr>
            <w:tcW w:w="2880" w:type="dxa"/>
            <w:vAlign w:val="bottom"/>
            <w:gridSpan w:val="2"/>
          </w:tcPr>
          <w:p>
            <w:pPr>
              <w:spacing w:after="0"/>
              <w:rPr>
                <w:sz w:val="20"/>
                <w:szCs w:val="20"/>
                <w:color w:val="auto"/>
              </w:rPr>
            </w:pPr>
            <w:r>
              <w:rPr>
                <w:rFonts w:ascii="Arial" w:cs="Arial" w:eastAsia="Arial" w:hAnsi="Arial"/>
                <w:sz w:val="11"/>
                <w:szCs w:val="11"/>
                <w:color w:val="auto"/>
              </w:rPr>
              <w:t>($ in thousands)</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and Plans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Retail</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and Plans</w:t>
            </w:r>
          </w:p>
        </w:tc>
        <w:tc>
          <w:tcPr>
            <w:tcW w:w="14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Retail</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Plans</w:t>
            </w:r>
          </w:p>
        </w:tc>
        <w:tc>
          <w:tcPr>
            <w:tcW w:w="12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Retail</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and Plans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Retail</w:t>
            </w:r>
          </w:p>
        </w:tc>
      </w:tr>
      <w:tr>
        <w:trPr>
          <w:trHeight w:val="142"/>
        </w:trPr>
        <w:tc>
          <w:tcPr>
            <w:tcW w:w="2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Revenue:</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89"/>
        </w:trPr>
        <w:tc>
          <w:tcPr>
            <w:tcW w:w="2880" w:type="dxa"/>
            <w:vAlign w:val="bottom"/>
            <w:gridSpan w:val="2"/>
          </w:tcPr>
          <w:p>
            <w:pPr>
              <w:ind w:left="100"/>
              <w:spacing w:after="0"/>
              <w:rPr>
                <w:sz w:val="20"/>
                <w:szCs w:val="20"/>
                <w:color w:val="auto"/>
              </w:rPr>
            </w:pPr>
            <w:r>
              <w:rPr>
                <w:rFonts w:ascii="Arial" w:cs="Arial" w:eastAsia="Arial" w:hAnsi="Arial"/>
                <w:sz w:val="13"/>
                <w:szCs w:val="13"/>
                <w:color w:val="auto"/>
              </w:rPr>
              <w:t>Good Sam Services and Plans</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5"/>
              </w:rPr>
              <w:t>52,508</w:t>
            </w:r>
          </w:p>
        </w:tc>
        <w:tc>
          <w:tcPr>
            <w:tcW w:w="2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50,841</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152,929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149,070</w:t>
            </w:r>
          </w:p>
        </w:tc>
        <w:tc>
          <w:tcPr>
            <w:tcW w:w="2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89"/>
        </w:trPr>
        <w:tc>
          <w:tcPr>
            <w:tcW w:w="28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New vehicles</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766,779</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824,916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2,303,317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2,328,107</w:t>
            </w:r>
          </w:p>
        </w:tc>
        <w:tc>
          <w:tcPr>
            <w:tcW w:w="60" w:type="dxa"/>
            <w:vAlign w:val="bottom"/>
            <w:shd w:val="clear" w:color="auto" w:fill="CCEEFF"/>
          </w:tcPr>
          <w:p>
            <w:pPr>
              <w:spacing w:after="0"/>
              <w:rPr>
                <w:sz w:val="16"/>
                <w:szCs w:val="16"/>
                <w:color w:val="auto"/>
              </w:rPr>
            </w:pPr>
          </w:p>
        </w:tc>
      </w:tr>
      <w:tr>
        <w:trPr>
          <w:trHeight w:val="189"/>
        </w:trPr>
        <w:tc>
          <w:tcPr>
            <w:tcW w:w="2880" w:type="dxa"/>
            <w:vAlign w:val="bottom"/>
            <w:gridSpan w:val="2"/>
          </w:tcPr>
          <w:p>
            <w:pPr>
              <w:ind w:left="100"/>
              <w:spacing w:after="0"/>
              <w:rPr>
                <w:sz w:val="20"/>
                <w:szCs w:val="20"/>
                <w:color w:val="auto"/>
              </w:rPr>
            </w:pPr>
            <w:r>
              <w:rPr>
                <w:rFonts w:ascii="Arial" w:cs="Arial" w:eastAsia="Arial" w:hAnsi="Arial"/>
                <w:sz w:val="13"/>
                <w:szCs w:val="13"/>
                <w:color w:val="auto"/>
              </w:rPr>
              <w:t>Used vehicles</w:t>
            </w:r>
          </w:p>
        </w:tc>
        <w:tc>
          <w:tcPr>
            <w:tcW w:w="14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589,092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447,242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1,583,714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1,265,701</w:t>
            </w:r>
          </w:p>
        </w:tc>
        <w:tc>
          <w:tcPr>
            <w:tcW w:w="60" w:type="dxa"/>
            <w:vAlign w:val="bottom"/>
          </w:tcPr>
          <w:p>
            <w:pPr>
              <w:spacing w:after="0"/>
              <w:rPr>
                <w:sz w:val="16"/>
                <w:szCs w:val="16"/>
                <w:color w:val="auto"/>
              </w:rPr>
            </w:pPr>
          </w:p>
        </w:tc>
      </w:tr>
      <w:tr>
        <w:trPr>
          <w:trHeight w:val="189"/>
        </w:trPr>
        <w:tc>
          <w:tcPr>
            <w:tcW w:w="28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Products, service and other</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208,634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224,839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596,516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638,680</w:t>
            </w:r>
          </w:p>
        </w:tc>
        <w:tc>
          <w:tcPr>
            <w:tcW w:w="60" w:type="dxa"/>
            <w:vAlign w:val="bottom"/>
            <w:shd w:val="clear" w:color="auto" w:fill="CCEEFF"/>
          </w:tcPr>
          <w:p>
            <w:pPr>
              <w:spacing w:after="0"/>
              <w:rPr>
                <w:sz w:val="16"/>
                <w:szCs w:val="16"/>
                <w:color w:val="auto"/>
              </w:rPr>
            </w:pPr>
          </w:p>
        </w:tc>
      </w:tr>
      <w:tr>
        <w:trPr>
          <w:trHeight w:val="189"/>
        </w:trPr>
        <w:tc>
          <w:tcPr>
            <w:tcW w:w="2880" w:type="dxa"/>
            <w:vAlign w:val="bottom"/>
            <w:gridSpan w:val="2"/>
          </w:tcPr>
          <w:p>
            <w:pPr>
              <w:ind w:left="100"/>
              <w:spacing w:after="0"/>
              <w:rPr>
                <w:sz w:val="20"/>
                <w:szCs w:val="20"/>
                <w:color w:val="auto"/>
              </w:rPr>
            </w:pPr>
            <w:r>
              <w:rPr>
                <w:rFonts w:ascii="Arial" w:cs="Arial" w:eastAsia="Arial" w:hAnsi="Arial"/>
                <w:sz w:val="13"/>
                <w:szCs w:val="13"/>
                <w:color w:val="auto"/>
              </w:rPr>
              <w:t>Finance and insurance, net</w:t>
            </w:r>
          </w:p>
        </w:tc>
        <w:tc>
          <w:tcPr>
            <w:tcW w:w="14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178,297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166,255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528,162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480,725</w:t>
            </w:r>
          </w:p>
        </w:tc>
        <w:tc>
          <w:tcPr>
            <w:tcW w:w="60" w:type="dxa"/>
            <w:vAlign w:val="bottom"/>
          </w:tcPr>
          <w:p>
            <w:pPr>
              <w:spacing w:after="0"/>
              <w:rPr>
                <w:sz w:val="16"/>
                <w:szCs w:val="16"/>
                <w:color w:val="auto"/>
              </w:rPr>
            </w:pPr>
          </w:p>
        </w:tc>
      </w:tr>
      <w:tr>
        <w:trPr>
          <w:trHeight w:val="189"/>
        </w:trPr>
        <w:tc>
          <w:tcPr>
            <w:tcW w:w="28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Good Sam Club</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10,808</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30,952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33,227</w:t>
            </w:r>
          </w:p>
        </w:tc>
        <w:tc>
          <w:tcPr>
            <w:tcW w:w="60" w:type="dxa"/>
            <w:vAlign w:val="bottom"/>
            <w:shd w:val="clear" w:color="auto" w:fill="CCEEFF"/>
          </w:tcPr>
          <w:p>
            <w:pPr>
              <w:spacing w:after="0"/>
              <w:rPr>
                <w:sz w:val="16"/>
                <w:szCs w:val="16"/>
                <w:color w:val="auto"/>
              </w:rPr>
            </w:pPr>
          </w:p>
        </w:tc>
      </w:tr>
      <w:tr>
        <w:trPr>
          <w:trHeight w:val="189"/>
        </w:trPr>
        <w:tc>
          <w:tcPr>
            <w:tcW w:w="2880" w:type="dxa"/>
            <w:vAlign w:val="bottom"/>
            <w:tcBorders>
              <w:bottom w:val="single" w:sz="8" w:color="CCEEFF"/>
            </w:tcBorders>
            <w:gridSpan w:val="2"/>
          </w:tcPr>
          <w:p>
            <w:pPr>
              <w:ind w:left="100"/>
              <w:spacing w:after="0" w:line="189" w:lineRule="exact"/>
              <w:rPr>
                <w:sz w:val="20"/>
                <w:szCs w:val="20"/>
                <w:color w:val="auto"/>
              </w:rPr>
            </w:pPr>
            <w:r>
              <w:rPr>
                <w:rFonts w:ascii="Arial" w:cs="Arial" w:eastAsia="Arial" w:hAnsi="Arial"/>
                <w:sz w:val="13"/>
                <w:szCs w:val="13"/>
                <w:color w:val="auto"/>
              </w:rPr>
              <w:t>Intersegment revenue</w:t>
            </w:r>
            <w:r>
              <w:rPr>
                <w:rFonts w:ascii="Arial" w:cs="Arial" w:eastAsia="Arial" w:hAnsi="Arial"/>
                <w:sz w:val="18"/>
                <w:szCs w:val="18"/>
                <w:color w:val="auto"/>
                <w:vertAlign w:val="superscript"/>
              </w:rPr>
              <w:t>(1)</w:t>
            </w: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164</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3,501</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3,535</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10,161</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957</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10,465</w:t>
            </w:r>
          </w:p>
        </w:tc>
        <w:tc>
          <w:tcPr>
            <w:tcW w:w="60" w:type="dxa"/>
            <w:vAlign w:val="bottom"/>
            <w:tcBorders>
              <w:bottom w:val="single" w:sz="8" w:color="CCEEFF"/>
            </w:tcBorders>
          </w:tcPr>
          <w:p>
            <w:pPr>
              <w:spacing w:after="0"/>
              <w:rPr>
                <w:sz w:val="16"/>
                <w:szCs w:val="16"/>
                <w:color w:val="auto"/>
              </w:rPr>
            </w:pPr>
          </w:p>
        </w:tc>
      </w:tr>
      <w:tr>
        <w:trPr>
          <w:trHeight w:val="169"/>
        </w:trPr>
        <w:tc>
          <w:tcPr>
            <w:tcW w:w="2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revenue before intersegment eliminations</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52,672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1,757,111</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50,639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1,677,682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153,989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5,052,822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150,027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4,756,905</w:t>
            </w:r>
          </w:p>
        </w:tc>
        <w:tc>
          <w:tcPr>
            <w:tcW w:w="60" w:type="dxa"/>
            <w:vAlign w:val="bottom"/>
            <w:shd w:val="clear" w:color="auto" w:fill="CCEEFF"/>
          </w:tcPr>
          <w:p>
            <w:pPr>
              <w:spacing w:after="0"/>
              <w:rPr>
                <w:sz w:val="14"/>
                <w:szCs w:val="14"/>
                <w:color w:val="auto"/>
              </w:rPr>
            </w:pPr>
          </w:p>
        </w:tc>
      </w:tr>
      <w:tr>
        <w:trPr>
          <w:trHeight w:val="198"/>
        </w:trPr>
        <w:tc>
          <w:tcPr>
            <w:tcW w:w="2880" w:type="dxa"/>
            <w:vAlign w:val="bottom"/>
            <w:gridSpan w:val="2"/>
          </w:tcPr>
          <w:p>
            <w:pPr>
              <w:spacing w:after="0"/>
              <w:rPr>
                <w:sz w:val="20"/>
                <w:szCs w:val="20"/>
                <w:color w:val="auto"/>
              </w:rPr>
            </w:pPr>
            <w:r>
              <w:rPr>
                <w:rFonts w:ascii="Arial" w:cs="Arial" w:eastAsia="Arial" w:hAnsi="Arial"/>
                <w:sz w:val="13"/>
                <w:szCs w:val="13"/>
                <w:b w:val="1"/>
                <w:bCs w:val="1"/>
                <w:color w:val="auto"/>
              </w:rPr>
              <w:t>Segment expenses: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0"/>
        </w:trPr>
        <w:tc>
          <w:tcPr>
            <w:tcW w:w="2880" w:type="dxa"/>
            <w:vAlign w:val="bottom"/>
            <w:gridSpan w:val="2"/>
          </w:tcPr>
          <w:p>
            <w:pPr>
              <w:ind w:left="100"/>
              <w:spacing w:after="0" w:line="180" w:lineRule="exact"/>
              <w:rPr>
                <w:sz w:val="20"/>
                <w:szCs w:val="20"/>
                <w:color w:val="auto"/>
              </w:rPr>
            </w:pPr>
            <w:r>
              <w:rPr>
                <w:rFonts w:ascii="Arial" w:cs="Arial" w:eastAsia="Arial" w:hAnsi="Arial"/>
                <w:sz w:val="13"/>
                <w:szCs w:val="13"/>
                <w:color w:val="auto"/>
              </w:rPr>
              <w:t>Adjusted costs applicable to revenue</w:t>
            </w:r>
            <w:r>
              <w:rPr>
                <w:rFonts w:ascii="Arial" w:cs="Arial" w:eastAsia="Arial" w:hAnsi="Arial"/>
                <w:sz w:val="18"/>
                <w:szCs w:val="18"/>
                <w:color w:val="auto"/>
                <w:vertAlign w:val="superscript"/>
              </w:rPr>
              <w:t>(2)</w:t>
            </w:r>
          </w:p>
        </w:tc>
        <w:tc>
          <w:tcPr>
            <w:tcW w:w="1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w w:val="95"/>
              </w:rPr>
              <w:t>22,740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1,266,227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19,656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1,206,713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62,353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3,593,978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51,950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3,394,704</w:t>
            </w:r>
          </w:p>
        </w:tc>
        <w:tc>
          <w:tcPr>
            <w:tcW w:w="60" w:type="dxa"/>
            <w:vAlign w:val="bottom"/>
          </w:tcPr>
          <w:p>
            <w:pPr>
              <w:spacing w:after="0"/>
              <w:rPr>
                <w:sz w:val="15"/>
                <w:szCs w:val="15"/>
                <w:color w:val="auto"/>
              </w:rPr>
            </w:pPr>
          </w:p>
        </w:tc>
      </w:tr>
      <w:tr>
        <w:trPr>
          <w:trHeight w:val="189"/>
        </w:trPr>
        <w:tc>
          <w:tcPr>
            <w:tcW w:w="288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3"/>
                <w:szCs w:val="13"/>
                <w:color w:val="auto"/>
              </w:rPr>
              <w:t>Intersegment costs applicable to revenue</w:t>
            </w:r>
            <w:r>
              <w:rPr>
                <w:rFonts w:ascii="Arial" w:cs="Arial" w:eastAsia="Arial" w:hAnsi="Arial"/>
                <w:sz w:val="18"/>
                <w:szCs w:val="18"/>
                <w:color w:val="auto"/>
                <w:vertAlign w:val="superscript"/>
              </w:rPr>
              <w:t>(3)</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78</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8,341</w:t>
            </w:r>
          </w:p>
        </w:tc>
        <w:tc>
          <w:tcPr>
            <w:tcW w:w="60" w:type="dxa"/>
            <w:vAlign w:val="bottom"/>
            <w:shd w:val="clear" w:color="auto" w:fill="CCEEFF"/>
          </w:tcPr>
          <w:p>
            <w:pPr>
              <w:spacing w:after="0"/>
              <w:rPr>
                <w:sz w:val="16"/>
                <w:szCs w:val="16"/>
                <w:color w:val="auto"/>
              </w:rPr>
            </w:pPr>
          </w:p>
        </w:tc>
      </w:tr>
      <w:tr>
        <w:trPr>
          <w:trHeight w:val="189"/>
        </w:trPr>
        <w:tc>
          <w:tcPr>
            <w:tcW w:w="2880" w:type="dxa"/>
            <w:vAlign w:val="bottom"/>
            <w:gridSpan w:val="2"/>
          </w:tcPr>
          <w:p>
            <w:pPr>
              <w:ind w:left="100"/>
              <w:spacing w:after="0" w:line="189" w:lineRule="exact"/>
              <w:rPr>
                <w:sz w:val="20"/>
                <w:szCs w:val="20"/>
                <w:color w:val="auto"/>
              </w:rPr>
            </w:pPr>
            <w:r>
              <w:rPr>
                <w:rFonts w:ascii="Arial" w:cs="Arial" w:eastAsia="Arial" w:hAnsi="Arial"/>
                <w:sz w:val="13"/>
                <w:szCs w:val="13"/>
                <w:color w:val="auto"/>
              </w:rPr>
              <w:t>Adjusted selling, general and administrative</w:t>
            </w:r>
            <w:r>
              <w:rPr>
                <w:rFonts w:ascii="Arial" w:cs="Arial" w:eastAsia="Arial" w:hAnsi="Arial"/>
                <w:sz w:val="18"/>
                <w:szCs w:val="18"/>
                <w:color w:val="auto"/>
                <w:vertAlign w:val="superscript"/>
              </w:rPr>
              <w:t>(4)</w:t>
            </w:r>
          </w:p>
        </w:tc>
        <w:tc>
          <w:tcPr>
            <w:tcW w:w="14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w w:val="92"/>
              </w:rPr>
              <w:t>8,263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392,346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7,604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397,649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23,072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1,179,591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22,053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1,158,009</w:t>
            </w:r>
          </w:p>
        </w:tc>
        <w:tc>
          <w:tcPr>
            <w:tcW w:w="60" w:type="dxa"/>
            <w:vAlign w:val="bottom"/>
          </w:tcPr>
          <w:p>
            <w:pPr>
              <w:spacing w:after="0"/>
              <w:rPr>
                <w:sz w:val="16"/>
                <w:szCs w:val="16"/>
                <w:color w:val="auto"/>
              </w:rPr>
            </w:pPr>
          </w:p>
        </w:tc>
      </w:tr>
      <w:tr>
        <w:trPr>
          <w:trHeight w:val="189"/>
        </w:trPr>
        <w:tc>
          <w:tcPr>
            <w:tcW w:w="28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Floor plan interest expense</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18,061</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22,372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57,356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78,053</w:t>
            </w:r>
          </w:p>
        </w:tc>
        <w:tc>
          <w:tcPr>
            <w:tcW w:w="60" w:type="dxa"/>
            <w:vAlign w:val="bottom"/>
            <w:shd w:val="clear" w:color="auto" w:fill="CCEEFF"/>
          </w:tcPr>
          <w:p>
            <w:pPr>
              <w:spacing w:after="0"/>
              <w:rPr>
                <w:sz w:val="16"/>
                <w:szCs w:val="16"/>
                <w:color w:val="auto"/>
              </w:rPr>
            </w:pPr>
          </w:p>
        </w:tc>
      </w:tr>
      <w:tr>
        <w:trPr>
          <w:trHeight w:val="189"/>
        </w:trPr>
        <w:tc>
          <w:tcPr>
            <w:tcW w:w="2880" w:type="dxa"/>
            <w:vAlign w:val="bottom"/>
            <w:tcBorders>
              <w:bottom w:val="single" w:sz="8" w:color="CCEEFF"/>
            </w:tcBorders>
            <w:gridSpan w:val="2"/>
          </w:tcPr>
          <w:p>
            <w:pPr>
              <w:ind w:left="100"/>
              <w:spacing w:after="0" w:line="189" w:lineRule="exact"/>
              <w:rPr>
                <w:sz w:val="20"/>
                <w:szCs w:val="20"/>
                <w:color w:val="auto"/>
              </w:rPr>
            </w:pPr>
            <w:r>
              <w:rPr>
                <w:rFonts w:ascii="Arial" w:cs="Arial" w:eastAsia="Arial" w:hAnsi="Arial"/>
                <w:sz w:val="13"/>
                <w:szCs w:val="13"/>
                <w:color w:val="auto"/>
              </w:rPr>
              <w:t>Other segment items</w:t>
            </w:r>
            <w:r>
              <w:rPr>
                <w:rFonts w:ascii="Arial" w:cs="Arial" w:eastAsia="Arial" w:hAnsi="Arial"/>
                <w:sz w:val="18"/>
                <w:szCs w:val="18"/>
                <w:color w:val="auto"/>
                <w:vertAlign w:val="superscript"/>
              </w:rPr>
              <w:t>(5)</w:t>
            </w: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w:t>
            </w:r>
          </w:p>
        </w:tc>
        <w:tc>
          <w:tcPr>
            <w:tcW w:w="60" w:type="dxa"/>
            <w:vAlign w:val="bottom"/>
            <w:tcBorders>
              <w:bottom w:val="single" w:sz="8" w:color="CCEEFF"/>
            </w:tcBorders>
          </w:tcPr>
          <w:p>
            <w:pPr>
              <w:spacing w:after="0"/>
              <w:rPr>
                <w:sz w:val="16"/>
                <w:szCs w:val="16"/>
                <w:color w:val="auto"/>
              </w:rPr>
            </w:pPr>
          </w:p>
        </w:tc>
      </w:tr>
      <w:tr>
        <w:trPr>
          <w:trHeight w:val="156"/>
        </w:trPr>
        <w:tc>
          <w:tcPr>
            <w:tcW w:w="28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Segment Adjusted EBITDA</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21,591</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77,159</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23,659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48,072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67,859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212,182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75,280</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117,575</w:t>
            </w:r>
          </w:p>
        </w:tc>
        <w:tc>
          <w:tcPr>
            <w:tcW w:w="60" w:type="dxa"/>
            <w:vAlign w:val="bottom"/>
            <w:shd w:val="clear" w:color="auto" w:fill="CCEEFF"/>
          </w:tcPr>
          <w:p>
            <w:pPr>
              <w:spacing w:after="0"/>
              <w:rPr>
                <w:sz w:val="13"/>
                <w:szCs w:val="13"/>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31" w:lineRule="exact"/>
        <w:rPr>
          <w:sz w:val="20"/>
          <w:szCs w:val="20"/>
          <w:color w:val="auto"/>
        </w:rPr>
      </w:pPr>
    </w:p>
    <w:p>
      <w:pPr>
        <w:ind w:left="500" w:hanging="329"/>
        <w:spacing w:after="0"/>
        <w:tabs>
          <w:tab w:leader="none" w:pos="500" w:val="left"/>
        </w:tabs>
        <w:numPr>
          <w:ilvl w:val="0"/>
          <w:numId w:val="21"/>
        </w:numPr>
        <w:rPr>
          <w:rFonts w:ascii="Arial" w:cs="Arial" w:eastAsia="Arial" w:hAnsi="Arial"/>
          <w:sz w:val="22"/>
          <w:szCs w:val="22"/>
          <w:color w:val="231F20"/>
          <w:vertAlign w:val="superscript"/>
        </w:rPr>
      </w:pPr>
      <w:r>
        <w:rPr>
          <w:rFonts w:ascii="Arial" w:cs="Arial" w:eastAsia="Arial" w:hAnsi="Arial"/>
          <w:sz w:val="14"/>
          <w:szCs w:val="14"/>
          <w:color w:val="auto"/>
        </w:rPr>
        <w:t>Intersegment revenue consists of segment revenue that is eliminated in our condensed consolidated statements of operations.</w:t>
      </w:r>
    </w:p>
    <w:p>
      <w:pPr>
        <w:spacing w:after="0" w:line="93" w:lineRule="exact"/>
        <w:rPr>
          <w:rFonts w:ascii="Arial" w:cs="Arial" w:eastAsia="Arial" w:hAnsi="Arial"/>
          <w:sz w:val="22"/>
          <w:szCs w:val="22"/>
          <w:color w:val="231F20"/>
          <w:vertAlign w:val="superscript"/>
        </w:rPr>
      </w:pPr>
    </w:p>
    <w:p>
      <w:pPr>
        <w:ind w:left="500" w:hanging="329"/>
        <w:spacing w:after="0" w:line="183" w:lineRule="auto"/>
        <w:tabs>
          <w:tab w:leader="none" w:pos="500" w:val="left"/>
        </w:tabs>
        <w:numPr>
          <w:ilvl w:val="0"/>
          <w:numId w:val="21"/>
        </w:numPr>
        <w:rPr>
          <w:rFonts w:ascii="Arial" w:cs="Arial" w:eastAsia="Arial" w:hAnsi="Arial"/>
          <w:sz w:val="20"/>
          <w:szCs w:val="20"/>
          <w:color w:val="231F20"/>
          <w:vertAlign w:val="superscript"/>
        </w:rPr>
      </w:pPr>
      <w:r>
        <w:rPr>
          <w:rFonts w:ascii="Arial" w:cs="Arial" w:eastAsia="Arial" w:hAnsi="Arial"/>
          <w:sz w:val="14"/>
          <w:szCs w:val="14"/>
          <w:color w:val="auto"/>
        </w:rPr>
        <w:t>Adjusted costs applicable to revenue exclude SBC expense and intersegment costs applicable to revenue.</w:t>
      </w:r>
    </w:p>
    <w:p>
      <w:pPr>
        <w:spacing w:after="0" w:line="94" w:lineRule="exact"/>
        <w:rPr>
          <w:rFonts w:ascii="Arial" w:cs="Arial" w:eastAsia="Arial" w:hAnsi="Arial"/>
          <w:sz w:val="20"/>
          <w:szCs w:val="20"/>
          <w:color w:val="231F20"/>
          <w:vertAlign w:val="superscript"/>
        </w:rPr>
      </w:pPr>
    </w:p>
    <w:p>
      <w:pPr>
        <w:ind w:left="500" w:right="100" w:hanging="329"/>
        <w:spacing w:after="0" w:line="196" w:lineRule="auto"/>
        <w:tabs>
          <w:tab w:leader="none" w:pos="500" w:val="left"/>
        </w:tabs>
        <w:numPr>
          <w:ilvl w:val="0"/>
          <w:numId w:val="21"/>
        </w:numPr>
        <w:rPr>
          <w:rFonts w:ascii="Arial" w:cs="Arial" w:eastAsia="Arial" w:hAnsi="Arial"/>
          <w:sz w:val="22"/>
          <w:szCs w:val="22"/>
          <w:color w:val="231F20"/>
          <w:vertAlign w:val="superscript"/>
        </w:rPr>
      </w:pPr>
      <w:r>
        <w:rPr>
          <w:rFonts w:ascii="Arial" w:cs="Arial" w:eastAsia="Arial" w:hAnsi="Arial"/>
          <w:sz w:val="14"/>
          <w:szCs w:val="14"/>
          <w:color w:val="auto"/>
        </w:rPr>
        <w:t>Intersegment costs applicable to revenue consist of segment costs applicable to revenue that are eliminated in our condensed consolidated statements of operations.</w:t>
      </w:r>
    </w:p>
    <w:p>
      <w:pPr>
        <w:spacing w:after="0" w:line="17" w:lineRule="exact"/>
        <w:rPr>
          <w:rFonts w:ascii="Arial" w:cs="Arial" w:eastAsia="Arial" w:hAnsi="Arial"/>
          <w:sz w:val="22"/>
          <w:szCs w:val="22"/>
          <w:color w:val="231F20"/>
          <w:vertAlign w:val="superscript"/>
        </w:rPr>
      </w:pPr>
    </w:p>
    <w:p>
      <w:pPr>
        <w:ind w:left="500" w:hanging="329"/>
        <w:spacing w:after="0"/>
        <w:tabs>
          <w:tab w:leader="none" w:pos="500" w:val="left"/>
        </w:tabs>
        <w:numPr>
          <w:ilvl w:val="0"/>
          <w:numId w:val="21"/>
        </w:numPr>
        <w:rPr>
          <w:rFonts w:ascii="Arial" w:cs="Arial" w:eastAsia="Arial" w:hAnsi="Arial"/>
          <w:sz w:val="22"/>
          <w:szCs w:val="22"/>
          <w:color w:val="231F20"/>
          <w:vertAlign w:val="superscript"/>
        </w:rPr>
      </w:pPr>
      <w:r>
        <w:rPr>
          <w:rFonts w:ascii="Arial" w:cs="Arial" w:eastAsia="Arial" w:hAnsi="Arial"/>
          <w:sz w:val="14"/>
          <w:szCs w:val="14"/>
          <w:color w:val="auto"/>
        </w:rPr>
        <w:t>Adjusted SG&amp;A expenses excludes SBC expense and intersegment operating expenses.</w:t>
      </w:r>
    </w:p>
    <w:p>
      <w:pPr>
        <w:spacing w:after="0" w:line="93" w:lineRule="exact"/>
        <w:rPr>
          <w:rFonts w:ascii="Arial" w:cs="Arial" w:eastAsia="Arial" w:hAnsi="Arial"/>
          <w:sz w:val="22"/>
          <w:szCs w:val="22"/>
          <w:color w:val="231F20"/>
          <w:vertAlign w:val="superscript"/>
        </w:rPr>
      </w:pPr>
    </w:p>
    <w:p>
      <w:pPr>
        <w:ind w:left="500" w:right="100" w:hanging="329"/>
        <w:spacing w:after="0" w:line="196" w:lineRule="auto"/>
        <w:tabs>
          <w:tab w:leader="none" w:pos="500" w:val="left"/>
        </w:tabs>
        <w:numPr>
          <w:ilvl w:val="0"/>
          <w:numId w:val="21"/>
        </w:numPr>
        <w:rPr>
          <w:rFonts w:ascii="Arial" w:cs="Arial" w:eastAsia="Arial" w:hAnsi="Arial"/>
          <w:sz w:val="22"/>
          <w:szCs w:val="22"/>
          <w:color w:val="231F20"/>
          <w:vertAlign w:val="superscript"/>
        </w:rPr>
      </w:pPr>
      <w:r>
        <w:rPr>
          <w:rFonts w:ascii="Arial" w:cs="Arial" w:eastAsia="Arial" w:hAnsi="Arial"/>
          <w:sz w:val="14"/>
          <w:szCs w:val="14"/>
          <w:color w:val="auto"/>
        </w:rPr>
        <w:t>Other segment items include (i) intersegment operating expenses, which are eliminated in our condensed consolidated statements of operations, and (ii) other expense, net excluding loss and/or impairment on investments in equity securities.</w:t>
      </w:r>
    </w:p>
    <w:p>
      <w:pPr>
        <w:spacing w:after="0" w:line="322" w:lineRule="exact"/>
        <w:rPr>
          <w:sz w:val="20"/>
          <w:szCs w:val="20"/>
          <w:color w:val="auto"/>
        </w:rPr>
      </w:pPr>
    </w:p>
    <w:tbl>
      <w:tblPr>
        <w:tblLayout w:type="fixed"/>
        <w:tblInd w:w="80" w:type="dxa"/>
        <w:tblCellMar>
          <w:top w:w="0" w:type="dxa"/>
          <w:left w:w="0" w:type="dxa"/>
          <w:bottom w:w="0" w:type="dxa"/>
          <w:right w:w="0" w:type="dxa"/>
        </w:tblCellMar>
      </w:tblPr>
      <w:tr>
        <w:trPr>
          <w:trHeight w:val="145"/>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5"/>
          </w:tcPr>
          <w:p>
            <w:pPr>
              <w:jc w:val="right"/>
              <w:ind w:right="320"/>
              <w:spacing w:after="0"/>
              <w:rPr>
                <w:sz w:val="20"/>
                <w:szCs w:val="20"/>
                <w:color w:val="auto"/>
              </w:rPr>
            </w:pPr>
            <w:r>
              <w:rPr>
                <w:rFonts w:ascii="Arial" w:cs="Arial" w:eastAsia="Arial" w:hAnsi="Arial"/>
                <w:sz w:val="12"/>
                <w:szCs w:val="12"/>
                <w:b w:val="1"/>
                <w:bCs w:val="1"/>
                <w:color w:val="auto"/>
                <w:w w:val="98"/>
              </w:rPr>
              <w:t>Three Months Ended September 30,</w:t>
            </w:r>
          </w:p>
        </w:tc>
        <w:tc>
          <w:tcPr>
            <w:tcW w:w="160" w:type="dxa"/>
            <w:vAlign w:val="bottom"/>
          </w:tcPr>
          <w:p>
            <w:pPr>
              <w:spacing w:after="0"/>
              <w:rPr>
                <w:sz w:val="12"/>
                <w:szCs w:val="12"/>
                <w:color w:val="auto"/>
              </w:rPr>
            </w:pPr>
          </w:p>
        </w:tc>
        <w:tc>
          <w:tcPr>
            <w:tcW w:w="2240" w:type="dxa"/>
            <w:vAlign w:val="bottom"/>
            <w:gridSpan w:val="4"/>
          </w:tcPr>
          <w:p>
            <w:pPr>
              <w:jc w:val="right"/>
              <w:ind w:right="169"/>
              <w:spacing w:after="0"/>
              <w:rPr>
                <w:sz w:val="20"/>
                <w:szCs w:val="20"/>
                <w:color w:val="auto"/>
              </w:rPr>
            </w:pPr>
            <w:r>
              <w:rPr>
                <w:rFonts w:ascii="Arial" w:cs="Arial" w:eastAsia="Arial" w:hAnsi="Arial"/>
                <w:sz w:val="12"/>
                <w:szCs w:val="12"/>
                <w:b w:val="1"/>
                <w:bCs w:val="1"/>
                <w:color w:val="auto"/>
              </w:rPr>
              <w:t>Nine Months Ended September 30,</w:t>
            </w:r>
          </w:p>
        </w:tc>
      </w:tr>
      <w:tr>
        <w:trPr>
          <w:trHeight w:val="156"/>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29"/>
              <w:spacing w:after="0"/>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29"/>
              <w:spacing w:after="0"/>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29"/>
              <w:spacing w:after="0"/>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49"/>
              <w:spacing w:after="0"/>
              <w:rPr>
                <w:sz w:val="20"/>
                <w:szCs w:val="20"/>
                <w:color w:val="auto"/>
              </w:rPr>
            </w:pPr>
            <w:r>
              <w:rPr>
                <w:rFonts w:ascii="Arial" w:cs="Arial" w:eastAsia="Arial" w:hAnsi="Arial"/>
                <w:sz w:val="12"/>
                <w:szCs w:val="12"/>
                <w:b w:val="1"/>
                <w:bCs w:val="1"/>
                <w:color w:val="auto"/>
              </w:rPr>
              <w:t>2024</w:t>
            </w:r>
          </w:p>
        </w:tc>
      </w:tr>
      <w:tr>
        <w:trPr>
          <w:trHeight w:val="155"/>
        </w:trPr>
        <w:tc>
          <w:tcPr>
            <w:tcW w:w="390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Revenue:</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162"/>
        </w:trPr>
        <w:tc>
          <w:tcPr>
            <w:tcW w:w="4020" w:type="dxa"/>
            <w:vAlign w:val="bottom"/>
            <w:gridSpan w:val="2"/>
          </w:tcPr>
          <w:p>
            <w:pPr>
              <w:ind w:left="120"/>
              <w:spacing w:after="0"/>
              <w:rPr>
                <w:sz w:val="20"/>
                <w:szCs w:val="20"/>
                <w:color w:val="auto"/>
              </w:rPr>
            </w:pPr>
            <w:r>
              <w:rPr>
                <w:rFonts w:ascii="Arial" w:cs="Arial" w:eastAsia="Arial" w:hAnsi="Arial"/>
                <w:sz w:val="14"/>
                <w:szCs w:val="14"/>
                <w:color w:val="auto"/>
              </w:rPr>
              <w:t>Good Sam Services and Plans Segment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52,672</w:t>
            </w:r>
          </w:p>
        </w:tc>
        <w:tc>
          <w:tcPr>
            <w:tcW w:w="2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50,639</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153,989</w:t>
            </w:r>
          </w:p>
        </w:tc>
        <w:tc>
          <w:tcPr>
            <w:tcW w:w="22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150,027</w:t>
            </w:r>
          </w:p>
        </w:tc>
      </w:tr>
      <w:tr>
        <w:trPr>
          <w:trHeight w:val="162"/>
        </w:trPr>
        <w:tc>
          <w:tcPr>
            <w:tcW w:w="4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RV and Outdoor Retail Segment</w:t>
            </w:r>
          </w:p>
        </w:tc>
        <w:tc>
          <w:tcPr>
            <w:tcW w:w="1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1,757,111</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1,677,682</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5,052,822</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4,756,905</w:t>
            </w:r>
          </w:p>
        </w:tc>
      </w:tr>
      <w:tr>
        <w:trPr>
          <w:trHeight w:val="155"/>
        </w:trPr>
        <w:tc>
          <w:tcPr>
            <w:tcW w:w="40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segment revenue</w:t>
            </w:r>
          </w:p>
        </w:tc>
        <w:tc>
          <w:tcPr>
            <w:tcW w:w="12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1,809,783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1,728,321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5,206,811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4,906,932</w:t>
            </w:r>
          </w:p>
        </w:tc>
      </w:tr>
      <w:tr>
        <w:trPr>
          <w:trHeight w:val="162"/>
        </w:trPr>
        <w:tc>
          <w:tcPr>
            <w:tcW w:w="4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Intersegment eliminations</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(3,665)</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(3,333)</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(11,221)</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(11,422)</w:t>
            </w:r>
          </w:p>
        </w:tc>
      </w:tr>
      <w:tr>
        <w:trPr>
          <w:trHeight w:val="155"/>
        </w:trPr>
        <w:tc>
          <w:tcPr>
            <w:tcW w:w="40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revenue</w:t>
            </w: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1,806,118</w:t>
            </w: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1,724,988</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5,195,590</w:t>
            </w: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4,895,510</w:t>
            </w:r>
          </w:p>
        </w:tc>
      </w:tr>
      <w:tr>
        <w:trPr>
          <w:trHeight w:val="162"/>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Segment Adjusted EBITDA:</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2"/>
        </w:trPr>
        <w:tc>
          <w:tcPr>
            <w:tcW w:w="4020" w:type="dxa"/>
            <w:vAlign w:val="bottom"/>
            <w:gridSpan w:val="2"/>
          </w:tcPr>
          <w:p>
            <w:pPr>
              <w:ind w:left="120"/>
              <w:spacing w:after="0"/>
              <w:rPr>
                <w:sz w:val="20"/>
                <w:szCs w:val="20"/>
                <w:color w:val="auto"/>
              </w:rPr>
            </w:pPr>
            <w:r>
              <w:rPr>
                <w:rFonts w:ascii="Arial" w:cs="Arial" w:eastAsia="Arial" w:hAnsi="Arial"/>
                <w:sz w:val="14"/>
                <w:szCs w:val="14"/>
                <w:color w:val="auto"/>
              </w:rPr>
              <w:t>Good Sam Services and Plans Segment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21,591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23,659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67,859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75,280</w:t>
            </w:r>
          </w:p>
        </w:tc>
      </w:tr>
      <w:tr>
        <w:trPr>
          <w:trHeight w:val="162"/>
        </w:trPr>
        <w:tc>
          <w:tcPr>
            <w:tcW w:w="4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RV and Outdoor Retail Segment</w:t>
            </w:r>
          </w:p>
        </w:tc>
        <w:tc>
          <w:tcPr>
            <w:tcW w:w="1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77,159</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48,072</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212,182</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117,575</w:t>
            </w:r>
          </w:p>
        </w:tc>
      </w:tr>
      <w:tr>
        <w:trPr>
          <w:trHeight w:val="155"/>
        </w:trPr>
        <w:tc>
          <w:tcPr>
            <w:tcW w:w="40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Segment Adjusted EBITDA</w:t>
            </w:r>
          </w:p>
        </w:tc>
        <w:tc>
          <w:tcPr>
            <w:tcW w:w="12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98,750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71,731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280,041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192,855</w:t>
            </w:r>
          </w:p>
        </w:tc>
      </w:tr>
      <w:tr>
        <w:trPr>
          <w:trHeight w:val="162"/>
        </w:trPr>
        <w:tc>
          <w:tcPr>
            <w:tcW w:w="40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3"/>
                <w:szCs w:val="13"/>
                <w:color w:val="auto"/>
              </w:rPr>
              <w:t>Corporate SG&amp;A excluding SBC</w:t>
            </w:r>
            <w:r>
              <w:rPr>
                <w:rFonts w:ascii="Arial" w:cs="Arial" w:eastAsia="Arial" w:hAnsi="Arial"/>
                <w:sz w:val="18"/>
                <w:szCs w:val="18"/>
                <w:color w:val="auto"/>
                <w:vertAlign w:val="superscript"/>
              </w:rPr>
              <w:t>(1)</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(2,770)</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(3,478)</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(10,161)</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(9,405)</w:t>
            </w:r>
          </w:p>
        </w:tc>
      </w:tr>
      <w:tr>
        <w:trPr>
          <w:trHeight w:val="162"/>
        </w:trPr>
        <w:tc>
          <w:tcPr>
            <w:tcW w:w="4020" w:type="dxa"/>
            <w:vAlign w:val="bottom"/>
            <w:gridSpan w:val="2"/>
          </w:tcPr>
          <w:p>
            <w:pPr>
              <w:ind w:left="1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(25,654)</w:t>
            </w: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(20,583)</w:t>
            </w: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(71,617)</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(59,905)</w:t>
            </w:r>
          </w:p>
        </w:tc>
      </w:tr>
      <w:tr>
        <w:trPr>
          <w:trHeight w:val="162"/>
        </w:trPr>
        <w:tc>
          <w:tcPr>
            <w:tcW w:w="4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Long-lived asset impairment</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(617)</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(1,944)</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(1,237)</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(12,355)</w:t>
            </w:r>
          </w:p>
        </w:tc>
      </w:tr>
      <w:tr>
        <w:trPr>
          <w:trHeight w:val="162"/>
        </w:trPr>
        <w:tc>
          <w:tcPr>
            <w:tcW w:w="4020" w:type="dxa"/>
            <w:vAlign w:val="bottom"/>
            <w:gridSpan w:val="2"/>
          </w:tcPr>
          <w:p>
            <w:pPr>
              <w:ind w:left="120"/>
              <w:spacing w:after="0"/>
              <w:rPr>
                <w:sz w:val="20"/>
                <w:szCs w:val="20"/>
                <w:color w:val="auto"/>
              </w:rPr>
            </w:pPr>
            <w:r>
              <w:rPr>
                <w:rFonts w:ascii="Arial" w:cs="Arial" w:eastAsia="Arial" w:hAnsi="Arial"/>
                <w:sz w:val="14"/>
                <w:szCs w:val="14"/>
                <w:color w:val="auto"/>
              </w:rPr>
              <w:t>Lease termination</w:t>
            </w:r>
          </w:p>
        </w:tc>
        <w:tc>
          <w:tcPr>
            <w:tcW w:w="1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(76)</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2,625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2,585</w:t>
            </w:r>
          </w:p>
        </w:tc>
      </w:tr>
      <w:tr>
        <w:trPr>
          <w:trHeight w:val="162"/>
        </w:trPr>
        <w:tc>
          <w:tcPr>
            <w:tcW w:w="4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 gain on sale or disposal of assets</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(534)</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(9,525)</w:t>
            </w:r>
          </w:p>
        </w:tc>
      </w:tr>
      <w:tr>
        <w:trPr>
          <w:trHeight w:val="162"/>
        </w:trPr>
        <w:tc>
          <w:tcPr>
            <w:tcW w:w="4020" w:type="dxa"/>
            <w:vAlign w:val="bottom"/>
            <w:gridSpan w:val="2"/>
          </w:tcPr>
          <w:p>
            <w:pPr>
              <w:ind w:left="120"/>
              <w:spacing w:after="0" w:line="162" w:lineRule="exact"/>
              <w:rPr>
                <w:sz w:val="20"/>
                <w:szCs w:val="20"/>
                <w:color w:val="auto"/>
              </w:rPr>
            </w:pPr>
            <w:r>
              <w:rPr>
                <w:rFonts w:ascii="Arial" w:cs="Arial" w:eastAsia="Arial" w:hAnsi="Arial"/>
                <w:sz w:val="13"/>
                <w:szCs w:val="13"/>
                <w:color w:val="auto"/>
              </w:rPr>
              <w:t>Stock-based compensation</w:t>
            </w:r>
            <w:r>
              <w:rPr>
                <w:rFonts w:ascii="Arial" w:cs="Arial" w:eastAsia="Arial" w:hAnsi="Arial"/>
                <w:sz w:val="18"/>
                <w:szCs w:val="18"/>
                <w:color w:val="auto"/>
                <w:vertAlign w:val="superscript"/>
              </w:rPr>
              <w:t>(2)</w:t>
            </w:r>
          </w:p>
        </w:tc>
        <w:tc>
          <w:tcPr>
            <w:tcW w:w="1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(7,750)</w:t>
            </w: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(5,573)</w:t>
            </w: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(23,464)</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(16,167)</w:t>
            </w:r>
          </w:p>
        </w:tc>
      </w:tr>
      <w:tr>
        <w:trPr>
          <w:trHeight w:val="162"/>
        </w:trPr>
        <w:tc>
          <w:tcPr>
            <w:tcW w:w="40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3"/>
                <w:szCs w:val="13"/>
                <w:color w:val="auto"/>
              </w:rPr>
              <w:t>Loss and impairment on investments in equity securities</w:t>
            </w:r>
            <w:r>
              <w:rPr>
                <w:rFonts w:ascii="Arial" w:cs="Arial" w:eastAsia="Arial" w:hAnsi="Arial"/>
                <w:sz w:val="18"/>
                <w:szCs w:val="18"/>
                <w:color w:val="auto"/>
                <w:vertAlign w:val="superscript"/>
              </w:rPr>
              <w:t>(3)</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(1,163)</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(162)</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(3,920)</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r>
      <w:tr>
        <w:trPr>
          <w:trHeight w:val="162"/>
        </w:trPr>
        <w:tc>
          <w:tcPr>
            <w:tcW w:w="4020" w:type="dxa"/>
            <w:vAlign w:val="bottom"/>
            <w:gridSpan w:val="2"/>
          </w:tcPr>
          <w:p>
            <w:pPr>
              <w:ind w:left="120"/>
              <w:spacing w:after="0"/>
              <w:rPr>
                <w:sz w:val="20"/>
                <w:szCs w:val="20"/>
                <w:color w:val="auto"/>
              </w:rPr>
            </w:pPr>
            <w:r>
              <w:rPr>
                <w:rFonts w:ascii="Arial" w:cs="Arial" w:eastAsia="Arial" w:hAnsi="Arial"/>
                <w:sz w:val="14"/>
                <w:szCs w:val="14"/>
                <w:color w:val="auto"/>
              </w:rPr>
              <w:t>Other interest expense, net</w:t>
            </w:r>
          </w:p>
        </w:tc>
        <w:tc>
          <w:tcPr>
            <w:tcW w:w="1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(30,982)</w:t>
            </w: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(35,877)</w:t>
            </w: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(92,349)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(108,124)</w:t>
            </w:r>
          </w:p>
        </w:tc>
      </w:tr>
      <w:tr>
        <w:trPr>
          <w:trHeight w:val="162"/>
        </w:trPr>
        <w:tc>
          <w:tcPr>
            <w:tcW w:w="4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Tax Receivable Agreement liability adjustment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149,172</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149,172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020" w:type="dxa"/>
            <w:vAlign w:val="bottom"/>
            <w:gridSpan w:val="2"/>
          </w:tcPr>
          <w:p>
            <w:pPr>
              <w:ind w:left="120"/>
              <w:spacing w:after="0" w:line="162" w:lineRule="exact"/>
              <w:rPr>
                <w:sz w:val="20"/>
                <w:szCs w:val="20"/>
                <w:color w:val="auto"/>
              </w:rPr>
            </w:pPr>
            <w:r>
              <w:rPr>
                <w:rFonts w:ascii="Arial" w:cs="Arial" w:eastAsia="Arial" w:hAnsi="Arial"/>
                <w:sz w:val="13"/>
                <w:szCs w:val="13"/>
                <w:color w:val="auto"/>
              </w:rPr>
              <w:t>Intersegment eliminations</w:t>
            </w:r>
            <w:r>
              <w:rPr>
                <w:rFonts w:ascii="Arial" w:cs="Arial" w:eastAsia="Arial" w:hAnsi="Arial"/>
                <w:sz w:val="18"/>
                <w:szCs w:val="18"/>
                <w:color w:val="auto"/>
                <w:vertAlign w:val="superscript"/>
              </w:rPr>
              <w:t>(4)</w:t>
            </w:r>
          </w:p>
        </w:tc>
        <w:tc>
          <w:tcPr>
            <w:tcW w:w="1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(268)</w:t>
            </w: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(737)</w:t>
            </w: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(801)</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(2,114)</w:t>
            </w:r>
          </w:p>
        </w:tc>
      </w:tr>
      <w:tr>
        <w:trPr>
          <w:trHeight w:val="155"/>
        </w:trPr>
        <w:tc>
          <w:tcPr>
            <w:tcW w:w="4020" w:type="dxa"/>
            <w:vAlign w:val="bottom"/>
            <w:tcBorders>
              <w:top w:val="single" w:sz="8" w:color="CCEEFF"/>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Income (loss) before income taxes</w:t>
            </w: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178,108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6,007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225,799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(22,492)</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480" w:right="100" w:hanging="322"/>
        <w:spacing w:after="0"/>
        <w:tabs>
          <w:tab w:leader="none" w:pos="480" w:val="left"/>
        </w:tabs>
        <w:numPr>
          <w:ilvl w:val="0"/>
          <w:numId w:val="22"/>
        </w:numPr>
        <w:rPr>
          <w:rFonts w:ascii="Arial" w:cs="Arial" w:eastAsia="Arial" w:hAnsi="Arial"/>
          <w:sz w:val="22"/>
          <w:szCs w:val="22"/>
          <w:color w:val="231F20"/>
          <w:vertAlign w:val="superscript"/>
        </w:rPr>
      </w:pPr>
      <w:r>
        <w:rPr>
          <w:rFonts w:ascii="Arial" w:cs="Arial" w:eastAsia="Arial" w:hAnsi="Arial"/>
          <w:sz w:val="14"/>
          <w:szCs w:val="14"/>
          <w:color w:val="auto"/>
        </w:rPr>
        <w:t>Corporate SG&amp;A excluding SBC represents corporate SG&amp;A expenses that are not allocated to the segments and are comprised primarily of the costs associated with being a public company. This amount excludes the SBC relating to the Board of Directors for their service as board members that is not allocated to the segments, since it is presented as part of the SBC reconciling line item in this table.</w:t>
      </w:r>
    </w:p>
    <w:p>
      <w:pPr>
        <w:spacing w:after="0" w:line="154" w:lineRule="exact"/>
        <w:rPr>
          <w:rFonts w:ascii="Arial" w:cs="Arial" w:eastAsia="Arial" w:hAnsi="Arial"/>
          <w:sz w:val="22"/>
          <w:szCs w:val="22"/>
          <w:color w:val="231F20"/>
          <w:vertAlign w:val="superscript"/>
        </w:rPr>
      </w:pPr>
    </w:p>
    <w:p>
      <w:pPr>
        <w:ind w:left="480" w:right="100" w:hanging="322"/>
        <w:spacing w:after="0" w:line="204" w:lineRule="auto"/>
        <w:tabs>
          <w:tab w:leader="none" w:pos="480" w:val="left"/>
        </w:tabs>
        <w:numPr>
          <w:ilvl w:val="0"/>
          <w:numId w:val="22"/>
        </w:numPr>
        <w:rPr>
          <w:rFonts w:ascii="Arial" w:cs="Arial" w:eastAsia="Arial" w:hAnsi="Arial"/>
          <w:sz w:val="22"/>
          <w:szCs w:val="22"/>
          <w:color w:val="231F20"/>
          <w:vertAlign w:val="superscript"/>
        </w:rPr>
      </w:pPr>
      <w:r>
        <w:rPr>
          <w:rFonts w:ascii="Arial" w:cs="Arial" w:eastAsia="Arial" w:hAnsi="Arial"/>
          <w:sz w:val="14"/>
          <w:szCs w:val="14"/>
          <w:color w:val="auto"/>
        </w:rPr>
        <w:t>This SBC amount includes SBC allocated to the segments and SBC relating to the Board of Directors for their service as board members that is not allocated to the segments (See Note 16 — Stock-Based Compensation Plans).</w:t>
      </w:r>
    </w:p>
    <w:p>
      <w:pPr>
        <w:sectPr>
          <w:pgSz w:w="11900" w:h="16838" w:orient="portrait"/>
          <w:cols w:equalWidth="0" w:num="1">
            <w:col w:w="9080"/>
          </w:cols>
          <w:pgMar w:left="1400" w:top="512" w:right="141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359410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80"/>
          </w:cols>
          <w:pgMar w:left="1400" w:top="512" w:right="1419"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 w:right="79" w:hanging="322"/>
        <w:spacing w:after="0" w:line="204" w:lineRule="auto"/>
        <w:tabs>
          <w:tab w:leader="none" w:pos="440" w:val="left"/>
        </w:tabs>
        <w:numPr>
          <w:ilvl w:val="0"/>
          <w:numId w:val="23"/>
        </w:numPr>
        <w:rPr>
          <w:rFonts w:ascii="Arial" w:cs="Arial" w:eastAsia="Arial" w:hAnsi="Arial"/>
          <w:sz w:val="22"/>
          <w:szCs w:val="22"/>
          <w:color w:val="231F20"/>
          <w:vertAlign w:val="superscript"/>
        </w:rPr>
      </w:pPr>
      <w:r>
        <w:rPr>
          <w:rFonts w:ascii="Arial" w:cs="Arial" w:eastAsia="Arial" w:hAnsi="Arial"/>
          <w:sz w:val="14"/>
          <w:szCs w:val="14"/>
          <w:color w:val="auto"/>
        </w:rPr>
        <w:t>Represents loss and/or impairment on investments in equity securities and interest income relating to any notes receivables with those investments. These amounts are included in other expense, net in the condensed consolidated statements of operations.</w:t>
      </w:r>
    </w:p>
    <w:p>
      <w:pPr>
        <w:ind w:left="440" w:hanging="322"/>
        <w:spacing w:after="0" w:line="230" w:lineRule="auto"/>
        <w:tabs>
          <w:tab w:leader="none" w:pos="440" w:val="left"/>
        </w:tabs>
        <w:numPr>
          <w:ilvl w:val="0"/>
          <w:numId w:val="23"/>
        </w:numPr>
        <w:rPr>
          <w:rFonts w:ascii="Arial" w:cs="Arial" w:eastAsia="Arial" w:hAnsi="Arial"/>
          <w:sz w:val="22"/>
          <w:szCs w:val="22"/>
          <w:color w:val="231F20"/>
          <w:vertAlign w:val="superscript"/>
        </w:rPr>
      </w:pPr>
      <w:r>
        <w:rPr>
          <w:rFonts w:ascii="Arial" w:cs="Arial" w:eastAsia="Arial" w:hAnsi="Arial"/>
          <w:sz w:val="14"/>
          <w:szCs w:val="14"/>
          <w:color w:val="auto"/>
        </w:rPr>
        <w:t>Represents the net impact of intersegment eliminations on (loss) income before income taxes.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3540" w:type="dxa"/>
            <w:vAlign w:val="bottom"/>
            <w:gridSpan w:val="3"/>
            <w:vMerge w:val="restart"/>
          </w:tcPr>
          <w:p>
            <w:pPr>
              <w:ind w:left="20"/>
              <w:spacing w:after="0"/>
              <w:rPr>
                <w:sz w:val="20"/>
                <w:szCs w:val="20"/>
                <w:color w:val="auto"/>
              </w:rPr>
            </w:pPr>
            <w:r>
              <w:rPr>
                <w:rFonts w:ascii="Arial" w:cs="Arial" w:eastAsia="Arial" w:hAnsi="Arial"/>
                <w:sz w:val="16"/>
                <w:szCs w:val="16"/>
                <w:color w:val="auto"/>
              </w:rPr>
              <w:t>($ in thousands)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16"/>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14"/>
          </w:tcPr>
          <w:p>
            <w:pPr>
              <w:ind w:left="40"/>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35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4"/>
          </w:tcPr>
          <w:p>
            <w:pPr>
              <w:jc w:val="center"/>
              <w:ind w:right="81"/>
              <w:spacing w:after="0"/>
              <w:rPr>
                <w:sz w:val="20"/>
                <w:szCs w:val="20"/>
                <w:color w:val="auto"/>
              </w:rPr>
            </w:pPr>
            <w:r>
              <w:rPr>
                <w:rFonts w:ascii="Arial" w:cs="Arial" w:eastAsia="Arial" w:hAnsi="Arial"/>
                <w:sz w:val="13"/>
                <w:szCs w:val="13"/>
                <w:b w:val="1"/>
                <w:bCs w:val="1"/>
                <w:color w:val="auto"/>
                <w:w w:val="96"/>
              </w:rPr>
              <w:t>2025</w:t>
            </w: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ind w:right="385"/>
              <w:spacing w:after="0"/>
              <w:rPr>
                <w:sz w:val="20"/>
                <w:szCs w:val="20"/>
                <w:color w:val="auto"/>
              </w:rPr>
            </w:pPr>
            <w:r>
              <w:rPr>
                <w:rFonts w:ascii="Arial" w:cs="Arial" w:eastAsia="Arial" w:hAnsi="Arial"/>
                <w:sz w:val="13"/>
                <w:szCs w:val="13"/>
                <w:b w:val="1"/>
                <w:bCs w:val="1"/>
                <w:color w:val="auto"/>
                <w:w w:val="89"/>
              </w:rPr>
              <w:t>2025</w:t>
            </w: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2024</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Depreciation and amortization:</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gridSpan w:val="2"/>
          </w:tcPr>
          <w:p>
            <w:pPr>
              <w:ind w:left="100"/>
              <w:spacing w:after="0"/>
              <w:rPr>
                <w:sz w:val="20"/>
                <w:szCs w:val="20"/>
                <w:color w:val="auto"/>
              </w:rPr>
            </w:pPr>
            <w:r>
              <w:rPr>
                <w:rFonts w:ascii="Arial" w:cs="Arial" w:eastAsia="Arial" w:hAnsi="Arial"/>
                <w:sz w:val="16"/>
                <w:szCs w:val="16"/>
                <w:color w:val="auto"/>
              </w:rPr>
              <w:t>Good Sam Services and Plans</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1,552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gridSpan w:val="3"/>
          </w:tcPr>
          <w:p>
            <w:pPr>
              <w:jc w:val="right"/>
              <w:ind w:right="64"/>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813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3,578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gridSpan w:val="3"/>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RV and Outdoor Retail</w:t>
            </w:r>
          </w:p>
        </w:tc>
        <w:tc>
          <w:tcPr>
            <w:tcW w:w="1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24,102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19,770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68,039</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57,403</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gridSpan w:val="2"/>
          </w:tcPr>
          <w:p>
            <w:pPr>
              <w:spacing w:after="0" w:line="183" w:lineRule="exact"/>
              <w:rPr>
                <w:sz w:val="20"/>
                <w:szCs w:val="20"/>
                <w:color w:val="auto"/>
              </w:rPr>
            </w:pPr>
            <w:r>
              <w:rPr>
                <w:rFonts w:ascii="Arial" w:cs="Arial" w:eastAsia="Arial" w:hAnsi="Arial"/>
                <w:sz w:val="16"/>
                <w:szCs w:val="16"/>
                <w:color w:val="auto"/>
              </w:rPr>
              <w:t>Total depreciation and amortization</w:t>
            </w:r>
          </w:p>
        </w:tc>
        <w:tc>
          <w:tcPr>
            <w:tcW w:w="120" w:type="dxa"/>
            <w:vAlign w:val="bottom"/>
          </w:tcPr>
          <w:p>
            <w:pPr>
              <w:spacing w:after="0"/>
              <w:rPr>
                <w:sz w:val="15"/>
                <w:szCs w:val="15"/>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4"/>
          </w:tcPr>
          <w:p>
            <w:pPr>
              <w:jc w:val="right"/>
              <w:spacing w:after="0" w:line="183" w:lineRule="exact"/>
              <w:rPr>
                <w:sz w:val="20"/>
                <w:szCs w:val="20"/>
                <w:color w:val="auto"/>
              </w:rPr>
            </w:pPr>
            <w:r>
              <w:rPr>
                <w:rFonts w:ascii="Arial" w:cs="Arial" w:eastAsia="Arial" w:hAnsi="Arial"/>
                <w:sz w:val="16"/>
                <w:szCs w:val="16"/>
                <w:color w:val="auto"/>
              </w:rPr>
              <w:t>25,654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spacing w:after="0" w:line="183" w:lineRule="exact"/>
              <w:rPr>
                <w:sz w:val="20"/>
                <w:szCs w:val="20"/>
                <w:color w:val="auto"/>
              </w:rPr>
            </w:pPr>
            <w:r>
              <w:rPr>
                <w:rFonts w:ascii="Arial" w:cs="Arial" w:eastAsia="Arial" w:hAnsi="Arial"/>
                <w:sz w:val="16"/>
                <w:szCs w:val="16"/>
                <w:color w:val="auto"/>
              </w:rPr>
              <w:t>20,583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71,617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59,905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40" w:type="dxa"/>
            <w:vAlign w:val="bottom"/>
            <w:gridSpan w:val="3"/>
            <w:vMerge w:val="restart"/>
          </w:tcPr>
          <w:p>
            <w:pPr>
              <w:ind w:left="20"/>
              <w:spacing w:after="0"/>
              <w:rPr>
                <w:sz w:val="20"/>
                <w:szCs w:val="20"/>
                <w:color w:val="auto"/>
              </w:rPr>
            </w:pPr>
            <w:r>
              <w:rPr>
                <w:rFonts w:ascii="Arial" w:cs="Arial" w:eastAsia="Arial" w:hAnsi="Arial"/>
                <w:sz w:val="14"/>
                <w:szCs w:val="14"/>
                <w:color w:val="auto"/>
              </w:rPr>
              <w:t>($ in thousands)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16"/>
          </w:tcPr>
          <w:p>
            <w:pPr>
              <w:ind w:left="60"/>
              <w:spacing w:after="0"/>
              <w:rPr>
                <w:sz w:val="20"/>
                <w:szCs w:val="20"/>
                <w:color w:val="auto"/>
              </w:rPr>
            </w:pPr>
            <w:r>
              <w:rPr>
                <w:rFonts w:ascii="Arial" w:cs="Arial" w:eastAsia="Arial" w:hAnsi="Arial"/>
                <w:sz w:val="13"/>
                <w:szCs w:val="13"/>
                <w:b w:val="1"/>
                <w:bCs w:val="1"/>
                <w:color w:val="auto"/>
              </w:rPr>
              <w:t>Three Months Ended September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14"/>
          </w:tcPr>
          <w:p>
            <w:pPr>
              <w:ind w:left="40"/>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5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jc w:val="right"/>
              <w:ind w:right="321"/>
              <w:spacing w:after="0" w:line="142" w:lineRule="exact"/>
              <w:rPr>
                <w:sz w:val="20"/>
                <w:szCs w:val="20"/>
                <w:color w:val="auto"/>
              </w:rPr>
            </w:pPr>
            <w:r>
              <w:rPr>
                <w:rFonts w:ascii="Arial" w:cs="Arial" w:eastAsia="Arial" w:hAnsi="Arial"/>
                <w:sz w:val="13"/>
                <w:szCs w:val="13"/>
                <w:b w:val="1"/>
                <w:bCs w:val="1"/>
                <w:color w:val="auto"/>
              </w:rPr>
              <w:t>2025</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3"/>
                <w:szCs w:val="13"/>
                <w:b w:val="1"/>
                <w:bCs w:val="1"/>
                <w:color w:val="auto"/>
              </w:rPr>
              <w:t>2024</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45"/>
              <w:spacing w:after="0" w:line="142" w:lineRule="exact"/>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63"/>
              <w:spacing w:after="0" w:line="142" w:lineRule="exact"/>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20" w:type="dxa"/>
            <w:vAlign w:val="bottom"/>
            <w:tcBorders>
              <w:top w:val="single" w:sz="8" w:color="auto"/>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Other interest expense, net:</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gridSpan w:val="2"/>
          </w:tcPr>
          <w:p>
            <w:pPr>
              <w:ind w:left="100"/>
              <w:spacing w:after="0"/>
              <w:rPr>
                <w:sz w:val="20"/>
                <w:szCs w:val="20"/>
                <w:color w:val="auto"/>
              </w:rPr>
            </w:pPr>
            <w:r>
              <w:rPr>
                <w:rFonts w:ascii="Arial" w:cs="Arial" w:eastAsia="Arial" w:hAnsi="Arial"/>
                <w:sz w:val="16"/>
                <w:szCs w:val="16"/>
                <w:color w:val="auto"/>
              </w:rPr>
              <w:t>Good Sam Services and Plans</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6"/>
                <w:szCs w:val="16"/>
                <w:color w:val="auto"/>
              </w:rPr>
              <w:t>(15)</w:t>
            </w:r>
          </w:p>
        </w:tc>
        <w:tc>
          <w:tcPr>
            <w:tcW w:w="320" w:type="dxa"/>
            <w:vAlign w:val="bottom"/>
            <w:gridSpan w:val="3"/>
          </w:tcPr>
          <w:p>
            <w:pPr>
              <w:jc w:val="right"/>
              <w:ind w:right="44"/>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5"/>
          </w:tcPr>
          <w:p>
            <w:pPr>
              <w:ind w:left="340"/>
              <w:spacing w:after="0"/>
              <w:rPr>
                <w:sz w:val="20"/>
                <w:szCs w:val="20"/>
                <w:color w:val="auto"/>
              </w:rPr>
            </w:pPr>
            <w:r>
              <w:rPr>
                <w:rFonts w:ascii="Arial" w:cs="Arial" w:eastAsia="Arial" w:hAnsi="Arial"/>
                <w:sz w:val="16"/>
                <w:szCs w:val="16"/>
                <w:color w:val="auto"/>
              </w:rPr>
              <w:t>(21)</w:t>
            </w:r>
          </w:p>
        </w:tc>
        <w:tc>
          <w:tcPr>
            <w:tcW w:w="340" w:type="dxa"/>
            <w:vAlign w:val="bottom"/>
            <w:gridSpan w:val="4"/>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tcPr>
          <w:p>
            <w:pPr>
              <w:jc w:val="center"/>
              <w:ind w:left="303"/>
              <w:spacing w:after="0"/>
              <w:rPr>
                <w:sz w:val="20"/>
                <w:szCs w:val="20"/>
                <w:color w:val="auto"/>
              </w:rPr>
            </w:pPr>
            <w:r>
              <w:rPr>
                <w:rFonts w:ascii="Arial" w:cs="Arial" w:eastAsia="Arial" w:hAnsi="Arial"/>
                <w:sz w:val="16"/>
                <w:szCs w:val="16"/>
                <w:color w:val="auto"/>
              </w:rPr>
              <w:t>(88)</w:t>
            </w:r>
          </w:p>
        </w:tc>
        <w:tc>
          <w:tcPr>
            <w:tcW w:w="60" w:type="dxa"/>
            <w:vAlign w:val="bottom"/>
          </w:tcPr>
          <w:p>
            <w:pPr>
              <w:spacing w:after="0"/>
              <w:rPr>
                <w:sz w:val="16"/>
                <w:szCs w:val="16"/>
                <w:color w:val="auto"/>
              </w:rPr>
            </w:pPr>
          </w:p>
        </w:tc>
        <w:tc>
          <w:tcPr>
            <w:tcW w:w="120" w:type="dxa"/>
            <w:vAlign w:val="bottom"/>
            <w:gridSpan w:val="4"/>
          </w:tcPr>
          <w:p>
            <w:pPr>
              <w:ind w:left="20"/>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RV and Outdoor Retail</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6,381</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7,758</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6"/>
                <w:szCs w:val="16"/>
                <w:color w:val="auto"/>
              </w:rPr>
              <w:t>19,090</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Subtotal</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6,366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7,737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ind w:left="220"/>
              <w:spacing w:after="0" w:line="183" w:lineRule="exact"/>
              <w:rPr>
                <w:sz w:val="20"/>
                <w:szCs w:val="20"/>
                <w:color w:val="auto"/>
              </w:rPr>
            </w:pPr>
            <w:r>
              <w:rPr>
                <w:rFonts w:ascii="Arial" w:cs="Arial" w:eastAsia="Arial" w:hAnsi="Arial"/>
                <w:sz w:val="16"/>
                <w:szCs w:val="16"/>
                <w:color w:val="auto"/>
              </w:rPr>
              <w:t>19,002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24,053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Corporate &amp; other</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24,616</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28,140</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6"/>
                <w:szCs w:val="16"/>
                <w:color w:val="auto"/>
              </w:rPr>
              <w:t>73,347</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Total other interest expense, net</w:t>
            </w:r>
          </w:p>
        </w:tc>
        <w:tc>
          <w:tcPr>
            <w:tcW w:w="140" w:type="dxa"/>
            <w:vAlign w:val="bottom"/>
            <w:gridSpan w:val="2"/>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30,982</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spacing w:after="0" w:line="183" w:lineRule="exact"/>
              <w:rPr>
                <w:sz w:val="20"/>
                <w:szCs w:val="20"/>
                <w:color w:val="auto"/>
              </w:rPr>
            </w:pPr>
            <w:r>
              <w:rPr>
                <w:rFonts w:ascii="Arial" w:cs="Arial" w:eastAsia="Arial" w:hAnsi="Arial"/>
                <w:sz w:val="16"/>
                <w:szCs w:val="16"/>
                <w:color w:val="auto"/>
              </w:rPr>
              <w:t>35,877</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220"/>
              <w:spacing w:after="0" w:line="183" w:lineRule="exact"/>
              <w:rPr>
                <w:sz w:val="20"/>
                <w:szCs w:val="20"/>
                <w:color w:val="auto"/>
              </w:rPr>
            </w:pPr>
            <w:r>
              <w:rPr>
                <w:rFonts w:ascii="Arial" w:cs="Arial" w:eastAsia="Arial" w:hAnsi="Arial"/>
                <w:sz w:val="16"/>
                <w:szCs w:val="16"/>
                <w:color w:val="auto"/>
              </w:rPr>
              <w:t>92,349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108,124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9"/>
          </w:tcPr>
          <w:p>
            <w:pPr>
              <w:jc w:val="right"/>
              <w:spacing w:after="0"/>
              <w:rPr>
                <w:sz w:val="20"/>
                <w:szCs w:val="20"/>
                <w:color w:val="auto"/>
              </w:rPr>
            </w:pPr>
            <w:r>
              <w:rPr>
                <w:rFonts w:ascii="Arial" w:cs="Arial" w:eastAsia="Arial" w:hAnsi="Arial"/>
                <w:sz w:val="13"/>
                <w:szCs w:val="13"/>
                <w:b w:val="1"/>
                <w:bCs w:val="1"/>
                <w:color w:val="auto"/>
                <w:w w:val="96"/>
              </w:rPr>
              <w:t>September 30,</w:t>
            </w:r>
          </w:p>
        </w:tc>
        <w:tc>
          <w:tcPr>
            <w:tcW w:w="160" w:type="dxa"/>
            <w:vAlign w:val="bottom"/>
          </w:tcPr>
          <w:p>
            <w:pPr>
              <w:spacing w:after="0"/>
              <w:rPr>
                <w:sz w:val="24"/>
                <w:szCs w:val="24"/>
                <w:color w:val="auto"/>
              </w:rPr>
            </w:pPr>
          </w:p>
        </w:tc>
        <w:tc>
          <w:tcPr>
            <w:tcW w:w="1000" w:type="dxa"/>
            <w:vAlign w:val="bottom"/>
            <w:gridSpan w:val="8"/>
          </w:tcPr>
          <w:p>
            <w:pPr>
              <w:jc w:val="right"/>
              <w:ind w:right="180"/>
              <w:spacing w:after="0"/>
              <w:rPr>
                <w:sz w:val="20"/>
                <w:szCs w:val="20"/>
                <w:color w:val="auto"/>
              </w:rPr>
            </w:pPr>
            <w:r>
              <w:rPr>
                <w:rFonts w:ascii="Arial" w:cs="Arial" w:eastAsia="Arial" w:hAnsi="Arial"/>
                <w:sz w:val="13"/>
                <w:szCs w:val="13"/>
                <w:b w:val="1"/>
                <w:bCs w:val="1"/>
                <w:color w:val="auto"/>
                <w:w w:val="94"/>
              </w:rPr>
              <w:t>December 31,</w:t>
            </w: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53"/>
        </w:trPr>
        <w:tc>
          <w:tcPr>
            <w:tcW w:w="3540" w:type="dxa"/>
            <w:vAlign w:val="bottom"/>
            <w:gridSpan w:val="3"/>
          </w:tcPr>
          <w:p>
            <w:pPr>
              <w:ind w:left="20"/>
              <w:spacing w:after="0"/>
              <w:rPr>
                <w:sz w:val="20"/>
                <w:szCs w:val="20"/>
                <w:color w:val="auto"/>
              </w:rPr>
            </w:pPr>
            <w:r>
              <w:rPr>
                <w:rFonts w:ascii="Arial" w:cs="Arial" w:eastAsia="Arial" w:hAnsi="Arial"/>
                <w:sz w:val="11"/>
                <w:szCs w:val="11"/>
                <w:color w:val="auto"/>
              </w:rPr>
              <w:t>($ in thousands)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89"/>
              </w:rPr>
              <w:t>2025</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center"/>
              <w:ind w:left="343"/>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43"/>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540" w:type="dxa"/>
            <w:vAlign w:val="bottom"/>
            <w:tcBorders>
              <w:top w:val="single" w:sz="8" w:color="auto"/>
            </w:tcBorders>
            <w:gridSpan w:val="3"/>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gridSpan w:val="2"/>
          </w:tcPr>
          <w:p>
            <w:pPr>
              <w:ind w:left="100"/>
              <w:spacing w:after="0"/>
              <w:rPr>
                <w:sz w:val="20"/>
                <w:szCs w:val="20"/>
                <w:color w:val="auto"/>
              </w:rPr>
            </w:pPr>
            <w:r>
              <w:rPr>
                <w:rFonts w:ascii="Arial" w:cs="Arial" w:eastAsia="Arial" w:hAnsi="Arial"/>
                <w:sz w:val="16"/>
                <w:szCs w:val="16"/>
                <w:color w:val="auto"/>
              </w:rPr>
              <w:t>Good Sam Services and Plans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3"/>
          </w:tcPr>
          <w:p>
            <w:pPr>
              <w:ind w:left="3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6"/>
          </w:tcPr>
          <w:p>
            <w:pPr>
              <w:jc w:val="right"/>
              <w:spacing w:after="0"/>
              <w:rPr>
                <w:sz w:val="20"/>
                <w:szCs w:val="20"/>
                <w:color w:val="auto"/>
              </w:rPr>
            </w:pPr>
            <w:r>
              <w:rPr>
                <w:rFonts w:ascii="Arial" w:cs="Arial" w:eastAsia="Arial" w:hAnsi="Arial"/>
                <w:sz w:val="16"/>
                <w:szCs w:val="16"/>
                <w:color w:val="auto"/>
              </w:rPr>
              <w:t>85,476</w:t>
            </w:r>
          </w:p>
        </w:tc>
        <w:tc>
          <w:tcPr>
            <w:tcW w:w="1000" w:type="dxa"/>
            <w:vAlign w:val="bottom"/>
            <w:gridSpan w:val="7"/>
          </w:tcPr>
          <w:p>
            <w:pPr>
              <w:jc w:val="right"/>
              <w:spacing w:after="0"/>
              <w:rPr>
                <w:sz w:val="20"/>
                <w:szCs w:val="20"/>
                <w:color w:val="auto"/>
              </w:rPr>
            </w:pPr>
            <w:r>
              <w:rPr>
                <w:rFonts w:ascii="Arial" w:cs="Arial" w:eastAsia="Arial" w:hAnsi="Arial"/>
                <w:sz w:val="16"/>
                <w:szCs w:val="16"/>
                <w:color w:val="auto"/>
              </w:rPr>
              <w:t>$  121,876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87,087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RV and Outdoor Retail</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11"/>
            <w:shd w:val="clear" w:color="auto" w:fill="CCEEFF"/>
          </w:tcPr>
          <w:p>
            <w:pPr>
              <w:jc w:val="right"/>
              <w:spacing w:after="0"/>
              <w:rPr>
                <w:sz w:val="20"/>
                <w:szCs w:val="20"/>
                <w:color w:val="auto"/>
              </w:rPr>
            </w:pPr>
            <w:r>
              <w:rPr>
                <w:rFonts w:ascii="Arial" w:cs="Arial" w:eastAsia="Arial" w:hAnsi="Arial"/>
                <w:sz w:val="16"/>
                <w:szCs w:val="16"/>
                <w:color w:val="auto"/>
              </w:rPr>
              <w:t>4,902,471</w:t>
            </w:r>
          </w:p>
        </w:tc>
        <w:tc>
          <w:tcPr>
            <w:tcW w:w="1000" w:type="dxa"/>
            <w:vAlign w:val="bottom"/>
            <w:gridSpan w:val="7"/>
            <w:shd w:val="clear" w:color="auto" w:fill="CCEEFF"/>
          </w:tcPr>
          <w:p>
            <w:pPr>
              <w:jc w:val="right"/>
              <w:spacing w:after="0"/>
              <w:rPr>
                <w:sz w:val="20"/>
                <w:szCs w:val="20"/>
                <w:color w:val="auto"/>
              </w:rPr>
            </w:pPr>
            <w:r>
              <w:rPr>
                <w:rFonts w:ascii="Arial" w:cs="Arial" w:eastAsia="Arial" w:hAnsi="Arial"/>
                <w:sz w:val="16"/>
                <w:szCs w:val="16"/>
                <w:color w:val="auto"/>
              </w:rPr>
              <w:t>4,509,509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4,366,121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Subtotal</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top w:val="single" w:sz="8" w:color="auto"/>
            </w:tcBorders>
            <w:gridSpan w:val="9"/>
          </w:tcPr>
          <w:p>
            <w:pPr>
              <w:jc w:val="right"/>
              <w:spacing w:after="0" w:line="183" w:lineRule="exact"/>
              <w:rPr>
                <w:sz w:val="20"/>
                <w:szCs w:val="20"/>
                <w:color w:val="auto"/>
              </w:rPr>
            </w:pPr>
            <w:r>
              <w:rPr>
                <w:rFonts w:ascii="Arial" w:cs="Arial" w:eastAsia="Arial" w:hAnsi="Arial"/>
                <w:sz w:val="16"/>
                <w:szCs w:val="16"/>
                <w:color w:val="auto"/>
              </w:rPr>
              <w:t>4,987,947</w:t>
            </w:r>
          </w:p>
        </w:tc>
        <w:tc>
          <w:tcPr>
            <w:tcW w:w="160" w:type="dxa"/>
            <w:vAlign w:val="bottom"/>
          </w:tcPr>
          <w:p>
            <w:pPr>
              <w:spacing w:after="0"/>
              <w:rPr>
                <w:sz w:val="15"/>
                <w:szCs w:val="15"/>
                <w:color w:val="auto"/>
              </w:rPr>
            </w:pPr>
          </w:p>
        </w:tc>
        <w:tc>
          <w:tcPr>
            <w:tcW w:w="840" w:type="dxa"/>
            <w:vAlign w:val="bottom"/>
            <w:tcBorders>
              <w:top w:val="single" w:sz="8" w:color="auto"/>
            </w:tcBorders>
            <w:gridSpan w:val="6"/>
          </w:tcPr>
          <w:p>
            <w:pPr>
              <w:jc w:val="right"/>
              <w:spacing w:after="0" w:line="183" w:lineRule="exact"/>
              <w:rPr>
                <w:sz w:val="20"/>
                <w:szCs w:val="20"/>
                <w:color w:val="auto"/>
              </w:rPr>
            </w:pPr>
            <w:r>
              <w:rPr>
                <w:rFonts w:ascii="Arial" w:cs="Arial" w:eastAsia="Arial" w:hAnsi="Arial"/>
                <w:sz w:val="16"/>
                <w:szCs w:val="16"/>
                <w:color w:val="auto"/>
              </w:rPr>
              <w:t>4,631,385</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4,453,208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Corporate &amp; other</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11,020</w:t>
            </w:r>
          </w:p>
        </w:tc>
        <w:tc>
          <w:tcPr>
            <w:tcW w:w="1000" w:type="dxa"/>
            <w:vAlign w:val="bottom"/>
            <w:gridSpan w:val="7"/>
            <w:shd w:val="clear" w:color="auto" w:fill="CCEEFF"/>
          </w:tcPr>
          <w:p>
            <w:pPr>
              <w:jc w:val="right"/>
              <w:spacing w:after="0"/>
              <w:rPr>
                <w:sz w:val="20"/>
                <w:szCs w:val="20"/>
                <w:color w:val="auto"/>
              </w:rPr>
            </w:pPr>
            <w:r>
              <w:rPr>
                <w:rFonts w:ascii="Arial" w:cs="Arial" w:eastAsia="Arial" w:hAnsi="Arial"/>
                <w:sz w:val="16"/>
                <w:szCs w:val="16"/>
                <w:color w:val="auto"/>
              </w:rPr>
              <w:t>231,892</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Total assets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top w:val="single" w:sz="8" w:color="auto"/>
              <w:bottom w:val="single" w:sz="8" w:color="auto"/>
            </w:tcBorders>
            <w:gridSpan w:val="9"/>
          </w:tcPr>
          <w:p>
            <w:pPr>
              <w:jc w:val="right"/>
              <w:spacing w:after="0" w:line="183" w:lineRule="exact"/>
              <w:rPr>
                <w:sz w:val="20"/>
                <w:szCs w:val="20"/>
                <w:color w:val="auto"/>
              </w:rPr>
            </w:pPr>
            <w:r>
              <w:rPr>
                <w:rFonts w:ascii="Arial" w:cs="Arial" w:eastAsia="Arial" w:hAnsi="Arial"/>
                <w:sz w:val="16"/>
                <w:szCs w:val="16"/>
                <w:color w:val="auto"/>
              </w:rPr>
              <w:t>$ 4,998,967</w:t>
            </w:r>
          </w:p>
        </w:tc>
        <w:tc>
          <w:tcPr>
            <w:tcW w:w="160" w:type="dxa"/>
            <w:vAlign w:val="bottom"/>
          </w:tcPr>
          <w:p>
            <w:pPr>
              <w:spacing w:after="0"/>
              <w:rPr>
                <w:sz w:val="15"/>
                <w:szCs w:val="15"/>
                <w:color w:val="auto"/>
              </w:rPr>
            </w:pPr>
          </w:p>
        </w:tc>
        <w:tc>
          <w:tcPr>
            <w:tcW w:w="840" w:type="dxa"/>
            <w:vAlign w:val="bottom"/>
            <w:tcBorders>
              <w:top w:val="single" w:sz="8" w:color="auto"/>
              <w:bottom w:val="single" w:sz="8" w:color="auto"/>
            </w:tcBorders>
            <w:gridSpan w:val="6"/>
          </w:tcPr>
          <w:p>
            <w:pPr>
              <w:jc w:val="right"/>
              <w:spacing w:after="0" w:line="183" w:lineRule="exact"/>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4,863,277</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4,688,992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gridSpan w:val="6"/>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540" w:type="dxa"/>
            <w:vAlign w:val="bottom"/>
            <w:gridSpan w:val="3"/>
            <w:vMerge w:val="restart"/>
          </w:tcPr>
          <w:p>
            <w:pPr>
              <w:ind w:left="20"/>
              <w:spacing w:after="0"/>
              <w:rPr>
                <w:sz w:val="20"/>
                <w:szCs w:val="20"/>
                <w:color w:val="auto"/>
              </w:rPr>
            </w:pPr>
            <w:r>
              <w:rPr>
                <w:rFonts w:ascii="Arial" w:cs="Arial" w:eastAsia="Arial" w:hAnsi="Arial"/>
                <w:sz w:val="11"/>
                <w:szCs w:val="11"/>
                <w:color w:val="auto"/>
              </w:rPr>
              <w:t>($ in thousands)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18"/>
          </w:tcPr>
          <w:p>
            <w:pPr>
              <w:jc w:val="right"/>
              <w:ind w:right="200"/>
              <w:spacing w:after="0"/>
              <w:rPr>
                <w:sz w:val="20"/>
                <w:szCs w:val="20"/>
                <w:color w:val="auto"/>
              </w:rPr>
            </w:pPr>
            <w:r>
              <w:rPr>
                <w:rFonts w:ascii="Arial" w:cs="Arial" w:eastAsia="Arial" w:hAnsi="Arial"/>
                <w:sz w:val="13"/>
                <w:szCs w:val="13"/>
                <w:b w:val="1"/>
                <w:bCs w:val="1"/>
                <w:color w:val="auto"/>
                <w:w w:val="97"/>
              </w:rPr>
              <w:t>Three Months Ended September 30,</w:t>
            </w:r>
          </w:p>
        </w:tc>
        <w:tc>
          <w:tcPr>
            <w:tcW w:w="60" w:type="dxa"/>
            <w:vAlign w:val="bottom"/>
          </w:tcPr>
          <w:p>
            <w:pPr>
              <w:spacing w:after="0"/>
              <w:rPr>
                <w:sz w:val="24"/>
                <w:szCs w:val="24"/>
                <w:color w:val="auto"/>
              </w:rPr>
            </w:pPr>
          </w:p>
        </w:tc>
        <w:tc>
          <w:tcPr>
            <w:tcW w:w="2300" w:type="dxa"/>
            <w:vAlign w:val="bottom"/>
            <w:gridSpan w:val="13"/>
          </w:tcPr>
          <w:p>
            <w:pPr>
              <w:ind w:left="80"/>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29"/>
        </w:trPr>
        <w:tc>
          <w:tcPr>
            <w:tcW w:w="3540" w:type="dxa"/>
            <w:vAlign w:val="bottom"/>
            <w:tcBorders>
              <w:bottom w:val="single" w:sz="8" w:color="auto"/>
            </w:tcBorders>
            <w:gridSpan w:val="3"/>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3"/>
          </w:tcPr>
          <w:p>
            <w:pPr>
              <w:jc w:val="right"/>
              <w:ind w:right="80"/>
              <w:spacing w:after="0" w:line="129" w:lineRule="exact"/>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3"/>
          </w:tcPr>
          <w:p>
            <w:pPr>
              <w:jc w:val="right"/>
              <w:ind w:right="45"/>
              <w:spacing w:after="0" w:line="129" w:lineRule="exact"/>
              <w:rPr>
                <w:sz w:val="20"/>
                <w:szCs w:val="20"/>
                <w:color w:val="auto"/>
              </w:rPr>
            </w:pPr>
            <w:r>
              <w:rPr>
                <w:rFonts w:ascii="Arial" w:cs="Arial" w:eastAsia="Arial" w:hAnsi="Arial"/>
                <w:sz w:val="13"/>
                <w:szCs w:val="13"/>
                <w:b w:val="1"/>
                <w:bCs w:val="1"/>
                <w:color w:val="auto"/>
              </w:rPr>
              <w:t>2024</w:t>
            </w:r>
          </w:p>
        </w:tc>
        <w:tc>
          <w:tcPr>
            <w:tcW w:w="2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gridSpan w:val="2"/>
          </w:tcPr>
          <w:p>
            <w:pPr>
              <w:jc w:val="right"/>
              <w:ind w:right="205"/>
              <w:spacing w:after="0" w:line="129" w:lineRule="exact"/>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23"/>
              <w:spacing w:after="0" w:line="129" w:lineRule="exact"/>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540" w:type="dxa"/>
            <w:vAlign w:val="bottom"/>
            <w:gridSpan w:val="3"/>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Capital expenditures:</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gridSpan w:val="2"/>
          </w:tcPr>
          <w:p>
            <w:pPr>
              <w:ind w:left="100"/>
              <w:spacing w:after="0"/>
              <w:rPr>
                <w:sz w:val="20"/>
                <w:szCs w:val="20"/>
                <w:color w:val="auto"/>
              </w:rPr>
            </w:pPr>
            <w:r>
              <w:rPr>
                <w:rFonts w:ascii="Arial" w:cs="Arial" w:eastAsia="Arial" w:hAnsi="Arial"/>
                <w:sz w:val="16"/>
                <w:szCs w:val="16"/>
                <w:color w:val="auto"/>
              </w:rPr>
              <w:t>Good Sam Services and Plans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3"/>
          </w:tcPr>
          <w:p>
            <w:pPr>
              <w:jc w:val="center"/>
              <w:ind w:left="309"/>
              <w:spacing w:after="0"/>
              <w:rPr>
                <w:sz w:val="20"/>
                <w:szCs w:val="20"/>
                <w:color w:val="auto"/>
              </w:rPr>
            </w:pPr>
            <w:r>
              <w:rPr>
                <w:rFonts w:ascii="Arial" w:cs="Arial" w:eastAsia="Arial" w:hAnsi="Arial"/>
                <w:sz w:val="16"/>
                <w:szCs w:val="16"/>
                <w:color w:val="auto"/>
              </w:rPr>
              <w:t>$</w:t>
            </w:r>
          </w:p>
        </w:tc>
        <w:tc>
          <w:tcPr>
            <w:tcW w:w="960" w:type="dxa"/>
            <w:vAlign w:val="bottom"/>
            <w:gridSpan w:val="6"/>
          </w:tcPr>
          <w:p>
            <w:pPr>
              <w:jc w:val="right"/>
              <w:spacing w:after="0"/>
              <w:rPr>
                <w:sz w:val="20"/>
                <w:szCs w:val="20"/>
                <w:color w:val="auto"/>
              </w:rPr>
            </w:pPr>
            <w:r>
              <w:rPr>
                <w:rFonts w:ascii="Arial" w:cs="Arial" w:eastAsia="Arial" w:hAnsi="Arial"/>
                <w:sz w:val="16"/>
                <w:szCs w:val="16"/>
                <w:color w:val="auto"/>
              </w:rPr>
              <w:t>2,581</w:t>
            </w:r>
          </w:p>
        </w:tc>
        <w:tc>
          <w:tcPr>
            <w:tcW w:w="16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5"/>
                <w:szCs w:val="15"/>
                <w:color w:val="auto"/>
                <w:w w:val="71"/>
              </w:rPr>
              <w:t>$</w:t>
            </w:r>
          </w:p>
        </w:tc>
        <w:tc>
          <w:tcPr>
            <w:tcW w:w="860" w:type="dxa"/>
            <w:vAlign w:val="bottom"/>
            <w:gridSpan w:val="7"/>
          </w:tcPr>
          <w:p>
            <w:pPr>
              <w:jc w:val="right"/>
              <w:spacing w:after="0"/>
              <w:rPr>
                <w:sz w:val="20"/>
                <w:szCs w:val="20"/>
                <w:color w:val="auto"/>
              </w:rPr>
            </w:pPr>
            <w:r>
              <w:rPr>
                <w:rFonts w:ascii="Arial" w:cs="Arial" w:eastAsia="Arial" w:hAnsi="Arial"/>
                <w:sz w:val="16"/>
                <w:szCs w:val="16"/>
                <w:color w:val="auto"/>
              </w:rPr>
              <w:t>2,068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gridSpan w:val="2"/>
          </w:tcPr>
          <w:p>
            <w:pPr>
              <w:jc w:val="right"/>
              <w:ind w:right="51"/>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center"/>
              <w:ind w:left="283"/>
              <w:spacing w:after="0"/>
              <w:rPr>
                <w:sz w:val="20"/>
                <w:szCs w:val="20"/>
                <w:color w:val="auto"/>
              </w:rPr>
            </w:pPr>
            <w:r>
              <w:rPr>
                <w:rFonts w:ascii="Arial" w:cs="Arial" w:eastAsia="Arial" w:hAnsi="Arial"/>
                <w:sz w:val="16"/>
                <w:szCs w:val="16"/>
                <w:color w:val="auto"/>
                <w:w w:val="99"/>
              </w:rPr>
              <w:t>7,699</w:t>
            </w:r>
          </w:p>
        </w:tc>
        <w:tc>
          <w:tcPr>
            <w:tcW w:w="60" w:type="dxa"/>
            <w:vAlign w:val="bottom"/>
          </w:tcPr>
          <w:p>
            <w:pPr>
              <w:spacing w:after="0"/>
              <w:rPr>
                <w:sz w:val="16"/>
                <w:szCs w:val="16"/>
                <w:color w:val="auto"/>
              </w:rPr>
            </w:pPr>
          </w:p>
        </w:tc>
        <w:tc>
          <w:tcPr>
            <w:tcW w:w="260" w:type="dxa"/>
            <w:vAlign w:val="bottom"/>
            <w:gridSpan w:val="5"/>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RV and Outdoor Retail</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6"/>
                <w:szCs w:val="16"/>
                <w:color w:val="auto"/>
              </w:rPr>
              <w:t>82,309</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7"/>
            <w:shd w:val="clear" w:color="auto" w:fill="CCEEFF"/>
          </w:tcPr>
          <w:p>
            <w:pPr>
              <w:ind w:left="360"/>
              <w:spacing w:after="0"/>
              <w:rPr>
                <w:sz w:val="20"/>
                <w:szCs w:val="20"/>
                <w:color w:val="auto"/>
              </w:rPr>
            </w:pPr>
            <w:r>
              <w:rPr>
                <w:rFonts w:ascii="Arial" w:cs="Arial" w:eastAsia="Arial" w:hAnsi="Arial"/>
                <w:sz w:val="16"/>
                <w:szCs w:val="16"/>
                <w:color w:val="auto"/>
                <w:w w:val="98"/>
              </w:rPr>
              <w:t>17,573</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ind w:left="220"/>
              <w:spacing w:after="0"/>
              <w:rPr>
                <w:sz w:val="20"/>
                <w:szCs w:val="20"/>
                <w:color w:val="auto"/>
              </w:rPr>
            </w:pPr>
            <w:r>
              <w:rPr>
                <w:rFonts w:ascii="Arial" w:cs="Arial" w:eastAsia="Arial" w:hAnsi="Arial"/>
                <w:sz w:val="16"/>
                <w:szCs w:val="16"/>
                <w:color w:val="auto"/>
              </w:rPr>
              <w:t>199,273</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Total capital expenditures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gridSpan w:val="6"/>
          </w:tcPr>
          <w:p>
            <w:pPr>
              <w:jc w:val="right"/>
              <w:spacing w:after="0" w:line="183" w:lineRule="exact"/>
              <w:rPr>
                <w:sz w:val="20"/>
                <w:szCs w:val="20"/>
                <w:color w:val="auto"/>
              </w:rPr>
            </w:pPr>
            <w:r>
              <w:rPr>
                <w:rFonts w:ascii="Arial" w:cs="Arial" w:eastAsia="Arial" w:hAnsi="Arial"/>
                <w:sz w:val="16"/>
                <w:szCs w:val="16"/>
                <w:color w:val="auto"/>
              </w:rPr>
              <w:t>84,890</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7"/>
          </w:tcPr>
          <w:p>
            <w:pPr>
              <w:ind w:left="360"/>
              <w:spacing w:after="0" w:line="183" w:lineRule="exact"/>
              <w:rPr>
                <w:sz w:val="20"/>
                <w:szCs w:val="20"/>
                <w:color w:val="auto"/>
              </w:rPr>
            </w:pPr>
            <w:r>
              <w:rPr>
                <w:rFonts w:ascii="Arial" w:cs="Arial" w:eastAsia="Arial" w:hAnsi="Arial"/>
                <w:sz w:val="16"/>
                <w:szCs w:val="16"/>
                <w:color w:val="auto"/>
                <w:w w:val="98"/>
              </w:rPr>
              <w:t>19,641</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tcPr>
          <w:p>
            <w:pPr>
              <w:ind w:left="220"/>
              <w:spacing w:after="0" w:line="183" w:lineRule="exact"/>
              <w:rPr>
                <w:sz w:val="20"/>
                <w:szCs w:val="20"/>
                <w:color w:val="auto"/>
              </w:rPr>
            </w:pPr>
            <w:r>
              <w:rPr>
                <w:rFonts w:ascii="Arial" w:cs="Arial" w:eastAsia="Arial" w:hAnsi="Arial"/>
                <w:sz w:val="16"/>
                <w:szCs w:val="16"/>
                <w:color w:val="auto"/>
              </w:rPr>
              <w:t>206,972</w:t>
            </w:r>
          </w:p>
        </w:tc>
        <w:tc>
          <w:tcPr>
            <w:tcW w:w="6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160" w:type="dxa"/>
            <w:vAlign w:val="bottom"/>
            <w:tcBorders>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69,437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included in Part I, Item 1 of this Form 10-Q, as well as our Annual Report on Form 10-K for the year ended December 31, 2024, filed with the SEC on February 28, 2025 (the “Annual Report”). This discussion contains forward-looking statements based upon current plans, expectations and beliefs involving risks and uncertainties. Our actual results may differ materially from those anticipated in these forward-looking statements as a result of various important factors, including those set forth under “Risk Factors” included in Part I, Item 1A of our Annual Report, the “Cautionary Note Regarding Forward-Looking Statements” in this Form 10-Q and in other parts of this Form 10-Q. Except to the extent that differences among reportable segments are material to an understanding of our business taken as a whole, we present the discussion in Management’s Discussion and Analysis of Financial Condition and Results of Operations on a consolidated basis.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Camping World Holdings, Inc. (together with its subsidiaries) is the world’s largest retailer of RVs and related products and services. Through our Camping World and Good Sam brands, our vision is to build a business that makes RVing and other outdoor adventures fun and easy. We strive to build long-term value for</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our customers, employees, and stockholders by combining a unique and comprehensive assortment of RV products and services with a national network of RV dealerships, service centers and customer support centers along with the industry’s most extensive online presence and a highly-trained and knowledgeable team of associates serving our customers, the RV lifestyle, and the communities in which we operate. We also believe that our Good Sam organization and family of highly specialized services and plans, including roadside assistance, protection plans and insurance, uniquely enables us to connect with our customers as stewards of an outdoor and recreational lifestyle. On September 30, 2025, we operated a total of 197 locations, with all of them selling and/or servicing RVs. See Note 1 – Summary of Significant Accounting Policies to our condensed consolidated financial statements included in Part I, Item 1 of this Form 10-Q.</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changes in quantities and types of retail stores and changes in same stores from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2024 to September 30, 2025, are in the table below:</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RV</w:t>
            </w:r>
          </w:p>
        </w:tc>
        <w:tc>
          <w:tcPr>
            <w:tcW w:w="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RV Service &amp;</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305"/>
              <w:spacing w:after="0"/>
              <w:rPr>
                <w:sz w:val="20"/>
                <w:szCs w:val="20"/>
                <w:color w:val="auto"/>
              </w:rPr>
            </w:pPr>
            <w:r>
              <w:rPr>
                <w:rFonts w:ascii="Arial" w:cs="Arial" w:eastAsia="Arial" w:hAnsi="Arial"/>
                <w:sz w:val="14"/>
                <w:szCs w:val="14"/>
                <w:b w:val="1"/>
                <w:bCs w:val="1"/>
                <w:color w:val="auto"/>
              </w:rPr>
              <w:t>Same</w:t>
            </w:r>
          </w:p>
        </w:tc>
      </w:tr>
      <w:tr>
        <w:trPr>
          <w:trHeight w:val="189"/>
        </w:trPr>
        <w:tc>
          <w:tcPr>
            <w:tcW w:w="37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Dealerships</w:t>
            </w:r>
          </w:p>
        </w:tc>
        <w:tc>
          <w:tcPr>
            <w:tcW w:w="13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Retail Centers</w:t>
            </w:r>
          </w:p>
        </w:tc>
        <w:tc>
          <w:tcPr>
            <w:tcW w:w="130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140" w:type="dxa"/>
            <w:vAlign w:val="bottom"/>
            <w:tcBorders>
              <w:bottom w:val="single" w:sz="8" w:color="auto"/>
            </w:tcBorders>
          </w:tcPr>
          <w:p>
            <w:pPr>
              <w:jc w:val="right"/>
              <w:ind w:right="245"/>
              <w:spacing w:after="0" w:line="189" w:lineRule="exact"/>
              <w:rPr>
                <w:sz w:val="20"/>
                <w:szCs w:val="20"/>
                <w:color w:val="auto"/>
              </w:rPr>
            </w:pPr>
            <w:r>
              <w:rPr>
                <w:rFonts w:ascii="Arial" w:cs="Arial" w:eastAsia="Arial" w:hAnsi="Arial"/>
                <w:sz w:val="14"/>
                <w:szCs w:val="14"/>
                <w:b w:val="1"/>
                <w:bCs w:val="1"/>
                <w:color w:val="auto"/>
              </w:rPr>
              <w:t>Store</w:t>
            </w:r>
            <w:r>
              <w:rPr>
                <w:rFonts w:ascii="Arial" w:cs="Arial" w:eastAsia="Arial" w:hAnsi="Arial"/>
                <w:sz w:val="21"/>
                <w:szCs w:val="21"/>
                <w:color w:val="auto"/>
                <w:vertAlign w:val="superscript"/>
              </w:rPr>
              <w:t>(1)</w:t>
            </w:r>
          </w:p>
        </w:tc>
      </w:tr>
      <w:tr>
        <w:trPr>
          <w:trHeight w:val="156"/>
        </w:trPr>
        <w:tc>
          <w:tcPr>
            <w:tcW w:w="374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Number of store locations as of September 30, 2024</w:t>
            </w: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204</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3</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207</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176</w:t>
            </w:r>
          </w:p>
        </w:tc>
      </w:tr>
      <w:tr>
        <w:trPr>
          <w:trHeight w:val="162"/>
        </w:trPr>
        <w:tc>
          <w:tcPr>
            <w:tcW w:w="390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Opened</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w:t>
            </w:r>
          </w:p>
        </w:tc>
        <w:tc>
          <w:tcPr>
            <w:tcW w:w="16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390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Converted</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w:t>
            </w:r>
          </w:p>
        </w:tc>
        <w:tc>
          <w:tcPr>
            <w:tcW w:w="13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r>
      <w:tr>
        <w:trPr>
          <w:trHeight w:val="162"/>
        </w:trPr>
        <w:tc>
          <w:tcPr>
            <w:tcW w:w="390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Temporarily closed</w:t>
            </w:r>
          </w:p>
        </w:tc>
        <w:tc>
          <w:tcPr>
            <w:tcW w:w="12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(2)</w:t>
            </w:r>
          </w:p>
        </w:tc>
        <w:tc>
          <w:tcPr>
            <w:tcW w:w="80" w:type="dxa"/>
            <w:vAlign w:val="bottom"/>
          </w:tcPr>
          <w:p>
            <w:pPr>
              <w:spacing w:after="0"/>
              <w:rPr>
                <w:sz w:val="14"/>
                <w:szCs w:val="14"/>
                <w:color w:val="auto"/>
              </w:rPr>
            </w:pPr>
          </w:p>
        </w:tc>
        <w:tc>
          <w:tcPr>
            <w:tcW w:w="12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(2)</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w:t>
            </w:r>
          </w:p>
        </w:tc>
      </w:tr>
      <w:tr>
        <w:trPr>
          <w:trHeight w:val="162"/>
        </w:trPr>
        <w:tc>
          <w:tcPr>
            <w:tcW w:w="390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Closed</w:t>
            </w:r>
          </w:p>
        </w:tc>
        <w:tc>
          <w:tcPr>
            <w:tcW w:w="12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(17)</w:t>
            </w:r>
          </w:p>
        </w:tc>
        <w:tc>
          <w:tcPr>
            <w:tcW w:w="1360" w:type="dxa"/>
            <w:vAlign w:val="bottom"/>
            <w:gridSpan w:val="3"/>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w:t>
            </w:r>
          </w:p>
        </w:tc>
        <w:tc>
          <w:tcPr>
            <w:tcW w:w="13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(18)</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w:t>
            </w:r>
          </w:p>
        </w:tc>
      </w:tr>
      <w:tr>
        <w:trPr>
          <w:trHeight w:val="162"/>
        </w:trPr>
        <w:tc>
          <w:tcPr>
            <w:tcW w:w="3900" w:type="dxa"/>
            <w:vAlign w:val="bottom"/>
            <w:gridSpan w:val="2"/>
          </w:tcPr>
          <w:p>
            <w:pPr>
              <w:ind w:left="120"/>
              <w:spacing w:after="0" w:line="162" w:lineRule="exact"/>
              <w:rPr>
                <w:sz w:val="20"/>
                <w:szCs w:val="20"/>
                <w:color w:val="auto"/>
              </w:rPr>
            </w:pPr>
            <w:r>
              <w:rPr>
                <w:rFonts w:ascii="Arial" w:cs="Arial" w:eastAsia="Arial" w:hAnsi="Arial"/>
                <w:sz w:val="13"/>
                <w:szCs w:val="13"/>
                <w:color w:val="auto"/>
              </w:rPr>
              <w:t xml:space="preserve">Achieved designation of same store </w:t>
            </w:r>
            <w:r>
              <w:rPr>
                <w:rFonts w:ascii="Arial" w:cs="Arial" w:eastAsia="Arial" w:hAnsi="Arial"/>
                <w:sz w:val="18"/>
                <w:szCs w:val="18"/>
                <w:color w:val="auto"/>
                <w:vertAlign w:val="superscript"/>
              </w:rPr>
              <w:t>(1)</w:t>
            </w:r>
          </w:p>
        </w:tc>
        <w:tc>
          <w:tcPr>
            <w:tcW w:w="12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w:t>
            </w:r>
          </w:p>
        </w:tc>
      </w:tr>
      <w:tr>
        <w:trPr>
          <w:trHeight w:val="155"/>
        </w:trPr>
        <w:tc>
          <w:tcPr>
            <w:tcW w:w="3900" w:type="dxa"/>
            <w:vAlign w:val="bottom"/>
            <w:tcBorders>
              <w:top w:val="single" w:sz="8" w:color="CCEEFF"/>
              <w:bottom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Number of store locations as of September 30, 2025</w:t>
            </w:r>
          </w:p>
        </w:tc>
        <w:tc>
          <w:tcPr>
            <w:tcW w:w="1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196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197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176</w:t>
            </w:r>
          </w:p>
        </w:tc>
      </w:tr>
      <w:tr>
        <w:trPr>
          <w:trHeight w:val="20"/>
        </w:trPr>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2" w:lineRule="exact"/>
        <w:rPr>
          <w:sz w:val="20"/>
          <w:szCs w:val="20"/>
          <w:color w:val="auto"/>
        </w:rPr>
      </w:pPr>
    </w:p>
    <w:p>
      <w:pPr>
        <w:ind w:left="380" w:right="79" w:hanging="330"/>
        <w:spacing w:after="0" w:line="281" w:lineRule="auto"/>
        <w:tabs>
          <w:tab w:leader="none" w:pos="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Our same store revenue and units calculations for a given period include only those stores that were open both at the end of the corresponding period and at the beginning of the preceding fiscal year.</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Trends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 xml:space="preserve">According to the RV Industry Association’s (“RVIA”) survey of manufacturers, which almost entirely focuses on North America, wholesale shipments of new RVs for 2024 were 333,733 units, 6.6% greater than in 2023. In the Summer 2025 edition of RV </w:t>
      </w:r>
      <w:r>
        <w:rPr>
          <w:rFonts w:ascii="Arial" w:cs="Arial" w:eastAsia="Arial" w:hAnsi="Arial"/>
          <w:sz w:val="18"/>
          <w:szCs w:val="18"/>
          <w:i w:val="1"/>
          <w:iCs w:val="1"/>
          <w:color w:val="auto"/>
        </w:rPr>
        <w:t>RoadSigns</w:t>
      </w:r>
      <w:r>
        <w:rPr>
          <w:rFonts w:ascii="Arial" w:cs="Arial" w:eastAsia="Arial" w:hAnsi="Arial"/>
          <w:sz w:val="18"/>
          <w:szCs w:val="18"/>
          <w:color w:val="auto"/>
        </w:rPr>
        <w:t>, the quarterly forecast prepared by ITR Economics for the RVIA projected RV wholesale shipments to be approximately 337,000 in 2025, or 1.0% higher than 2024. RV wholesale shipments for the first nine months of 2025 were 267,234 units, up 4.2% compared to the same timeframe last year per the September 2025 survey of manufacturers prepared by the RVIA. According to Statistical Surveys, Inc. aggregation of North America RV retail transactions, new RV registrations in the US declined by 0.3% to 319,989 registrations for the twelve-month period ended August 31, 2025 compared to the comparable period ended August 31, 2024. Used RV registrations experienced a 2.9% decline to 722,721 registrations over the same period.</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increased mix of lower cost recent model year vehicles during 2025 compared to 2024, as well as a mix shift toward more inexpensive entry level travel trailers, resulted in lower average selling prices and lower average cost per unit of new vehicles, which partially offset each other to reduce gross margins by less than 100 basis points during the first nine months of 2025. Additionally, residual values of used vehicles declined during 2024 as a result of a decrease in new vehicle costs, which resulted in the first nine months of 2025 having slightly lower average selling prices of used vehicles, slightly lower average cost per unit of used vehicles, and a slight improvement in used vehicle gross margins.</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experienced lower used vehicle inventory levels for much of 2024 as we slowed procurement to allow RV owner pricing expectations to adjust as a result of 2024 model year pricing declines. Beginning in the fourth quarter of 2024 after the release of 2025 model year pricing, we took steps to increase used vehicle revenue and unit sales by increasing the procurement of used vehicles. This resulted in a 25.1% increase in used vehicles revenue and 27.4% increase in used vehicles unit sales in the first nine months of 2025. We expect used vehicle revenue and unit sales to outpace comparative 2024 periods for the remainder of 2025, although to a lesser degree in the fourth quarter compared to the first nine months of 2025.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are closely monitoring U.S. trade policy developments with countries from which we source product and equipment, such as China, Mexico, and Canada. There is uncertainty as to the extent and duration of additional tariffs that have or may be imposed on imports from these countries. We made adjustments to our procurement practices to partially mitigate certain of the potential negative effects that additional tariffs may impose on the sourcing of our inventory and equipment. Additionally, many of our U.S.-based suppliers source some of their components from these countries, which could result in higher procurement costs from U.S.-based suppliers. In 2024, our costs applicable to revenue included the costs of directly sourced inventory from China, Mexico, and Canada of approximately $27.0 million, $10.0 million and $2.0 million,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Institutions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September 30, 2025 Compared to Three Months Ended September 30, 2024</w:t>
      </w:r>
    </w:p>
    <w:p>
      <w:pPr>
        <w:spacing w:after="0" w:line="104"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Unless otherwise indicated, all financial comparisons in this section of Results of Operations compare our financial results for the three months ended September 30, 2025 to our financial results from the three months ended September 30, 2024. The following table sets forth information comparing the components of net (loss) income for the three months ended September 30, 2025 and 2024:</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2"/>
                <w:szCs w:val="12"/>
                <w:b w:val="1"/>
                <w:bCs w:val="1"/>
                <w:color w:val="auto"/>
              </w:rPr>
              <w:t>Three Months Ended</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September 30, 2025</w:t>
            </w:r>
          </w:p>
        </w:tc>
        <w:tc>
          <w:tcPr>
            <w:tcW w:w="100" w:type="dxa"/>
            <w:vAlign w:val="bottom"/>
          </w:tcPr>
          <w:p>
            <w:pPr>
              <w:spacing w:after="0"/>
              <w:rPr>
                <w:sz w:val="11"/>
                <w:szCs w:val="11"/>
                <w:color w:val="auto"/>
              </w:rPr>
            </w:pPr>
          </w:p>
        </w:tc>
        <w:tc>
          <w:tcPr>
            <w:tcW w:w="1480" w:type="dxa"/>
            <w:vAlign w:val="bottom"/>
            <w:gridSpan w:val="3"/>
          </w:tcPr>
          <w:p>
            <w:pPr>
              <w:jc w:val="right"/>
              <w:ind w:right="189"/>
              <w:spacing w:after="0" w:line="129" w:lineRule="exact"/>
              <w:rPr>
                <w:sz w:val="20"/>
                <w:szCs w:val="20"/>
                <w:color w:val="auto"/>
              </w:rPr>
            </w:pPr>
            <w:r>
              <w:rPr>
                <w:rFonts w:ascii="Arial" w:cs="Arial" w:eastAsia="Arial" w:hAnsi="Arial"/>
                <w:sz w:val="12"/>
                <w:szCs w:val="12"/>
                <w:b w:val="1"/>
                <w:bCs w:val="1"/>
                <w:color w:val="auto"/>
              </w:rPr>
              <w:t>September 30, 2024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3"/>
            <w:vMerge w:val="restart"/>
          </w:tcPr>
          <w:p>
            <w:pPr>
              <w:jc w:val="right"/>
              <w:ind w:right="8"/>
              <w:spacing w:after="0"/>
              <w:rPr>
                <w:sz w:val="20"/>
                <w:szCs w:val="20"/>
                <w:color w:val="auto"/>
              </w:rPr>
            </w:pPr>
            <w:r>
              <w:rPr>
                <w:rFonts w:ascii="Arial" w:cs="Arial" w:eastAsia="Arial" w:hAnsi="Arial"/>
                <w:sz w:val="12"/>
                <w:szCs w:val="12"/>
                <w:b w:val="1"/>
                <w:bCs w:val="1"/>
                <w:color w:val="auto"/>
                <w:w w:val="95"/>
              </w:rPr>
              <w:t>Favorable/ (Unfavorable)</w:t>
            </w: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5"/>
              </w:rPr>
              <w:t>Percent of</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8"/>
              </w:rPr>
              <w:t>Percent of</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6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5"/>
              </w:rPr>
              <w:t>Revenue</w:t>
            </w:r>
          </w:p>
        </w:tc>
        <w:tc>
          <w:tcPr>
            <w:tcW w:w="1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9"/>
              </w:rPr>
              <w:t>Revenue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right"/>
              <w:ind w:right="269"/>
              <w:spacing w:after="0" w:line="129"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640" w:type="dxa"/>
            <w:vAlign w:val="bottom"/>
          </w:tcPr>
          <w:p>
            <w:pPr>
              <w:jc w:val="right"/>
              <w:ind w:right="188"/>
              <w:spacing w:after="0" w:line="129"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55"/>
        </w:trPr>
        <w:tc>
          <w:tcPr>
            <w:tcW w:w="38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Revenue:</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120"/>
              <w:spacing w:after="0"/>
              <w:rPr>
                <w:sz w:val="20"/>
                <w:szCs w:val="20"/>
                <w:color w:val="auto"/>
              </w:rPr>
            </w:pPr>
            <w:r>
              <w:rPr>
                <w:rFonts w:ascii="Arial" w:cs="Arial" w:eastAsia="Arial" w:hAnsi="Arial"/>
                <w:sz w:val="14"/>
                <w:szCs w:val="14"/>
                <w:color w:val="auto"/>
              </w:rPr>
              <w:t>Good Sam Services and Plans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52,508</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50,841</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4"/>
                <w:szCs w:val="1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1,667</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RV and Outdoor Retail</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New vehicles</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766,779</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824,916</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(58,137)</w:t>
            </w:r>
          </w:p>
        </w:tc>
        <w:tc>
          <w:tcPr>
            <w:tcW w:w="64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Used vehicles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589,092</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447,242</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141,850</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Products, service and other</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208,634</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224,839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(16,205)</w:t>
            </w:r>
          </w:p>
        </w:tc>
        <w:tc>
          <w:tcPr>
            <w:tcW w:w="64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Finance and insurance, net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178,297</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166,255</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12,042</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Good Sam Club</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10,808</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10,895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(87)</w:t>
            </w:r>
          </w:p>
        </w:tc>
        <w:tc>
          <w:tcPr>
            <w:tcW w:w="64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6"/>
        </w:trPr>
        <w:tc>
          <w:tcPr>
            <w:tcW w:w="396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Subtotal</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1,753,610</w:t>
            </w: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97.1%</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1,674,147</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97.1%</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79,463</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5"/>
        </w:trPr>
        <w:tc>
          <w:tcPr>
            <w:tcW w:w="39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1,806,118</w:t>
            </w:r>
          </w:p>
        </w:tc>
        <w:tc>
          <w:tcPr>
            <w:tcW w:w="1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1,724,988</w:t>
            </w: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81,130</w:t>
            </w:r>
          </w:p>
        </w:tc>
        <w:tc>
          <w:tcPr>
            <w:tcW w:w="1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Gross profit (exclusive of depreciation and amortization</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shown separately below):</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Good Sam Services and Plans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29,736</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31,141</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(1,405)</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2"/>
        </w:trPr>
        <w:tc>
          <w:tcPr>
            <w:tcW w:w="3960" w:type="dxa"/>
            <w:vAlign w:val="bottom"/>
            <w:gridSpan w:val="2"/>
          </w:tcPr>
          <w:p>
            <w:pPr>
              <w:ind w:left="120"/>
              <w:spacing w:after="0"/>
              <w:rPr>
                <w:sz w:val="20"/>
                <w:szCs w:val="20"/>
                <w:color w:val="auto"/>
              </w:rPr>
            </w:pPr>
            <w:r>
              <w:rPr>
                <w:rFonts w:ascii="Arial" w:cs="Arial" w:eastAsia="Arial" w:hAnsi="Arial"/>
                <w:sz w:val="14"/>
                <w:szCs w:val="14"/>
                <w:color w:val="auto"/>
              </w:rPr>
              <w:t>RV and Outdoor Retail</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New vehicles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97,364</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111,401</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(14,037)</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Used vehicles</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107,875</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81,175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26,700</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Products, service and other</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94,207</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98,726</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(4,519)</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Finance and insurance, net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178,297</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166,255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12,042</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Good Sam Club</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9,554</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9,826</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(272)</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5"/>
        </w:trPr>
        <w:tc>
          <w:tcPr>
            <w:tcW w:w="3960" w:type="dxa"/>
            <w:vAlign w:val="bottom"/>
            <w:tcBorders>
              <w:bottom w:val="single" w:sz="8" w:color="CCEEFF"/>
            </w:tcBorders>
            <w:gridSpan w:val="2"/>
          </w:tcPr>
          <w:p>
            <w:pPr>
              <w:ind w:left="220"/>
              <w:spacing w:after="0" w:line="155" w:lineRule="exact"/>
              <w:rPr>
                <w:sz w:val="20"/>
                <w:szCs w:val="20"/>
                <w:color w:val="auto"/>
              </w:rPr>
            </w:pPr>
            <w:r>
              <w:rPr>
                <w:rFonts w:ascii="Arial" w:cs="Arial" w:eastAsia="Arial" w:hAnsi="Arial"/>
                <w:sz w:val="14"/>
                <w:szCs w:val="14"/>
                <w:color w:val="auto"/>
              </w:rPr>
              <w:t>Subtotal</w:t>
            </w: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487,297</w:t>
            </w:r>
          </w:p>
        </w:tc>
        <w:tc>
          <w:tcPr>
            <w:tcW w:w="14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467,383</w:t>
            </w:r>
          </w:p>
        </w:tc>
        <w:tc>
          <w:tcPr>
            <w:tcW w:w="14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27.1%</w:t>
            </w:r>
          </w:p>
        </w:tc>
        <w:tc>
          <w:tcPr>
            <w:tcW w:w="1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19,914</w:t>
            </w:r>
          </w:p>
        </w:tc>
        <w:tc>
          <w:tcPr>
            <w:tcW w:w="14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56"/>
        </w:trPr>
        <w:tc>
          <w:tcPr>
            <w:tcW w:w="396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gross profit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517,033</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498,524</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18,509</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411,011</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414,209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3,198</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25,654</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20,583</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(5,071)</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Long-lived asset impairment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617</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1,944</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1,327</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Lease termination</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(2,625)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(2,701)</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Loss (gain) on sale or disposal of assets</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534</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w:t>
            </w:r>
          </w:p>
        </w:tc>
        <w:tc>
          <w:tcPr>
            <w:tcW w:w="62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(539)</w:t>
            </w:r>
          </w:p>
        </w:tc>
        <w:tc>
          <w:tcPr>
            <w:tcW w:w="64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5"/>
        </w:trPr>
        <w:tc>
          <w:tcPr>
            <w:tcW w:w="396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437,892</w:t>
            </w: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24.2%</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434,106</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25.2%</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(3,786)</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55"/>
        </w:trPr>
        <w:tc>
          <w:tcPr>
            <w:tcW w:w="39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Income from operations</w:t>
            </w: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79,141</w:t>
            </w:r>
          </w:p>
        </w:tc>
        <w:tc>
          <w:tcPr>
            <w:tcW w:w="1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4.4%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64,418</w:t>
            </w: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14,723</w:t>
            </w:r>
          </w:p>
        </w:tc>
        <w:tc>
          <w:tcPr>
            <w:tcW w:w="1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120"/>
              <w:spacing w:after="0"/>
              <w:rPr>
                <w:sz w:val="20"/>
                <w:szCs w:val="20"/>
                <w:color w:val="auto"/>
              </w:rPr>
            </w:pPr>
            <w:r>
              <w:rPr>
                <w:rFonts w:ascii="Arial" w:cs="Arial" w:eastAsia="Arial" w:hAnsi="Arial"/>
                <w:sz w:val="14"/>
                <w:szCs w:val="14"/>
                <w:color w:val="auto"/>
              </w:rPr>
              <w:t>Floor plan interest expense</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(18,061)</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(22,372)</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4,311</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(30,982)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(35,877)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4,895</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62"/>
        </w:trPr>
        <w:tc>
          <w:tcPr>
            <w:tcW w:w="3960" w:type="dxa"/>
            <w:vAlign w:val="bottom"/>
            <w:gridSpan w:val="2"/>
          </w:tcPr>
          <w:p>
            <w:pPr>
              <w:ind w:left="120"/>
              <w:spacing w:after="0"/>
              <w:rPr>
                <w:sz w:val="20"/>
                <w:szCs w:val="20"/>
                <w:color w:val="auto"/>
              </w:rPr>
            </w:pPr>
            <w:r>
              <w:rPr>
                <w:rFonts w:ascii="Arial" w:cs="Arial" w:eastAsia="Arial" w:hAnsi="Arial"/>
                <w:sz w:val="14"/>
                <w:szCs w:val="14"/>
                <w:color w:val="auto"/>
              </w:rPr>
              <w:t>Tax Receivable Agreement liability adjustment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149,172</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149,172</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 net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(1,162)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5"/>
        </w:trPr>
        <w:tc>
          <w:tcPr>
            <w:tcW w:w="396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Total other income (expense)</w:t>
            </w: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98,967</w:t>
            </w:r>
          </w:p>
        </w:tc>
        <w:tc>
          <w:tcPr>
            <w:tcW w:w="14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(58,411)</w:t>
            </w:r>
          </w:p>
        </w:tc>
        <w:tc>
          <w:tcPr>
            <w:tcW w:w="14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157,378</w:t>
            </w:r>
          </w:p>
        </w:tc>
        <w:tc>
          <w:tcPr>
            <w:tcW w:w="14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269.4%</w:t>
            </w:r>
          </w:p>
        </w:tc>
        <w:tc>
          <w:tcPr>
            <w:tcW w:w="0" w:type="dxa"/>
            <w:vAlign w:val="bottom"/>
          </w:tcPr>
          <w:p>
            <w:pPr>
              <w:spacing w:after="0"/>
              <w:rPr>
                <w:sz w:val="1"/>
                <w:szCs w:val="1"/>
                <w:color w:val="auto"/>
              </w:rPr>
            </w:pPr>
          </w:p>
        </w:tc>
      </w:tr>
      <w:tr>
        <w:trPr>
          <w:trHeight w:val="156"/>
        </w:trPr>
        <w:tc>
          <w:tcPr>
            <w:tcW w:w="396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Income before income taxes</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178,108</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6,007</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172,101</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Income tax (expense) benefit</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(207,459)</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2,049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(209,508)</w:t>
            </w:r>
          </w:p>
        </w:tc>
        <w:tc>
          <w:tcPr>
            <w:tcW w:w="64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5"/>
        </w:trPr>
        <w:tc>
          <w:tcPr>
            <w:tcW w:w="396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Net (loss) income</w:t>
            </w: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(29,351)</w:t>
            </w: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8,056</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0.5%</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(37,407)</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(464.3%)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12" w:right="1440" w:bottom="1440" w:gutter="0" w:footer="0" w:header="0"/>
        </w:sectPr>
      </w:pPr>
    </w:p>
    <w:p>
      <w:pPr>
        <w:ind w:left="60" w:right="440"/>
        <w:spacing w:after="0" w:line="245" w:lineRule="auto"/>
        <w:rPr>
          <w:sz w:val="20"/>
          <w:szCs w:val="20"/>
          <w:color w:val="auto"/>
        </w:rPr>
      </w:pPr>
      <w:r>
        <w:rPr>
          <w:rFonts w:ascii="Arial" w:cs="Arial" w:eastAsia="Arial" w:hAnsi="Arial"/>
          <w:sz w:val="14"/>
          <w:szCs w:val="14"/>
          <w:color w:val="auto"/>
        </w:rPr>
        <w:t>Less: net (loss) income attributable to non-controlling interests</w:t>
      </w:r>
    </w:p>
    <w:p>
      <w:pPr>
        <w:ind w:left="60"/>
        <w:spacing w:after="0" w:line="264" w:lineRule="auto"/>
        <w:rPr>
          <w:sz w:val="20"/>
          <w:szCs w:val="20"/>
          <w:color w:val="auto"/>
        </w:rPr>
      </w:pPr>
      <w:r>
        <w:rPr>
          <w:rFonts w:ascii="Arial" w:cs="Arial" w:eastAsia="Arial" w:hAnsi="Arial"/>
          <w:sz w:val="14"/>
          <w:szCs w:val="14"/>
          <w:color w:val="auto"/>
        </w:rPr>
        <w:t>Net (loss) income attributable to Camping World Holdings, Inc.</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jc w:val="right"/>
              <w:spacing w:after="0"/>
              <w:rPr>
                <w:sz w:val="20"/>
                <w:szCs w:val="20"/>
                <w:color w:val="auto"/>
              </w:rPr>
            </w:pPr>
            <w:r>
              <w:rPr>
                <w:rFonts w:ascii="Arial" w:cs="Arial" w:eastAsia="Arial" w:hAnsi="Arial"/>
                <w:sz w:val="14"/>
                <w:szCs w:val="14"/>
                <w:color w:val="auto"/>
              </w:rPr>
              <w:t>(11,087)</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(2,555)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(8,532)</w:t>
            </w:r>
          </w:p>
        </w:tc>
        <w:tc>
          <w:tcPr>
            <w:tcW w:w="640" w:type="dxa"/>
            <w:vAlign w:val="bottom"/>
          </w:tcPr>
          <w:p>
            <w:pPr>
              <w:jc w:val="right"/>
              <w:spacing w:after="0"/>
              <w:rPr>
                <w:sz w:val="20"/>
                <w:szCs w:val="20"/>
                <w:color w:val="auto"/>
              </w:rPr>
            </w:pPr>
            <w:r>
              <w:rPr>
                <w:rFonts w:ascii="Arial" w:cs="Arial" w:eastAsia="Arial" w:hAnsi="Arial"/>
                <w:sz w:val="14"/>
                <w:szCs w:val="14"/>
                <w:color w:val="auto"/>
              </w:rPr>
              <w:t>(333.9%)</w:t>
            </w:r>
          </w:p>
        </w:tc>
      </w:tr>
      <w:tr>
        <w:trPr>
          <w:trHeight w:val="20"/>
        </w:trPr>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90"/>
        </w:trPr>
        <w:tc>
          <w:tcPr>
            <w:tcW w:w="820" w:type="dxa"/>
            <w:vAlign w:val="bottom"/>
          </w:tcPr>
          <w:p>
            <w:pPr>
              <w:jc w:val="right"/>
              <w:spacing w:after="0"/>
              <w:rPr>
                <w:sz w:val="20"/>
                <w:szCs w:val="20"/>
                <w:color w:val="auto"/>
              </w:rPr>
            </w:pPr>
            <w:r>
              <w:rPr>
                <w:rFonts w:ascii="Arial" w:cs="Arial" w:eastAsia="Arial" w:hAnsi="Arial"/>
                <w:sz w:val="14"/>
                <w:szCs w:val="14"/>
                <w:color w:val="auto"/>
              </w:rPr>
              <w:t>$   (40,438)</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5,501</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  (45,939)</w:t>
            </w:r>
          </w:p>
        </w:tc>
        <w:tc>
          <w:tcPr>
            <w:tcW w:w="6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20"/>
        </w:trPr>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-222250</wp:posOffset>
            </wp:positionV>
            <wp:extent cx="564896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20574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3860" w:space="140"/>
            <w:col w:w="5019"/>
          </w:cols>
          <w:pgMar w:left="1440" w:top="5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80" w:type="dxa"/>
            <w:vAlign w:val="bottom"/>
            <w:gridSpan w:val="17"/>
          </w:tcPr>
          <w:p>
            <w:pPr>
              <w:ind w:left="20"/>
              <w:spacing w:after="0"/>
              <w:rPr>
                <w:sz w:val="20"/>
                <w:szCs w:val="20"/>
                <w:color w:val="auto"/>
              </w:rPr>
            </w:pPr>
            <w:r>
              <w:rPr>
                <w:rFonts w:ascii="Arial" w:cs="Arial" w:eastAsia="Arial" w:hAnsi="Arial"/>
                <w:sz w:val="13"/>
                <w:szCs w:val="13"/>
                <w:b w:val="1"/>
                <w:bCs w:val="1"/>
                <w:color w:val="auto"/>
              </w:rPr>
              <w:t>Supplemental Data</w:t>
            </w:r>
          </w:p>
        </w:tc>
        <w:tc>
          <w:tcPr>
            <w:tcW w:w="26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4"/>
                <w:szCs w:val="14"/>
                <w:color w:val="auto"/>
              </w:rPr>
            </w:pPr>
          </w:p>
        </w:tc>
        <w:tc>
          <w:tcPr>
            <w:tcW w:w="82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Increase</w:t>
            </w:r>
          </w:p>
        </w:tc>
        <w:tc>
          <w:tcPr>
            <w:tcW w:w="440" w:type="dxa"/>
            <w:vAlign w:val="bottom"/>
          </w:tcPr>
          <w:p>
            <w:pPr>
              <w:spacing w:after="0"/>
              <w:rPr>
                <w:sz w:val="14"/>
                <w:szCs w:val="14"/>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8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8"/>
              <w:spacing w:after="0" w:line="155" w:lineRule="exact"/>
              <w:rPr>
                <w:sz w:val="20"/>
                <w:szCs w:val="20"/>
                <w:color w:val="auto"/>
              </w:rPr>
            </w:pPr>
            <w:r>
              <w:rPr>
                <w:rFonts w:ascii="Arial" w:cs="Arial" w:eastAsia="Arial" w:hAnsi="Arial"/>
                <w:sz w:val="14"/>
                <w:szCs w:val="14"/>
                <w:b w:val="1"/>
                <w:bCs w:val="1"/>
                <w:color w:val="auto"/>
                <w:w w:val="99"/>
              </w:rPr>
              <w:t>(decrease)</w:t>
            </w:r>
          </w:p>
        </w:tc>
        <w:tc>
          <w:tcPr>
            <w:tcW w:w="440" w:type="dxa"/>
            <w:vAlign w:val="bottom"/>
          </w:tcPr>
          <w:p>
            <w:pPr>
              <w:spacing w:after="0"/>
              <w:rPr>
                <w:sz w:val="13"/>
                <w:szCs w:val="13"/>
                <w:color w:val="auto"/>
              </w:rPr>
            </w:pPr>
          </w:p>
        </w:tc>
        <w:tc>
          <w:tcPr>
            <w:tcW w:w="8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900" w:type="dxa"/>
            <w:vAlign w:val="bottom"/>
            <w:tcBorders>
              <w:top w:val="single" w:sz="8" w:color="auto"/>
            </w:tcBorders>
            <w:gridSpan w:val="16"/>
            <w:shd w:val="clear" w:color="auto" w:fill="CCEEFF"/>
          </w:tcPr>
          <w:p>
            <w:pPr>
              <w:ind w:left="20"/>
              <w:spacing w:after="0" w:line="142" w:lineRule="exact"/>
              <w:rPr>
                <w:sz w:val="20"/>
                <w:szCs w:val="20"/>
                <w:color w:val="auto"/>
              </w:rPr>
            </w:pPr>
            <w:r>
              <w:rPr>
                <w:rFonts w:ascii="Arial" w:cs="Arial" w:eastAsia="Arial" w:hAnsi="Arial"/>
                <w:sz w:val="14"/>
                <w:szCs w:val="14"/>
                <w:color w:val="auto"/>
              </w:rPr>
              <w:t>Unit sales</w:t>
            </w: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New vehicles</w:t>
            </w: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20,286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19,943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343</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18,694</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14,065</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4,629</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Total</w:t>
            </w: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38,980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34,008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4,972</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Average selling price</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1320" w:type="dxa"/>
            <w:vAlign w:val="bottom"/>
            <w:tcBorders>
              <w:top w:val="single" w:sz="8" w:color="auto"/>
            </w:tcBorders>
            <w:gridSpan w:val="5"/>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740" w:type="dxa"/>
            <w:vAlign w:val="bottom"/>
            <w:gridSpan w:val="11"/>
            <w:shd w:val="clear" w:color="auto" w:fill="CCEEFF"/>
          </w:tcPr>
          <w:p>
            <w:pPr>
              <w:spacing w:after="0"/>
              <w:rPr>
                <w:sz w:val="13"/>
                <w:szCs w:val="13"/>
                <w:color w:val="auto"/>
              </w:rPr>
            </w:pPr>
          </w:p>
        </w:tc>
        <w:tc>
          <w:tcPr>
            <w:tcW w:w="2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37,798</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41,364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(3,566)</w:t>
            </w: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rPr>
                <w:sz w:val="20"/>
                <w:szCs w:val="20"/>
                <w:color w:val="auto"/>
              </w:rPr>
            </w:pPr>
            <w:r>
              <w:rPr>
                <w:rFonts w:ascii="Arial" w:cs="Arial" w:eastAsia="Arial" w:hAnsi="Arial"/>
                <w:sz w:val="14"/>
                <w:szCs w:val="14"/>
                <w:color w:val="auto"/>
              </w:rPr>
              <w:t>Used vehicles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31,512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31,798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(286)</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400" w:type="dxa"/>
            <w:vAlign w:val="bottom"/>
            <w:gridSpan w:val="7"/>
            <w:vMerge w:val="restart"/>
          </w:tcPr>
          <w:p>
            <w:pPr>
              <w:ind w:left="20"/>
              <w:spacing w:after="0" w:line="149" w:lineRule="exact"/>
              <w:rPr>
                <w:sz w:val="20"/>
                <w:szCs w:val="20"/>
                <w:color w:val="auto"/>
              </w:rPr>
            </w:pPr>
            <w:r>
              <w:rPr>
                <w:rFonts w:ascii="Arial" w:cs="Arial" w:eastAsia="Arial" w:hAnsi="Arial"/>
                <w:sz w:val="14"/>
                <w:szCs w:val="14"/>
                <w:color w:val="auto"/>
              </w:rPr>
              <w:t>Same store unit sales</w:t>
            </w:r>
          </w:p>
        </w:tc>
        <w:tc>
          <w:tcPr>
            <w:tcW w:w="120" w:type="dxa"/>
            <w:vAlign w:val="bottom"/>
            <w:tcBorders>
              <w:bottom w:val="single" w:sz="8" w:color="auto"/>
            </w:tcBorders>
            <w:gridSpan w:val="2"/>
          </w:tcPr>
          <w:p>
            <w:pPr>
              <w:jc w:val="right"/>
              <w:spacing w:after="0" w:line="75" w:lineRule="exact"/>
              <w:rPr>
                <w:sz w:val="20"/>
                <w:szCs w:val="20"/>
                <w:color w:val="auto"/>
              </w:rPr>
            </w:pPr>
            <w:r>
              <w:rPr>
                <w:rFonts w:ascii="Arial" w:cs="Arial" w:eastAsia="Arial" w:hAnsi="Arial"/>
                <w:sz w:val="8"/>
                <w:szCs w:val="8"/>
                <w:color w:val="auto"/>
              </w:rPr>
              <w:t>(1)</w:t>
            </w:r>
          </w:p>
        </w:tc>
        <w:tc>
          <w:tcPr>
            <w:tcW w:w="14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40" w:type="dxa"/>
            <w:vAlign w:val="bottom"/>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320" w:type="dxa"/>
            <w:vAlign w:val="bottom"/>
            <w:vMerge w:val="restart"/>
          </w:tcPr>
          <w:p>
            <w:pPr>
              <w:spacing w:after="0"/>
              <w:rPr>
                <w:sz w:val="8"/>
                <w:szCs w:val="8"/>
                <w:color w:val="auto"/>
              </w:rPr>
            </w:pPr>
          </w:p>
        </w:tc>
        <w:tc>
          <w:tcPr>
            <w:tcW w:w="1160" w:type="dxa"/>
            <w:vAlign w:val="bottom"/>
            <w:gridSpan w:val="2"/>
            <w:vMerge w:val="restart"/>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400" w:type="dxa"/>
            <w:vAlign w:val="bottom"/>
            <w:gridSpan w:val="7"/>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380" w:type="dxa"/>
            <w:vAlign w:val="bottom"/>
            <w:tcBorders>
              <w:top w:val="single" w:sz="8" w:color="auto"/>
            </w:tcBorders>
            <w:gridSpan w:val="6"/>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680" w:type="dxa"/>
            <w:vAlign w:val="bottom"/>
            <w:gridSpan w:val="10"/>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18,544</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18,027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517</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tcPr>
          <w:p>
            <w:pPr>
              <w:spacing w:after="0"/>
              <w:rPr>
                <w:sz w:val="14"/>
                <w:szCs w:val="14"/>
                <w:color w:val="auto"/>
              </w:rPr>
            </w:pPr>
          </w:p>
        </w:tc>
        <w:tc>
          <w:tcPr>
            <w:tcW w:w="4060" w:type="dxa"/>
            <w:vAlign w:val="bottom"/>
            <w:tcBorders>
              <w:bottom w:val="single" w:sz="8" w:color="CCEEFF"/>
            </w:tcBorders>
            <w:gridSpan w:val="16"/>
          </w:tcPr>
          <w:p>
            <w:pPr>
              <w:ind w:left="100"/>
              <w:spacing w:after="0"/>
              <w:rPr>
                <w:sz w:val="20"/>
                <w:szCs w:val="20"/>
                <w:color w:val="auto"/>
              </w:rPr>
            </w:pPr>
            <w:r>
              <w:rPr>
                <w:rFonts w:ascii="Arial" w:cs="Arial" w:eastAsia="Arial" w:hAnsi="Arial"/>
                <w:sz w:val="14"/>
                <w:szCs w:val="14"/>
                <w:color w:val="auto"/>
              </w:rPr>
              <w:t>Used vehicles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17,294</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12,967</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4,327</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060" w:type="dxa"/>
            <w:vAlign w:val="bottom"/>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Total</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35,838</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30,994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4,844</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300" w:type="dxa"/>
            <w:vAlign w:val="bottom"/>
            <w:tcBorders>
              <w:bottom w:val="single" w:sz="8" w:color="CCEEFF"/>
            </w:tcBorders>
            <w:gridSpan w:val="5"/>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Same store revenue</w:t>
            </w:r>
          </w:p>
        </w:tc>
        <w:tc>
          <w:tcPr>
            <w:tcW w:w="140" w:type="dxa"/>
            <w:vAlign w:val="bottom"/>
            <w:tcBorders>
              <w:bottom w:val="single" w:sz="8" w:color="auto"/>
            </w:tcBorders>
            <w:gridSpan w:val="3"/>
            <w:shd w:val="clear" w:color="auto" w:fill="CCEEFF"/>
          </w:tcPr>
          <w:p>
            <w:pPr>
              <w:jc w:val="right"/>
              <w:spacing w:after="0" w:line="75" w:lineRule="exact"/>
              <w:rPr>
                <w:sz w:val="20"/>
                <w:szCs w:val="20"/>
                <w:color w:val="auto"/>
              </w:rPr>
            </w:pPr>
            <w:r>
              <w:rPr>
                <w:rFonts w:ascii="Arial" w:cs="Arial" w:eastAsia="Arial" w:hAnsi="Arial"/>
                <w:sz w:val="8"/>
                <w:szCs w:val="8"/>
                <w:color w:val="auto"/>
              </w:rPr>
              <w:t>(1)</w:t>
            </w:r>
          </w:p>
        </w:tc>
        <w:tc>
          <w:tcPr>
            <w:tcW w:w="2640" w:type="dxa"/>
            <w:vAlign w:val="bottom"/>
            <w:tcBorders>
              <w:bottom w:val="single" w:sz="8" w:color="CCEEFF"/>
            </w:tcBorders>
            <w:gridSpan w:val="9"/>
            <w:vMerge w:val="restart"/>
            <w:shd w:val="clear" w:color="auto" w:fill="CCEEFF"/>
          </w:tcPr>
          <w:p>
            <w:pPr>
              <w:ind w:left="40"/>
              <w:spacing w:after="0" w:line="149" w:lineRule="exact"/>
              <w:rPr>
                <w:sz w:val="20"/>
                <w:szCs w:val="20"/>
                <w:color w:val="auto"/>
              </w:rPr>
            </w:pPr>
            <w:r>
              <w:rPr>
                <w:rFonts w:ascii="Arial" w:cs="Arial" w:eastAsia="Arial" w:hAnsi="Arial"/>
                <w:sz w:val="14"/>
                <w:szCs w:val="14"/>
                <w:color w:val="auto"/>
              </w:rPr>
              <w:t>($ in 000s)</w:t>
            </w:r>
          </w:p>
        </w:tc>
        <w:tc>
          <w:tcPr>
            <w:tcW w:w="24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300" w:type="dxa"/>
            <w:vAlign w:val="bottom"/>
            <w:gridSpan w:val="5"/>
            <w:vMerge w:val="continue"/>
            <w:shd w:val="clear" w:color="auto" w:fill="CCEEFF"/>
          </w:tcPr>
          <w:p>
            <w:pPr>
              <w:spacing w:after="0"/>
              <w:rPr>
                <w:sz w:val="2"/>
                <w:szCs w:val="2"/>
                <w:color w:val="auto"/>
              </w:rPr>
            </w:pPr>
          </w:p>
        </w:tc>
        <w:tc>
          <w:tcPr>
            <w:tcW w:w="140" w:type="dxa"/>
            <w:vAlign w:val="bottom"/>
            <w:gridSpan w:val="3"/>
            <w:shd w:val="clear" w:color="auto" w:fill="CCEEFF"/>
          </w:tcPr>
          <w:p>
            <w:pPr>
              <w:spacing w:after="0"/>
              <w:rPr>
                <w:sz w:val="2"/>
                <w:szCs w:val="2"/>
                <w:color w:val="auto"/>
              </w:rPr>
            </w:pPr>
          </w:p>
        </w:tc>
        <w:tc>
          <w:tcPr>
            <w:tcW w:w="2640" w:type="dxa"/>
            <w:vAlign w:val="bottom"/>
            <w:gridSpan w:val="9"/>
            <w:vMerge w:val="continue"/>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tcPr>
          <w:p>
            <w:pPr>
              <w:spacing w:after="0"/>
              <w:rPr>
                <w:sz w:val="13"/>
                <w:szCs w:val="13"/>
                <w:color w:val="auto"/>
              </w:rPr>
            </w:pPr>
          </w:p>
        </w:tc>
        <w:tc>
          <w:tcPr>
            <w:tcW w:w="1280" w:type="dxa"/>
            <w:vAlign w:val="bottom"/>
            <w:tcBorders>
              <w:top w:val="single" w:sz="8" w:color="auto"/>
            </w:tcBorders>
            <w:gridSpan w:val="4"/>
          </w:tcPr>
          <w:p>
            <w:pPr>
              <w:ind w:left="100"/>
              <w:spacing w:after="0" w:line="155" w:lineRule="exact"/>
              <w:rPr>
                <w:sz w:val="20"/>
                <w:szCs w:val="20"/>
                <w:color w:val="auto"/>
              </w:rPr>
            </w:pPr>
            <w:r>
              <w:rPr>
                <w:rFonts w:ascii="Arial" w:cs="Arial" w:eastAsia="Arial" w:hAnsi="Arial"/>
                <w:sz w:val="14"/>
                <w:szCs w:val="14"/>
                <w:color w:val="auto"/>
              </w:rPr>
              <w:t>New vehicles</w:t>
            </w:r>
          </w:p>
        </w:tc>
        <w:tc>
          <w:tcPr>
            <w:tcW w:w="140" w:type="dxa"/>
            <w:vAlign w:val="bottom"/>
            <w:tcBorders>
              <w:top w:val="single" w:sz="8" w:color="CCEEFF"/>
            </w:tcBorders>
            <w:gridSpan w:val="3"/>
          </w:tcPr>
          <w:p>
            <w:pPr>
              <w:spacing w:after="0"/>
              <w:rPr>
                <w:sz w:val="13"/>
                <w:szCs w:val="13"/>
                <w:color w:val="auto"/>
              </w:rPr>
            </w:pPr>
          </w:p>
        </w:tc>
        <w:tc>
          <w:tcPr>
            <w:tcW w:w="720" w:type="dxa"/>
            <w:vAlign w:val="bottom"/>
            <w:tcBorders>
              <w:top w:val="single" w:sz="8" w:color="auto"/>
            </w:tcBorders>
            <w:gridSpan w:val="5"/>
          </w:tcPr>
          <w:p>
            <w:pPr>
              <w:spacing w:after="0"/>
              <w:rPr>
                <w:sz w:val="13"/>
                <w:szCs w:val="13"/>
                <w:color w:val="auto"/>
              </w:rPr>
            </w:pPr>
          </w:p>
        </w:tc>
        <w:tc>
          <w:tcPr>
            <w:tcW w:w="1920" w:type="dxa"/>
            <w:vAlign w:val="bottom"/>
            <w:tcBorders>
              <w:top w:val="single" w:sz="8" w:color="CCEEFF"/>
            </w:tcBorders>
            <w:gridSpan w:val="4"/>
          </w:tcPr>
          <w:p>
            <w:pPr>
              <w:spacing w:after="0"/>
              <w:rPr>
                <w:sz w:val="13"/>
                <w:szCs w:val="13"/>
                <w:color w:val="auto"/>
              </w:rPr>
            </w:pPr>
          </w:p>
        </w:tc>
        <w:tc>
          <w:tcPr>
            <w:tcW w:w="240" w:type="dxa"/>
            <w:vAlign w:val="bottom"/>
            <w:tcBorders>
              <w:top w:val="single" w:sz="8" w:color="CCEEFF"/>
            </w:tcBorders>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699,525</w:t>
            </w:r>
          </w:p>
        </w:tc>
        <w:tc>
          <w:tcPr>
            <w:tcW w:w="2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752,679</w:t>
            </w:r>
          </w:p>
        </w:tc>
        <w:tc>
          <w:tcPr>
            <w:tcW w:w="1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rPr>
              <w:t>(53,154)</w:t>
            </w:r>
          </w:p>
        </w:tc>
        <w:tc>
          <w:tcPr>
            <w:tcW w:w="44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543,575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413,166</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130,409</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rPr>
                <w:sz w:val="20"/>
                <w:szCs w:val="20"/>
                <w:color w:val="auto"/>
              </w:rPr>
            </w:pPr>
            <w:r>
              <w:rPr>
                <w:rFonts w:ascii="Arial" w:cs="Arial" w:eastAsia="Arial" w:hAnsi="Arial"/>
                <w:sz w:val="14"/>
                <w:szCs w:val="14"/>
                <w:color w:val="auto"/>
              </w:rPr>
              <w:t>Products, service and other</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169,341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181,383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(12,042)</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165,026</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152,489</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12,537</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Total</w:t>
            </w:r>
          </w:p>
        </w:tc>
        <w:tc>
          <w:tcPr>
            <w:tcW w:w="2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1,577,467</w:t>
            </w:r>
          </w:p>
        </w:tc>
        <w:tc>
          <w:tcPr>
            <w:tcW w:w="220" w:type="dxa"/>
            <w:vAlign w:val="bottom"/>
          </w:tcPr>
          <w:p>
            <w:pPr>
              <w:spacing w:after="0"/>
              <w:rPr>
                <w:sz w:val="13"/>
                <w:szCs w:val="13"/>
                <w:color w:val="auto"/>
              </w:rPr>
            </w:pP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1,499,717</w:t>
            </w:r>
          </w:p>
        </w:tc>
        <w:tc>
          <w:tcPr>
            <w:tcW w:w="1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77,750</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Average gross profit per unit</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800" w:type="dxa"/>
            <w:vAlign w:val="bottom"/>
            <w:tcBorders>
              <w:top w:val="single" w:sz="8" w:color="auto"/>
            </w:tcBorders>
            <w:gridSpan w:val="11"/>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260" w:type="dxa"/>
            <w:vAlign w:val="bottom"/>
            <w:gridSpan w:val="5"/>
            <w:shd w:val="clear" w:color="auto" w:fill="CCEEFF"/>
          </w:tcPr>
          <w:p>
            <w:pPr>
              <w:spacing w:after="0"/>
              <w:rPr>
                <w:sz w:val="13"/>
                <w:szCs w:val="13"/>
                <w:color w:val="auto"/>
              </w:rPr>
            </w:pPr>
          </w:p>
        </w:tc>
        <w:tc>
          <w:tcPr>
            <w:tcW w:w="2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4,800</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5,586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(786)</w:t>
            </w: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rPr>
                <w:sz w:val="20"/>
                <w:szCs w:val="20"/>
                <w:color w:val="auto"/>
              </w:rPr>
            </w:pPr>
            <w:r>
              <w:rPr>
                <w:rFonts w:ascii="Arial" w:cs="Arial" w:eastAsia="Arial" w:hAnsi="Arial"/>
                <w:sz w:val="14"/>
                <w:szCs w:val="14"/>
                <w:color w:val="auto"/>
              </w:rPr>
              <w:t>Used vehicles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5,771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5,771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Finance and insurance, net per vehicle unit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4,574</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line="162" w:lineRule="exact"/>
              <w:rPr>
                <w:sz w:val="20"/>
                <w:szCs w:val="20"/>
                <w:color w:val="auto"/>
              </w:rPr>
            </w:pPr>
            <w:r>
              <w:rPr>
                <w:rFonts w:ascii="Arial" w:cs="Arial" w:eastAsia="Arial" w:hAnsi="Arial"/>
                <w:sz w:val="13"/>
                <w:szCs w:val="13"/>
                <w:color w:val="auto"/>
              </w:rPr>
              <w:t>Total vehicle front-end yield</w:t>
            </w:r>
            <w:r>
              <w:rPr>
                <w:rFonts w:ascii="Arial" w:cs="Arial" w:eastAsia="Arial" w:hAnsi="Arial"/>
                <w:sz w:val="18"/>
                <w:szCs w:val="18"/>
                <w:color w:val="auto"/>
                <w:vertAlign w:val="superscript"/>
              </w:rPr>
              <w:t>(2)</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9,839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10,551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(712)</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Gross margin</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060" w:type="dxa"/>
            <w:vAlign w:val="bottom"/>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Good Sam Services and Plans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56.6%</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61.3%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(462)bps</w:t>
            </w:r>
          </w:p>
        </w:tc>
        <w:tc>
          <w:tcPr>
            <w:tcW w:w="8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rPr>
                <w:sz w:val="20"/>
                <w:szCs w:val="20"/>
                <w:color w:val="auto"/>
              </w:rPr>
            </w:pPr>
            <w:r>
              <w:rPr>
                <w:rFonts w:ascii="Arial" w:cs="Arial" w:eastAsia="Arial" w:hAnsi="Arial"/>
                <w:sz w:val="14"/>
                <w:szCs w:val="14"/>
                <w:color w:val="auto"/>
              </w:rPr>
              <w:t>New vehicles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ind w:right="128"/>
              <w:spacing w:after="0"/>
              <w:rPr>
                <w:sz w:val="20"/>
                <w:szCs w:val="20"/>
                <w:color w:val="auto"/>
              </w:rPr>
            </w:pPr>
            <w:r>
              <w:rPr>
                <w:rFonts w:ascii="Arial" w:cs="Arial" w:eastAsia="Arial" w:hAnsi="Arial"/>
                <w:sz w:val="14"/>
                <w:szCs w:val="14"/>
                <w:color w:val="auto"/>
              </w:rPr>
              <w:t>(81)bps</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7"/>
              </w:rPr>
              <w:t>bps</w:t>
            </w: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rPr>
                <w:sz w:val="20"/>
                <w:szCs w:val="20"/>
                <w:color w:val="auto"/>
              </w:rPr>
            </w:pPr>
            <w:r>
              <w:rPr>
                <w:rFonts w:ascii="Arial" w:cs="Arial" w:eastAsia="Arial" w:hAnsi="Arial"/>
                <w:sz w:val="14"/>
                <w:szCs w:val="14"/>
                <w:color w:val="auto"/>
              </w:rPr>
              <w:t>Products, service and other</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w:t>
            </w:r>
          </w:p>
        </w:tc>
        <w:tc>
          <w:tcPr>
            <w:tcW w:w="20" w:type="dxa"/>
            <w:vAlign w:val="bottom"/>
          </w:tcPr>
          <w:p>
            <w:pPr>
              <w:spacing w:after="0"/>
              <w:rPr>
                <w:sz w:val="14"/>
                <w:szCs w:val="14"/>
                <w:color w:val="auto"/>
              </w:rPr>
            </w:pPr>
          </w:p>
        </w:tc>
        <w:tc>
          <w:tcPr>
            <w:tcW w:w="440" w:type="dxa"/>
            <w:vAlign w:val="bottom"/>
          </w:tcPr>
          <w:p>
            <w:pPr>
              <w:jc w:val="right"/>
              <w:ind w:right="128"/>
              <w:spacing w:after="0"/>
              <w:rPr>
                <w:sz w:val="20"/>
                <w:szCs w:val="20"/>
                <w:color w:val="auto"/>
              </w:rPr>
            </w:pPr>
            <w:r>
              <w:rPr>
                <w:rFonts w:ascii="Arial" w:cs="Arial" w:eastAsia="Arial" w:hAnsi="Arial"/>
                <w:sz w:val="14"/>
                <w:szCs w:val="14"/>
                <w:color w:val="auto"/>
                <w:w w:val="97"/>
              </w:rPr>
              <w:t>bps</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unch</w:t>
            </w: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rPr>
                <w:sz w:val="20"/>
                <w:szCs w:val="20"/>
                <w:color w:val="auto"/>
              </w:rPr>
            </w:pPr>
            <w:r>
              <w:rPr>
                <w:rFonts w:ascii="Arial" w:cs="Arial" w:eastAsia="Arial" w:hAnsi="Arial"/>
                <w:sz w:val="14"/>
                <w:szCs w:val="14"/>
                <w:color w:val="auto"/>
              </w:rPr>
              <w:t>Good Sam Club</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ind w:right="128"/>
              <w:spacing w:after="0"/>
              <w:rPr>
                <w:sz w:val="20"/>
                <w:szCs w:val="20"/>
                <w:color w:val="auto"/>
              </w:rPr>
            </w:pPr>
            <w:r>
              <w:rPr>
                <w:rFonts w:ascii="Arial" w:cs="Arial" w:eastAsia="Arial" w:hAnsi="Arial"/>
                <w:sz w:val="14"/>
                <w:szCs w:val="14"/>
                <w:color w:val="auto"/>
              </w:rPr>
              <w:t>(179)bps</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shd w:val="clear" w:color="auto" w:fill="CCEEFF"/>
          </w:tcPr>
          <w:p>
            <w:pPr>
              <w:spacing w:after="0" w:line="20" w:lineRule="exact"/>
              <w:rPr>
                <w:sz w:val="1"/>
                <w:szCs w:val="1"/>
                <w:color w:val="auto"/>
              </w:rPr>
            </w:pPr>
          </w:p>
        </w:tc>
        <w:tc>
          <w:tcPr>
            <w:tcW w:w="4060" w:type="dxa"/>
            <w:vAlign w:val="bottom"/>
            <w:gridSpan w:val="16"/>
            <w:vMerge w:val="restart"/>
            <w:shd w:val="clear" w:color="auto" w:fill="CCEEFF"/>
          </w:tcPr>
          <w:p>
            <w:pPr>
              <w:ind w:left="200"/>
              <w:spacing w:after="0"/>
              <w:rPr>
                <w:sz w:val="20"/>
                <w:szCs w:val="20"/>
                <w:color w:val="auto"/>
              </w:rPr>
            </w:pPr>
            <w:r>
              <w:rPr>
                <w:rFonts w:ascii="Arial" w:cs="Arial" w:eastAsia="Arial" w:hAnsi="Arial"/>
                <w:sz w:val="14"/>
                <w:szCs w:val="14"/>
                <w:color w:val="auto"/>
              </w:rPr>
              <w:t>Subtotal RV and Outdoor Retail</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shd w:val="clear" w:color="auto" w:fill="CCEEFF"/>
          </w:tcPr>
          <w:p>
            <w:pPr>
              <w:spacing w:after="0"/>
              <w:rPr>
                <w:sz w:val="13"/>
                <w:szCs w:val="13"/>
                <w:color w:val="auto"/>
              </w:rPr>
            </w:pPr>
          </w:p>
        </w:tc>
        <w:tc>
          <w:tcPr>
            <w:tcW w:w="4060" w:type="dxa"/>
            <w:vAlign w:val="bottom"/>
            <w:gridSpan w:val="16"/>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27.8%</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27.9%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(13)bps</w:t>
            </w:r>
          </w:p>
        </w:tc>
        <w:tc>
          <w:tcPr>
            <w:tcW w:w="8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7"/>
                <w:szCs w:val="17"/>
                <w:color w:val="auto"/>
              </w:rPr>
            </w:pPr>
          </w:p>
        </w:tc>
        <w:tc>
          <w:tcPr>
            <w:tcW w:w="4060" w:type="dxa"/>
            <w:vAlign w:val="bottom"/>
            <w:tcBorders>
              <w:bottom w:val="single" w:sz="8" w:color="CCEEFF"/>
            </w:tcBorders>
            <w:gridSpan w:val="16"/>
          </w:tcPr>
          <w:p>
            <w:pPr>
              <w:ind w:left="100"/>
              <w:spacing w:after="0" w:line="155" w:lineRule="exact"/>
              <w:rPr>
                <w:sz w:val="20"/>
                <w:szCs w:val="20"/>
                <w:color w:val="auto"/>
              </w:rPr>
            </w:pPr>
            <w:r>
              <w:rPr>
                <w:rFonts w:ascii="Arial" w:cs="Arial" w:eastAsia="Arial" w:hAnsi="Arial"/>
                <w:sz w:val="14"/>
                <w:szCs w:val="14"/>
                <w:color w:val="auto"/>
              </w:rPr>
              <w:t>Total gross margin</w:t>
            </w: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28.6%</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w:t>
            </w:r>
          </w:p>
        </w:tc>
        <w:tc>
          <w:tcPr>
            <w:tcW w:w="1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w:t>
            </w:r>
          </w:p>
        </w:tc>
        <w:tc>
          <w:tcPr>
            <w:tcW w:w="460" w:type="dxa"/>
            <w:vAlign w:val="bottom"/>
            <w:tcBorders>
              <w:bottom w:val="single" w:sz="8" w:color="CCEEFF"/>
            </w:tcBorders>
            <w:gridSpan w:val="2"/>
          </w:tcPr>
          <w:p>
            <w:pPr>
              <w:jc w:val="right"/>
              <w:ind w:right="128"/>
              <w:spacing w:after="0" w:line="155" w:lineRule="exact"/>
              <w:rPr>
                <w:sz w:val="20"/>
                <w:szCs w:val="20"/>
                <w:color w:val="auto"/>
              </w:rPr>
            </w:pPr>
            <w:r>
              <w:rPr>
                <w:rFonts w:ascii="Arial" w:cs="Arial" w:eastAsia="Arial" w:hAnsi="Arial"/>
                <w:sz w:val="14"/>
                <w:szCs w:val="14"/>
                <w:color w:val="auto"/>
              </w:rPr>
              <w:t>bps</w:t>
            </w:r>
          </w:p>
        </w:tc>
        <w:tc>
          <w:tcPr>
            <w:tcW w:w="80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Retail locations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060" w:type="dxa"/>
            <w:vAlign w:val="bottom"/>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RV dealerships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196</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(8)</w:t>
            </w: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rPr>
                <w:sz w:val="20"/>
                <w:szCs w:val="20"/>
                <w:color w:val="auto"/>
              </w:rPr>
            </w:pPr>
            <w:r>
              <w:rPr>
                <w:rFonts w:ascii="Arial" w:cs="Arial" w:eastAsia="Arial" w:hAnsi="Arial"/>
                <w:sz w:val="14"/>
                <w:szCs w:val="14"/>
                <w:color w:val="auto"/>
              </w:rPr>
              <w:t>RV service &amp; retail centers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60" w:type="dxa"/>
            <w:vAlign w:val="bottom"/>
            <w:tcBorders>
              <w:top w:val="single" w:sz="8" w:color="CCEEFF"/>
              <w:bottom w:val="single" w:sz="8" w:color="CCEEFF"/>
            </w:tcBorders>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207</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17"/>
            <w:shd w:val="clear" w:color="auto" w:fill="CCEEFF"/>
          </w:tcPr>
          <w:p>
            <w:pPr>
              <w:ind w:left="20"/>
              <w:spacing w:after="0" w:line="149" w:lineRule="exact"/>
              <w:rPr>
                <w:sz w:val="20"/>
                <w:szCs w:val="20"/>
                <w:color w:val="auto"/>
              </w:rPr>
            </w:pPr>
            <w:r>
              <w:rPr>
                <w:rFonts w:ascii="Arial" w:cs="Arial" w:eastAsia="Arial" w:hAnsi="Arial"/>
                <w:sz w:val="14"/>
                <w:szCs w:val="14"/>
                <w:color w:val="auto"/>
              </w:rPr>
              <w:t xml:space="preserve">RV and Outdoor Retail inventories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tcPr>
          <w:p>
            <w:pPr>
              <w:spacing w:after="0"/>
              <w:rPr>
                <w:sz w:val="13"/>
                <w:szCs w:val="13"/>
                <w:color w:val="auto"/>
              </w:rPr>
            </w:pPr>
          </w:p>
        </w:tc>
        <w:tc>
          <w:tcPr>
            <w:tcW w:w="2900" w:type="dxa"/>
            <w:vAlign w:val="bottom"/>
            <w:tcBorders>
              <w:top w:val="single" w:sz="8" w:color="auto"/>
            </w:tcBorders>
            <w:gridSpan w:val="14"/>
          </w:tcPr>
          <w:p>
            <w:pPr>
              <w:ind w:left="100"/>
              <w:spacing w:after="0" w:line="155" w:lineRule="exact"/>
              <w:rPr>
                <w:sz w:val="20"/>
                <w:szCs w:val="20"/>
                <w:color w:val="auto"/>
              </w:rPr>
            </w:pPr>
            <w:r>
              <w:rPr>
                <w:rFonts w:ascii="Arial" w:cs="Arial" w:eastAsia="Arial" w:hAnsi="Arial"/>
                <w:sz w:val="14"/>
                <w:szCs w:val="14"/>
                <w:color w:val="auto"/>
              </w:rPr>
              <w:t>New vehicles</w:t>
            </w:r>
          </w:p>
        </w:tc>
        <w:tc>
          <w:tcPr>
            <w:tcW w:w="1160" w:type="dxa"/>
            <w:vAlign w:val="bottom"/>
            <w:tcBorders>
              <w:top w:val="single" w:sz="8" w:color="CCEEFF"/>
            </w:tcBorders>
            <w:gridSpan w:val="2"/>
          </w:tcPr>
          <w:p>
            <w:pPr>
              <w:spacing w:after="0"/>
              <w:rPr>
                <w:sz w:val="13"/>
                <w:szCs w:val="13"/>
                <w:color w:val="auto"/>
              </w:rPr>
            </w:pPr>
          </w:p>
        </w:tc>
        <w:tc>
          <w:tcPr>
            <w:tcW w:w="240" w:type="dxa"/>
            <w:vAlign w:val="bottom"/>
            <w:tcBorders>
              <w:top w:val="single" w:sz="8" w:color="CCEEFF"/>
            </w:tcBorders>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1,258,539</w:t>
            </w:r>
          </w:p>
        </w:tc>
        <w:tc>
          <w:tcPr>
            <w:tcW w:w="2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1,189,880</w:t>
            </w:r>
          </w:p>
        </w:tc>
        <w:tc>
          <w:tcPr>
            <w:tcW w:w="1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68,659</w:t>
            </w:r>
          </w:p>
        </w:tc>
        <w:tc>
          <w:tcPr>
            <w:tcW w:w="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595,055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420,727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174,328</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tcPr>
          <w:p>
            <w:pPr>
              <w:spacing w:after="0"/>
              <w:rPr>
                <w:sz w:val="14"/>
                <w:szCs w:val="14"/>
                <w:color w:val="auto"/>
              </w:rPr>
            </w:pPr>
          </w:p>
        </w:tc>
        <w:tc>
          <w:tcPr>
            <w:tcW w:w="4060" w:type="dxa"/>
            <w:vAlign w:val="bottom"/>
            <w:tcBorders>
              <w:bottom w:val="single" w:sz="8" w:color="CCEEFF"/>
            </w:tcBorders>
            <w:gridSpan w:val="16"/>
          </w:tcPr>
          <w:p>
            <w:pPr>
              <w:ind w:left="100"/>
              <w:spacing w:after="0"/>
              <w:rPr>
                <w:sz w:val="20"/>
                <w:szCs w:val="20"/>
                <w:color w:val="auto"/>
              </w:rPr>
            </w:pPr>
            <w:r>
              <w:rPr>
                <w:rFonts w:ascii="Arial" w:cs="Arial" w:eastAsia="Arial" w:hAnsi="Arial"/>
                <w:sz w:val="14"/>
                <w:szCs w:val="14"/>
                <w:color w:val="auto"/>
              </w:rPr>
              <w:t>Products, parts, accessories and misc.</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172,520</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170,793</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1,727</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060" w:type="dxa"/>
            <w:vAlign w:val="bottom"/>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Total RV and Outdoor Retail inventories</w:t>
            </w:r>
          </w:p>
        </w:tc>
        <w:tc>
          <w:tcPr>
            <w:tcW w:w="2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2,026,114</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1,781,400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244,714</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gridSpan w:val="17"/>
            <w:shd w:val="clear" w:color="auto" w:fill="CCEEFF"/>
          </w:tcPr>
          <w:p>
            <w:pPr>
              <w:ind w:left="20"/>
              <w:spacing w:after="0" w:line="149" w:lineRule="exact"/>
              <w:rPr>
                <w:sz w:val="20"/>
                <w:szCs w:val="20"/>
                <w:color w:val="auto"/>
              </w:rPr>
            </w:pPr>
            <w:r>
              <w:rPr>
                <w:rFonts w:ascii="Arial" w:cs="Arial" w:eastAsia="Arial" w:hAnsi="Arial"/>
                <w:sz w:val="14"/>
                <w:szCs w:val="14"/>
                <w:color w:val="auto"/>
              </w:rPr>
              <w:t xml:space="preserve">Vehicle inventory per location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06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New vehicle inventory per dealer location</w:t>
            </w:r>
          </w:p>
        </w:tc>
        <w:tc>
          <w:tcPr>
            <w:tcW w:w="2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6,421</w:t>
            </w:r>
          </w:p>
        </w:tc>
        <w:tc>
          <w:tcPr>
            <w:tcW w:w="220" w:type="dxa"/>
            <w:vAlign w:val="bottom"/>
          </w:tcPr>
          <w:p>
            <w:pPr>
              <w:spacing w:after="0"/>
              <w:rPr>
                <w:sz w:val="13"/>
                <w:szCs w:val="13"/>
                <w:color w:val="auto"/>
              </w:rPr>
            </w:pP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5,833</w:t>
            </w:r>
          </w:p>
        </w:tc>
        <w:tc>
          <w:tcPr>
            <w:tcW w:w="1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588</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 inventory per dealer location</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660" w:type="dxa"/>
            <w:vAlign w:val="bottom"/>
            <w:tcBorders>
              <w:bottom w:val="single" w:sz="8" w:color="CCEEFF"/>
            </w:tcBorders>
            <w:gridSpan w:val="10"/>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rPr>
              <w:t>Vehicle inventory turnover</w:t>
            </w:r>
          </w:p>
        </w:tc>
        <w:tc>
          <w:tcPr>
            <w:tcW w:w="140" w:type="dxa"/>
            <w:vAlign w:val="bottom"/>
            <w:tcBorders>
              <w:bottom w:val="single" w:sz="8" w:color="auto"/>
            </w:tcBorders>
            <w:shd w:val="clear" w:color="auto" w:fill="CCEEFF"/>
          </w:tcPr>
          <w:p>
            <w:pPr>
              <w:jc w:val="right"/>
              <w:spacing w:after="0" w:line="75" w:lineRule="exact"/>
              <w:rPr>
                <w:sz w:val="20"/>
                <w:szCs w:val="20"/>
                <w:color w:val="auto"/>
              </w:rPr>
            </w:pPr>
            <w:r>
              <w:rPr>
                <w:rFonts w:ascii="Arial" w:cs="Arial" w:eastAsia="Arial" w:hAnsi="Arial"/>
                <w:sz w:val="8"/>
                <w:szCs w:val="8"/>
                <w:color w:val="auto"/>
              </w:rPr>
              <w:t>(3)</w:t>
            </w:r>
          </w:p>
        </w:tc>
        <w:tc>
          <w:tcPr>
            <w:tcW w:w="2280" w:type="dxa"/>
            <w:vAlign w:val="bottom"/>
            <w:tcBorders>
              <w:bottom w:val="single" w:sz="8" w:color="CCEEFF"/>
            </w:tcBorders>
            <w:gridSpan w:val="6"/>
            <w:vMerge w:val="restart"/>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660" w:type="dxa"/>
            <w:vAlign w:val="bottom"/>
            <w:gridSpan w:val="10"/>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80" w:type="dxa"/>
            <w:vAlign w:val="bottom"/>
            <w:gridSpan w:val="6"/>
            <w:vMerge w:val="continue"/>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06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New vehicle inventory turnover</w:t>
            </w: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 inventory turnover</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gridSpan w:val="17"/>
            <w:shd w:val="clear" w:color="auto" w:fill="CCEEFF"/>
          </w:tcPr>
          <w:p>
            <w:pPr>
              <w:ind w:left="20"/>
              <w:spacing w:after="0" w:line="149" w:lineRule="exact"/>
              <w:rPr>
                <w:sz w:val="20"/>
                <w:szCs w:val="20"/>
                <w:color w:val="auto"/>
              </w:rPr>
            </w:pPr>
            <w:r>
              <w:rPr>
                <w:rFonts w:ascii="Arial" w:cs="Arial" w:eastAsia="Arial" w:hAnsi="Arial"/>
                <w:sz w:val="14"/>
                <w:szCs w:val="14"/>
                <w:color w:val="auto"/>
              </w:rPr>
              <w:t>Other data</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gridSpan w:val="16"/>
          </w:tcPr>
          <w:p>
            <w:pPr>
              <w:ind w:left="100"/>
              <w:spacing w:after="0" w:line="156" w:lineRule="exact"/>
              <w:rPr>
                <w:sz w:val="20"/>
                <w:szCs w:val="20"/>
                <w:color w:val="auto"/>
              </w:rPr>
            </w:pPr>
            <w:r>
              <w:rPr>
                <w:rFonts w:ascii="Arial" w:cs="Arial" w:eastAsia="Arial" w:hAnsi="Arial"/>
                <w:sz w:val="13"/>
                <w:szCs w:val="13"/>
                <w:color w:val="auto"/>
              </w:rPr>
              <w:t>Active Customers</w:t>
            </w:r>
            <w:r>
              <w:rPr>
                <w:rFonts w:ascii="Arial" w:cs="Arial" w:eastAsia="Arial" w:hAnsi="Arial"/>
                <w:sz w:val="18"/>
                <w:szCs w:val="18"/>
                <w:color w:val="auto"/>
                <w:vertAlign w:val="superscript"/>
              </w:rPr>
              <w:t>(4)</w:t>
            </w: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4,229,138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4,615,443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(386,305)</w:t>
            </w:r>
          </w:p>
        </w:tc>
        <w:tc>
          <w:tcPr>
            <w:tcW w:w="4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(8.4%)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line="162" w:lineRule="exact"/>
              <w:rPr>
                <w:sz w:val="20"/>
                <w:szCs w:val="20"/>
                <w:color w:val="auto"/>
              </w:rPr>
            </w:pPr>
            <w:r>
              <w:rPr>
                <w:rFonts w:ascii="Arial" w:cs="Arial" w:eastAsia="Arial" w:hAnsi="Arial"/>
                <w:sz w:val="13"/>
                <w:szCs w:val="13"/>
                <w:color w:val="auto"/>
              </w:rPr>
              <w:t xml:space="preserve">Good Sam Club members </w:t>
            </w:r>
            <w:r>
              <w:rPr>
                <w:rFonts w:ascii="Arial" w:cs="Arial" w:eastAsia="Arial" w:hAnsi="Arial"/>
                <w:sz w:val="18"/>
                <w:szCs w:val="18"/>
                <w:color w:val="auto"/>
                <w:vertAlign w:val="superscript"/>
              </w:rPr>
              <w:t>(5)</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1,608,107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1,804,334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(196,227)</w:t>
            </w: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line="162" w:lineRule="exact"/>
              <w:rPr>
                <w:sz w:val="20"/>
                <w:szCs w:val="20"/>
                <w:color w:val="auto"/>
              </w:rPr>
            </w:pPr>
            <w:r>
              <w:rPr>
                <w:rFonts w:ascii="Arial" w:cs="Arial" w:eastAsia="Arial" w:hAnsi="Arial"/>
                <w:sz w:val="13"/>
                <w:szCs w:val="13"/>
                <w:color w:val="auto"/>
              </w:rPr>
              <w:t xml:space="preserve">Service bays </w:t>
            </w:r>
            <w:r>
              <w:rPr>
                <w:rFonts w:ascii="Arial" w:cs="Arial" w:eastAsia="Arial" w:hAnsi="Arial"/>
                <w:sz w:val="18"/>
                <w:szCs w:val="18"/>
                <w:color w:val="auto"/>
                <w:vertAlign w:val="superscript"/>
              </w:rPr>
              <w:t>(6)</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2,811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2,828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4060" w:type="dxa"/>
            <w:vAlign w:val="bottom"/>
            <w:gridSpan w:val="16"/>
            <w:shd w:val="clear" w:color="auto" w:fill="CCEEFF"/>
          </w:tcPr>
          <w:p>
            <w:pPr>
              <w:ind w:left="100"/>
              <w:spacing w:after="0" w:line="153" w:lineRule="exact"/>
              <w:rPr>
                <w:sz w:val="20"/>
                <w:szCs w:val="20"/>
                <w:color w:val="auto"/>
              </w:rPr>
            </w:pPr>
            <w:r>
              <w:rPr>
                <w:rFonts w:ascii="Arial" w:cs="Arial" w:eastAsia="Arial" w:hAnsi="Arial"/>
                <w:sz w:val="14"/>
                <w:szCs w:val="14"/>
                <w:color w:val="auto"/>
              </w:rPr>
              <w:t>Finance and insurance gross profit as a % of total vehicle</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7"/>
              </w:rPr>
              <w:t>bps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60" w:type="dxa"/>
            <w:vAlign w:val="bottom"/>
            <w:gridSpan w:val="16"/>
          </w:tcPr>
          <w:p>
            <w:pPr>
              <w:ind w:left="100"/>
              <w:spacing w:after="0"/>
              <w:rPr>
                <w:sz w:val="20"/>
                <w:szCs w:val="20"/>
                <w:color w:val="auto"/>
              </w:rPr>
            </w:pPr>
            <w:r>
              <w:rPr>
                <w:rFonts w:ascii="Arial" w:cs="Arial" w:eastAsia="Arial" w:hAnsi="Arial"/>
                <w:sz w:val="14"/>
                <w:szCs w:val="14"/>
                <w:color w:val="auto"/>
              </w:rPr>
              <w:t>Same store locations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n/a</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4"/>
          <w:szCs w:val="14"/>
          <w:color w:val="auto"/>
        </w:rPr>
        <w:t>unch – unchanged</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bps – basis points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 – not applicable</w:t>
      </w:r>
    </w:p>
    <w:p>
      <w:pPr>
        <w:spacing w:after="0" w:line="109" w:lineRule="exact"/>
        <w:rPr>
          <w:sz w:val="20"/>
          <w:szCs w:val="20"/>
          <w:color w:val="auto"/>
        </w:rPr>
      </w:pPr>
    </w:p>
    <w:p>
      <w:pPr>
        <w:ind w:left="380" w:right="79" w:hanging="330"/>
        <w:spacing w:after="0" w:line="204" w:lineRule="auto"/>
        <w:tabs>
          <w:tab w:leader="none" w:pos="38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Our same store revenue and units calculations for a given period include only those stores that were open both at the end of the corresponding period and at the beginning of the preceding fiscal year.</w:t>
      </w:r>
    </w:p>
    <w:p>
      <w:pPr>
        <w:spacing w:after="0" w:line="53"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Front end yield is calculated as gross profit from new vehicles, used vehicles and finance and insurance (net), divided by combined new and used vehicle unit sales.</w:t>
      </w:r>
    </w:p>
    <w:p>
      <w:pPr>
        <w:spacing w:after="0" w:line="39"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Inventory turnover is calculated as vehicle costs applicable to revenue over the last twelve months divided by the average quarterly ending vehicle inventory over the last twelve months.</w:t>
      </w:r>
    </w:p>
    <w:p>
      <w:pPr>
        <w:spacing w:after="0" w:line="39"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An Active Customer is a customer who has transacted with us in any of the eight most recently completed fiscal quarters prior to the date of measurement.</w:t>
      </w:r>
    </w:p>
    <w:p>
      <w:pPr>
        <w:spacing w:after="0" w:line="53"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Excludes Good Sam Club members under the free basic plan, which was introduced in November 2023 and provides for limited participation in the loyalty point program without access to the remaining member benefits.</w:t>
      </w:r>
    </w:p>
    <w:p>
      <w:pPr>
        <w:ind w:left="380" w:hanging="330"/>
        <w:spacing w:after="0" w:line="217" w:lineRule="auto"/>
        <w:tabs>
          <w:tab w:leader="none" w:pos="38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A service bay is a fully-constructed bay dedicated to service, installation, and/or collision offerings.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Revenue and Gross Profit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 Sam Services and Plans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Good Sam Services and Plans revenue increased primarily from increased Good Sam branded extended vehicle warranty program sales through retail finance and insurance offerings and increased marketing fee revenue from our Good Sam branded vehicle insurance programs.</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Good Sam Services and Plans gross profit and margin decreased primarily due to incremental roadside assistance claims costs in 2025 and incremental costs associated with our new tire rescue program, partially offset by increased Good Sam branded extended vehicle warranty program sales through retail finance and insurance offerings.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RV and Outdoor Retail</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vehicles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New vehicles revenue decreased primarily due to an 8.6% decrease in the average selling price per new vehicle sold, partially offset by a 1.7% increase in the new vehicles unit sales. On a same store basis, new vehicles revenue decreased 7.1% to $699.5 million resulting from a 9.7% decrease in the average price per vehicle sold which was impacted by the mix shift toward more inexpensive entry level travel trailers, partially offset by a 2.9% increase in new vehicles units sold.</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New vehicles gross profit decreased primarily due to an 81 basis point decrease in new vehicles gross margin, which was partially offset by the 1.7% increase in new vehicles unit sales. The new vehicles gross margin decrease was primarily driven by the 8.6% decrease in the average selling price per new vehicle sold, partially offset by a 7.8% reduction in the average cost per new vehicle sold.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Used vehicles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Used vehicles revenue increased primarily due to a 32.9% increase in used vehicles unit sales, partially offset by a 0.9% decrease in the average selling price per used vehicle sold. On a same store basis, used vehicles revenue increased 31.6% to $543.6 million resulting from an increase in used vehicles unit sales of 33.4%, partially offset by a 1.4% decrease in average sales price per used vehicle sold.</w:t>
      </w:r>
    </w:p>
    <w:p>
      <w:pPr>
        <w:spacing w:after="0" w:line="17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Used vehicles gross profit increased primarily due to the 32.9% increase in used vehicles unit sales and the 16 basis point increase in used vehicles gross margin. The slight increase in used vehicles gross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margin was primarily due to a 1.1% decrease in the average cost per used vehicle sold, partially offset by a 0.9% decrease in the average price per used vehicle sold.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Products, service and other</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Products, service and other revenue decreased primarily due to increased allocation of labor towards used vehicle reconditioning and away from customer pay work as used vehicle sales volumes increased. On a same store basis, products, service and other revenue decreased 6.6% to $169.3 million.</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decrease in products, service and other gross profit was due to increased allocation of labor towards reconditioning. The products, service and other gross margin increased 124 basis points to 45.2% was driven by higher labor billing rates and improved inventory management.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Finance and insurance, net</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Finance and insurance revenue and gross profit is recorded net, since the Company is acting as an agent in the transaction, and commission is recognized when a finance and insurance product contract payment has been received or financing has been arranged. The finance and insurance, net revenue increase was primarily a result of an increased number of contracts sold resulting from a 14.6% increase in total vehicle unit sales and incremental revenue from new finance and insurance products, partially offset by the 7.0% decrease in total vehicle average selling price, since certain finance and insurance, net offerings correlate with the selling price of vehicles, and an unfavorable impact of $3.2 million from changes in the estimate of chargebacks based on actuarial analyses. Finance and insurance, net revenue as a percentage of new and used vehicle revenue was 13.1%, unchanged from the prior year. On a same store basis, finance and insurance, net revenue increased 8.2%.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Sam Club</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Good Sam Club revenue and gross profit had a slight decrease primarily from a 10.9% decrease in Good Sam Club members, excluding free basic plan members, increased club digital marketing expense to attract new members and retain existing members, and increased employee compensation costs. The decline in Good Sam Club members was a result of the availability of the free basic plan that was introduced in late 2023, which provides for limited participation in the loyalty point program without access to the remaining member benefits, and price increases introduced by early 2024 that impacted renewal rates.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Expenses and Other</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general and administrative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Selling, general and administrative expenses decreased primarily due to a $10.8 million decrease in employee cash compensation costs excluding commissions, and a $5.1 million decrease in advertising expenses, partially offset by a $5.3 million increase for outside service provider fees related primarily to legal, audit, and software expenses and maintenance, a $ 5.2 million increase in commissions costs, and a $2.2 million increase in stock-based compensation expense (“SBC”).</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Long-lived asset impairment</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discussed in Note 4 – Long-Lived Asset Impairment to our condensed consolidated financial statements included in Part I, Item 1 of this Form 10-Q, we recognized $0.6 million of long-lived asset impairments, a decrease of $ 1.3 million. These long-lived asset impairments related to decreases in market rental rates or market value of real property for closed locations, or based on the Company’s review of location performance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Floor plan interest expense</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The decrease in floor plan interest expense was primarily due to a 134 basis point decrease in the average floor plan borrowing rate. The average interest rate for the Floor Plan Facility for the three months ended September 30, 2025 and 2024 was 6.48% and 7.82%, respectively.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interest expense, net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Other interest expense, net decreased primarily due to the reduced interest rate on our Term Loan Facility, reduced borrowings on our Senior Secured Credit Facilities and Real Estate Facilities, and no outstanding balance on the revolving line of credit under the Floor Plan Facility (see Note 7 – Long-Term Debt and Note 3 – Inventories and Floor Plan Payables to our condensed consolidated financial statements included in Part I, Item 1 of this Form 10-Q). The average interest rate for the Term Loan Facility for the three months ended September 30, 2025 and 2024 was 6.99% and 7.92%, respectively. The average interest rate on the M&amp;T Real Estate Facility (as defined in Note 7 – Long Term Debt) for three months ended September 30, 2025 and 2024 was 6.65% and 7.93%,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Tax Receivable Agreement liability adjustment</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increase in Tax Receivable Agreement liability adjustment was based on the change in the determination of the realizability of future cash tax benefits underlying the estimate of future payments under the Tax Receivable Agreement during the three months ended September 30, 2025, which resulted in a remaining total Tax Receivable Agreement liability of $1.2 million as of September 30, 2025. See Note 13 ― Income Taxes to our condensed consolidated financial statements included in Part I, Item 1 of this Form 10-Q for further details.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expense</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increase in income tax expense was primarily due to $175.4 million of income tax expense for establishing a full valuation allowance against the net deferred tax assets of the public holding company, CWH, during the three months ended September 30, 2025 and $37.3 million of income tax expense for the remeasurement of deferred tax assets associated with the reduction of the Tax Receivable Agreement liability, as discussed above. See Note 13 ― Income Taxes to our condensed consolidated financial statements included in Part I, Item 1 of this Form 10-Q for further details.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Segment Results</w:t>
      </w:r>
    </w:p>
    <w:p>
      <w:pPr>
        <w:spacing w:after="0" w:line="21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following table sets forth information comparing select components of Segment Adjusted EBITDA for each of our segments for the periods presented:</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0" w:type="dxa"/>
            <w:vAlign w:val="bottom"/>
            <w:gridSpan w:val="9"/>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140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Favorable /</w:t>
            </w:r>
          </w:p>
        </w:tc>
        <w:tc>
          <w:tcPr>
            <w:tcW w:w="0" w:type="dxa"/>
            <w:vAlign w:val="bottom"/>
          </w:tcPr>
          <w:p>
            <w:pPr>
              <w:spacing w:after="0"/>
              <w:rPr>
                <w:sz w:val="1"/>
                <w:szCs w:val="1"/>
                <w:color w:val="auto"/>
              </w:rPr>
            </w:pPr>
          </w:p>
        </w:tc>
      </w:tr>
      <w:tr>
        <w:trPr>
          <w:trHeight w:val="155"/>
        </w:trPr>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gridSpan w:val="3"/>
          </w:tcPr>
          <w:p>
            <w:pPr>
              <w:jc w:val="right"/>
              <w:ind w:right="608"/>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gridSpan w:val="3"/>
          </w:tcPr>
          <w:p>
            <w:pPr>
              <w:jc w:val="right"/>
              <w:ind w:right="628"/>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Percent of</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Percent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right"/>
              <w:ind w:right="320"/>
              <w:spacing w:after="0" w:line="155" w:lineRule="exact"/>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56"/>
        </w:trPr>
        <w:tc>
          <w:tcPr>
            <w:tcW w:w="370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 in thousands)</w:t>
            </w:r>
          </w:p>
        </w:tc>
        <w:tc>
          <w:tcPr>
            <w:tcW w:w="100" w:type="dxa"/>
            <w:vAlign w:val="bottom"/>
          </w:tcPr>
          <w:p>
            <w:pPr>
              <w:spacing w:after="0"/>
              <w:rPr>
                <w:sz w:val="13"/>
                <w:szCs w:val="13"/>
                <w:color w:val="auto"/>
              </w:rPr>
            </w:pPr>
          </w:p>
        </w:tc>
        <w:tc>
          <w:tcPr>
            <w:tcW w:w="86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Good Sam Services and Plans:</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gridSpan w:val="2"/>
          </w:tcPr>
          <w:p>
            <w:pPr>
              <w:ind w:left="120"/>
              <w:spacing w:after="0"/>
              <w:rPr>
                <w:sz w:val="20"/>
                <w:szCs w:val="20"/>
                <w:color w:val="auto"/>
              </w:rPr>
            </w:pPr>
            <w:r>
              <w:rPr>
                <w:rFonts w:ascii="Arial" w:cs="Arial" w:eastAsia="Arial" w:hAnsi="Arial"/>
                <w:sz w:val="14"/>
                <w:szCs w:val="14"/>
                <w:color w:val="auto"/>
              </w:rPr>
              <w:t>Revenue: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External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52,508</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50,841</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Intersegment revenue</w:t>
            </w:r>
            <w:r>
              <w:rPr>
                <w:rFonts w:ascii="Arial" w:cs="Arial" w:eastAsia="Arial" w:hAnsi="Arial"/>
                <w:sz w:val="18"/>
                <w:szCs w:val="18"/>
                <w:color w:val="auto"/>
                <w:vertAlign w:val="superscript"/>
              </w:rPr>
              <w:t>(1)</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164</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(202)</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366</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0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revenue before intersegment eliminations</w:t>
            </w: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52,672</w:t>
            </w: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50,639</w:t>
            </w: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2,033</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Segment expenses: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costs applicable to revenue</w:t>
            </w:r>
            <w:r>
              <w:rPr>
                <w:rFonts w:ascii="Arial" w:cs="Arial" w:eastAsia="Arial" w:hAnsi="Arial"/>
                <w:sz w:val="18"/>
                <w:szCs w:val="18"/>
                <w:color w:val="auto"/>
                <w:vertAlign w:val="superscript"/>
              </w:rPr>
              <w:t>(2)</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22,740</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19,656</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(3,084)</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62"/>
        </w:trPr>
        <w:tc>
          <w:tcPr>
            <w:tcW w:w="37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3"/>
                <w:szCs w:val="13"/>
                <w:color w:val="auto"/>
              </w:rPr>
              <w:t>Intersegment costs applicable to revenue</w:t>
            </w:r>
            <w:r>
              <w:rPr>
                <w:rFonts w:ascii="Arial" w:cs="Arial" w:eastAsia="Arial" w:hAnsi="Arial"/>
                <w:sz w:val="18"/>
                <w:szCs w:val="18"/>
                <w:color w:val="auto"/>
                <w:vertAlign w:val="superscript"/>
              </w:rPr>
              <w:t>(3)</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(358)</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162"/>
        </w:trPr>
        <w:tc>
          <w:tcPr>
            <w:tcW w:w="370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selling, general and administrative</w:t>
            </w:r>
            <w:r>
              <w:rPr>
                <w:rFonts w:ascii="Arial" w:cs="Arial" w:eastAsia="Arial" w:hAnsi="Arial"/>
                <w:sz w:val="18"/>
                <w:szCs w:val="18"/>
                <w:color w:val="auto"/>
                <w:vertAlign w:val="superscript"/>
              </w:rPr>
              <w:t>(4)</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8,263</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7,604</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(659)</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55"/>
        </w:trPr>
        <w:tc>
          <w:tcPr>
            <w:tcW w:w="3700" w:type="dxa"/>
            <w:vAlign w:val="bottom"/>
            <w:tcBorders>
              <w:top w:val="single" w:sz="8" w:color="CCEEFF"/>
              <w:bottom w:val="single" w:sz="8" w:color="CCEEFF"/>
            </w:tcBorders>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Segment Adjusted EBITDA</w:t>
            </w: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21,591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23,659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(2,068)</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RV and Outdoor Retail:</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gridSpan w:val="2"/>
          </w:tcPr>
          <w:p>
            <w:pPr>
              <w:ind w:left="120"/>
              <w:spacing w:after="0"/>
              <w:rPr>
                <w:sz w:val="20"/>
                <w:szCs w:val="20"/>
                <w:color w:val="auto"/>
              </w:rPr>
            </w:pPr>
            <w:r>
              <w:rPr>
                <w:rFonts w:ascii="Arial" w:cs="Arial" w:eastAsia="Arial" w:hAnsi="Arial"/>
                <w:sz w:val="14"/>
                <w:szCs w:val="14"/>
                <w:color w:val="auto"/>
              </w:rPr>
              <w:t>Revenue: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External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1,753,610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1,674,147</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79,463</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Intersegment revenue</w:t>
            </w:r>
            <w:r>
              <w:rPr>
                <w:rFonts w:ascii="Arial" w:cs="Arial" w:eastAsia="Arial" w:hAnsi="Arial"/>
                <w:sz w:val="18"/>
                <w:szCs w:val="18"/>
                <w:color w:val="auto"/>
                <w:vertAlign w:val="superscript"/>
              </w:rPr>
              <w:t>(1)</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3,501</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3,535</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(34)</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6"/>
        </w:trPr>
        <w:tc>
          <w:tcPr>
            <w:tcW w:w="370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revenue before intersegment eliminations</w:t>
            </w: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1,757,111</w:t>
            </w: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1,677,682</w:t>
            </w: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79,429</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Segment expenses: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costs applicable to revenue</w:t>
            </w:r>
            <w:r>
              <w:rPr>
                <w:rFonts w:ascii="Arial" w:cs="Arial" w:eastAsia="Arial" w:hAnsi="Arial"/>
                <w:sz w:val="18"/>
                <w:szCs w:val="18"/>
                <w:color w:val="auto"/>
                <w:vertAlign w:val="superscript"/>
              </w:rPr>
              <w:t>(2)</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1,266,227</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1,206,713</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(59,514)</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62"/>
        </w:trPr>
        <w:tc>
          <w:tcPr>
            <w:tcW w:w="37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3"/>
                <w:szCs w:val="13"/>
                <w:color w:val="auto"/>
              </w:rPr>
              <w:t>Intersegment costs applicable to revenue</w:t>
            </w:r>
            <w:r>
              <w:rPr>
                <w:rFonts w:ascii="Arial" w:cs="Arial" w:eastAsia="Arial" w:hAnsi="Arial"/>
                <w:sz w:val="18"/>
                <w:szCs w:val="18"/>
                <w:color w:val="auto"/>
                <w:vertAlign w:val="superscript"/>
              </w:rPr>
              <w:t>(3)</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3,327</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2,796</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62"/>
        </w:trPr>
        <w:tc>
          <w:tcPr>
            <w:tcW w:w="370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selling, general and administrative</w:t>
            </w:r>
            <w:r>
              <w:rPr>
                <w:rFonts w:ascii="Arial" w:cs="Arial" w:eastAsia="Arial" w:hAnsi="Arial"/>
                <w:sz w:val="18"/>
                <w:szCs w:val="18"/>
                <w:color w:val="auto"/>
                <w:vertAlign w:val="superscript"/>
              </w:rPr>
              <w:t>(4)</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392,346</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397,649</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5,303</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Floor plan interest expense</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18,061</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22,372</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4,311</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Other segment items</w:t>
            </w:r>
            <w:r>
              <w:rPr>
                <w:rFonts w:ascii="Arial" w:cs="Arial" w:eastAsia="Arial" w:hAnsi="Arial"/>
                <w:sz w:val="18"/>
                <w:szCs w:val="18"/>
                <w:color w:val="auto"/>
                <w:vertAlign w:val="superscript"/>
              </w:rPr>
              <w:t>(5)</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(9)</w:t>
            </w:r>
          </w:p>
        </w:tc>
        <w:tc>
          <w:tcPr>
            <w:tcW w:w="720" w:type="dxa"/>
            <w:vAlign w:val="bottom"/>
          </w:tcPr>
          <w:p>
            <w:pPr>
              <w:jc w:val="right"/>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89</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00" w:type="dxa"/>
            <w:vAlign w:val="bottom"/>
            <w:tcBorders>
              <w:top w:val="single" w:sz="8" w:color="CCEEFF"/>
              <w:bottom w:val="single" w:sz="8" w:color="CCEEFF"/>
            </w:tcBorders>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Segment Adjusted EBITDA</w:t>
            </w: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77,159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48,072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29,087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60.5%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80" w:hanging="330"/>
        <w:spacing w:after="0"/>
        <w:tabs>
          <w:tab w:leader="none" w:pos="38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Intersegment revenue consists of segment revenue that is eliminated in our consolidated statements of operations.</w:t>
      </w:r>
    </w:p>
    <w:p>
      <w:pPr>
        <w:spacing w:after="0" w:line="53" w:lineRule="exact"/>
        <w:rPr>
          <w:rFonts w:ascii="Arial" w:cs="Arial" w:eastAsia="Arial" w:hAnsi="Arial"/>
          <w:sz w:val="22"/>
          <w:szCs w:val="22"/>
          <w:color w:val="auto"/>
          <w:vertAlign w:val="superscript"/>
        </w:rPr>
      </w:pPr>
    </w:p>
    <w:p>
      <w:pPr>
        <w:ind w:left="380" w:hanging="330"/>
        <w:spacing w:after="0" w:line="183" w:lineRule="auto"/>
        <w:tabs>
          <w:tab w:leader="none" w:pos="38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Adjusted costs applicable to revenue excludes SBC expense and intersegment costs applicable to revenue.</w:t>
      </w:r>
    </w:p>
    <w:p>
      <w:pPr>
        <w:spacing w:after="0" w:line="54" w:lineRule="exact"/>
        <w:rPr>
          <w:rFonts w:ascii="Arial" w:cs="Arial" w:eastAsia="Arial" w:hAnsi="Arial"/>
          <w:sz w:val="20"/>
          <w:szCs w:val="20"/>
          <w:color w:val="auto"/>
          <w:vertAlign w:val="superscript"/>
        </w:rPr>
      </w:pPr>
    </w:p>
    <w:p>
      <w:pPr>
        <w:ind w:left="380" w:right="159" w:hanging="330"/>
        <w:spacing w:after="0" w:line="196" w:lineRule="auto"/>
        <w:tabs>
          <w:tab w:leader="none" w:pos="38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Intersegment costs applicable to revenue consist of segment costs applicable to revenue that are eliminated in our consolidated statements of operations.</w:t>
      </w:r>
    </w:p>
    <w:p>
      <w:pPr>
        <w:ind w:left="380" w:hanging="330"/>
        <w:spacing w:after="0" w:line="217" w:lineRule="auto"/>
        <w:tabs>
          <w:tab w:leader="none" w:pos="38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Adjusted selling, general, and administrative expenses excludes SBC expense and intersegment operating expenses.</w:t>
      </w:r>
    </w:p>
    <w:p>
      <w:pPr>
        <w:spacing w:after="0" w:line="54" w:lineRule="exact"/>
        <w:rPr>
          <w:rFonts w:ascii="Arial" w:cs="Arial" w:eastAsia="Arial" w:hAnsi="Arial"/>
          <w:sz w:val="22"/>
          <w:szCs w:val="22"/>
          <w:color w:val="auto"/>
          <w:vertAlign w:val="superscript"/>
        </w:rPr>
      </w:pPr>
    </w:p>
    <w:p>
      <w:pPr>
        <w:ind w:left="380" w:right="79" w:hanging="330"/>
        <w:spacing w:after="0" w:line="196" w:lineRule="auto"/>
        <w:tabs>
          <w:tab w:leader="none" w:pos="38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Other segment items include (i) intersegment operating expenses, which are eliminated in our consolidated statements of operations, and (ii) other expense, net excluding loss and/or impairment on investments in equity securities.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Good Sam Services and Plans Segment</w:t>
      </w:r>
    </w:p>
    <w:p>
      <w:pPr>
        <w:spacing w:after="0" w:line="10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See the “Revenue and Gross Profit” section above for a discussion of impacts to revenue for Good Sam Services and Plans. Adjusted costs applicable to segment revenues reflected increased roadside assistance claims costs and costs associated with the new tire rescue program. The adjusted selling, general and administrative expenses increased primarily from increased employee cash compensation expense. The Good Sam Services and Plans Segment Adjusted EBITDA decrease was driven primarily by the increase to adjusted costs applicable to revenue and additional adjusted selling, general and administrative expenses, partially offset by the increase to external revenue discussed above. Intersegment revenue and intersegment costs applicable to revenue did not have a significant impact on the decrease in Segment Adjusted EBITDA.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RV and Outdoor Retail Segment</w:t>
      </w:r>
    </w:p>
    <w:p>
      <w:pPr>
        <w:spacing w:after="0" w:line="10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See the “Revenue and Gross Profit” section above for a discussion of impacts to revenue for RV and Outdoor Retail and “Floor plan interest expense” section above for a discussion of the decrease in floor plan interest expense. Adjusted costs applicable to segment revenue increased from (i) higher total vehicle costs driven by 14.6% higher total unit sales, partially offset by the reductions in cost per new and used vehicles discussed above, and (ii) lower products, service and other costs applicable to revenue primarily from the same drivers of the decrease in revenue discussed above. Adjusted selling, general and administrative expense decreased primarily due to $10.7 million of reduced employee cash compensation expense and $5.0 million of reduced advertising expenses, partially offset by $5.0 million of increased fees paid to outside services providers primarily relating to legal fees, audit fees and software expense and maintenance, and $5.2 million of increased commissions costs. The RV and Outdoor Retail Segment Adjusted EBITDA increased from the increases in revenue and reduction in floor plan interest expense and adjusted selling, general and administrative expense, partially offset by the increase in adjusted costs applicable to segment revenue discussed above. Intersegment revenue, intersegment costs applicable to revenue, and intersegment operating expenses did not have a significant impact on the increase in Segment Adjusted EBITDA.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Nine Months Ended September 30, 2025 Compared to Nine Months Ended September 30, 2024</w:t>
      </w:r>
    </w:p>
    <w:p>
      <w:pPr>
        <w:spacing w:after="0" w:line="10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Unless otherwise indicated, all financial comparisons in this section of Results of Operations compare our financial results for the nine months ended September 30, 2025 to our financial results from the nine months ended September 30, 2024. The following table sets forth information comparing the components of net income (loss) for the nine months ended September 30, 2025 and 2024:</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2"/>
                <w:szCs w:val="12"/>
                <w:b w:val="1"/>
                <w:bCs w:val="1"/>
                <w:color w:val="auto"/>
              </w:rPr>
              <w:t>Nine Months Ended</w:t>
            </w: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4"/>
          </w:tcPr>
          <w:p>
            <w:pPr>
              <w:jc w:val="right"/>
              <w:ind w:right="380"/>
              <w:spacing w:after="0" w:line="129" w:lineRule="exact"/>
              <w:rPr>
                <w:sz w:val="20"/>
                <w:szCs w:val="20"/>
                <w:color w:val="auto"/>
              </w:rPr>
            </w:pPr>
            <w:r>
              <w:rPr>
                <w:rFonts w:ascii="Arial" w:cs="Arial" w:eastAsia="Arial" w:hAnsi="Arial"/>
                <w:sz w:val="12"/>
                <w:szCs w:val="12"/>
                <w:b w:val="1"/>
                <w:bCs w:val="1"/>
                <w:color w:val="auto"/>
              </w:rPr>
              <w:t>September 30, 2025</w:t>
            </w:r>
          </w:p>
        </w:tc>
        <w:tc>
          <w:tcPr>
            <w:tcW w:w="100" w:type="dxa"/>
            <w:vAlign w:val="bottom"/>
          </w:tcPr>
          <w:p>
            <w:pPr>
              <w:spacing w:after="0"/>
              <w:rPr>
                <w:sz w:val="11"/>
                <w:szCs w:val="11"/>
                <w:color w:val="auto"/>
              </w:rPr>
            </w:pPr>
          </w:p>
        </w:tc>
        <w:tc>
          <w:tcPr>
            <w:tcW w:w="1480" w:type="dxa"/>
            <w:vAlign w:val="bottom"/>
            <w:gridSpan w:val="3"/>
          </w:tcPr>
          <w:p>
            <w:pPr>
              <w:jc w:val="right"/>
              <w:ind w:right="169"/>
              <w:spacing w:after="0" w:line="129" w:lineRule="exact"/>
              <w:rPr>
                <w:sz w:val="20"/>
                <w:szCs w:val="20"/>
                <w:color w:val="auto"/>
              </w:rPr>
            </w:pPr>
            <w:r>
              <w:rPr>
                <w:rFonts w:ascii="Arial" w:cs="Arial" w:eastAsia="Arial" w:hAnsi="Arial"/>
                <w:sz w:val="12"/>
                <w:szCs w:val="12"/>
                <w:b w:val="1"/>
                <w:bCs w:val="1"/>
                <w:color w:val="auto"/>
              </w:rPr>
              <w:t>September 30, 2024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3"/>
            <w:vMerge w:val="restart"/>
          </w:tcPr>
          <w:p>
            <w:pPr>
              <w:jc w:val="right"/>
              <w:ind w:right="8"/>
              <w:spacing w:after="0"/>
              <w:rPr>
                <w:sz w:val="20"/>
                <w:szCs w:val="20"/>
                <w:color w:val="auto"/>
              </w:rPr>
            </w:pPr>
            <w:r>
              <w:rPr>
                <w:rFonts w:ascii="Arial" w:cs="Arial" w:eastAsia="Arial" w:hAnsi="Arial"/>
                <w:sz w:val="12"/>
                <w:szCs w:val="12"/>
                <w:b w:val="1"/>
                <w:bCs w:val="1"/>
                <w:color w:val="auto"/>
                <w:w w:val="96"/>
              </w:rPr>
              <w:t>Favorable/ (Unfavorable)</w:t>
            </w:r>
          </w:p>
        </w:tc>
        <w:tc>
          <w:tcPr>
            <w:tcW w:w="0" w:type="dxa"/>
            <w:vAlign w:val="bottom"/>
          </w:tcPr>
          <w:p>
            <w:pPr>
              <w:spacing w:after="0"/>
              <w:rPr>
                <w:sz w:val="1"/>
                <w:szCs w:val="1"/>
                <w:color w:val="auto"/>
              </w:rPr>
            </w:pPr>
          </w:p>
        </w:tc>
      </w:tr>
      <w:tr>
        <w:trPr>
          <w:trHeight w:val="128"/>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8"/>
              </w:rPr>
              <w:t>Percent of</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5"/>
              </w:rPr>
              <w:t>Percent of</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4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00" w:type="dxa"/>
            <w:vAlign w:val="bottom"/>
          </w:tcPr>
          <w:p>
            <w:pPr>
              <w:spacing w:after="0"/>
              <w:rPr>
                <w:sz w:val="11"/>
                <w:szCs w:val="11"/>
                <w:color w:val="auto"/>
              </w:rPr>
            </w:pPr>
          </w:p>
        </w:tc>
        <w:tc>
          <w:tcPr>
            <w:tcW w:w="860" w:type="dxa"/>
            <w:vAlign w:val="bottom"/>
            <w:gridSpan w:val="2"/>
          </w:tcPr>
          <w:p>
            <w:pPr>
              <w:jc w:val="right"/>
              <w:ind w:right="320"/>
              <w:spacing w:after="0" w:line="129" w:lineRule="exact"/>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jc w:val="right"/>
              <w:ind w:right="180"/>
              <w:spacing w:after="0" w:line="129" w:lineRule="exact"/>
              <w:rPr>
                <w:sz w:val="20"/>
                <w:szCs w:val="20"/>
                <w:color w:val="auto"/>
              </w:rPr>
            </w:pPr>
            <w:r>
              <w:rPr>
                <w:rFonts w:ascii="Arial" w:cs="Arial" w:eastAsia="Arial" w:hAnsi="Arial"/>
                <w:sz w:val="12"/>
                <w:szCs w:val="12"/>
                <w:b w:val="1"/>
                <w:bCs w:val="1"/>
                <w:color w:val="auto"/>
              </w:rPr>
              <w:t>Revenue</w:t>
            </w:r>
          </w:p>
        </w:tc>
        <w:tc>
          <w:tcPr>
            <w:tcW w:w="100" w:type="dxa"/>
            <w:vAlign w:val="bottom"/>
          </w:tcPr>
          <w:p>
            <w:pPr>
              <w:spacing w:after="0"/>
              <w:rPr>
                <w:sz w:val="11"/>
                <w:szCs w:val="11"/>
                <w:color w:val="auto"/>
              </w:rPr>
            </w:pPr>
          </w:p>
        </w:tc>
        <w:tc>
          <w:tcPr>
            <w:tcW w:w="880" w:type="dxa"/>
            <w:vAlign w:val="bottom"/>
            <w:gridSpan w:val="2"/>
          </w:tcPr>
          <w:p>
            <w:pPr>
              <w:jc w:val="right"/>
              <w:ind w:right="340"/>
              <w:spacing w:after="0" w:line="129" w:lineRule="exact"/>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5"/>
              </w:rPr>
              <w:t>Revenue</w:t>
            </w:r>
          </w:p>
        </w:tc>
        <w:tc>
          <w:tcPr>
            <w:tcW w:w="80" w:type="dxa"/>
            <w:vAlign w:val="bottom"/>
          </w:tcPr>
          <w:p>
            <w:pPr>
              <w:spacing w:after="0"/>
              <w:rPr>
                <w:sz w:val="11"/>
                <w:szCs w:val="11"/>
                <w:color w:val="auto"/>
              </w:rPr>
            </w:pPr>
          </w:p>
        </w:tc>
        <w:tc>
          <w:tcPr>
            <w:tcW w:w="660" w:type="dxa"/>
            <w:vAlign w:val="bottom"/>
          </w:tcPr>
          <w:p>
            <w:pPr>
              <w:jc w:val="right"/>
              <w:ind w:right="269"/>
              <w:spacing w:after="0" w:line="129"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660" w:type="dxa"/>
            <w:vAlign w:val="bottom"/>
          </w:tcPr>
          <w:p>
            <w:pPr>
              <w:jc w:val="right"/>
              <w:ind w:right="208"/>
              <w:spacing w:after="0" w:line="129"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56"/>
        </w:trPr>
        <w:tc>
          <w:tcPr>
            <w:tcW w:w="38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Revenue:</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gridSpan w:val="2"/>
          </w:tcPr>
          <w:p>
            <w:pPr>
              <w:ind w:left="120"/>
              <w:spacing w:after="0"/>
              <w:rPr>
                <w:sz w:val="20"/>
                <w:szCs w:val="20"/>
                <w:color w:val="auto"/>
              </w:rPr>
            </w:pPr>
            <w:r>
              <w:rPr>
                <w:rFonts w:ascii="Arial" w:cs="Arial" w:eastAsia="Arial" w:hAnsi="Arial"/>
                <w:sz w:val="14"/>
                <w:szCs w:val="14"/>
                <w:color w:val="auto"/>
              </w:rPr>
              <w:t>Good Sam Services and Plans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152,929</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149,070</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3,859</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RV and Outdoor Retail:</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gridSpan w:val="2"/>
          </w:tcPr>
          <w:p>
            <w:pPr>
              <w:ind w:left="220"/>
              <w:spacing w:after="0"/>
              <w:rPr>
                <w:sz w:val="20"/>
                <w:szCs w:val="20"/>
                <w:color w:val="auto"/>
              </w:rPr>
            </w:pPr>
            <w:r>
              <w:rPr>
                <w:rFonts w:ascii="Arial" w:cs="Arial" w:eastAsia="Arial" w:hAnsi="Arial"/>
                <w:sz w:val="14"/>
                <w:szCs w:val="14"/>
                <w:color w:val="auto"/>
              </w:rPr>
              <w:t>New vehicles</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2,303,317</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2,328,107</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(24,790)</w:t>
            </w: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Used vehicles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1,583,714</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1,265,701</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318,013</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62"/>
        </w:trPr>
        <w:tc>
          <w:tcPr>
            <w:tcW w:w="3940" w:type="dxa"/>
            <w:vAlign w:val="bottom"/>
            <w:gridSpan w:val="2"/>
          </w:tcPr>
          <w:p>
            <w:pPr>
              <w:ind w:left="220"/>
              <w:spacing w:after="0"/>
              <w:rPr>
                <w:sz w:val="20"/>
                <w:szCs w:val="20"/>
                <w:color w:val="auto"/>
              </w:rPr>
            </w:pPr>
            <w:r>
              <w:rPr>
                <w:rFonts w:ascii="Arial" w:cs="Arial" w:eastAsia="Arial" w:hAnsi="Arial"/>
                <w:sz w:val="14"/>
                <w:szCs w:val="14"/>
                <w:color w:val="auto"/>
              </w:rPr>
              <w:t>Products, service and other</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596,516</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638,680</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(42,164)</w:t>
            </w:r>
          </w:p>
        </w:tc>
        <w:tc>
          <w:tcPr>
            <w:tcW w:w="66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Finance and insurance, net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528,162</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480,725</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47,437</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62"/>
        </w:trPr>
        <w:tc>
          <w:tcPr>
            <w:tcW w:w="3940" w:type="dxa"/>
            <w:vAlign w:val="bottom"/>
            <w:gridSpan w:val="2"/>
          </w:tcPr>
          <w:p>
            <w:pPr>
              <w:ind w:left="220"/>
              <w:spacing w:after="0"/>
              <w:rPr>
                <w:sz w:val="20"/>
                <w:szCs w:val="20"/>
                <w:color w:val="auto"/>
              </w:rPr>
            </w:pPr>
            <w:r>
              <w:rPr>
                <w:rFonts w:ascii="Arial" w:cs="Arial" w:eastAsia="Arial" w:hAnsi="Arial"/>
                <w:sz w:val="14"/>
                <w:szCs w:val="14"/>
                <w:color w:val="auto"/>
              </w:rPr>
              <w:t>Good Sam Club</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30,952</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33,227</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(2,275)</w:t>
            </w:r>
          </w:p>
        </w:tc>
        <w:tc>
          <w:tcPr>
            <w:tcW w:w="66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56"/>
        </w:trPr>
        <w:tc>
          <w:tcPr>
            <w:tcW w:w="394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Subtotal</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5,042,661</w:t>
            </w: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97.1%</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4,746,440</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97.0%</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296,221</w:t>
            </w: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56"/>
        </w:trPr>
        <w:tc>
          <w:tcPr>
            <w:tcW w:w="39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5,195,590</w:t>
            </w:r>
          </w:p>
        </w:tc>
        <w:tc>
          <w:tcPr>
            <w:tcW w:w="1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4,895,510</w:t>
            </w:r>
          </w:p>
        </w:tc>
        <w:tc>
          <w:tcPr>
            <w:tcW w:w="1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300,080</w:t>
            </w: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Gross profit (exclusive of depreciation and amortization</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shown separately below):</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Good Sam Services and Plans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90,489</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96,995</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2"/>
        </w:trPr>
        <w:tc>
          <w:tcPr>
            <w:tcW w:w="3940" w:type="dxa"/>
            <w:vAlign w:val="bottom"/>
            <w:gridSpan w:val="2"/>
          </w:tcPr>
          <w:p>
            <w:pPr>
              <w:ind w:left="120"/>
              <w:spacing w:after="0"/>
              <w:rPr>
                <w:sz w:val="20"/>
                <w:szCs w:val="20"/>
                <w:color w:val="auto"/>
              </w:rPr>
            </w:pPr>
            <w:r>
              <w:rPr>
                <w:rFonts w:ascii="Arial" w:cs="Arial" w:eastAsia="Arial" w:hAnsi="Arial"/>
                <w:sz w:val="14"/>
                <w:szCs w:val="14"/>
                <w:color w:val="auto"/>
              </w:rPr>
              <w:t>RV and Outdoor Retail:</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New vehicles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308,670</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331,903</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(23,233)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2"/>
        </w:trPr>
        <w:tc>
          <w:tcPr>
            <w:tcW w:w="3940" w:type="dxa"/>
            <w:vAlign w:val="bottom"/>
            <w:gridSpan w:val="2"/>
          </w:tcPr>
          <w:p>
            <w:pPr>
              <w:ind w:left="220"/>
              <w:spacing w:after="0"/>
              <w:rPr>
                <w:sz w:val="20"/>
                <w:szCs w:val="20"/>
                <w:color w:val="auto"/>
              </w:rPr>
            </w:pPr>
            <w:r>
              <w:rPr>
                <w:rFonts w:ascii="Arial" w:cs="Arial" w:eastAsia="Arial" w:hAnsi="Arial"/>
                <w:sz w:val="14"/>
                <w:szCs w:val="14"/>
                <w:color w:val="auto"/>
              </w:rPr>
              <w:t>Used vehicles</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303,297</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231,500</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71,797</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Products, service and other</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280,938</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277,959</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3940" w:type="dxa"/>
            <w:vAlign w:val="bottom"/>
            <w:gridSpan w:val="2"/>
          </w:tcPr>
          <w:p>
            <w:pPr>
              <w:ind w:left="220"/>
              <w:spacing w:after="0"/>
              <w:rPr>
                <w:sz w:val="20"/>
                <w:szCs w:val="20"/>
                <w:color w:val="auto"/>
              </w:rPr>
            </w:pPr>
            <w:r>
              <w:rPr>
                <w:rFonts w:ascii="Arial" w:cs="Arial" w:eastAsia="Arial" w:hAnsi="Arial"/>
                <w:sz w:val="14"/>
                <w:szCs w:val="14"/>
                <w:color w:val="auto"/>
              </w:rPr>
              <w:t>Finance and insurance, net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528,162</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480,725</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47,437</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Good Sam Club</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27,360</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29,498</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(2,138)</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55"/>
        </w:trPr>
        <w:tc>
          <w:tcPr>
            <w:tcW w:w="3940" w:type="dxa"/>
            <w:vAlign w:val="bottom"/>
            <w:tcBorders>
              <w:bottom w:val="single" w:sz="8" w:color="CCEEFF"/>
            </w:tcBorders>
            <w:gridSpan w:val="2"/>
          </w:tcPr>
          <w:p>
            <w:pPr>
              <w:ind w:left="220"/>
              <w:spacing w:after="0" w:line="155" w:lineRule="exact"/>
              <w:rPr>
                <w:sz w:val="20"/>
                <w:szCs w:val="20"/>
                <w:color w:val="auto"/>
              </w:rPr>
            </w:pPr>
            <w:r>
              <w:rPr>
                <w:rFonts w:ascii="Arial" w:cs="Arial" w:eastAsia="Arial" w:hAnsi="Arial"/>
                <w:sz w:val="14"/>
                <w:szCs w:val="14"/>
                <w:color w:val="auto"/>
              </w:rPr>
              <w:t>Subtotal</w:t>
            </w: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1,448,427</w:t>
            </w:r>
          </w:p>
        </w:tc>
        <w:tc>
          <w:tcPr>
            <w:tcW w:w="14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1,351,585</w:t>
            </w:r>
          </w:p>
        </w:tc>
        <w:tc>
          <w:tcPr>
            <w:tcW w:w="16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w:t>
            </w:r>
          </w:p>
        </w:tc>
        <w:tc>
          <w:tcPr>
            <w:tcW w:w="14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96,842</w:t>
            </w:r>
          </w:p>
        </w:tc>
        <w:tc>
          <w:tcPr>
            <w:tcW w:w="14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55"/>
        </w:trPr>
        <w:tc>
          <w:tcPr>
            <w:tcW w:w="394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gross profit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1,538,916</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1,448,580</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90,336</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1,235,945</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1,205,358</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(30,587)</w:t>
            </w: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71,617</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59,905</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(11,712)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62"/>
        </w:trPr>
        <w:tc>
          <w:tcPr>
            <w:tcW w:w="3940" w:type="dxa"/>
            <w:vAlign w:val="bottom"/>
            <w:gridSpan w:val="2"/>
          </w:tcPr>
          <w:p>
            <w:pPr>
              <w:ind w:left="220"/>
              <w:spacing w:after="0"/>
              <w:rPr>
                <w:sz w:val="20"/>
                <w:szCs w:val="20"/>
                <w:color w:val="auto"/>
              </w:rPr>
            </w:pPr>
            <w:r>
              <w:rPr>
                <w:rFonts w:ascii="Arial" w:cs="Arial" w:eastAsia="Arial" w:hAnsi="Arial"/>
                <w:sz w:val="14"/>
                <w:szCs w:val="14"/>
                <w:color w:val="auto"/>
              </w:rPr>
              <w:t>Long-lived asset impairment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1,237</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12,355</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11,118</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Lease termination</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(2,585)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(2,554)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162"/>
        </w:trPr>
        <w:tc>
          <w:tcPr>
            <w:tcW w:w="3940" w:type="dxa"/>
            <w:vAlign w:val="bottom"/>
            <w:gridSpan w:val="2"/>
          </w:tcPr>
          <w:p>
            <w:pPr>
              <w:ind w:left="220"/>
              <w:spacing w:after="0"/>
              <w:rPr>
                <w:sz w:val="20"/>
                <w:szCs w:val="20"/>
                <w:color w:val="auto"/>
              </w:rPr>
            </w:pPr>
            <w:r>
              <w:rPr>
                <w:rFonts w:ascii="Arial" w:cs="Arial" w:eastAsia="Arial" w:hAnsi="Arial"/>
                <w:sz w:val="14"/>
                <w:szCs w:val="14"/>
                <w:color w:val="auto"/>
              </w:rPr>
              <w:t>(Gain) loss on sale or disposal of assets</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(104)</w:t>
            </w:r>
          </w:p>
        </w:tc>
        <w:tc>
          <w:tcPr>
            <w:tcW w:w="600" w:type="dxa"/>
            <w:vAlign w:val="bottom"/>
          </w:tcPr>
          <w:p>
            <w:pPr>
              <w:jc w:val="right"/>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9,525</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9,629</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156"/>
        </w:trPr>
        <w:tc>
          <w:tcPr>
            <w:tcW w:w="394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1,308,664</w:t>
            </w: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25.2%</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1,284,558</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26.2%</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(24,106)</w:t>
            </w: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5"/>
        </w:trPr>
        <w:tc>
          <w:tcPr>
            <w:tcW w:w="39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Income from operations</w:t>
            </w: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230,252</w:t>
            </w:r>
          </w:p>
        </w:tc>
        <w:tc>
          <w:tcPr>
            <w:tcW w:w="1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4.4%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164,022</w:t>
            </w:r>
          </w:p>
        </w:tc>
        <w:tc>
          <w:tcPr>
            <w:tcW w:w="1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66,230</w:t>
            </w: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gridSpan w:val="2"/>
          </w:tcPr>
          <w:p>
            <w:pPr>
              <w:ind w:left="120"/>
              <w:spacing w:after="0"/>
              <w:rPr>
                <w:sz w:val="20"/>
                <w:szCs w:val="20"/>
                <w:color w:val="auto"/>
              </w:rPr>
            </w:pPr>
            <w:r>
              <w:rPr>
                <w:rFonts w:ascii="Arial" w:cs="Arial" w:eastAsia="Arial" w:hAnsi="Arial"/>
                <w:sz w:val="14"/>
                <w:szCs w:val="14"/>
                <w:color w:val="auto"/>
              </w:rPr>
              <w:t>Floor plan interest expense</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(57,356)</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(78,053)</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20,697</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(92,349)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(108,124)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15,775</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62"/>
        </w:trPr>
        <w:tc>
          <w:tcPr>
            <w:tcW w:w="3940" w:type="dxa"/>
            <w:vAlign w:val="bottom"/>
            <w:gridSpan w:val="2"/>
          </w:tcPr>
          <w:p>
            <w:pPr>
              <w:ind w:left="120"/>
              <w:spacing w:after="0"/>
              <w:rPr>
                <w:sz w:val="20"/>
                <w:szCs w:val="20"/>
                <w:color w:val="auto"/>
              </w:rPr>
            </w:pPr>
            <w:r>
              <w:rPr>
                <w:rFonts w:ascii="Arial" w:cs="Arial" w:eastAsia="Arial" w:hAnsi="Arial"/>
                <w:sz w:val="14"/>
                <w:szCs w:val="14"/>
                <w:color w:val="auto"/>
              </w:rPr>
              <w:t>Tax Receivable Agreement liability adjustment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149,172</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149,172</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 net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(3,920)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(337)</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(3,583)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5"/>
        </w:trPr>
        <w:tc>
          <w:tcPr>
            <w:tcW w:w="394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Total other expense</w:t>
            </w: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(4,453)</w:t>
            </w:r>
          </w:p>
        </w:tc>
        <w:tc>
          <w:tcPr>
            <w:tcW w:w="14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(0.1%)</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(186,514)</w:t>
            </w:r>
          </w:p>
        </w:tc>
        <w:tc>
          <w:tcPr>
            <w:tcW w:w="16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182,061</w:t>
            </w:r>
          </w:p>
        </w:tc>
        <w:tc>
          <w:tcPr>
            <w:tcW w:w="14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55"/>
        </w:trPr>
        <w:tc>
          <w:tcPr>
            <w:tcW w:w="394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225,799</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(22,492)</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248,291</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Income tax (expense) benefit</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(222,309)</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3,156</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(225,465)</w:t>
            </w:r>
          </w:p>
        </w:tc>
        <w:tc>
          <w:tcPr>
            <w:tcW w:w="66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5"/>
        </w:trPr>
        <w:tc>
          <w:tcPr>
            <w:tcW w:w="394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3,490</w:t>
            </w: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0.1%</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(19,336)</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(0.4%)</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22,826</w:t>
            </w: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118.0%</w:t>
            </w:r>
          </w:p>
        </w:tc>
        <w:tc>
          <w:tcPr>
            <w:tcW w:w="0" w:type="dxa"/>
            <w:vAlign w:val="bottom"/>
          </w:tcPr>
          <w:p>
            <w:pPr>
              <w:spacing w:after="0"/>
              <w:rPr>
                <w:sz w:val="1"/>
                <w:szCs w:val="1"/>
                <w:color w:val="auto"/>
              </w:rPr>
            </w:pPr>
          </w:p>
        </w:tc>
      </w:tr>
      <w:tr>
        <w:trPr>
          <w:trHeight w:val="153"/>
        </w:trPr>
        <w:tc>
          <w:tcPr>
            <w:tcW w:w="39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Less: net income (loss) attributable to non-controlling</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(25,992)</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12,301</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(38,293)</w:t>
            </w:r>
          </w:p>
        </w:tc>
        <w:tc>
          <w:tcPr>
            <w:tcW w:w="660" w:type="dxa"/>
            <w:vAlign w:val="bottom"/>
          </w:tcPr>
          <w:p>
            <w:pPr>
              <w:jc w:val="right"/>
              <w:spacing w:after="0"/>
              <w:rPr>
                <w:sz w:val="20"/>
                <w:szCs w:val="20"/>
                <w:color w:val="auto"/>
              </w:rPr>
            </w:pPr>
            <w:r>
              <w:rPr>
                <w:rFonts w:ascii="Arial" w:cs="Arial" w:eastAsia="Arial" w:hAnsi="Arial"/>
                <w:sz w:val="14"/>
                <w:szCs w:val="14"/>
                <w:color w:val="auto"/>
              </w:rPr>
              <w:t>(311.3%)</w:t>
            </w:r>
          </w:p>
        </w:tc>
        <w:tc>
          <w:tcPr>
            <w:tcW w:w="0" w:type="dxa"/>
            <w:vAlign w:val="bottom"/>
          </w:tcPr>
          <w:p>
            <w:pPr>
              <w:spacing w:after="0"/>
              <w:rPr>
                <w:sz w:val="1"/>
                <w:szCs w:val="1"/>
                <w:color w:val="auto"/>
              </w:rPr>
            </w:pPr>
          </w:p>
        </w:tc>
      </w:tr>
      <w:tr>
        <w:trPr>
          <w:trHeight w:val="156"/>
        </w:trPr>
        <w:tc>
          <w:tcPr>
            <w:tcW w:w="3940" w:type="dxa"/>
            <w:vAlign w:val="bottom"/>
            <w:tcBorders>
              <w:top w:val="single" w:sz="8" w:color="CCEEFF"/>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Net loss attributable to Camping World Holdings, Inc.</w:t>
            </w: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(22,502)</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(7,035)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(15,467)</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(219.9%)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gridSpan w:val="6"/>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1400" w:type="dxa"/>
            <w:vAlign w:val="bottom"/>
            <w:gridSpan w:val="3"/>
          </w:tcPr>
          <w:p>
            <w:pPr>
              <w:jc w:val="right"/>
              <w:ind w:right="508"/>
              <w:spacing w:after="0"/>
              <w:rPr>
                <w:sz w:val="20"/>
                <w:szCs w:val="20"/>
                <w:color w:val="auto"/>
              </w:rPr>
            </w:pPr>
            <w:r>
              <w:rPr>
                <w:rFonts w:ascii="Arial" w:cs="Arial" w:eastAsia="Arial" w:hAnsi="Arial"/>
                <w:sz w:val="18"/>
                <w:szCs w:val="18"/>
                <w:b w:val="1"/>
                <w:bCs w:val="1"/>
                <w:color w:val="auto"/>
              </w:rPr>
              <w:t>Increase</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17"/>
                <w:szCs w:val="17"/>
                <w:color w:val="auto"/>
              </w:rPr>
            </w:pPr>
          </w:p>
        </w:tc>
        <w:tc>
          <w:tcPr>
            <w:tcW w:w="14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(decrease)</w:t>
            </w:r>
          </w:p>
        </w:tc>
        <w:tc>
          <w:tcPr>
            <w:tcW w:w="78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69"/>
        </w:trPr>
        <w:tc>
          <w:tcPr>
            <w:tcW w:w="3300" w:type="dxa"/>
            <w:vAlign w:val="bottom"/>
            <w:tcBorders>
              <w:top w:val="single" w:sz="8" w:color="auto"/>
            </w:tcBorders>
            <w:gridSpan w:val="11"/>
            <w:shd w:val="clear" w:color="auto" w:fill="CCEEFF"/>
          </w:tcPr>
          <w:p>
            <w:pPr>
              <w:ind w:left="20"/>
              <w:spacing w:after="0" w:line="169" w:lineRule="exact"/>
              <w:rPr>
                <w:sz w:val="20"/>
                <w:szCs w:val="20"/>
                <w:color w:val="auto"/>
              </w:rPr>
            </w:pPr>
            <w:r>
              <w:rPr>
                <w:rFonts w:ascii="Arial" w:cs="Arial" w:eastAsia="Arial" w:hAnsi="Arial"/>
                <w:sz w:val="18"/>
                <w:szCs w:val="18"/>
                <w:color w:val="auto"/>
              </w:rPr>
              <w:t>Unit sales</w:t>
            </w:r>
          </w:p>
        </w:tc>
        <w:tc>
          <w:tcPr>
            <w:tcW w:w="2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11"/>
          </w:tcPr>
          <w:p>
            <w:pPr>
              <w:ind w:left="100"/>
              <w:spacing w:after="0" w:line="202" w:lineRule="exact"/>
              <w:rPr>
                <w:sz w:val="20"/>
                <w:szCs w:val="20"/>
                <w:color w:val="auto"/>
              </w:rPr>
            </w:pPr>
            <w:r>
              <w:rPr>
                <w:rFonts w:ascii="Arial" w:cs="Arial" w:eastAsia="Arial" w:hAnsi="Arial"/>
                <w:sz w:val="18"/>
                <w:szCs w:val="18"/>
                <w:color w:val="auto"/>
              </w:rPr>
              <w:t>New vehicles</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63,708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58,909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4,799</w:t>
            </w:r>
          </w:p>
        </w:tc>
        <w:tc>
          <w:tcPr>
            <w:tcW w:w="5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80" w:type="dxa"/>
            <w:vAlign w:val="bottom"/>
            <w:gridSpan w:val="11"/>
            <w:shd w:val="clear" w:color="auto" w:fill="CCEEFF"/>
          </w:tcPr>
          <w:p>
            <w:pPr>
              <w:ind w:left="100"/>
              <w:spacing w:after="0" w:line="202" w:lineRule="exact"/>
              <w:rPr>
                <w:sz w:val="20"/>
                <w:szCs w:val="20"/>
                <w:color w:val="auto"/>
              </w:rPr>
            </w:pPr>
            <w:r>
              <w:rPr>
                <w:rFonts w:ascii="Arial" w:cs="Arial" w:eastAsia="Arial" w:hAnsi="Arial"/>
                <w:sz w:val="18"/>
                <w:szCs w:val="18"/>
                <w:color w:val="auto"/>
              </w:rPr>
              <w:t>Used vehicles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51,539</w:t>
            </w:r>
          </w:p>
        </w:tc>
        <w:tc>
          <w:tcPr>
            <w:tcW w:w="2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40,459</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11,080</w:t>
            </w:r>
          </w:p>
        </w:tc>
        <w:tc>
          <w:tcPr>
            <w:tcW w:w="5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gridSpan w:val="11"/>
          </w:tcPr>
          <w:p>
            <w:pPr>
              <w:ind w:left="100"/>
              <w:spacing w:after="0" w:line="196" w:lineRule="exact"/>
              <w:rPr>
                <w:sz w:val="20"/>
                <w:szCs w:val="20"/>
                <w:color w:val="auto"/>
              </w:rPr>
            </w:pPr>
            <w:r>
              <w:rPr>
                <w:rFonts w:ascii="Arial" w:cs="Arial" w:eastAsia="Arial" w:hAnsi="Arial"/>
                <w:sz w:val="18"/>
                <w:szCs w:val="18"/>
                <w:color w:val="auto"/>
              </w:rPr>
              <w:t>Total</w:t>
            </w: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115,247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99,368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15,879</w:t>
            </w:r>
          </w:p>
        </w:tc>
        <w:tc>
          <w:tcPr>
            <w:tcW w:w="5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00" w:type="dxa"/>
            <w:vAlign w:val="bottom"/>
            <w:gridSpan w:val="12"/>
          </w:tcPr>
          <w:p>
            <w:pPr>
              <w:ind w:left="20"/>
              <w:spacing w:after="0" w:line="176" w:lineRule="exact"/>
              <w:rPr>
                <w:sz w:val="20"/>
                <w:szCs w:val="20"/>
                <w:color w:val="auto"/>
              </w:rPr>
            </w:pPr>
            <w:r>
              <w:rPr>
                <w:rFonts w:ascii="Arial" w:cs="Arial" w:eastAsia="Arial" w:hAnsi="Arial"/>
                <w:sz w:val="18"/>
                <w:szCs w:val="18"/>
                <w:color w:val="auto"/>
              </w:rPr>
              <w:t>Average selling price</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660" w:type="dxa"/>
            <w:vAlign w:val="bottom"/>
            <w:tcBorders>
              <w:top w:val="single" w:sz="8" w:color="auto"/>
            </w:tcBorders>
            <w:gridSpan w:val="4"/>
            <w:shd w:val="clear" w:color="auto" w:fill="CCEEFF"/>
          </w:tcPr>
          <w:p>
            <w:pPr>
              <w:ind w:left="100"/>
              <w:spacing w:after="0" w:line="202" w:lineRule="exact"/>
              <w:rPr>
                <w:sz w:val="20"/>
                <w:szCs w:val="20"/>
                <w:color w:val="auto"/>
              </w:rPr>
            </w:pPr>
            <w:r>
              <w:rPr>
                <w:rFonts w:ascii="Arial" w:cs="Arial" w:eastAsia="Arial" w:hAnsi="Arial"/>
                <w:sz w:val="18"/>
                <w:szCs w:val="18"/>
                <w:color w:val="auto"/>
              </w:rPr>
              <w:t>New vehicles</w:t>
            </w:r>
          </w:p>
        </w:tc>
        <w:tc>
          <w:tcPr>
            <w:tcW w:w="1820" w:type="dxa"/>
            <w:vAlign w:val="bottom"/>
            <w:gridSpan w:val="7"/>
            <w:shd w:val="clear" w:color="auto" w:fill="CCEEFF"/>
          </w:tcPr>
          <w:p>
            <w:pPr>
              <w:spacing w:after="0"/>
              <w:rPr>
                <w:sz w:val="17"/>
                <w:szCs w:val="17"/>
                <w:color w:val="auto"/>
              </w:rPr>
            </w:pP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36,154</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39,520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color w:val="auto"/>
              </w:rPr>
              <w:t>(3,366)</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11"/>
          </w:tcPr>
          <w:p>
            <w:pPr>
              <w:ind w:left="100"/>
              <w:spacing w:after="0" w:line="202" w:lineRule="exact"/>
              <w:rPr>
                <w:sz w:val="20"/>
                <w:szCs w:val="20"/>
                <w:color w:val="auto"/>
              </w:rPr>
            </w:pPr>
            <w:r>
              <w:rPr>
                <w:rFonts w:ascii="Arial" w:cs="Arial" w:eastAsia="Arial" w:hAnsi="Arial"/>
                <w:sz w:val="18"/>
                <w:szCs w:val="18"/>
                <w:color w:val="auto"/>
              </w:rPr>
              <w:t>Used vehicles</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30,728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31,284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408"/>
              <w:spacing w:after="0" w:line="202" w:lineRule="exact"/>
              <w:rPr>
                <w:sz w:val="20"/>
                <w:szCs w:val="20"/>
                <w:color w:val="auto"/>
              </w:rPr>
            </w:pPr>
            <w:r>
              <w:rPr>
                <w:rFonts w:ascii="Arial" w:cs="Arial" w:eastAsia="Arial" w:hAnsi="Arial"/>
                <w:sz w:val="18"/>
                <w:szCs w:val="18"/>
                <w:color w:val="auto"/>
              </w:rPr>
              <w:t>(556)</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740" w:type="dxa"/>
            <w:vAlign w:val="bottom"/>
            <w:gridSpan w:val="6"/>
            <w:vMerge w:val="restart"/>
          </w:tcPr>
          <w:p>
            <w:pPr>
              <w:ind w:left="20"/>
              <w:spacing w:after="0" w:line="176" w:lineRule="exact"/>
              <w:rPr>
                <w:sz w:val="20"/>
                <w:szCs w:val="20"/>
                <w:color w:val="auto"/>
              </w:rPr>
            </w:pPr>
            <w:r>
              <w:rPr>
                <w:rFonts w:ascii="Arial" w:cs="Arial" w:eastAsia="Arial" w:hAnsi="Arial"/>
                <w:sz w:val="18"/>
                <w:szCs w:val="18"/>
                <w:color w:val="auto"/>
                <w:w w:val="98"/>
              </w:rPr>
              <w:t>Same store unit sales</w:t>
            </w:r>
          </w:p>
        </w:tc>
        <w:tc>
          <w:tcPr>
            <w:tcW w:w="160" w:type="dxa"/>
            <w:vAlign w:val="bottom"/>
            <w:tcBorders>
              <w:bottom w:val="single" w:sz="8" w:color="auto"/>
            </w:tcBorders>
            <w:gridSpan w:val="2"/>
          </w:tcPr>
          <w:p>
            <w:pPr>
              <w:jc w:val="right"/>
              <w:spacing w:after="0" w:line="102" w:lineRule="exact"/>
              <w:rPr>
                <w:sz w:val="20"/>
                <w:szCs w:val="20"/>
                <w:color w:val="auto"/>
              </w:rPr>
            </w:pPr>
            <w:r>
              <w:rPr>
                <w:rFonts w:ascii="Arial" w:cs="Arial" w:eastAsia="Arial" w:hAnsi="Arial"/>
                <w:sz w:val="11"/>
                <w:szCs w:val="11"/>
                <w:color w:val="auto"/>
              </w:rPr>
              <w:t>(1)</w:t>
            </w:r>
          </w:p>
        </w:tc>
        <w:tc>
          <w:tcPr>
            <w:tcW w:w="360" w:type="dxa"/>
            <w:vAlign w:val="bottom"/>
            <w:vMerge w:val="restart"/>
          </w:tcPr>
          <w:p>
            <w:pPr>
              <w:spacing w:after="0"/>
              <w:rPr>
                <w:sz w:val="10"/>
                <w:szCs w:val="10"/>
                <w:color w:val="auto"/>
              </w:rPr>
            </w:pPr>
          </w:p>
        </w:tc>
        <w:tc>
          <w:tcPr>
            <w:tcW w:w="440" w:type="dxa"/>
            <w:vAlign w:val="bottom"/>
            <w:vMerge w:val="restart"/>
          </w:tcPr>
          <w:p>
            <w:pPr>
              <w:spacing w:after="0"/>
              <w:rPr>
                <w:sz w:val="10"/>
                <w:szCs w:val="10"/>
                <w:color w:val="auto"/>
              </w:rPr>
            </w:pPr>
          </w:p>
        </w:tc>
        <w:tc>
          <w:tcPr>
            <w:tcW w:w="800" w:type="dxa"/>
            <w:vAlign w:val="bottom"/>
            <w:gridSpan w:val="2"/>
            <w:vMerge w:val="restart"/>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740" w:type="dxa"/>
            <w:vAlign w:val="bottom"/>
            <w:gridSpan w:val="6"/>
            <w:vMerge w:val="continue"/>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720" w:type="dxa"/>
            <w:vAlign w:val="bottom"/>
            <w:tcBorders>
              <w:top w:val="single" w:sz="8" w:color="auto"/>
            </w:tcBorders>
            <w:gridSpan w:val="5"/>
            <w:shd w:val="clear" w:color="auto" w:fill="CCEEFF"/>
          </w:tcPr>
          <w:p>
            <w:pPr>
              <w:ind w:left="100"/>
              <w:spacing w:after="0" w:line="202" w:lineRule="exact"/>
              <w:rPr>
                <w:sz w:val="20"/>
                <w:szCs w:val="20"/>
                <w:color w:val="auto"/>
              </w:rPr>
            </w:pPr>
            <w:r>
              <w:rPr>
                <w:rFonts w:ascii="Arial" w:cs="Arial" w:eastAsia="Arial" w:hAnsi="Arial"/>
                <w:sz w:val="18"/>
                <w:szCs w:val="18"/>
                <w:color w:val="auto"/>
              </w:rPr>
              <w:t>New vehicles</w:t>
            </w:r>
          </w:p>
        </w:tc>
        <w:tc>
          <w:tcPr>
            <w:tcW w:w="1760" w:type="dxa"/>
            <w:vAlign w:val="bottom"/>
            <w:gridSpan w:val="6"/>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58,142</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53,381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4,761</w:t>
            </w: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480" w:type="dxa"/>
            <w:vAlign w:val="bottom"/>
            <w:tcBorders>
              <w:bottom w:val="single" w:sz="8" w:color="CCEEFF"/>
            </w:tcBorders>
            <w:gridSpan w:val="11"/>
          </w:tcPr>
          <w:p>
            <w:pPr>
              <w:ind w:left="100"/>
              <w:spacing w:after="0" w:line="202" w:lineRule="exact"/>
              <w:rPr>
                <w:sz w:val="20"/>
                <w:szCs w:val="20"/>
                <w:color w:val="auto"/>
              </w:rPr>
            </w:pPr>
            <w:r>
              <w:rPr>
                <w:rFonts w:ascii="Arial" w:cs="Arial" w:eastAsia="Arial" w:hAnsi="Arial"/>
                <w:sz w:val="18"/>
                <w:szCs w:val="18"/>
                <w:color w:val="auto"/>
              </w:rPr>
              <w:t>Used vehicles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47,498</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37,326</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10,172</w:t>
            </w:r>
          </w:p>
        </w:tc>
        <w:tc>
          <w:tcPr>
            <w:tcW w:w="5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480" w:type="dxa"/>
            <w:vAlign w:val="bottom"/>
            <w:gridSpan w:val="11"/>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105,640</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90,707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14,933</w:t>
            </w: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640" w:type="dxa"/>
            <w:vAlign w:val="bottom"/>
            <w:tcBorders>
              <w:bottom w:val="single" w:sz="8" w:color="CCEEFF"/>
            </w:tcBorders>
            <w:gridSpan w:val="4"/>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Same store revenue</w:t>
            </w:r>
          </w:p>
        </w:tc>
        <w:tc>
          <w:tcPr>
            <w:tcW w:w="160" w:type="dxa"/>
            <w:vAlign w:val="bottom"/>
            <w:tcBorders>
              <w:bottom w:val="single" w:sz="8" w:color="auto"/>
            </w:tcBorders>
            <w:gridSpan w:val="3"/>
            <w:shd w:val="clear" w:color="auto" w:fill="CCEEFF"/>
          </w:tcPr>
          <w:p>
            <w:pPr>
              <w:jc w:val="right"/>
              <w:spacing w:after="0" w:line="102" w:lineRule="exact"/>
              <w:rPr>
                <w:sz w:val="20"/>
                <w:szCs w:val="20"/>
                <w:color w:val="auto"/>
              </w:rPr>
            </w:pPr>
            <w:r>
              <w:rPr>
                <w:rFonts w:ascii="Arial" w:cs="Arial" w:eastAsia="Arial" w:hAnsi="Arial"/>
                <w:sz w:val="11"/>
                <w:szCs w:val="11"/>
                <w:color w:val="auto"/>
              </w:rPr>
              <w:t>(1)</w:t>
            </w:r>
          </w:p>
        </w:tc>
        <w:tc>
          <w:tcPr>
            <w:tcW w:w="1700" w:type="dxa"/>
            <w:vAlign w:val="bottom"/>
            <w:tcBorders>
              <w:bottom w:val="single" w:sz="8" w:color="CCEEFF"/>
            </w:tcBorders>
            <w:gridSpan w:val="5"/>
            <w:vMerge w:val="restart"/>
            <w:shd w:val="clear" w:color="auto" w:fill="CCEEFF"/>
          </w:tcPr>
          <w:p>
            <w:pPr>
              <w:ind w:left="40"/>
              <w:spacing w:after="0" w:line="176" w:lineRule="exact"/>
              <w:rPr>
                <w:sz w:val="20"/>
                <w:szCs w:val="20"/>
                <w:color w:val="auto"/>
              </w:rPr>
            </w:pPr>
            <w:r>
              <w:rPr>
                <w:rFonts w:ascii="Arial" w:cs="Arial" w:eastAsia="Arial" w:hAnsi="Arial"/>
                <w:sz w:val="18"/>
                <w:szCs w:val="18"/>
                <w:color w:val="auto"/>
              </w:rPr>
              <w:t>($ in 000s)</w:t>
            </w:r>
          </w:p>
        </w:tc>
        <w:tc>
          <w:tcPr>
            <w:tcW w:w="30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640" w:type="dxa"/>
            <w:vAlign w:val="bottom"/>
            <w:gridSpan w:val="4"/>
            <w:vMerge w:val="continue"/>
            <w:shd w:val="clear" w:color="auto" w:fill="CCEEFF"/>
          </w:tcPr>
          <w:p>
            <w:pPr>
              <w:spacing w:after="0"/>
              <w:rPr>
                <w:sz w:val="3"/>
                <w:szCs w:val="3"/>
                <w:color w:val="auto"/>
              </w:rPr>
            </w:pPr>
          </w:p>
        </w:tc>
        <w:tc>
          <w:tcPr>
            <w:tcW w:w="160" w:type="dxa"/>
            <w:vAlign w:val="bottom"/>
            <w:gridSpan w:val="3"/>
            <w:shd w:val="clear" w:color="auto" w:fill="CCEEFF"/>
          </w:tcPr>
          <w:p>
            <w:pPr>
              <w:spacing w:after="0"/>
              <w:rPr>
                <w:sz w:val="3"/>
                <w:szCs w:val="3"/>
                <w:color w:val="auto"/>
              </w:rPr>
            </w:pPr>
          </w:p>
        </w:tc>
        <w:tc>
          <w:tcPr>
            <w:tcW w:w="1700" w:type="dxa"/>
            <w:vAlign w:val="bottom"/>
            <w:gridSpan w:val="5"/>
            <w:vMerge w:val="continue"/>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1620" w:type="dxa"/>
            <w:vAlign w:val="bottom"/>
            <w:tcBorders>
              <w:top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New vehicles</w:t>
            </w:r>
          </w:p>
        </w:tc>
        <w:tc>
          <w:tcPr>
            <w:tcW w:w="160" w:type="dxa"/>
            <w:vAlign w:val="bottom"/>
            <w:tcBorders>
              <w:top w:val="single" w:sz="8" w:color="CCEEFF"/>
            </w:tcBorders>
            <w:gridSpan w:val="3"/>
          </w:tcPr>
          <w:p>
            <w:pPr>
              <w:spacing w:after="0"/>
              <w:rPr>
                <w:sz w:val="17"/>
                <w:szCs w:val="17"/>
                <w:color w:val="auto"/>
              </w:rPr>
            </w:pPr>
          </w:p>
        </w:tc>
        <w:tc>
          <w:tcPr>
            <w:tcW w:w="900" w:type="dxa"/>
            <w:vAlign w:val="bottom"/>
            <w:tcBorders>
              <w:top w:val="single" w:sz="8" w:color="auto"/>
            </w:tcBorders>
            <w:gridSpan w:val="3"/>
          </w:tcPr>
          <w:p>
            <w:pPr>
              <w:spacing w:after="0"/>
              <w:rPr>
                <w:sz w:val="17"/>
                <w:szCs w:val="17"/>
                <w:color w:val="auto"/>
              </w:rPr>
            </w:pPr>
          </w:p>
        </w:tc>
        <w:tc>
          <w:tcPr>
            <w:tcW w:w="800" w:type="dxa"/>
            <w:vAlign w:val="bottom"/>
            <w:tcBorders>
              <w:top w:val="single" w:sz="8" w:color="CCEEFF"/>
            </w:tcBorders>
            <w:gridSpan w:val="2"/>
          </w:tcPr>
          <w:p>
            <w:pPr>
              <w:spacing w:after="0"/>
              <w:rPr>
                <w:sz w:val="17"/>
                <w:szCs w:val="17"/>
                <w:color w:val="auto"/>
              </w:rPr>
            </w:pPr>
          </w:p>
        </w:tc>
        <w:tc>
          <w:tcPr>
            <w:tcW w:w="300" w:type="dxa"/>
            <w:vAlign w:val="bottom"/>
            <w:tcBorders>
              <w:top w:val="single" w:sz="8" w:color="CCEEFF"/>
            </w:tcBorders>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2,101,586</w:t>
            </w: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2,123,286</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408"/>
              <w:spacing w:after="0" w:line="202" w:lineRule="exact"/>
              <w:rPr>
                <w:sz w:val="20"/>
                <w:szCs w:val="20"/>
                <w:color w:val="auto"/>
              </w:rPr>
            </w:pPr>
            <w:r>
              <w:rPr>
                <w:rFonts w:ascii="Arial" w:cs="Arial" w:eastAsia="Arial" w:hAnsi="Arial"/>
                <w:sz w:val="18"/>
                <w:szCs w:val="18"/>
                <w:color w:val="auto"/>
              </w:rPr>
              <w:t>(21,700)</w:t>
            </w:r>
          </w:p>
        </w:tc>
        <w:tc>
          <w:tcPr>
            <w:tcW w:w="76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80" w:type="dxa"/>
            <w:vAlign w:val="bottom"/>
            <w:gridSpan w:val="11"/>
            <w:shd w:val="clear" w:color="auto" w:fill="CCEEFF"/>
          </w:tcPr>
          <w:p>
            <w:pPr>
              <w:ind w:left="100"/>
              <w:spacing w:after="0" w:line="202" w:lineRule="exact"/>
              <w:rPr>
                <w:sz w:val="20"/>
                <w:szCs w:val="20"/>
                <w:color w:val="auto"/>
              </w:rPr>
            </w:pPr>
            <w:r>
              <w:rPr>
                <w:rFonts w:ascii="Arial" w:cs="Arial" w:eastAsia="Arial" w:hAnsi="Arial"/>
                <w:sz w:val="18"/>
                <w:szCs w:val="18"/>
                <w:color w:val="auto"/>
              </w:rPr>
              <w:t>Used vehicles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1,456,379</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1,171,749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284,630</w:t>
            </w: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11"/>
          </w:tcPr>
          <w:p>
            <w:pPr>
              <w:ind w:left="100"/>
              <w:spacing w:after="0" w:line="202" w:lineRule="exact"/>
              <w:rPr>
                <w:sz w:val="20"/>
                <w:szCs w:val="20"/>
                <w:color w:val="auto"/>
              </w:rPr>
            </w:pPr>
            <w:r>
              <w:rPr>
                <w:rFonts w:ascii="Arial" w:cs="Arial" w:eastAsia="Arial" w:hAnsi="Arial"/>
                <w:sz w:val="18"/>
                <w:szCs w:val="18"/>
                <w:color w:val="auto"/>
              </w:rPr>
              <w:t>Products, service and other</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480,432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509,885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408"/>
              <w:spacing w:after="0" w:line="202" w:lineRule="exact"/>
              <w:rPr>
                <w:sz w:val="20"/>
                <w:szCs w:val="20"/>
                <w:color w:val="auto"/>
              </w:rPr>
            </w:pPr>
            <w:r>
              <w:rPr>
                <w:rFonts w:ascii="Arial" w:cs="Arial" w:eastAsia="Arial" w:hAnsi="Arial"/>
                <w:sz w:val="18"/>
                <w:szCs w:val="18"/>
                <w:color w:val="auto"/>
              </w:rPr>
              <w:t>(29,453)</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80" w:type="dxa"/>
            <w:vAlign w:val="bottom"/>
            <w:gridSpan w:val="11"/>
            <w:shd w:val="clear" w:color="auto" w:fill="CCEEFF"/>
          </w:tcPr>
          <w:p>
            <w:pPr>
              <w:ind w:left="100"/>
              <w:spacing w:after="0" w:line="202" w:lineRule="exact"/>
              <w:rPr>
                <w:sz w:val="20"/>
                <w:szCs w:val="20"/>
                <w:color w:val="auto"/>
              </w:rPr>
            </w:pPr>
            <w:r>
              <w:rPr>
                <w:rFonts w:ascii="Arial" w:cs="Arial" w:eastAsia="Arial" w:hAnsi="Arial"/>
                <w:sz w:val="18"/>
                <w:szCs w:val="18"/>
                <w:color w:val="auto"/>
              </w:rPr>
              <w:t>Finance and insurance, net</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489,161</w:t>
            </w:r>
          </w:p>
        </w:tc>
        <w:tc>
          <w:tcPr>
            <w:tcW w:w="2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441,446</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47,715</w:t>
            </w:r>
          </w:p>
        </w:tc>
        <w:tc>
          <w:tcPr>
            <w:tcW w:w="5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gridSpan w:val="11"/>
          </w:tcPr>
          <w:p>
            <w:pPr>
              <w:ind w:left="100"/>
              <w:spacing w:after="0" w:line="196" w:lineRule="exact"/>
              <w:rPr>
                <w:sz w:val="20"/>
                <w:szCs w:val="20"/>
                <w:color w:val="auto"/>
              </w:rPr>
            </w:pPr>
            <w:r>
              <w:rPr>
                <w:rFonts w:ascii="Arial" w:cs="Arial" w:eastAsia="Arial" w:hAnsi="Arial"/>
                <w:sz w:val="18"/>
                <w:szCs w:val="18"/>
                <w:color w:val="auto"/>
              </w:rPr>
              <w:t>Total</w:t>
            </w:r>
          </w:p>
        </w:tc>
        <w:tc>
          <w:tcPr>
            <w:tcW w:w="3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4,527,558</w:t>
            </w:r>
          </w:p>
        </w:tc>
        <w:tc>
          <w:tcPr>
            <w:tcW w:w="26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4,246,366</w:t>
            </w:r>
          </w:p>
        </w:tc>
        <w:tc>
          <w:tcPr>
            <w:tcW w:w="220" w:type="dxa"/>
            <w:vAlign w:val="bottom"/>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281,192</w:t>
            </w:r>
          </w:p>
        </w:tc>
        <w:tc>
          <w:tcPr>
            <w:tcW w:w="5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00" w:type="dxa"/>
            <w:vAlign w:val="bottom"/>
            <w:gridSpan w:val="12"/>
          </w:tcPr>
          <w:p>
            <w:pPr>
              <w:ind w:left="20"/>
              <w:spacing w:after="0" w:line="176" w:lineRule="exact"/>
              <w:rPr>
                <w:sz w:val="20"/>
                <w:szCs w:val="20"/>
                <w:color w:val="auto"/>
              </w:rPr>
            </w:pPr>
            <w:r>
              <w:rPr>
                <w:rFonts w:ascii="Arial" w:cs="Arial" w:eastAsia="Arial" w:hAnsi="Arial"/>
                <w:sz w:val="18"/>
                <w:szCs w:val="18"/>
                <w:color w:val="auto"/>
              </w:rPr>
              <w:t>Average gross profit per unit</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40" w:type="dxa"/>
            <w:vAlign w:val="bottom"/>
            <w:tcBorders>
              <w:top w:val="single" w:sz="8" w:color="auto"/>
            </w:tcBorders>
            <w:gridSpan w:val="8"/>
            <w:shd w:val="clear" w:color="auto" w:fill="CCEEFF"/>
          </w:tcPr>
          <w:p>
            <w:pPr>
              <w:ind w:left="100"/>
              <w:spacing w:after="0" w:line="202" w:lineRule="exact"/>
              <w:rPr>
                <w:sz w:val="20"/>
                <w:szCs w:val="20"/>
                <w:color w:val="auto"/>
              </w:rPr>
            </w:pPr>
            <w:r>
              <w:rPr>
                <w:rFonts w:ascii="Arial" w:cs="Arial" w:eastAsia="Arial" w:hAnsi="Arial"/>
                <w:sz w:val="18"/>
                <w:szCs w:val="18"/>
                <w:color w:val="auto"/>
              </w:rPr>
              <w:t>New vehicles</w:t>
            </w:r>
          </w:p>
        </w:tc>
        <w:tc>
          <w:tcPr>
            <w:tcW w:w="1240" w:type="dxa"/>
            <w:vAlign w:val="bottom"/>
            <w:gridSpan w:val="3"/>
            <w:shd w:val="clear" w:color="auto" w:fill="CCEEFF"/>
          </w:tcPr>
          <w:p>
            <w:pPr>
              <w:spacing w:after="0"/>
              <w:rPr>
                <w:sz w:val="17"/>
                <w:szCs w:val="17"/>
                <w:color w:val="auto"/>
              </w:rPr>
            </w:pP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4,845</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color w:val="auto"/>
              </w:rPr>
              <w:t>(789)</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11"/>
          </w:tcPr>
          <w:p>
            <w:pPr>
              <w:ind w:left="100"/>
              <w:spacing w:after="0" w:line="202" w:lineRule="exact"/>
              <w:rPr>
                <w:sz w:val="20"/>
                <w:szCs w:val="20"/>
                <w:color w:val="auto"/>
              </w:rPr>
            </w:pPr>
            <w:r>
              <w:rPr>
                <w:rFonts w:ascii="Arial" w:cs="Arial" w:eastAsia="Arial" w:hAnsi="Arial"/>
                <w:sz w:val="18"/>
                <w:szCs w:val="18"/>
                <w:color w:val="auto"/>
              </w:rPr>
              <w:t>Used vehicles</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5,885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5,722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5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3480" w:type="dxa"/>
            <w:vAlign w:val="bottom"/>
            <w:gridSpan w:val="11"/>
            <w:shd w:val="clear" w:color="auto" w:fill="CCEEFF"/>
          </w:tcPr>
          <w:p>
            <w:pPr>
              <w:ind w:left="100"/>
              <w:spacing w:after="0" w:line="183" w:lineRule="exact"/>
              <w:rPr>
                <w:sz w:val="20"/>
                <w:szCs w:val="20"/>
                <w:color w:val="auto"/>
              </w:rPr>
            </w:pPr>
            <w:r>
              <w:rPr>
                <w:rFonts w:ascii="Arial" w:cs="Arial" w:eastAsia="Arial" w:hAnsi="Arial"/>
                <w:sz w:val="18"/>
                <w:szCs w:val="18"/>
                <w:color w:val="auto"/>
              </w:rPr>
              <w:t>Finance and insurance, net per vehicle</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3480" w:type="dxa"/>
            <w:vAlign w:val="bottom"/>
            <w:gridSpan w:val="11"/>
            <w:shd w:val="clear" w:color="auto" w:fill="CCEEFF"/>
          </w:tcPr>
          <w:p>
            <w:pPr>
              <w:ind w:left="100"/>
              <w:spacing w:after="0"/>
              <w:rPr>
                <w:sz w:val="20"/>
                <w:szCs w:val="20"/>
                <w:color w:val="auto"/>
              </w:rPr>
            </w:pPr>
            <w:r>
              <w:rPr>
                <w:rFonts w:ascii="Arial" w:cs="Arial" w:eastAsia="Arial" w:hAnsi="Arial"/>
                <w:sz w:val="18"/>
                <w:szCs w:val="18"/>
                <w:color w:val="auto"/>
              </w:rPr>
              <w:t>unit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11"/>
          </w:tcPr>
          <w:p>
            <w:pPr>
              <w:ind w:left="100"/>
              <w:spacing w:after="0" w:line="202" w:lineRule="exact"/>
              <w:rPr>
                <w:sz w:val="20"/>
                <w:szCs w:val="20"/>
                <w:color w:val="auto"/>
              </w:rPr>
            </w:pPr>
            <w:r>
              <w:rPr>
                <w:rFonts w:ascii="Arial" w:cs="Arial" w:eastAsia="Arial" w:hAnsi="Arial"/>
                <w:sz w:val="16"/>
                <w:szCs w:val="16"/>
                <w:color w:val="auto"/>
              </w:rPr>
              <w:t>Total vehicle front-end yield</w:t>
            </w:r>
            <w:r>
              <w:rPr>
                <w:rFonts w:ascii="Arial" w:cs="Arial" w:eastAsia="Arial" w:hAnsi="Arial"/>
                <w:sz w:val="23"/>
                <w:szCs w:val="23"/>
                <w:color w:val="auto"/>
                <w:vertAlign w:val="superscript"/>
              </w:rPr>
              <w:t>(2)</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9,893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10,508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408"/>
              <w:spacing w:after="0" w:line="202" w:lineRule="exact"/>
              <w:rPr>
                <w:sz w:val="20"/>
                <w:szCs w:val="20"/>
                <w:color w:val="auto"/>
              </w:rPr>
            </w:pPr>
            <w:r>
              <w:rPr>
                <w:rFonts w:ascii="Arial" w:cs="Arial" w:eastAsia="Arial" w:hAnsi="Arial"/>
                <w:sz w:val="18"/>
                <w:szCs w:val="18"/>
                <w:color w:val="auto"/>
              </w:rPr>
              <w:t>(615)</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00" w:type="dxa"/>
            <w:vAlign w:val="bottom"/>
            <w:gridSpan w:val="12"/>
          </w:tcPr>
          <w:p>
            <w:pPr>
              <w:ind w:left="20"/>
              <w:spacing w:after="0" w:line="176" w:lineRule="exact"/>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80" w:type="dxa"/>
            <w:vAlign w:val="bottom"/>
            <w:gridSpan w:val="11"/>
            <w:shd w:val="clear" w:color="auto" w:fill="CCEEFF"/>
          </w:tcPr>
          <w:p>
            <w:pPr>
              <w:ind w:left="100"/>
              <w:spacing w:after="0" w:line="202" w:lineRule="exact"/>
              <w:rPr>
                <w:sz w:val="20"/>
                <w:szCs w:val="20"/>
                <w:color w:val="auto"/>
              </w:rPr>
            </w:pPr>
            <w:r>
              <w:rPr>
                <w:rFonts w:ascii="Arial" w:cs="Arial" w:eastAsia="Arial" w:hAnsi="Arial"/>
                <w:sz w:val="18"/>
                <w:szCs w:val="18"/>
                <w:color w:val="auto"/>
              </w:rPr>
              <w:t>Good Sam Services and Plans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59.2%</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(590)</w:t>
            </w:r>
            <w:r>
              <w:rPr>
                <w:rFonts w:ascii="Arial" w:cs="Arial" w:eastAsia="Arial" w:hAnsi="Arial"/>
                <w:sz w:val="14"/>
                <w:szCs w:val="14"/>
                <w:color w:val="auto"/>
              </w:rPr>
              <w:t>bps</w:t>
            </w: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11"/>
          </w:tcPr>
          <w:p>
            <w:pPr>
              <w:ind w:left="100"/>
              <w:spacing w:after="0" w:line="202" w:lineRule="exact"/>
              <w:rPr>
                <w:sz w:val="20"/>
                <w:szCs w:val="20"/>
                <w:color w:val="auto"/>
              </w:rPr>
            </w:pPr>
            <w:r>
              <w:rPr>
                <w:rFonts w:ascii="Arial" w:cs="Arial" w:eastAsia="Arial" w:hAnsi="Arial"/>
                <w:sz w:val="18"/>
                <w:szCs w:val="18"/>
                <w:color w:val="auto"/>
              </w:rPr>
              <w:t>New vehicles</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(86)</w:t>
            </w:r>
            <w:r>
              <w:rPr>
                <w:rFonts w:ascii="Arial" w:cs="Arial" w:eastAsia="Arial" w:hAnsi="Arial"/>
                <w:sz w:val="14"/>
                <w:szCs w:val="14"/>
                <w:color w:val="auto"/>
              </w:rPr>
              <w:t>bps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80" w:type="dxa"/>
            <w:vAlign w:val="bottom"/>
            <w:gridSpan w:val="11"/>
            <w:shd w:val="clear" w:color="auto" w:fill="CCEEFF"/>
          </w:tcPr>
          <w:p>
            <w:pPr>
              <w:ind w:left="100"/>
              <w:spacing w:after="0" w:line="202" w:lineRule="exact"/>
              <w:rPr>
                <w:sz w:val="20"/>
                <w:szCs w:val="20"/>
                <w:color w:val="auto"/>
              </w:rPr>
            </w:pPr>
            <w:r>
              <w:rPr>
                <w:rFonts w:ascii="Arial" w:cs="Arial" w:eastAsia="Arial" w:hAnsi="Arial"/>
                <w:sz w:val="18"/>
                <w:szCs w:val="18"/>
                <w:color w:val="auto"/>
              </w:rPr>
              <w:t>Used vehicles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 xml:space="preserve">86 </w:t>
            </w:r>
            <w:r>
              <w:rPr>
                <w:rFonts w:ascii="Arial" w:cs="Arial" w:eastAsia="Arial" w:hAnsi="Arial"/>
                <w:sz w:val="14"/>
                <w:szCs w:val="14"/>
                <w:color w:val="auto"/>
              </w:rPr>
              <w:t>bps</w:t>
            </w: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11"/>
          </w:tcPr>
          <w:p>
            <w:pPr>
              <w:ind w:left="100"/>
              <w:spacing w:after="0" w:line="202" w:lineRule="exact"/>
              <w:rPr>
                <w:sz w:val="20"/>
                <w:szCs w:val="20"/>
                <w:color w:val="auto"/>
              </w:rPr>
            </w:pPr>
            <w:r>
              <w:rPr>
                <w:rFonts w:ascii="Arial" w:cs="Arial" w:eastAsia="Arial" w:hAnsi="Arial"/>
                <w:sz w:val="18"/>
                <w:szCs w:val="18"/>
                <w:color w:val="auto"/>
              </w:rPr>
              <w:t>Products, service and other</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47.1%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43.5%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 xml:space="preserve">358 </w:t>
            </w:r>
            <w:r>
              <w:rPr>
                <w:rFonts w:ascii="Arial" w:cs="Arial" w:eastAsia="Arial" w:hAnsi="Arial"/>
                <w:sz w:val="14"/>
                <w:szCs w:val="14"/>
                <w:color w:val="auto"/>
              </w:rPr>
              <w:t>bps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80" w:type="dxa"/>
            <w:vAlign w:val="bottom"/>
            <w:gridSpan w:val="11"/>
            <w:shd w:val="clear" w:color="auto" w:fill="CCEEFF"/>
          </w:tcPr>
          <w:p>
            <w:pPr>
              <w:ind w:left="100"/>
              <w:spacing w:after="0" w:line="202" w:lineRule="exact"/>
              <w:rPr>
                <w:sz w:val="20"/>
                <w:szCs w:val="20"/>
                <w:color w:val="auto"/>
              </w:rPr>
            </w:pPr>
            <w:r>
              <w:rPr>
                <w:rFonts w:ascii="Arial" w:cs="Arial" w:eastAsia="Arial" w:hAnsi="Arial"/>
                <w:sz w:val="18"/>
                <w:szCs w:val="18"/>
                <w:color w:val="auto"/>
              </w:rPr>
              <w:t>Finance and insurance, net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color w:val="auto"/>
              </w:rPr>
              <w:t>unch</w:t>
            </w: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11"/>
          </w:tcPr>
          <w:p>
            <w:pPr>
              <w:ind w:left="100"/>
              <w:spacing w:after="0" w:line="202" w:lineRule="exact"/>
              <w:rPr>
                <w:sz w:val="20"/>
                <w:szCs w:val="20"/>
                <w:color w:val="auto"/>
              </w:rPr>
            </w:pPr>
            <w:r>
              <w:rPr>
                <w:rFonts w:ascii="Arial" w:cs="Arial" w:eastAsia="Arial" w:hAnsi="Arial"/>
                <w:sz w:val="18"/>
                <w:szCs w:val="18"/>
                <w:color w:val="auto"/>
              </w:rPr>
              <w:t>Good Sam Club</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88.4%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88.8%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(38)</w:t>
            </w:r>
            <w:r>
              <w:rPr>
                <w:rFonts w:ascii="Arial" w:cs="Arial" w:eastAsia="Arial" w:hAnsi="Arial"/>
                <w:sz w:val="14"/>
                <w:szCs w:val="14"/>
                <w:color w:val="auto"/>
              </w:rPr>
              <w:t>bps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480" w:type="dxa"/>
            <w:vAlign w:val="bottom"/>
            <w:tcBorders>
              <w:top w:val="single" w:sz="8" w:color="CCEEFF"/>
            </w:tcBorders>
            <w:gridSpan w:val="11"/>
            <w:shd w:val="clear" w:color="auto" w:fill="CCEEFF"/>
          </w:tcPr>
          <w:p>
            <w:pPr>
              <w:ind w:left="200"/>
              <w:spacing w:after="0" w:line="196" w:lineRule="exact"/>
              <w:rPr>
                <w:sz w:val="20"/>
                <w:szCs w:val="20"/>
                <w:color w:val="auto"/>
              </w:rPr>
            </w:pPr>
            <w:r>
              <w:rPr>
                <w:rFonts w:ascii="Arial" w:cs="Arial" w:eastAsia="Arial" w:hAnsi="Arial"/>
                <w:sz w:val="18"/>
                <w:szCs w:val="18"/>
                <w:color w:val="auto"/>
              </w:rPr>
              <w:t>Subtotal RV and Outdoor Retail</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w:t>
            </w:r>
          </w:p>
        </w:tc>
        <w:tc>
          <w:tcPr>
            <w:tcW w:w="500" w:type="dxa"/>
            <w:vAlign w:val="bottom"/>
            <w:tcBorders>
              <w:top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bps</w:t>
            </w:r>
          </w:p>
        </w:tc>
        <w:tc>
          <w:tcPr>
            <w:tcW w:w="7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3480" w:type="dxa"/>
            <w:vAlign w:val="bottom"/>
            <w:tcBorders>
              <w:bottom w:val="single" w:sz="8" w:color="CCEEFF"/>
            </w:tcBorders>
            <w:gridSpan w:val="11"/>
          </w:tcPr>
          <w:p>
            <w:pPr>
              <w:ind w:left="100"/>
              <w:spacing w:after="0" w:line="196" w:lineRule="exact"/>
              <w:rPr>
                <w:sz w:val="20"/>
                <w:szCs w:val="20"/>
                <w:color w:val="auto"/>
              </w:rPr>
            </w:pPr>
            <w:r>
              <w:rPr>
                <w:rFonts w:ascii="Arial" w:cs="Arial" w:eastAsia="Arial" w:hAnsi="Arial"/>
                <w:sz w:val="18"/>
                <w:szCs w:val="18"/>
                <w:color w:val="auto"/>
              </w:rPr>
              <w:t>Total gross margin</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500" w:type="dxa"/>
            <w:vAlign w:val="bottom"/>
            <w:tcBorders>
              <w:bottom w:val="single" w:sz="8" w:color="CCEEFF"/>
            </w:tcBorders>
          </w:tcPr>
          <w:p>
            <w:pPr>
              <w:jc w:val="right"/>
              <w:ind w:right="168"/>
              <w:spacing w:after="0"/>
              <w:rPr>
                <w:sz w:val="20"/>
                <w:szCs w:val="20"/>
                <w:color w:val="auto"/>
              </w:rPr>
            </w:pPr>
            <w:r>
              <w:rPr>
                <w:rFonts w:ascii="Arial" w:cs="Arial" w:eastAsia="Arial" w:hAnsi="Arial"/>
                <w:sz w:val="14"/>
                <w:szCs w:val="14"/>
                <w:color w:val="auto"/>
              </w:rPr>
              <w:t>bps</w:t>
            </w:r>
          </w:p>
        </w:tc>
        <w:tc>
          <w:tcPr>
            <w:tcW w:w="76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gridSpan w:val="12"/>
          </w:tcPr>
          <w:p>
            <w:pPr>
              <w:ind w:left="20"/>
              <w:spacing w:after="0" w:line="176" w:lineRule="exact"/>
              <w:rPr>
                <w:sz w:val="20"/>
                <w:szCs w:val="20"/>
                <w:color w:val="auto"/>
              </w:rPr>
            </w:pPr>
            <w:r>
              <w:rPr>
                <w:rFonts w:ascii="Arial" w:cs="Arial" w:eastAsia="Arial" w:hAnsi="Arial"/>
                <w:sz w:val="18"/>
                <w:szCs w:val="18"/>
                <w:color w:val="auto"/>
              </w:rPr>
              <w:t>Other data</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3480" w:type="dxa"/>
            <w:vAlign w:val="bottom"/>
            <w:gridSpan w:val="11"/>
            <w:shd w:val="clear" w:color="auto" w:fill="CCEEFF"/>
          </w:tcPr>
          <w:p>
            <w:pPr>
              <w:ind w:left="100"/>
              <w:spacing w:after="0" w:line="183" w:lineRule="exact"/>
              <w:rPr>
                <w:sz w:val="20"/>
                <w:szCs w:val="20"/>
                <w:color w:val="auto"/>
              </w:rPr>
            </w:pPr>
            <w:r>
              <w:rPr>
                <w:rFonts w:ascii="Arial" w:cs="Arial" w:eastAsia="Arial" w:hAnsi="Arial"/>
                <w:sz w:val="18"/>
                <w:szCs w:val="18"/>
                <w:color w:val="auto"/>
              </w:rPr>
              <w:t>Finance and insurance gross profit as a</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3480" w:type="dxa"/>
            <w:vAlign w:val="bottom"/>
            <w:gridSpan w:val="11"/>
            <w:shd w:val="clear" w:color="auto" w:fill="CCEEFF"/>
          </w:tcPr>
          <w:p>
            <w:pPr>
              <w:ind w:left="100"/>
              <w:spacing w:after="0"/>
              <w:rPr>
                <w:sz w:val="20"/>
                <w:szCs w:val="20"/>
                <w:color w:val="auto"/>
              </w:rPr>
            </w:pPr>
            <w:r>
              <w:rPr>
                <w:rFonts w:ascii="Arial" w:cs="Arial" w:eastAsia="Arial" w:hAnsi="Arial"/>
                <w:sz w:val="18"/>
                <w:szCs w:val="18"/>
                <w:color w:val="auto"/>
              </w:rPr>
              <w:t>% of total vehicle revenue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4"/>
                <w:szCs w:val="14"/>
                <w:color w:val="auto"/>
              </w:rPr>
              <w:t>bps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480" w:type="dxa"/>
            <w:vAlign w:val="bottom"/>
            <w:gridSpan w:val="11"/>
          </w:tcPr>
          <w:p>
            <w:pPr>
              <w:ind w:left="100"/>
              <w:spacing w:after="0"/>
              <w:rPr>
                <w:sz w:val="20"/>
                <w:szCs w:val="20"/>
                <w:color w:val="auto"/>
              </w:rPr>
            </w:pPr>
            <w:r>
              <w:rPr>
                <w:rFonts w:ascii="Arial" w:cs="Arial" w:eastAsia="Arial" w:hAnsi="Arial"/>
                <w:sz w:val="18"/>
                <w:szCs w:val="18"/>
                <w:color w:val="auto"/>
              </w:rPr>
              <w:t>Same store locations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1240" w:type="dxa"/>
            <w:vAlign w:val="bottom"/>
            <w:gridSpan w:val="2"/>
          </w:tcPr>
          <w:p>
            <w:pPr>
              <w:jc w:val="right"/>
              <w:ind w:right="468"/>
              <w:spacing w:after="0"/>
              <w:rPr>
                <w:sz w:val="20"/>
                <w:szCs w:val="20"/>
                <w:color w:val="auto"/>
              </w:rPr>
            </w:pPr>
            <w:r>
              <w:rPr>
                <w:rFonts w:ascii="Arial" w:cs="Arial" w:eastAsia="Arial" w:hAnsi="Arial"/>
                <w:sz w:val="18"/>
                <w:szCs w:val="18"/>
                <w:color w:val="auto"/>
              </w:rPr>
              <w:t>n/a</w:t>
            </w: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4"/>
          <w:szCs w:val="14"/>
          <w:color w:val="auto"/>
        </w:rPr>
        <w:t>unch – unchanged</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bps – basis points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 – not applicable</w:t>
      </w:r>
    </w:p>
    <w:p>
      <w:pPr>
        <w:spacing w:after="0" w:line="109" w:lineRule="exact"/>
        <w:rPr>
          <w:sz w:val="20"/>
          <w:szCs w:val="20"/>
          <w:color w:val="auto"/>
        </w:rPr>
      </w:pPr>
    </w:p>
    <w:p>
      <w:pPr>
        <w:ind w:left="380" w:right="79" w:hanging="330"/>
        <w:spacing w:after="0" w:line="204" w:lineRule="auto"/>
        <w:tabs>
          <w:tab w:leader="none" w:pos="38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Our same store revenue and units calculations for a given period include only those stores that were open both at the end of the corresponding period and at the beginning of the preceding fiscal year.</w:t>
      </w:r>
    </w:p>
    <w:p>
      <w:pPr>
        <w:spacing w:after="0" w:line="53"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Front end yield is calculated as gross profit from new vehicles, used vehicles and finance and insurance (net), divided by combined new and used vehicle unit sales.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Revenue and Gross Profit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 Sam Services and Plans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Good Sam Services and Plans revenue increased primarily from increased Good Sam branded extended vehicle warranty program sales through retail finance and insurance offerings, our new tire rescue program and increased contracts in force for our Good Sam branded vehicle insurance products, partially offset by reduced average contracts in force for our roadside assistance programs.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Good Sam Services and Plans gross profit and margin decreased primarily due to incremental roadside assistance claims costs in 2025 and our new tire rescue program, partially offset by increased Good Sam branded extended vehicle warranty program sales through retail finance and insurance offerings.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RV and Outdoor Retail</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vehicles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New vehicles revenue decreased primarily due to an 8.5% decrease in the average selling price per new vehicle sold partially offset by an 8.1% increase in the new vehicles unit sales. On a same store basis, new vehicles revenue decreased 1.0% to $ 2.1 billion resulting from a 9.1% decrease in the average selling price per new vehicle sold, which was impacted by the mix shift toward more inexpensive entry level travel trailers, partly offset by an 8.9% increase in new vehicles unit sales.</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New vehicles gross profit decreased primarily due to an 86 basis point decrease in new vehicles gross margins, partially offset by an 8.1% increase in new vehicles unit sales. The new vehicles gross margin decrease was primarily driven by an 8.5% decrease in the average selling price per new vehicle sold, partially offset by a 7.6% reduction in the average cost per new vehicle sold.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Used vehicles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Used vehicles revenue increased primarily due to a 27.4% increase in used vehicles unit sales, partially offset by a 1.8% decrease in the average selling price per used vehicle sold. On a same store basis, used vehicles revenue increased 24.3% to $1.5 billion from an increase in used vehicles unit sales of 27.3% partially offset by a 2.3% decrease in average sales price per used vehicle sold.</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Used vehicles gross profit increased primarily due to the 27.4% increase in used vehicles unit sales and an 86 basis point increase in used vehicles gross margin. The used vehicles gross margin increase was primarily due to a 2.8% decrease in the average cost per unit sold, partially offset by a 1.8% decrease in average price per used vehicle sold.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Products, service and other</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Products, service and other revenue decreased primarily due to increased allocation of labor towards used vehicle reconditioning and away from customer pay work as used vehicle sales volumes increased, and the divestiture of our RV furniture business in May 2024, which contributed $9.3 million of revenue, outside of the RV furniture sold through our store locations, for the nine months ended September 30, 2024. On a same store basis, products, service and other revenue decreased 5.8% to $480.4 million.</w:t>
      </w:r>
    </w:p>
    <w:p>
      <w:pPr>
        <w:spacing w:after="0" w:line="1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increase in products, service and other gross profit was primarily due to improved inventory management, improved margins on aftermarket parts sales, and divestiture of our RV furniture business, partially offset by a lower mix of service warranty work. Products, service and other gross margin increased 358 basis points to 47.1% driven by higher labor billing rates, improved gross margins on our aftermarket part assortment, and the divestiture of the RV furniture business, which had negative gross margins for the nine months ended September 30, 2024.</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Finance and insurance, net</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Finance and insurance revenue and gross profit is recorded net, since the Company is acting as an agent in the transaction, and commission is recognized when a finance and insurance product contract payment has been received or financing has been arranged. The finance and insurance, net revenue increase was primarily a result of an increased number of contracts sold resulting from 16.0% increase in total vehicle unit sales and incremental revenue from new finance and insurance products, partially offset by the 6.7% decrease in total vehicle average selling price, since certain finance and insurance, net offerings correlate with the selling price of vehicles, and an unfavorable impact of $5.7 million from changes in the estimate of chargebacks based on actuarial analyses. Finance and insurance, net revenue as a percentage of new and used vehicle revenue was 13.6%, an increase from 13.4%. On a same store basis, finance and insurance, net revenue increased 10.8%.</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Sam Club</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Good Sam Club revenue and gross profit decreased primarily from the 10.9% decrease in Good Sam Club members, excluding free basic plan members. The decline in Good Sam Club members was a result of the availability of the free basic plan that was introduced in late 2023, which provides for limited participation in the loyalty point program without access to the remaining member benefits, and price increases introduced by early 2024 that impacted renewal rates.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Expenses and Other</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general and administrative expenses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Selling, general and administrative expenses increased primarily due to a $15.1 million increase in commissions costs, a $7.2 million increase in employee SBC expense, a $6.3 million increase in software expenses and maintenance, and a $5.1 million increase in advertising expenses, partially offset by a $3.6 million decrease in other employee cash compensation costs.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Long-lived asset impairment</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discussed in Note 4 – Long-Lived Asset Impairment to our condensed consolidated financial statements included in Part I, Item 1 of this Form 10-Q, we recognized $1.2 million of long-lived asset impairments, a decrease of $11.1 million. These long-lived asset impairments related to decreases in market rental rates or market value of real property for closed locations, or based on the Company’s review of location performance in the normal course of business.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Floor plan interest expense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decrease in floor plan interest expense was primarily due to a 135 basis point decrease in the average floor plan borrowing rate and, to a lesser extent, reduced borrowings. The average interest rate for the Floor Plan Facility for the nine months ended September 30, 2025 and 2024 was 6.43% and 7.78%, respectively.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interest expense, net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Other interest expense, net decreased primarily due to the reduced interest rate on our Term Loan Facility, reduced borrowings on our Senior Secured Credit Facilities and Real Estate Facilities, and no outstanding balance on the revolving line of credit under the Floor Plan Facility (see Note 7 – Long-Term Debt and Note 3 – Inventories and Floor Plan Payables to our condensed consolidated financial statements included in Part I, Item 1 of this Form 10-Q). The average interest rate for the Term Loan Facility for the nine months ended September 30, 2025 and 2024 was 6.95% and 7.96%, respectively. The average interest rate on the M&amp;T Real Estate Facility (as defined in Note 7 – Long Term Debt) for nine months ended September 30, 2025 and 2024 was 6.77% and 7.55%, respectively.</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Tax Receivable Agreement liability adjustment</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increase in Tax Receivable Agreement liability adjustment was based on the change in the determination of the realizability of future cash tax benefits underlying the estimate of future payments under the Tax Receivable Agreement during the nine months ended September 30, 2025, which resulted in a remaining total Tax Receivable Agreement liability of $1.2 million as of September 30, 2025. See Note 13 ― Income Taxes to our condensed consolidated financial statements included in Part I, Item 1 of this Form 10-Q for further details.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expense</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increase in income tax expense was primarily due to $175.4 million of income tax expense for establishing a full valuation allowance against the net deferred tax assets of the public holding company, CWH, during the nine months ended September 30, 2025 and $37.3 million of income tax expense for the remeasurement of deferred tax assets associated with the reduction of the Tax Receivable Agreement liability, as discussed above. See Note 13 ― Income Taxes to our condensed consolidated financial statements included in Part I, Item 1 of this Form 10-Q for further details.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Segment Results</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sets forth information comparing select components of Segment Adjusted EBITDA for each of our segments for the periods presented:</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gridSpan w:val="9"/>
          </w:tcPr>
          <w:p>
            <w:pPr>
              <w:ind w:left="48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14"/>
                <w:szCs w:val="14"/>
                <w:color w:val="auto"/>
              </w:rPr>
            </w:pPr>
          </w:p>
        </w:tc>
        <w:tc>
          <w:tcPr>
            <w:tcW w:w="134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gridSpan w:val="3"/>
          </w:tcPr>
          <w:p>
            <w:pPr>
              <w:jc w:val="right"/>
              <w:ind w:right="608"/>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gridSpan w:val="3"/>
          </w:tcPr>
          <w:p>
            <w:pPr>
              <w:jc w:val="right"/>
              <w:ind w:right="608"/>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Percent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Percent of</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88"/>
              <w:spacing w:after="0" w:line="155" w:lineRule="exact"/>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56"/>
        </w:trPr>
        <w:tc>
          <w:tcPr>
            <w:tcW w:w="37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 in thousands)</w:t>
            </w:r>
          </w:p>
        </w:tc>
        <w:tc>
          <w:tcPr>
            <w:tcW w:w="120" w:type="dxa"/>
            <w:vAlign w:val="bottom"/>
          </w:tcPr>
          <w:p>
            <w:pPr>
              <w:spacing w:after="0"/>
              <w:rPr>
                <w:sz w:val="13"/>
                <w:szCs w:val="13"/>
                <w:color w:val="auto"/>
              </w:rPr>
            </w:pP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3"/>
                <w:szCs w:val="13"/>
                <w:color w:val="auto"/>
              </w:rPr>
            </w:pP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3"/>
                <w:szCs w:val="13"/>
                <w:color w:val="auto"/>
              </w:rPr>
            </w:pPr>
          </w:p>
        </w:tc>
        <w:tc>
          <w:tcPr>
            <w:tcW w:w="64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54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35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Good Sam Services and Plans:</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ind w:left="12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External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152,929</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149,070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3,859</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3740" w:type="dxa"/>
            <w:vAlign w:val="bottom"/>
            <w:tcBorders>
              <w:bottom w:val="single" w:sz="8" w:color="CCEEFF"/>
            </w:tcBorders>
            <w:gridSpan w:val="2"/>
          </w:tcPr>
          <w:p>
            <w:pPr>
              <w:ind w:left="220"/>
              <w:spacing w:after="0" w:line="162" w:lineRule="exact"/>
              <w:rPr>
                <w:sz w:val="20"/>
                <w:szCs w:val="20"/>
                <w:color w:val="auto"/>
              </w:rPr>
            </w:pPr>
            <w:r>
              <w:rPr>
                <w:rFonts w:ascii="Arial" w:cs="Arial" w:eastAsia="Arial" w:hAnsi="Arial"/>
                <w:sz w:val="13"/>
                <w:szCs w:val="13"/>
                <w:color w:val="auto"/>
              </w:rPr>
              <w:t>Intersegment revenue</w:t>
            </w:r>
            <w:r>
              <w:rPr>
                <w:rFonts w:ascii="Arial" w:cs="Arial" w:eastAsia="Arial" w:hAnsi="Arial"/>
                <w:sz w:val="18"/>
                <w:szCs w:val="18"/>
                <w:color w:val="auto"/>
                <w:vertAlign w:val="superscript"/>
              </w:rPr>
              <w:t>(1)</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55"/>
        </w:trPr>
        <w:tc>
          <w:tcPr>
            <w:tcW w:w="3740" w:type="dxa"/>
            <w:vAlign w:val="bottom"/>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revenue before intersegment eliminations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153,989</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150,027</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3,962</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Segment expenses: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costs applicable to revenue</w:t>
            </w:r>
            <w:r>
              <w:rPr>
                <w:rFonts w:ascii="Arial" w:cs="Arial" w:eastAsia="Arial" w:hAnsi="Arial"/>
                <w:sz w:val="18"/>
                <w:szCs w:val="18"/>
                <w:color w:val="auto"/>
                <w:vertAlign w:val="superscript"/>
              </w:rPr>
              <w:t>(2)</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62,353</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51,950</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(10,403)</w:t>
            </w:r>
          </w:p>
        </w:tc>
        <w:tc>
          <w:tcPr>
            <w:tcW w:w="54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3"/>
                <w:szCs w:val="13"/>
                <w:color w:val="auto"/>
              </w:rPr>
              <w:t>Intersegment costs applicable to revenue</w:t>
            </w:r>
            <w:r>
              <w:rPr>
                <w:rFonts w:ascii="Arial" w:cs="Arial" w:eastAsia="Arial" w:hAnsi="Arial"/>
                <w:sz w:val="18"/>
                <w:szCs w:val="18"/>
                <w:color w:val="auto"/>
                <w:vertAlign w:val="superscript"/>
              </w:rPr>
              <w:t>(3)</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2"/>
        </w:trPr>
        <w:tc>
          <w:tcPr>
            <w:tcW w:w="374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selling, general and administrative</w:t>
            </w:r>
            <w:r>
              <w:rPr>
                <w:rFonts w:ascii="Arial" w:cs="Arial" w:eastAsia="Arial" w:hAnsi="Arial"/>
                <w:sz w:val="18"/>
                <w:szCs w:val="18"/>
                <w:color w:val="auto"/>
                <w:vertAlign w:val="superscript"/>
              </w:rPr>
              <w:t>(4)</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23,072</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22,053</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(1,019)</w:t>
            </w:r>
          </w:p>
        </w:tc>
        <w:tc>
          <w:tcPr>
            <w:tcW w:w="54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55"/>
        </w:trPr>
        <w:tc>
          <w:tcPr>
            <w:tcW w:w="3740" w:type="dxa"/>
            <w:vAlign w:val="bottom"/>
            <w:tcBorders>
              <w:top w:val="single" w:sz="8" w:color="CCEEFF"/>
              <w:bottom w:val="single" w:sz="8" w:color="CCEEFF"/>
            </w:tcBorders>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Segment Adjusted EBITDA</w:t>
            </w: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67,859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75,280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(7,421)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RV and Outdoor Retail:</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ind w:left="12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External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5,042,661</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4,746,440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296,221</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2"/>
        </w:trPr>
        <w:tc>
          <w:tcPr>
            <w:tcW w:w="374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Intersegment revenue</w:t>
            </w:r>
            <w:r>
              <w:rPr>
                <w:rFonts w:ascii="Arial" w:cs="Arial" w:eastAsia="Arial" w:hAnsi="Arial"/>
                <w:sz w:val="18"/>
                <w:szCs w:val="18"/>
                <w:color w:val="auto"/>
                <w:vertAlign w:val="superscript"/>
              </w:rPr>
              <w:t>(1)</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10,161</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10,465</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(304)</w:t>
            </w:r>
          </w:p>
        </w:tc>
        <w:tc>
          <w:tcPr>
            <w:tcW w:w="54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6"/>
        </w:trPr>
        <w:tc>
          <w:tcPr>
            <w:tcW w:w="374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revenue before intersegment eliminations</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5,052,822</w:t>
            </w: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4,756,905</w:t>
            </w: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295,917</w:t>
            </w:r>
          </w:p>
        </w:tc>
        <w:tc>
          <w:tcPr>
            <w:tcW w:w="1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Segment expenses: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costs applicable to revenue</w:t>
            </w:r>
            <w:r>
              <w:rPr>
                <w:rFonts w:ascii="Arial" w:cs="Arial" w:eastAsia="Arial" w:hAnsi="Arial"/>
                <w:sz w:val="18"/>
                <w:szCs w:val="18"/>
                <w:color w:val="auto"/>
                <w:vertAlign w:val="superscript"/>
              </w:rPr>
              <w:t>(2)</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3,593,978</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3,394,704</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(199,274)</w:t>
            </w:r>
          </w:p>
        </w:tc>
        <w:tc>
          <w:tcPr>
            <w:tcW w:w="54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3"/>
                <w:szCs w:val="13"/>
                <w:color w:val="auto"/>
              </w:rPr>
              <w:t>Intersegment costs applicable to revenue</w:t>
            </w:r>
            <w:r>
              <w:rPr>
                <w:rFonts w:ascii="Arial" w:cs="Arial" w:eastAsia="Arial" w:hAnsi="Arial"/>
                <w:sz w:val="18"/>
                <w:szCs w:val="18"/>
                <w:color w:val="auto"/>
                <w:vertAlign w:val="superscript"/>
              </w:rPr>
              <w:t>(3)</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9,744</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8,341</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(1,403)</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62"/>
        </w:trPr>
        <w:tc>
          <w:tcPr>
            <w:tcW w:w="374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selling, general and administrative</w:t>
            </w:r>
            <w:r>
              <w:rPr>
                <w:rFonts w:ascii="Arial" w:cs="Arial" w:eastAsia="Arial" w:hAnsi="Arial"/>
                <w:sz w:val="18"/>
                <w:szCs w:val="18"/>
                <w:color w:val="auto"/>
                <w:vertAlign w:val="superscript"/>
              </w:rPr>
              <w:t>(4)</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1,179,591</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1,158,009</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(21,582)</w:t>
            </w: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Floor plan interest expense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57,356</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78,053</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20,697</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62"/>
        </w:trPr>
        <w:tc>
          <w:tcPr>
            <w:tcW w:w="374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Other segment items</w:t>
            </w:r>
            <w:r>
              <w:rPr>
                <w:rFonts w:ascii="Arial" w:cs="Arial" w:eastAsia="Arial" w:hAnsi="Arial"/>
                <w:sz w:val="18"/>
                <w:szCs w:val="18"/>
                <w:color w:val="auto"/>
                <w:vertAlign w:val="superscript"/>
              </w:rPr>
              <w:t>(5)</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(29)</w:t>
            </w:r>
          </w:p>
        </w:tc>
        <w:tc>
          <w:tcPr>
            <w:tcW w:w="720" w:type="dxa"/>
            <w:vAlign w:val="bottom"/>
          </w:tcPr>
          <w:p>
            <w:pPr>
              <w:jc w:val="right"/>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223</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252</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155"/>
        </w:trPr>
        <w:tc>
          <w:tcPr>
            <w:tcW w:w="3740" w:type="dxa"/>
            <w:vAlign w:val="bottom"/>
            <w:tcBorders>
              <w:top w:val="single" w:sz="8" w:color="CCEEFF"/>
              <w:bottom w:val="single" w:sz="8" w:color="CCEEFF"/>
            </w:tcBorders>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Segment Adjusted EBITDA</w:t>
            </w: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212,182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117,575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94,607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hanging="330"/>
        <w:spacing w:after="0"/>
        <w:tabs>
          <w:tab w:leader="none" w:pos="380" w:val="left"/>
        </w:tabs>
        <w:numPr>
          <w:ilvl w:val="0"/>
          <w:numId w:val="28"/>
        </w:numPr>
        <w:rPr>
          <w:rFonts w:ascii="Arial" w:cs="Arial" w:eastAsia="Arial" w:hAnsi="Arial"/>
          <w:sz w:val="22"/>
          <w:szCs w:val="22"/>
          <w:color w:val="auto"/>
          <w:vertAlign w:val="superscript"/>
        </w:rPr>
      </w:pPr>
      <w:r>
        <w:rPr>
          <w:rFonts w:ascii="Arial" w:cs="Arial" w:eastAsia="Arial" w:hAnsi="Arial"/>
          <w:sz w:val="14"/>
          <w:szCs w:val="14"/>
          <w:color w:val="auto"/>
        </w:rPr>
        <w:t>Intersegment revenue consists of segment revenue that is eliminated in our consolidated statements of operations.</w:t>
      </w:r>
    </w:p>
    <w:p>
      <w:pPr>
        <w:spacing w:after="0" w:line="53" w:lineRule="exact"/>
        <w:rPr>
          <w:rFonts w:ascii="Arial" w:cs="Arial" w:eastAsia="Arial" w:hAnsi="Arial"/>
          <w:sz w:val="22"/>
          <w:szCs w:val="22"/>
          <w:color w:val="auto"/>
          <w:vertAlign w:val="superscript"/>
        </w:rPr>
      </w:pPr>
    </w:p>
    <w:p>
      <w:pPr>
        <w:ind w:left="380" w:hanging="330"/>
        <w:spacing w:after="0" w:line="183" w:lineRule="auto"/>
        <w:tabs>
          <w:tab w:leader="none" w:pos="3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Adjusted costs applicable to revenue excludes SBC expense and intersegment costs applicable to revenue.</w:t>
      </w:r>
    </w:p>
    <w:p>
      <w:pPr>
        <w:spacing w:after="0" w:line="54" w:lineRule="exact"/>
        <w:rPr>
          <w:rFonts w:ascii="Arial" w:cs="Arial" w:eastAsia="Arial" w:hAnsi="Arial"/>
          <w:sz w:val="20"/>
          <w:szCs w:val="20"/>
          <w:color w:val="auto"/>
          <w:vertAlign w:val="superscript"/>
        </w:rPr>
      </w:pPr>
    </w:p>
    <w:p>
      <w:pPr>
        <w:ind w:left="380" w:right="159" w:hanging="330"/>
        <w:spacing w:after="0" w:line="196" w:lineRule="auto"/>
        <w:tabs>
          <w:tab w:leader="none" w:pos="380" w:val="left"/>
        </w:tabs>
        <w:numPr>
          <w:ilvl w:val="0"/>
          <w:numId w:val="28"/>
        </w:numPr>
        <w:rPr>
          <w:rFonts w:ascii="Arial" w:cs="Arial" w:eastAsia="Arial" w:hAnsi="Arial"/>
          <w:sz w:val="22"/>
          <w:szCs w:val="22"/>
          <w:color w:val="auto"/>
          <w:vertAlign w:val="superscript"/>
        </w:rPr>
      </w:pPr>
      <w:r>
        <w:rPr>
          <w:rFonts w:ascii="Arial" w:cs="Arial" w:eastAsia="Arial" w:hAnsi="Arial"/>
          <w:sz w:val="14"/>
          <w:szCs w:val="14"/>
          <w:color w:val="auto"/>
        </w:rPr>
        <w:t>Intersegment costs applicable to revenue consist of segment costs applicable to revenue that are eliminated in our consolidated statements of operations.</w:t>
      </w:r>
    </w:p>
    <w:p>
      <w:pPr>
        <w:ind w:left="380" w:hanging="330"/>
        <w:spacing w:after="0" w:line="217" w:lineRule="auto"/>
        <w:tabs>
          <w:tab w:leader="none" w:pos="380" w:val="left"/>
        </w:tabs>
        <w:numPr>
          <w:ilvl w:val="0"/>
          <w:numId w:val="28"/>
        </w:numPr>
        <w:rPr>
          <w:rFonts w:ascii="Arial" w:cs="Arial" w:eastAsia="Arial" w:hAnsi="Arial"/>
          <w:sz w:val="22"/>
          <w:szCs w:val="22"/>
          <w:color w:val="auto"/>
          <w:vertAlign w:val="superscript"/>
        </w:rPr>
      </w:pPr>
      <w:r>
        <w:rPr>
          <w:rFonts w:ascii="Arial" w:cs="Arial" w:eastAsia="Arial" w:hAnsi="Arial"/>
          <w:sz w:val="14"/>
          <w:szCs w:val="14"/>
          <w:color w:val="auto"/>
        </w:rPr>
        <w:t>Adjusted selling, general, and administrative expenses excludes SBC expense and intersegment operating expenses.</w:t>
      </w:r>
    </w:p>
    <w:p>
      <w:pPr>
        <w:spacing w:after="0" w:line="54" w:lineRule="exact"/>
        <w:rPr>
          <w:rFonts w:ascii="Arial" w:cs="Arial" w:eastAsia="Arial" w:hAnsi="Arial"/>
          <w:sz w:val="22"/>
          <w:szCs w:val="22"/>
          <w:color w:val="auto"/>
          <w:vertAlign w:val="superscript"/>
        </w:rPr>
      </w:pPr>
    </w:p>
    <w:p>
      <w:pPr>
        <w:ind w:left="380" w:right="79" w:hanging="330"/>
        <w:spacing w:after="0" w:line="196" w:lineRule="auto"/>
        <w:tabs>
          <w:tab w:leader="none" w:pos="380" w:val="left"/>
        </w:tabs>
        <w:numPr>
          <w:ilvl w:val="0"/>
          <w:numId w:val="28"/>
        </w:numPr>
        <w:rPr>
          <w:rFonts w:ascii="Arial" w:cs="Arial" w:eastAsia="Arial" w:hAnsi="Arial"/>
          <w:sz w:val="22"/>
          <w:szCs w:val="22"/>
          <w:color w:val="auto"/>
          <w:vertAlign w:val="superscript"/>
        </w:rPr>
      </w:pPr>
      <w:r>
        <w:rPr>
          <w:rFonts w:ascii="Arial" w:cs="Arial" w:eastAsia="Arial" w:hAnsi="Arial"/>
          <w:sz w:val="14"/>
          <w:szCs w:val="14"/>
          <w:color w:val="auto"/>
        </w:rPr>
        <w:t>Other segment items include (i) intersegment operating expenses, which are eliminated in our consolidated statements of operations, and (ii) other expense, net excluding loss and/or impairment on investments in equity securities.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Good Sam Services and Plans Segment</w:t>
      </w:r>
    </w:p>
    <w:p>
      <w:pPr>
        <w:spacing w:after="0" w:line="10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See the “Revenue and Gross Profit” section above for a discussion of impacts to revenue for Good Sam Services and Plans. Adjusted costs applicable to segment revenues reflected increased roadside assistance claims costs and costs associated with the new tire rescue program. Adjusted selling, general and administrative expense increased primarily from increased employee cash compensation expense. The Good Sam Services and Plans Segment Adjusted EBITDA decrease was driven primarily by the increase to adjusted costs applicable to revenue and adjusted selling, general and administrative expense, partially offset by the increase to external revenue discussed above. Intersegment revenue and intersegment costs applicable to revenue did not have a significant impact on the decrease in Segment Adjusted EBITDA.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RV and Outdoor Retail Segment</w:t>
      </w:r>
    </w:p>
    <w:p>
      <w:pPr>
        <w:spacing w:after="0" w:line="10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See the “Revenue and Gross Profit” section above for a discussion of impacts to revenue for RV and Outdoor Retail and “Floor plan interest expense” section above for a discussion of the decrease in floor plan interest expense. Adjusted costs applicable to segment revenue increased from (i) higher total vehicle costs driven by 16.0% higher total unit sales, partially offset by the reductions in cost per new and used vehicles sold discussed above, and (ii) lower products, service and other costs applicable to revenue primarily from the same drivers of the decrease in revenue discussed above. Adjusted selling, general and administrative expense increased primarily due to approximately $15.1 million of increased commissions costs, $5.7 million of increased advertising expenses, and $8.2 million of increased fees paid to outside services providers primarily relating to software expense and maintenance, partially offset by $6.1 million of reduced employee cash compensation expense excluding commissions. The RV and Outdoor Retail Segment Adjusted EBITDA increased from the increases in revenue and reduction in floor plan interest expense, partially offset by the increase in segment expenses discussed above. Intersegment revenue, intersegment costs applicable to revenue, and intersegment operating expenses did not have a significant impact on the increase in Segment Adjusted EBITDA.</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accounting principles generally accepted in the United States (“GAAP”), we use the following non-GAAP financial measures: EBITDA; Adjusted EBITDA; Adjusted EBITDA Margin; Adjusted Net Income Attributable to Camping World Holdings, Inc. – Basic; Adjusted Net Income Attributable to Camping World Holdings, Inc. – Diluted; Adjusted Earnings Per Share – Basic; Adjusted Earnings Per Share – Diluted; and Selling, General, and Administrative Expense (“SG&amp;A”) Excluding SBC (collectively the “Non-GAAP Financial Measures”). We believe that these Non-GAAP Financial Measures, when used in conjunction with GAAP financial measures, provide useful information about operating results, enhance the overall understanding of past financial performance and future prospects, and allow for greater transparency with respect to the key metrics we use in our financial and operational decision making. Certain of these Non-GAAP Financial Measures are also frequently used by analysts, investors and other interested parties to evaluate companies in the Company’s industry and are used by management to evaluate our operating performance, to evaluate the effectiveness of strategic initiatives, and for planning purposes. By providing these Non-GAAP Financial Measures, together with reconciliations, we believe we are enhancing investors’ understanding of our business and our results of operations, as well as assisting investors in evaluating how well we are executing our strategic initiatives. In addition, our Senior Secured Credit Facilities use Adjusted EBITDA, as calculated for our subsidiary CWGS Group, LLC, to measure our compliance with covenants such as the consolidated leverage ratio. The Non-GAAP Financial Measures have limitations as analytical tools, and the presentation of this financial information is not intended to be considered in isolation or as a substitute for, or superior to, the financial information prepared and presented in accordance with GAAP. They should not be construed as an inference that the Company’s future results will be unaffected by any items adjusted for in these Non -GAAP Financial Measures. In evaluating these Non-GAAP Financial Measures, it is reasonable to expect that certain of these items will occur in future periods. However, we believe these adjustments are appropriate because the amounts recognized can vary significantly from period to period, do not directly relate to the ongoing operations of our business and complicate comparisons of our internal operating results and operating results of other companies over time. Each of the normal recurring adjustments and other adjustments described in this section and in the reconciliation tables below help management with a measure of our core operating performance over time by removing items that are not related to day-to-day operations.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Non-GAAP Financial Measures that we use are not necessarily comparable to similarly titled measures used by other companies due to different methods of calculation.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EBITDA, Adjusted EBITDA, and Adjusted EBITDA Margin</w:t>
      </w:r>
    </w:p>
    <w:p>
      <w:pPr>
        <w:spacing w:after="0" w:line="200" w:lineRule="exact"/>
        <w:rPr>
          <w:sz w:val="20"/>
          <w:szCs w:val="20"/>
          <w:color w:val="auto"/>
        </w:rPr>
      </w:pP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define “EBITDA” as net (loss) income before other interest expense, net (excluding floor plan interest expense), provision for income tax benefit (expense) and depreciation and amortization. We define “Adjusted EBITDA” as EBITDA further adjusted for the impact of certain noncash and other items that we do not consider in our evaluation of ongoing operating performance. These items include, among other things, long-lived asset impairment, lease termination costs, gains and losses on sale or disposal of assets, net, SBC, Tax Receivable Agreement liability adjustment, losses and gains and impairment on investments in equity securities, and other unusual or one-time items. We define “Adjusted EBITDA Margin” as Adjusted EBITDA as a percentage of total revenue. We caution investors that amounts presented in accordance with our definitions of EBITDA, Adjusted EBITDA, and Adjusted EBITDA Margin may not be comparable to similar measures disclosed by our competitors, because not all companies and analysts calculate EBITDA, Adjusted EBITDA, and Adjusted EBITDA Margin in the same manner. We present EBITDA, Adjusted EBITDA, and Adjusted EBITDA Margin because we consider them to be important supplemental measures of our performance and believe they are frequently used by securities analysts, investors and other interested parties in the evaluation of companies in our industry. Management believes that investors’ understanding of our performance is enhanced by including these Non-GAAP Financial Measures as a reasonable basis for comparing our ongoing results of operations.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reconciles Segment Adjusted EBITDA to consolidated Adjusted EBITDA:</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6"/>
          </w:tcPr>
          <w:p>
            <w:pPr>
              <w:ind w:left="20"/>
              <w:spacing w:after="0"/>
              <w:rPr>
                <w:sz w:val="20"/>
                <w:szCs w:val="20"/>
                <w:color w:val="auto"/>
              </w:rPr>
            </w:pPr>
            <w:r>
              <w:rPr>
                <w:rFonts w:ascii="Arial" w:cs="Arial" w:eastAsia="Arial" w:hAnsi="Arial"/>
                <w:sz w:val="12"/>
                <w:szCs w:val="12"/>
                <w:b w:val="1"/>
                <w:bCs w:val="1"/>
                <w:color w:val="auto"/>
              </w:rPr>
              <w:t>Three Months Ended September 30,</w:t>
            </w:r>
          </w:p>
        </w:tc>
        <w:tc>
          <w:tcPr>
            <w:tcW w:w="2000" w:type="dxa"/>
            <w:vAlign w:val="bottom"/>
            <w:gridSpan w:val="5"/>
          </w:tcPr>
          <w:p>
            <w:pPr>
              <w:jc w:val="right"/>
              <w:spacing w:after="0"/>
              <w:rPr>
                <w:sz w:val="20"/>
                <w:szCs w:val="20"/>
                <w:color w:val="auto"/>
              </w:rPr>
            </w:pPr>
            <w:r>
              <w:rPr>
                <w:rFonts w:ascii="Arial" w:cs="Arial" w:eastAsia="Arial" w:hAnsi="Arial"/>
                <w:sz w:val="12"/>
                <w:szCs w:val="12"/>
                <w:b w:val="1"/>
                <w:bCs w:val="1"/>
                <w:color w:val="auto"/>
                <w:w w:val="98"/>
              </w:rPr>
              <w:t>Nine Months Ended September 30,</w:t>
            </w:r>
          </w:p>
        </w:tc>
      </w:tr>
      <w:tr>
        <w:trPr>
          <w:trHeight w:val="142"/>
        </w:trPr>
        <w:tc>
          <w:tcPr>
            <w:tcW w:w="470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43"/>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43"/>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140"/>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23"/>
              <w:spacing w:after="0"/>
              <w:rPr>
                <w:sz w:val="20"/>
                <w:szCs w:val="20"/>
                <w:color w:val="auto"/>
              </w:rPr>
            </w:pPr>
            <w:r>
              <w:rPr>
                <w:rFonts w:ascii="Arial" w:cs="Arial" w:eastAsia="Arial" w:hAnsi="Arial"/>
                <w:sz w:val="12"/>
                <w:szCs w:val="12"/>
                <w:b w:val="1"/>
                <w:bCs w:val="1"/>
                <w:color w:val="auto"/>
              </w:rPr>
              <w:t>2024</w:t>
            </w:r>
          </w:p>
        </w:tc>
      </w:tr>
      <w:tr>
        <w:trPr>
          <w:trHeight w:val="183"/>
        </w:trPr>
        <w:tc>
          <w:tcPr>
            <w:tcW w:w="450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Good Sam Services and Plans Segment Adjusted EBITDA</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21,591</w:t>
            </w: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23,659</w:t>
            </w: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7"/>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67,859</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75,280</w:t>
            </w:r>
          </w:p>
        </w:tc>
      </w:tr>
      <w:tr>
        <w:trPr>
          <w:trHeight w:val="189"/>
        </w:trPr>
        <w:tc>
          <w:tcPr>
            <w:tcW w:w="4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RV and Outdoor Retail Segment Adjusted EBITDA</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77,159</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48,072</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212,182</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117,575</w:t>
            </w:r>
          </w:p>
        </w:tc>
      </w:tr>
      <w:tr>
        <w:trPr>
          <w:trHeight w:val="183"/>
        </w:trPr>
        <w:tc>
          <w:tcPr>
            <w:tcW w:w="470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Segment Adjusted EBITDA</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98,750</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71,731</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280,041</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192,855</w:t>
            </w:r>
          </w:p>
        </w:tc>
      </w:tr>
      <w:tr>
        <w:trPr>
          <w:trHeight w:val="189"/>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Corporate and Other Adjusted EBITDA</w:t>
            </w:r>
          </w:p>
        </w:tc>
        <w:tc>
          <w:tcPr>
            <w:tcW w:w="2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(3,038)</w:t>
            </w:r>
          </w:p>
        </w:tc>
        <w:tc>
          <w:tcPr>
            <w:tcW w:w="2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(4,215)</w:t>
            </w:r>
          </w:p>
        </w:tc>
        <w:tc>
          <w:tcPr>
            <w:tcW w:w="20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(10,962)</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(11,519)</w:t>
            </w:r>
          </w:p>
        </w:tc>
      </w:tr>
      <w:tr>
        <w:trPr>
          <w:trHeight w:val="183"/>
        </w:trPr>
        <w:tc>
          <w:tcPr>
            <w:tcW w:w="4700" w:type="dxa"/>
            <w:vAlign w:val="bottom"/>
            <w:tcBorders>
              <w:top w:val="single" w:sz="8" w:color="CCEEFF"/>
              <w:bottom w:val="single" w:sz="8" w:color="CCEEFF"/>
            </w:tcBorders>
            <w:gridSpan w:val="2"/>
            <w:shd w:val="clear" w:color="auto" w:fill="CCEEFF"/>
          </w:tcPr>
          <w:p>
            <w:pPr>
              <w:ind w:left="120"/>
              <w:spacing w:after="0" w:line="183" w:lineRule="exact"/>
              <w:rPr>
                <w:sz w:val="20"/>
                <w:szCs w:val="20"/>
                <w:color w:val="auto"/>
              </w:rPr>
            </w:pPr>
            <w:r>
              <w:rPr>
                <w:rFonts w:ascii="Arial" w:cs="Arial" w:eastAsia="Arial" w:hAnsi="Arial"/>
                <w:sz w:val="16"/>
                <w:szCs w:val="16"/>
                <w:color w:val="auto"/>
              </w:rPr>
              <w:t>Total Adjusted EBITDA</w:t>
            </w:r>
          </w:p>
        </w:tc>
        <w:tc>
          <w:tcPr>
            <w:tcW w:w="2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95,712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67,516</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27"/>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269,079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181,336</w:t>
            </w:r>
          </w:p>
        </w:tc>
      </w:tr>
      <w:tr>
        <w:trPr>
          <w:trHeight w:val="20"/>
        </w:trPr>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reconciles EBITDA, Adjusted EBITDA, and Adjusted EBITDA Margin to the most directly comparable GAAP financial performance measures: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620" w:type="dxa"/>
            <w:vAlign w:val="bottom"/>
            <w:gridSpan w:val="2"/>
            <w:vMerge w:val="restart"/>
          </w:tcPr>
          <w:p>
            <w:pPr>
              <w:ind w:left="20"/>
              <w:spacing w:after="0"/>
              <w:rPr>
                <w:sz w:val="20"/>
                <w:szCs w:val="20"/>
                <w:color w:val="auto"/>
              </w:rPr>
            </w:pPr>
            <w:r>
              <w:rPr>
                <w:rFonts w:ascii="Arial" w:cs="Arial" w:eastAsia="Arial" w:hAnsi="Arial"/>
                <w:sz w:val="11"/>
                <w:szCs w:val="11"/>
                <w:color w:val="auto"/>
              </w:rPr>
              <w:t>($ in thousands)</w:t>
            </w:r>
          </w:p>
        </w:tc>
        <w:tc>
          <w:tcPr>
            <w:tcW w:w="2220" w:type="dxa"/>
            <w:vAlign w:val="bottom"/>
            <w:gridSpan w:val="6"/>
          </w:tcPr>
          <w:p>
            <w:pPr>
              <w:ind w:left="20"/>
              <w:spacing w:after="0"/>
              <w:rPr>
                <w:sz w:val="20"/>
                <w:szCs w:val="20"/>
                <w:color w:val="auto"/>
              </w:rPr>
            </w:pPr>
            <w:r>
              <w:rPr>
                <w:rFonts w:ascii="Arial" w:cs="Arial" w:eastAsia="Arial" w:hAnsi="Arial"/>
                <w:sz w:val="12"/>
                <w:szCs w:val="12"/>
                <w:b w:val="1"/>
                <w:bCs w:val="1"/>
                <w:color w:val="auto"/>
              </w:rPr>
              <w:t>Three Months Ended September 30,</w:t>
            </w:r>
          </w:p>
        </w:tc>
        <w:tc>
          <w:tcPr>
            <w:tcW w:w="2060" w:type="dxa"/>
            <w:vAlign w:val="bottom"/>
            <w:gridSpan w:val="5"/>
          </w:tcPr>
          <w:p>
            <w:pPr>
              <w:jc w:val="right"/>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29"/>
        </w:trPr>
        <w:tc>
          <w:tcPr>
            <w:tcW w:w="4620" w:type="dxa"/>
            <w:vAlign w:val="bottom"/>
            <w:gridSpan w:val="2"/>
            <w:vMerge w:val="continue"/>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69"/>
              <w:spacing w:after="0" w:line="129" w:lineRule="exact"/>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55"/>
        </w:trPr>
        <w:tc>
          <w:tcPr>
            <w:tcW w:w="44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EBITDA and Adjusted EBITDA:</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Net (loss) income</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(29,351)</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8,056</w:t>
            </w:r>
          </w:p>
        </w:tc>
        <w:tc>
          <w:tcPr>
            <w:tcW w:w="200" w:type="dxa"/>
            <w:vAlign w:val="bottom"/>
          </w:tcPr>
          <w:p>
            <w:pPr>
              <w:spacing w:after="0"/>
              <w:rPr>
                <w:sz w:val="14"/>
                <w:szCs w:val="14"/>
                <w:color w:val="auto"/>
              </w:rPr>
            </w:pPr>
          </w:p>
        </w:tc>
        <w:tc>
          <w:tcPr>
            <w:tcW w:w="220" w:type="dxa"/>
            <w:vAlign w:val="bottom"/>
          </w:tcPr>
          <w:p>
            <w:pPr>
              <w:jc w:val="right"/>
              <w:ind w:right="73"/>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3,490</w:t>
            </w:r>
          </w:p>
        </w:tc>
        <w:tc>
          <w:tcPr>
            <w:tcW w:w="2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(19,336)</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30,982</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35,877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92,349</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108,124</w:t>
            </w:r>
          </w:p>
        </w:tc>
        <w:tc>
          <w:tcPr>
            <w:tcW w:w="0" w:type="dxa"/>
            <w:vAlign w:val="bottom"/>
          </w:tcPr>
          <w:p>
            <w:pPr>
              <w:spacing w:after="0"/>
              <w:rPr>
                <w:sz w:val="1"/>
                <w:szCs w:val="1"/>
                <w:color w:val="auto"/>
              </w:rPr>
            </w:pPr>
          </w:p>
        </w:tc>
      </w:tr>
      <w:tr>
        <w:trPr>
          <w:trHeight w:val="162"/>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25,654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20,583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71,617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59,905</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Income tax expense (benefit)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207,459</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(2,049)</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222,309</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w:t>
            </w:r>
          </w:p>
        </w:tc>
        <w:tc>
          <w:tcPr>
            <w:tcW w:w="0" w:type="dxa"/>
            <w:vAlign w:val="bottom"/>
          </w:tcPr>
          <w:p>
            <w:pPr>
              <w:spacing w:after="0"/>
              <w:rPr>
                <w:sz w:val="1"/>
                <w:szCs w:val="1"/>
                <w:color w:val="auto"/>
              </w:rPr>
            </w:pPr>
          </w:p>
        </w:tc>
      </w:tr>
      <w:tr>
        <w:trPr>
          <w:trHeight w:val="155"/>
        </w:trPr>
        <w:tc>
          <w:tcPr>
            <w:tcW w:w="462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Subtotal EBITDA</w:t>
            </w: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234,744</w:t>
            </w: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62,467</w:t>
            </w: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389,765</w:t>
            </w: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145,537</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Long-lived asset impairment (a)</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12,355</w:t>
            </w:r>
          </w:p>
        </w:tc>
        <w:tc>
          <w:tcPr>
            <w:tcW w:w="0" w:type="dxa"/>
            <w:vAlign w:val="bottom"/>
          </w:tcPr>
          <w:p>
            <w:pPr>
              <w:spacing w:after="0"/>
              <w:rPr>
                <w:sz w:val="1"/>
                <w:szCs w:val="1"/>
                <w:color w:val="auto"/>
              </w:rPr>
            </w:pPr>
          </w:p>
        </w:tc>
      </w:tr>
      <w:tr>
        <w:trPr>
          <w:trHeight w:val="162"/>
        </w:trPr>
        <w:tc>
          <w:tcPr>
            <w:tcW w:w="4620" w:type="dxa"/>
            <w:vAlign w:val="bottom"/>
            <w:gridSpan w:val="2"/>
          </w:tcPr>
          <w:p>
            <w:pPr>
              <w:ind w:left="340"/>
              <w:spacing w:after="0"/>
              <w:rPr>
                <w:sz w:val="20"/>
                <w:szCs w:val="20"/>
                <w:color w:val="auto"/>
              </w:rPr>
            </w:pPr>
            <w:r>
              <w:rPr>
                <w:rFonts w:ascii="Arial" w:cs="Arial" w:eastAsia="Arial" w:hAnsi="Arial"/>
                <w:sz w:val="14"/>
                <w:szCs w:val="14"/>
                <w:color w:val="auto"/>
              </w:rPr>
              <w:t>Lease termination (b)</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(2,625)</w:t>
            </w:r>
          </w:p>
        </w:tc>
        <w:tc>
          <w:tcPr>
            <w:tcW w:w="2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(2,585)</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Loss (gain) on sale or disposal of assets, net (c)</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(104)</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9,525</w:t>
            </w:r>
          </w:p>
        </w:tc>
        <w:tc>
          <w:tcPr>
            <w:tcW w:w="0" w:type="dxa"/>
            <w:vAlign w:val="bottom"/>
          </w:tcPr>
          <w:p>
            <w:pPr>
              <w:spacing w:after="0"/>
              <w:rPr>
                <w:sz w:val="1"/>
                <w:szCs w:val="1"/>
                <w:color w:val="auto"/>
              </w:rPr>
            </w:pPr>
          </w:p>
        </w:tc>
      </w:tr>
      <w:tr>
        <w:trPr>
          <w:trHeight w:val="162"/>
        </w:trPr>
        <w:tc>
          <w:tcPr>
            <w:tcW w:w="4620" w:type="dxa"/>
            <w:vAlign w:val="bottom"/>
            <w:gridSpan w:val="2"/>
          </w:tcPr>
          <w:p>
            <w:pPr>
              <w:ind w:left="340"/>
              <w:spacing w:after="0"/>
              <w:rPr>
                <w:sz w:val="20"/>
                <w:szCs w:val="20"/>
                <w:color w:val="auto"/>
              </w:rPr>
            </w:pPr>
            <w:r>
              <w:rPr>
                <w:rFonts w:ascii="Arial" w:cs="Arial" w:eastAsia="Arial" w:hAnsi="Arial"/>
                <w:sz w:val="14"/>
                <w:szCs w:val="14"/>
                <w:color w:val="auto"/>
              </w:rPr>
              <w:t>SBC (d)</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7,750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5,573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23,464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16,167</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Tax Receivable Agreement liability adjustment (e)</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(149,172)</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(149,172)</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Loss and/or impairment on investments in equity securities (f)</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3,920</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55"/>
        </w:trPr>
        <w:tc>
          <w:tcPr>
            <w:tcW w:w="4620" w:type="dxa"/>
            <w:vAlign w:val="bottom"/>
            <w:tcBorders>
              <w:bottom w:val="single" w:sz="8" w:color="CCEEFF"/>
            </w:tcBorders>
            <w:gridSpan w:val="2"/>
            <w:shd w:val="clear" w:color="auto" w:fill="CCEEFF"/>
          </w:tcPr>
          <w:p>
            <w:pPr>
              <w:ind w:left="440"/>
              <w:spacing w:after="0" w:line="155" w:lineRule="exact"/>
              <w:rPr>
                <w:sz w:val="20"/>
                <w:szCs w:val="20"/>
                <w:color w:val="auto"/>
              </w:rPr>
            </w:pPr>
            <w:r>
              <w:rPr>
                <w:rFonts w:ascii="Arial" w:cs="Arial" w:eastAsia="Arial" w:hAnsi="Arial"/>
                <w:sz w:val="14"/>
                <w:szCs w:val="14"/>
                <w:color w:val="auto"/>
              </w:rPr>
              <w:t>Adjusted EBITDA</w:t>
            </w:r>
          </w:p>
        </w:tc>
        <w:tc>
          <w:tcPr>
            <w:tcW w:w="220" w:type="dxa"/>
            <w:vAlign w:val="bottom"/>
            <w:tcBorders>
              <w:bottom w:val="single" w:sz="8" w:color="auto"/>
            </w:tcBorders>
            <w:shd w:val="clear" w:color="auto" w:fill="CCEEFF"/>
          </w:tcPr>
          <w:p>
            <w:pPr>
              <w:jc w:val="right"/>
              <w:ind w:right="33"/>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95,712</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67,516</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33"/>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269,079</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181,336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620" w:type="dxa"/>
            <w:vAlign w:val="bottom"/>
            <w:gridSpan w:val="2"/>
            <w:vMerge w:val="restart"/>
          </w:tcPr>
          <w:p>
            <w:pPr>
              <w:ind w:left="20"/>
              <w:spacing w:after="0"/>
              <w:rPr>
                <w:sz w:val="20"/>
                <w:szCs w:val="20"/>
                <w:color w:val="auto"/>
              </w:rPr>
            </w:pPr>
            <w:r>
              <w:rPr>
                <w:rFonts w:ascii="Arial" w:cs="Arial" w:eastAsia="Arial" w:hAnsi="Arial"/>
                <w:sz w:val="11"/>
                <w:szCs w:val="11"/>
                <w:color w:val="auto"/>
              </w:rPr>
              <w:t>(as percentage of total revenue)</w:t>
            </w:r>
          </w:p>
        </w:tc>
        <w:tc>
          <w:tcPr>
            <w:tcW w:w="2220" w:type="dxa"/>
            <w:vAlign w:val="bottom"/>
            <w:gridSpan w:val="4"/>
          </w:tcPr>
          <w:p>
            <w:pPr>
              <w:ind w:left="20"/>
              <w:spacing w:after="0"/>
              <w:rPr>
                <w:sz w:val="20"/>
                <w:szCs w:val="20"/>
                <w:color w:val="auto"/>
              </w:rPr>
            </w:pPr>
            <w:r>
              <w:rPr>
                <w:rFonts w:ascii="Arial" w:cs="Arial" w:eastAsia="Arial" w:hAnsi="Arial"/>
                <w:sz w:val="12"/>
                <w:szCs w:val="12"/>
                <w:b w:val="1"/>
                <w:bCs w:val="1"/>
                <w:color w:val="auto"/>
              </w:rPr>
              <w:t>Three Months Ended September 30,</w:t>
            </w:r>
          </w:p>
        </w:tc>
        <w:tc>
          <w:tcPr>
            <w:tcW w:w="206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28"/>
        </w:trPr>
        <w:tc>
          <w:tcPr>
            <w:tcW w:w="4620" w:type="dxa"/>
            <w:vAlign w:val="bottom"/>
            <w:gridSpan w:val="2"/>
            <w:vMerge w:val="continue"/>
          </w:tcPr>
          <w:p>
            <w:pPr>
              <w:spacing w:after="0"/>
              <w:rPr>
                <w:sz w:val="11"/>
                <w:szCs w:val="11"/>
                <w:color w:val="auto"/>
              </w:rPr>
            </w:pPr>
          </w:p>
        </w:tc>
        <w:tc>
          <w:tcPr>
            <w:tcW w:w="920" w:type="dxa"/>
            <w:vAlign w:val="bottom"/>
            <w:tcBorders>
              <w:top w:val="single" w:sz="8" w:color="auto"/>
            </w:tcBorders>
          </w:tcPr>
          <w:p>
            <w:pPr>
              <w:jc w:val="right"/>
              <w:ind w:right="250"/>
              <w:spacing w:after="0" w:line="129" w:lineRule="exact"/>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1"/>
                <w:szCs w:val="11"/>
                <w:color w:val="auto"/>
              </w:rPr>
            </w:pPr>
          </w:p>
        </w:tc>
        <w:tc>
          <w:tcPr>
            <w:tcW w:w="940" w:type="dxa"/>
            <w:vAlign w:val="bottom"/>
            <w:tcBorders>
              <w:top w:val="single" w:sz="8" w:color="auto"/>
            </w:tcBorders>
          </w:tcPr>
          <w:p>
            <w:pPr>
              <w:jc w:val="right"/>
              <w:ind w:right="270"/>
              <w:spacing w:after="0" w:line="129" w:lineRule="exact"/>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56"/>
        </w:trPr>
        <w:tc>
          <w:tcPr>
            <w:tcW w:w="44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Adjusted EBITDA margin:</w:t>
            </w:r>
          </w:p>
        </w:tc>
        <w:tc>
          <w:tcPr>
            <w:tcW w:w="2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Net (loss) income margin</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(1.6%)</w:t>
            </w:r>
          </w:p>
        </w:tc>
        <w:tc>
          <w:tcPr>
            <w:tcW w:w="900" w:type="dxa"/>
            <w:vAlign w:val="bottom"/>
          </w:tcPr>
          <w:p>
            <w:pPr>
              <w:jc w:val="right"/>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Depreciation and amortization</w:t>
            </w:r>
          </w:p>
        </w:tc>
        <w:tc>
          <w:tcPr>
            <w:tcW w:w="92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Income tax expense (benefit)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(0.1%)</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6"/>
        </w:trPr>
        <w:tc>
          <w:tcPr>
            <w:tcW w:w="462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Subtotal EBITDA margin</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13.0%</w:t>
            </w:r>
          </w:p>
        </w:tc>
        <w:tc>
          <w:tcPr>
            <w:tcW w:w="20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w:t>
            </w:r>
          </w:p>
        </w:tc>
        <w:tc>
          <w:tcPr>
            <w:tcW w:w="200" w:type="dxa"/>
            <w:vAlign w:val="bottom"/>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w:t>
            </w:r>
          </w:p>
        </w:tc>
        <w:tc>
          <w:tcPr>
            <w:tcW w:w="20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Long-lived asset impairment (a)</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4620" w:type="dxa"/>
            <w:vAlign w:val="bottom"/>
            <w:gridSpan w:val="2"/>
          </w:tcPr>
          <w:p>
            <w:pPr>
              <w:ind w:left="340"/>
              <w:spacing w:after="0"/>
              <w:rPr>
                <w:sz w:val="20"/>
                <w:szCs w:val="20"/>
                <w:color w:val="auto"/>
              </w:rPr>
            </w:pPr>
            <w:r>
              <w:rPr>
                <w:rFonts w:ascii="Arial" w:cs="Arial" w:eastAsia="Arial" w:hAnsi="Arial"/>
                <w:sz w:val="14"/>
                <w:szCs w:val="14"/>
                <w:color w:val="auto"/>
              </w:rPr>
              <w:t>Lease termination (b)</w:t>
            </w:r>
          </w:p>
        </w:tc>
        <w:tc>
          <w:tcPr>
            <w:tcW w:w="920" w:type="dxa"/>
            <w:vAlign w:val="bottom"/>
          </w:tcPr>
          <w:p>
            <w:pPr>
              <w:jc w:val="right"/>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(0.2%)</w:t>
            </w:r>
          </w:p>
        </w:tc>
        <w:tc>
          <w:tcPr>
            <w:tcW w:w="940" w:type="dxa"/>
            <w:vAlign w:val="bottom"/>
          </w:tcPr>
          <w:p>
            <w:pPr>
              <w:jc w:val="right"/>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Loss (gain) on sale or disposal of assets, net (c)</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4620" w:type="dxa"/>
            <w:vAlign w:val="bottom"/>
            <w:gridSpan w:val="2"/>
          </w:tcPr>
          <w:p>
            <w:pPr>
              <w:ind w:left="340"/>
              <w:spacing w:after="0"/>
              <w:rPr>
                <w:sz w:val="20"/>
                <w:szCs w:val="20"/>
                <w:color w:val="auto"/>
              </w:rPr>
            </w:pPr>
            <w:r>
              <w:rPr>
                <w:rFonts w:ascii="Arial" w:cs="Arial" w:eastAsia="Arial" w:hAnsi="Arial"/>
                <w:sz w:val="14"/>
                <w:szCs w:val="14"/>
                <w:color w:val="auto"/>
              </w:rPr>
              <w:t>SBC (d)</w:t>
            </w:r>
          </w:p>
        </w:tc>
        <w:tc>
          <w:tcPr>
            <w:tcW w:w="920" w:type="dxa"/>
            <w:vAlign w:val="bottom"/>
          </w:tcPr>
          <w:p>
            <w:pPr>
              <w:jc w:val="right"/>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Tax Receivable Agreement liability adjustment (e)</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Loss and/or impairment on investments in equity securities (f)</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w:t>
            </w: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56"/>
        </w:trPr>
        <w:tc>
          <w:tcPr>
            <w:tcW w:w="4620" w:type="dxa"/>
            <w:vAlign w:val="bottom"/>
            <w:tcBorders>
              <w:bottom w:val="single" w:sz="8" w:color="CCEEFF"/>
            </w:tcBorders>
            <w:gridSpan w:val="2"/>
            <w:shd w:val="clear" w:color="auto" w:fill="CCEEFF"/>
          </w:tcPr>
          <w:p>
            <w:pPr>
              <w:ind w:left="440"/>
              <w:spacing w:after="0" w:line="155" w:lineRule="exact"/>
              <w:rPr>
                <w:sz w:val="20"/>
                <w:szCs w:val="20"/>
                <w:color w:val="auto"/>
              </w:rPr>
            </w:pPr>
            <w:r>
              <w:rPr>
                <w:rFonts w:ascii="Arial" w:cs="Arial" w:eastAsia="Arial" w:hAnsi="Arial"/>
                <w:sz w:val="14"/>
                <w:szCs w:val="14"/>
                <w:color w:val="auto"/>
              </w:rPr>
              <w:t>Adjusted EBITDA margin</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w:t>
            </w: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w:t>
            </w:r>
          </w:p>
        </w:tc>
        <w:tc>
          <w:tcPr>
            <w:tcW w:w="2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w:t>
            </w: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460" w:right="79" w:hanging="329"/>
        <w:spacing w:after="0" w:line="285" w:lineRule="auto"/>
        <w:tabs>
          <w:tab w:leader="none" w:pos="46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Represents long-lived asset impairment charges related to the RV and Outdoor Retail segment. See Note 4 – Long-Lived Asset Impairment to our condensed consolidated financial statements included in Part I, Item 1 of this Form 10-Q for additional information.</w:t>
      </w:r>
    </w:p>
    <w:p>
      <w:pPr>
        <w:spacing w:after="0" w:line="22"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Represents the (gain) loss on termination of operating leases resulting from lease termination fees and the derecognition of the operating lease assets and liabilities.</w:t>
      </w:r>
    </w:p>
    <w:p>
      <w:pPr>
        <w:spacing w:after="0" w:line="9" w:lineRule="exact"/>
        <w:rPr>
          <w:rFonts w:ascii="Arial" w:cs="Arial" w:eastAsia="Arial" w:hAnsi="Arial"/>
          <w:sz w:val="14"/>
          <w:szCs w:val="14"/>
          <w:color w:val="231F20"/>
        </w:rPr>
      </w:pPr>
    </w:p>
    <w:p>
      <w:pPr>
        <w:ind w:left="460" w:hanging="329"/>
        <w:spacing w:after="0"/>
        <w:tabs>
          <w:tab w:leader="none" w:pos="46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Represents an adjustment to eliminate the gains and losses on disposals and sales of various assets.</w:t>
      </w:r>
    </w:p>
    <w:p>
      <w:pPr>
        <w:spacing w:after="0" w:line="68" w:lineRule="exact"/>
        <w:rPr>
          <w:rFonts w:ascii="Arial" w:cs="Arial" w:eastAsia="Arial" w:hAnsi="Arial"/>
          <w:sz w:val="14"/>
          <w:szCs w:val="14"/>
          <w:color w:val="231F20"/>
        </w:rPr>
      </w:pPr>
    </w:p>
    <w:p>
      <w:pPr>
        <w:ind w:left="460" w:hanging="329"/>
        <w:spacing w:after="0"/>
        <w:tabs>
          <w:tab w:leader="none" w:pos="46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Represents noncash SBC expense relating to employees, directors, and consultants of the Company.</w:t>
      </w:r>
    </w:p>
    <w:p>
      <w:pPr>
        <w:spacing w:after="0" w:line="82" w:lineRule="exact"/>
        <w:rPr>
          <w:rFonts w:ascii="Arial" w:cs="Arial" w:eastAsia="Arial" w:hAnsi="Arial"/>
          <w:sz w:val="14"/>
          <w:szCs w:val="14"/>
          <w:color w:val="231F20"/>
        </w:rPr>
      </w:pPr>
    </w:p>
    <w:p>
      <w:pPr>
        <w:jc w:val="both"/>
        <w:ind w:left="460" w:right="79" w:hanging="329"/>
        <w:spacing w:after="0" w:line="263" w:lineRule="auto"/>
        <w:tabs>
          <w:tab w:leader="none" w:pos="46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Represents an adjustment to the Tax Receivable Agreement liability for the change in the determination of the realizability of future cash tax benefits underlying the estimate of future payments under the Tax Receivable Agreement. See Note 13 ― Income Taxes to our condensed consolidated financial statements included in Part I, Item 1 of this Form 10-Q.</w:t>
      </w:r>
    </w:p>
    <w:p>
      <w:pPr>
        <w:spacing w:after="0" w:line="24"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Represents losses and gains and/or impairment on investments in equity securities and interest income relating to any notes receivables with those investments.</w:t>
      </w: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Adjusted Net Income Attributable to Camping World Holdings, Inc. and Adjusted Earnings Per Share</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define “Adjusted Net Income Attributable to Camping World Holdings, Inc. – Basic” as net (loss) income attributable to Camping World Holdings, Inc. adjusted for the impact of certain noncash and other items that we do not consider in our evaluation of ongoing operating performance. These items include, among other things, long-lived asset impairment, lease termination costs, gains and losses on sale or disposal of assets, net, SBC, Tax Receivable Agreement liability adjustment, loss and impairment on investments in equity securities, other unusual or one-time items, the income tax (expense) benefit effect of these adjustments, income tax expense impact from significant change in valuation allowance against deferred tax assets, and the effect of net (loss) income attributable to non-controlling interests from these adjustments.</w:t>
      </w:r>
    </w:p>
    <w:p>
      <w:pPr>
        <w:spacing w:after="0" w:line="167"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define “Adjusted Net Income Attributable to Camping World Holdings, Inc. – Diluted” as Adjusted Net Income Attributable to Camping World Holdings, Inc. – Basic adjusted for the reallocation of net income attributable to non-controlling interests from stock options and restricted stock units, if dilutive, or the assumed redemption, if dilutive, of all outstanding common units in CWGS, LLC for shares of newly-issued Class A common stock of Camping World Holdings, Inc.</w:t>
      </w:r>
    </w:p>
    <w:p>
      <w:pPr>
        <w:spacing w:after="0" w:line="1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define “Adjusted Earnings Per Share – Basic” as Adjusted Net Income Attributable to Camping World Holdings, Inc. - Basic divided by the weighted-average shares of Class A common stock outstanding. We define “Adjusted Earnings Per Share – Diluted” as Adjusted Net Income Attributable to Camping World Holdings, Inc. – Diluted divided by the weighted-average shares of Class A common stock outstanding, assuming (i) the redemption of all outstanding common units in CWGS, LLC for newly-issued shares of Class A common stock of Camping World Holdings, Inc., if dilutive, and (ii) the dilutive effect of stock options and restricted stock units, if any. We present Adjusted Net Income Attributable to Camping World Holdings, Inc. – Basic, Adjusted Net Income Attributable to Camping World Holdings, Inc. – Diluted, Adjusted Earnings Per Share – Basic, and Adjusted Earnings Per Share – Diluted because we consider them to be important supplemental measures of our performance and we believe that investors’ understanding of our performance is enhanced by including these Non-GAAP financial measures as a reasonable basis for comparing our ongoing results of operations.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following table reconciles Adjusted Net Income Attributable to Camping World Holdings, Inc. – Basic, Adjusted Net Income Attributable to Camping World Holdings, Inc. – Diluted, Adjusted Earnings Per Share – Basic, and Adjusted Earnings Per Share – Diluted to the most directly comparable GAAP financial performance measure:</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820" w:type="dxa"/>
            <w:vAlign w:val="bottom"/>
            <w:gridSpan w:val="2"/>
            <w:vMerge w:val="restart"/>
          </w:tcPr>
          <w:p>
            <w:pPr>
              <w:ind w:left="20"/>
              <w:spacing w:after="0"/>
              <w:rPr>
                <w:sz w:val="20"/>
                <w:szCs w:val="20"/>
                <w:color w:val="auto"/>
              </w:rPr>
            </w:pPr>
            <w:r>
              <w:rPr>
                <w:rFonts w:ascii="Arial" w:cs="Arial" w:eastAsia="Arial" w:hAnsi="Arial"/>
                <w:sz w:val="11"/>
                <w:szCs w:val="11"/>
                <w:color w:val="auto"/>
              </w:rPr>
              <w:t>(In thousands except per share amounts)</w:t>
            </w:r>
          </w:p>
        </w:tc>
        <w:tc>
          <w:tcPr>
            <w:tcW w:w="2140" w:type="dxa"/>
            <w:vAlign w:val="bottom"/>
            <w:gridSpan w:val="6"/>
          </w:tcPr>
          <w:p>
            <w:pPr>
              <w:ind w:left="20"/>
              <w:spacing w:after="0"/>
              <w:rPr>
                <w:sz w:val="20"/>
                <w:szCs w:val="20"/>
                <w:color w:val="auto"/>
              </w:rPr>
            </w:pPr>
            <w:r>
              <w:rPr>
                <w:rFonts w:ascii="Arial" w:cs="Arial" w:eastAsia="Arial" w:hAnsi="Arial"/>
                <w:sz w:val="12"/>
                <w:szCs w:val="12"/>
                <w:b w:val="1"/>
                <w:bCs w:val="1"/>
                <w:color w:val="auto"/>
              </w:rPr>
              <w:t>Three Months Ended September 30,</w:t>
            </w:r>
          </w:p>
        </w:tc>
        <w:tc>
          <w:tcPr>
            <w:tcW w:w="1940" w:type="dxa"/>
            <w:vAlign w:val="bottom"/>
            <w:gridSpan w:val="5"/>
          </w:tcPr>
          <w:p>
            <w:pPr>
              <w:jc w:val="right"/>
              <w:spacing w:after="0"/>
              <w:rPr>
                <w:sz w:val="20"/>
                <w:szCs w:val="20"/>
                <w:color w:val="auto"/>
              </w:rPr>
            </w:pPr>
            <w:r>
              <w:rPr>
                <w:rFonts w:ascii="Arial" w:cs="Arial" w:eastAsia="Arial" w:hAnsi="Arial"/>
                <w:sz w:val="12"/>
                <w:szCs w:val="12"/>
                <w:b w:val="1"/>
                <w:bCs w:val="1"/>
                <w:color w:val="auto"/>
                <w:w w:val="97"/>
              </w:rPr>
              <w:t>Nine Months Ended September 30,</w:t>
            </w:r>
          </w:p>
        </w:tc>
        <w:tc>
          <w:tcPr>
            <w:tcW w:w="0" w:type="dxa"/>
            <w:vAlign w:val="bottom"/>
          </w:tcPr>
          <w:p>
            <w:pPr>
              <w:spacing w:after="0"/>
              <w:rPr>
                <w:sz w:val="1"/>
                <w:szCs w:val="1"/>
                <w:color w:val="auto"/>
              </w:rPr>
            </w:pPr>
          </w:p>
        </w:tc>
      </w:tr>
      <w:tr>
        <w:trPr>
          <w:trHeight w:val="129"/>
        </w:trPr>
        <w:tc>
          <w:tcPr>
            <w:tcW w:w="4820" w:type="dxa"/>
            <w:vAlign w:val="bottom"/>
            <w:gridSpan w:val="2"/>
            <w:vMerge w:val="continue"/>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8"/>
              <w:spacing w:after="0" w:line="129" w:lineRule="exact"/>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28"/>
              <w:spacing w:after="0" w:line="129" w:lineRule="exact"/>
              <w:rPr>
                <w:sz w:val="20"/>
                <w:szCs w:val="20"/>
                <w:color w:val="auto"/>
              </w:rPr>
            </w:pPr>
            <w:r>
              <w:rPr>
                <w:rFonts w:ascii="Arial" w:cs="Arial" w:eastAsia="Arial" w:hAnsi="Arial"/>
                <w:sz w:val="12"/>
                <w:szCs w:val="12"/>
                <w:b w:val="1"/>
                <w:bCs w:val="1"/>
                <w:color w:val="auto"/>
              </w:rPr>
              <w:t>2024</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28"/>
              <w:spacing w:after="0" w:line="129" w:lineRule="exact"/>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29"/>
              <w:spacing w:after="0" w:line="129" w:lineRule="exact"/>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55"/>
        </w:trPr>
        <w:tc>
          <w:tcPr>
            <w:tcW w:w="46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Numerator:</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120"/>
              <w:spacing w:after="0"/>
              <w:rPr>
                <w:sz w:val="20"/>
                <w:szCs w:val="20"/>
                <w:color w:val="auto"/>
              </w:rPr>
            </w:pPr>
            <w:r>
              <w:rPr>
                <w:rFonts w:ascii="Arial" w:cs="Arial" w:eastAsia="Arial" w:hAnsi="Arial"/>
                <w:sz w:val="14"/>
                <w:szCs w:val="14"/>
                <w:color w:val="auto"/>
              </w:rPr>
              <w:t>Net (loss) income attributable to Camping World Holdings, Inc.</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(40,438)</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5,501</w:t>
            </w:r>
          </w:p>
        </w:tc>
        <w:tc>
          <w:tcPr>
            <w:tcW w:w="140" w:type="dxa"/>
            <w:vAlign w:val="bottom"/>
          </w:tcPr>
          <w:p>
            <w:pPr>
              <w:spacing w:after="0"/>
              <w:rPr>
                <w:sz w:val="14"/>
                <w:szCs w:val="14"/>
                <w:color w:val="auto"/>
              </w:rPr>
            </w:pPr>
          </w:p>
        </w:tc>
        <w:tc>
          <w:tcPr>
            <w:tcW w:w="2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(22,502)</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(7,035)</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Adjustments related to basic calculation:</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220"/>
              <w:spacing w:after="0"/>
              <w:rPr>
                <w:sz w:val="20"/>
                <w:szCs w:val="20"/>
                <w:color w:val="auto"/>
              </w:rPr>
            </w:pPr>
            <w:r>
              <w:rPr>
                <w:rFonts w:ascii="Arial" w:cs="Arial" w:eastAsia="Arial" w:hAnsi="Arial"/>
                <w:sz w:val="14"/>
                <w:szCs w:val="14"/>
                <w:color w:val="auto"/>
              </w:rPr>
              <w:t>Long-lived asset impairment (a):</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12,355</w:t>
            </w:r>
          </w:p>
        </w:tc>
        <w:tc>
          <w:tcPr>
            <w:tcW w:w="0" w:type="dxa"/>
            <w:vAlign w:val="bottom"/>
          </w:tcPr>
          <w:p>
            <w:pPr>
              <w:spacing w:after="0"/>
              <w:rPr>
                <w:sz w:val="1"/>
                <w:szCs w:val="1"/>
                <w:color w:val="auto"/>
              </w:rPr>
            </w:pPr>
          </w:p>
        </w:tc>
      </w:tr>
      <w:tr>
        <w:trPr>
          <w:trHeight w:val="162"/>
        </w:trPr>
        <w:tc>
          <w:tcPr>
            <w:tcW w:w="4820" w:type="dxa"/>
            <w:vAlign w:val="bottom"/>
            <w:gridSpan w:val="2"/>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1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(258)</w:t>
            </w:r>
          </w:p>
        </w:tc>
        <w:tc>
          <w:tcPr>
            <w:tcW w:w="2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(1,636)</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Lease termination (c):</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(2,625)</w:t>
            </w:r>
          </w:p>
        </w:tc>
        <w:tc>
          <w:tcPr>
            <w:tcW w:w="2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(2,585)</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benefit for above adjustment (b)</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62"/>
        </w:trPr>
        <w:tc>
          <w:tcPr>
            <w:tcW w:w="4820" w:type="dxa"/>
            <w:vAlign w:val="bottom"/>
            <w:gridSpan w:val="2"/>
          </w:tcPr>
          <w:p>
            <w:pPr>
              <w:ind w:left="220"/>
              <w:spacing w:after="0"/>
              <w:rPr>
                <w:sz w:val="20"/>
                <w:szCs w:val="20"/>
                <w:color w:val="auto"/>
              </w:rPr>
            </w:pPr>
            <w:r>
              <w:rPr>
                <w:rFonts w:ascii="Arial" w:cs="Arial" w:eastAsia="Arial" w:hAnsi="Arial"/>
                <w:sz w:val="14"/>
                <w:szCs w:val="14"/>
                <w:color w:val="auto"/>
              </w:rPr>
              <w:t>Loss (gain) on sale or disposal of assets (d):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(104)</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9,525</w:t>
            </w:r>
          </w:p>
        </w:tc>
        <w:tc>
          <w:tcPr>
            <w:tcW w:w="0" w:type="dxa"/>
            <w:vAlign w:val="bottom"/>
          </w:tcPr>
          <w:p>
            <w:pPr>
              <w:spacing w:after="0"/>
              <w:rPr>
                <w:sz w:val="1"/>
                <w:szCs w:val="1"/>
                <w:color w:val="auto"/>
              </w:rPr>
            </w:pPr>
          </w:p>
        </w:tc>
      </w:tr>
      <w:tr>
        <w:trPr>
          <w:trHeight w:val="162"/>
        </w:trPr>
        <w:tc>
          <w:tcPr>
            <w:tcW w:w="4820" w:type="dxa"/>
            <w:vAlign w:val="bottom"/>
            <w:gridSpan w:val="2"/>
          </w:tcPr>
          <w:p>
            <w:pPr>
              <w:ind w:left="340"/>
              <w:spacing w:after="0"/>
              <w:rPr>
                <w:sz w:val="20"/>
                <w:szCs w:val="20"/>
                <w:color w:val="auto"/>
              </w:rPr>
            </w:pPr>
            <w:r>
              <w:rPr>
                <w:rFonts w:ascii="Arial" w:cs="Arial" w:eastAsia="Arial" w:hAnsi="Arial"/>
                <w:sz w:val="14"/>
                <w:szCs w:val="14"/>
                <w:color w:val="auto"/>
              </w:rPr>
              <w:t>Income tax (expense) benefit for above adjustment (b)</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SBC (e):</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7,750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5,573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23,464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16,167</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(746)</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(2,163)</w:t>
            </w:r>
          </w:p>
        </w:tc>
        <w:tc>
          <w:tcPr>
            <w:tcW w:w="0" w:type="dxa"/>
            <w:vAlign w:val="bottom"/>
          </w:tcPr>
          <w:p>
            <w:pPr>
              <w:spacing w:after="0"/>
              <w:rPr>
                <w:sz w:val="1"/>
                <w:szCs w:val="1"/>
                <w:color w:val="auto"/>
              </w:rPr>
            </w:pPr>
          </w:p>
        </w:tc>
      </w:tr>
      <w:tr>
        <w:trPr>
          <w:trHeight w:val="162"/>
        </w:trPr>
        <w:tc>
          <w:tcPr>
            <w:tcW w:w="4820" w:type="dxa"/>
            <w:vAlign w:val="bottom"/>
            <w:gridSpan w:val="2"/>
          </w:tcPr>
          <w:p>
            <w:pPr>
              <w:ind w:left="220"/>
              <w:spacing w:after="0"/>
              <w:rPr>
                <w:sz w:val="20"/>
                <w:szCs w:val="20"/>
                <w:color w:val="auto"/>
              </w:rPr>
            </w:pPr>
            <w:r>
              <w:rPr>
                <w:rFonts w:ascii="Arial" w:cs="Arial" w:eastAsia="Arial" w:hAnsi="Arial"/>
                <w:sz w:val="14"/>
                <w:szCs w:val="14"/>
                <w:color w:val="auto"/>
              </w:rPr>
              <w:t>Tax Receivable Agreement liability adjustment (f):</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(149,172)</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(149,172)</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820" w:type="dxa"/>
            <w:vAlign w:val="bottom"/>
            <w:gridSpan w:val="2"/>
          </w:tcPr>
          <w:p>
            <w:pPr>
              <w:ind w:left="340"/>
              <w:spacing w:after="0"/>
              <w:rPr>
                <w:sz w:val="20"/>
                <w:szCs w:val="20"/>
                <w:color w:val="auto"/>
              </w:rPr>
            </w:pPr>
            <w:r>
              <w:rPr>
                <w:rFonts w:ascii="Arial" w:cs="Arial" w:eastAsia="Arial" w:hAnsi="Arial"/>
                <w:sz w:val="14"/>
                <w:szCs w:val="14"/>
                <w:color w:val="auto"/>
              </w:rPr>
              <w:t>Income tax benefit for above adjustment (b)</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37,293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37,293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Loss and/or impairment on investments in equity securities (g):</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3,920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53"/>
        </w:trPr>
        <w:tc>
          <w:tcPr>
            <w:tcW w:w="482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Income tax expense impact from significant change in  valuation</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20" w:type="dxa"/>
            <w:vAlign w:val="bottom"/>
            <w:gridSpan w:val="2"/>
          </w:tcPr>
          <w:p>
            <w:pPr>
              <w:ind w:left="220"/>
              <w:spacing w:after="0"/>
              <w:rPr>
                <w:sz w:val="20"/>
                <w:szCs w:val="20"/>
                <w:color w:val="auto"/>
              </w:rPr>
            </w:pPr>
            <w:r>
              <w:rPr>
                <w:rFonts w:ascii="Arial" w:cs="Arial" w:eastAsia="Arial" w:hAnsi="Arial"/>
                <w:sz w:val="14"/>
                <w:szCs w:val="14"/>
                <w:color w:val="auto"/>
              </w:rPr>
              <w:t>allowance against deferred tax assets (h):</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175,387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175,387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2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Adjustment  to  net  (loss)  income  attributable  to  non-controlling</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interests resulting from the above adjustments (i)</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(3,935)</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(2,365)</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(11,074)</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(16,817)</w:t>
            </w:r>
          </w:p>
        </w:tc>
        <w:tc>
          <w:tcPr>
            <w:tcW w:w="0" w:type="dxa"/>
            <w:vAlign w:val="bottom"/>
          </w:tcPr>
          <w:p>
            <w:pPr>
              <w:spacing w:after="0"/>
              <w:rPr>
                <w:sz w:val="1"/>
                <w:szCs w:val="1"/>
                <w:color w:val="auto"/>
              </w:rPr>
            </w:pPr>
          </w:p>
        </w:tc>
      </w:tr>
      <w:tr>
        <w:trPr>
          <w:trHeight w:val="133"/>
        </w:trPr>
        <w:tc>
          <w:tcPr>
            <w:tcW w:w="482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Adjusted net income attributable to Camping World Holdings, Inc. –</w:t>
            </w: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20" w:type="dxa"/>
            <w:vAlign w:val="bottom"/>
            <w:gridSpan w:val="2"/>
          </w:tcPr>
          <w:p>
            <w:pPr>
              <w:ind w:left="340"/>
              <w:spacing w:after="0"/>
              <w:rPr>
                <w:sz w:val="20"/>
                <w:szCs w:val="20"/>
                <w:color w:val="auto"/>
              </w:rPr>
            </w:pPr>
            <w:r>
              <w:rPr>
                <w:rFonts w:ascii="Arial" w:cs="Arial" w:eastAsia="Arial" w:hAnsi="Arial"/>
                <w:sz w:val="14"/>
                <w:szCs w:val="14"/>
                <w:color w:val="auto"/>
              </w:rPr>
              <w:t>basic</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29,257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7,509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58,390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7,186</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Adjustments related to diluted calculation:</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2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Reallocation of net income attributable to non-controlling interests</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20" w:type="dxa"/>
            <w:vAlign w:val="bottom"/>
            <w:gridSpan w:val="2"/>
          </w:tcPr>
          <w:p>
            <w:pPr>
              <w:ind w:left="220"/>
              <w:spacing w:after="0"/>
              <w:rPr>
                <w:sz w:val="20"/>
                <w:szCs w:val="20"/>
                <w:color w:val="auto"/>
              </w:rPr>
            </w:pPr>
            <w:r>
              <w:rPr>
                <w:rFonts w:ascii="Arial" w:cs="Arial" w:eastAsia="Arial" w:hAnsi="Arial"/>
                <w:sz w:val="14"/>
                <w:szCs w:val="14"/>
                <w:color w:val="auto"/>
              </w:rPr>
              <w:t>from the dilutive effect of stock options and restricted stock units (j)</w:t>
            </w:r>
          </w:p>
        </w:tc>
        <w:tc>
          <w:tcPr>
            <w:tcW w:w="1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82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Reallocation of net income attributable to non-controlling interests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from the dilutive redemption of common units in CWGS, LLC (j)</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15,022</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4,516</w:t>
            </w:r>
          </w:p>
        </w:tc>
        <w:tc>
          <w:tcPr>
            <w:tcW w:w="0" w:type="dxa"/>
            <w:vAlign w:val="bottom"/>
          </w:tcPr>
          <w:p>
            <w:pPr>
              <w:spacing w:after="0"/>
              <w:rPr>
                <w:sz w:val="1"/>
                <w:szCs w:val="1"/>
                <w:color w:val="auto"/>
              </w:rPr>
            </w:pPr>
          </w:p>
        </w:tc>
      </w:tr>
      <w:tr>
        <w:trPr>
          <w:trHeight w:val="153"/>
        </w:trPr>
        <w:tc>
          <w:tcPr>
            <w:tcW w:w="482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Income  tax  on  reallocation  of  net  income  attributable  to  non-</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220"/>
              <w:spacing w:after="0"/>
              <w:rPr>
                <w:sz w:val="20"/>
                <w:szCs w:val="20"/>
                <w:color w:val="auto"/>
              </w:rPr>
            </w:pPr>
            <w:r>
              <w:rPr>
                <w:rFonts w:ascii="Arial" w:cs="Arial" w:eastAsia="Arial" w:hAnsi="Arial"/>
                <w:sz w:val="14"/>
                <w:szCs w:val="14"/>
                <w:color w:val="auto"/>
              </w:rPr>
              <w:t>controlling interests from the dilutive redemption of common units in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gridSpan w:val="2"/>
          </w:tcPr>
          <w:p>
            <w:pPr>
              <w:ind w:left="220"/>
              <w:spacing w:after="0"/>
              <w:rPr>
                <w:sz w:val="20"/>
                <w:szCs w:val="20"/>
                <w:color w:val="auto"/>
              </w:rPr>
            </w:pPr>
            <w:r>
              <w:rPr>
                <w:rFonts w:ascii="Arial" w:cs="Arial" w:eastAsia="Arial" w:hAnsi="Arial"/>
                <w:sz w:val="14"/>
                <w:szCs w:val="14"/>
                <w:color w:val="auto"/>
              </w:rPr>
              <w:t>CWGS, LLC (k)</w:t>
            </w:r>
          </w:p>
        </w:tc>
        <w:tc>
          <w:tcPr>
            <w:tcW w:w="1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(1,015)</w:t>
            </w:r>
          </w:p>
        </w:tc>
        <w:tc>
          <w:tcPr>
            <w:tcW w:w="2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33"/>
        </w:trPr>
        <w:tc>
          <w:tcPr>
            <w:tcW w:w="4820" w:type="dxa"/>
            <w:vAlign w:val="bottom"/>
            <w:tcBorders>
              <w:top w:val="single" w:sz="8" w:color="CCEEFF"/>
            </w:tcBorders>
            <w:gridSpan w:val="2"/>
            <w:shd w:val="clear" w:color="auto" w:fill="CCEEFF"/>
          </w:tcPr>
          <w:p>
            <w:pPr>
              <w:ind w:left="340"/>
              <w:spacing w:after="0" w:line="133" w:lineRule="exact"/>
              <w:rPr>
                <w:sz w:val="20"/>
                <w:szCs w:val="20"/>
                <w:color w:val="auto"/>
              </w:rPr>
            </w:pPr>
            <w:r>
              <w:rPr>
                <w:rFonts w:ascii="Arial" w:cs="Arial" w:eastAsia="Arial" w:hAnsi="Arial"/>
                <w:sz w:val="14"/>
                <w:szCs w:val="14"/>
                <w:color w:val="auto"/>
              </w:rPr>
              <w:t>Adjusted net income attributable to Camping World Holdings, Inc. –</w:t>
            </w: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44,279</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11,414</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58,437</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11,289</w:t>
            </w:r>
          </w:p>
        </w:tc>
        <w:tc>
          <w:tcPr>
            <w:tcW w:w="0" w:type="dxa"/>
            <w:vAlign w:val="bottom"/>
          </w:tcPr>
          <w:p>
            <w:pPr>
              <w:spacing w:after="0"/>
              <w:rPr>
                <w:sz w:val="1"/>
                <w:szCs w:val="1"/>
                <w:color w:val="auto"/>
              </w:rPr>
            </w:pPr>
          </w:p>
        </w:tc>
      </w:tr>
      <w:tr>
        <w:trPr>
          <w:trHeight w:val="155"/>
        </w:trPr>
        <w:tc>
          <w:tcPr>
            <w:tcW w:w="48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Denominator:</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Weighted-average Class A common shares outstanding – basic</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62,735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45,232</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62,627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45,124</w:t>
            </w:r>
          </w:p>
        </w:tc>
        <w:tc>
          <w:tcPr>
            <w:tcW w:w="0" w:type="dxa"/>
            <w:vAlign w:val="bottom"/>
          </w:tcPr>
          <w:p>
            <w:pPr>
              <w:spacing w:after="0"/>
              <w:rPr>
                <w:sz w:val="1"/>
                <w:szCs w:val="1"/>
                <w:color w:val="auto"/>
              </w:rPr>
            </w:pPr>
          </w:p>
        </w:tc>
      </w:tr>
      <w:tr>
        <w:trPr>
          <w:trHeight w:val="162"/>
        </w:trPr>
        <w:tc>
          <w:tcPr>
            <w:tcW w:w="4820" w:type="dxa"/>
            <w:vAlign w:val="bottom"/>
            <w:gridSpan w:val="2"/>
          </w:tcPr>
          <w:p>
            <w:pPr>
              <w:ind w:left="120"/>
              <w:spacing w:after="0"/>
              <w:rPr>
                <w:sz w:val="20"/>
                <w:szCs w:val="20"/>
                <w:color w:val="auto"/>
              </w:rPr>
            </w:pPr>
            <w:r>
              <w:rPr>
                <w:rFonts w:ascii="Arial" w:cs="Arial" w:eastAsia="Arial" w:hAnsi="Arial"/>
                <w:sz w:val="14"/>
                <w:szCs w:val="14"/>
                <w:color w:val="auto"/>
              </w:rPr>
              <w:t>Adjustments related to diluted calculation: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2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Dilutive redemption of common units in CWGS, LLC for shares of</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Class A common stock (l)</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40,045</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40,045</w:t>
            </w:r>
          </w:p>
        </w:tc>
        <w:tc>
          <w:tcPr>
            <w:tcW w:w="0" w:type="dxa"/>
            <w:vAlign w:val="bottom"/>
          </w:tcPr>
          <w:p>
            <w:pPr>
              <w:spacing w:after="0"/>
              <w:rPr>
                <w:sz w:val="1"/>
                <w:szCs w:val="1"/>
                <w:color w:val="auto"/>
              </w:rPr>
            </w:pPr>
          </w:p>
        </w:tc>
      </w:tr>
      <w:tr>
        <w:trPr>
          <w:trHeight w:val="162"/>
        </w:trPr>
        <w:tc>
          <w:tcPr>
            <w:tcW w:w="4820" w:type="dxa"/>
            <w:vAlign w:val="bottom"/>
            <w:gridSpan w:val="2"/>
          </w:tcPr>
          <w:p>
            <w:pPr>
              <w:ind w:left="220"/>
              <w:spacing w:after="0"/>
              <w:rPr>
                <w:sz w:val="20"/>
                <w:szCs w:val="20"/>
                <w:color w:val="auto"/>
              </w:rPr>
            </w:pPr>
            <w:r>
              <w:rPr>
                <w:rFonts w:ascii="Arial" w:cs="Arial" w:eastAsia="Arial" w:hAnsi="Arial"/>
                <w:sz w:val="14"/>
                <w:szCs w:val="14"/>
                <w:color w:val="auto"/>
              </w:rPr>
              <w:t>Dilutive options to purchase Class A common stock (l)</w:t>
            </w:r>
          </w:p>
        </w:tc>
        <w:tc>
          <w:tcPr>
            <w:tcW w:w="1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Dilutive restricted stock units (l)</w:t>
            </w: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33"/>
        </w:trPr>
        <w:tc>
          <w:tcPr>
            <w:tcW w:w="4820" w:type="dxa"/>
            <w:vAlign w:val="bottom"/>
            <w:gridSpan w:val="2"/>
          </w:tcPr>
          <w:p>
            <w:pPr>
              <w:ind w:left="120"/>
              <w:spacing w:after="0" w:line="133" w:lineRule="exact"/>
              <w:rPr>
                <w:sz w:val="20"/>
                <w:szCs w:val="20"/>
                <w:color w:val="auto"/>
              </w:rPr>
            </w:pPr>
            <w:r>
              <w:rPr>
                <w:rFonts w:ascii="Arial" w:cs="Arial" w:eastAsia="Arial" w:hAnsi="Arial"/>
                <w:sz w:val="14"/>
                <w:szCs w:val="14"/>
                <w:color w:val="auto"/>
              </w:rPr>
              <w:t>Adjusted weighted average Class A common shares outstanding –</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20" w:type="dxa"/>
            <w:vAlign w:val="bottom"/>
            <w:gridSpan w:val="2"/>
          </w:tcPr>
          <w:p>
            <w:pPr>
              <w:ind w:left="120"/>
              <w:spacing w:after="0"/>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102,825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85,618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62,822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85,431</w:t>
            </w:r>
          </w:p>
        </w:tc>
        <w:tc>
          <w:tcPr>
            <w:tcW w:w="0" w:type="dxa"/>
            <w:vAlign w:val="bottom"/>
          </w:tcPr>
          <w:p>
            <w:pPr>
              <w:spacing w:after="0"/>
              <w:rPr>
                <w:sz w:val="1"/>
                <w:szCs w:val="1"/>
                <w:color w:val="auto"/>
              </w:rPr>
            </w:pPr>
          </w:p>
        </w:tc>
      </w:tr>
      <w:tr>
        <w:trPr>
          <w:trHeight w:val="162"/>
        </w:trPr>
        <w:tc>
          <w:tcPr>
            <w:tcW w:w="4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Adjusted earnings per share - basic</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0.47</w:t>
            </w:r>
          </w:p>
        </w:tc>
        <w:tc>
          <w:tcPr>
            <w:tcW w:w="220" w:type="dxa"/>
            <w:vAlign w:val="bottom"/>
          </w:tcPr>
          <w:p>
            <w:pPr>
              <w:spacing w:after="0"/>
              <w:rPr>
                <w:sz w:val="14"/>
                <w:szCs w:val="14"/>
                <w:color w:val="auto"/>
              </w:rPr>
            </w:pP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0.17</w:t>
            </w:r>
          </w:p>
        </w:tc>
        <w:tc>
          <w:tcPr>
            <w:tcW w:w="140" w:type="dxa"/>
            <w:vAlign w:val="bottom"/>
          </w:tcPr>
          <w:p>
            <w:pPr>
              <w:spacing w:after="0"/>
              <w:rPr>
                <w:sz w:val="14"/>
                <w:szCs w:val="14"/>
                <w:color w:val="auto"/>
              </w:rPr>
            </w:pPr>
          </w:p>
        </w:tc>
        <w:tc>
          <w:tcPr>
            <w:tcW w:w="2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0.93</w:t>
            </w:r>
          </w:p>
        </w:tc>
        <w:tc>
          <w:tcPr>
            <w:tcW w:w="2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earnings per share - diluted</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0.93</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Anti-dilutive amounts (m):</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Numerator: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2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Reallocation of net income attributable to non-controlling interests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from the anti-dilutive redemption of common units in CWGS, LLC (j)</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37,018</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8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Denominator: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2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Anti-dilutive redemption of common units in CWGS, LLC for shares of</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Class A common stock (l)</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820" w:type="dxa"/>
            <w:vAlign w:val="bottom"/>
            <w:gridSpan w:val="2"/>
            <w:vMerge w:val="restart"/>
          </w:tcPr>
          <w:p>
            <w:pPr>
              <w:ind w:left="20"/>
              <w:spacing w:after="0"/>
              <w:rPr>
                <w:sz w:val="20"/>
                <w:szCs w:val="20"/>
                <w:color w:val="auto"/>
              </w:rPr>
            </w:pPr>
            <w:r>
              <w:rPr>
                <w:rFonts w:ascii="Arial" w:cs="Arial" w:eastAsia="Arial" w:hAnsi="Arial"/>
                <w:sz w:val="11"/>
                <w:szCs w:val="11"/>
                <w:color w:val="auto"/>
              </w:rPr>
              <w:t>(In thousands except per share amounts)</w:t>
            </w:r>
          </w:p>
        </w:tc>
        <w:tc>
          <w:tcPr>
            <w:tcW w:w="2140" w:type="dxa"/>
            <w:vAlign w:val="bottom"/>
            <w:gridSpan w:val="6"/>
          </w:tcPr>
          <w:p>
            <w:pPr>
              <w:ind w:left="20"/>
              <w:spacing w:after="0"/>
              <w:rPr>
                <w:sz w:val="20"/>
                <w:szCs w:val="20"/>
                <w:color w:val="auto"/>
              </w:rPr>
            </w:pPr>
            <w:r>
              <w:rPr>
                <w:rFonts w:ascii="Arial" w:cs="Arial" w:eastAsia="Arial" w:hAnsi="Arial"/>
                <w:sz w:val="12"/>
                <w:szCs w:val="12"/>
                <w:b w:val="1"/>
                <w:bCs w:val="1"/>
                <w:color w:val="auto"/>
              </w:rPr>
              <w:t>Three Months Ended September 30,</w:t>
            </w:r>
          </w:p>
        </w:tc>
        <w:tc>
          <w:tcPr>
            <w:tcW w:w="1960" w:type="dxa"/>
            <w:vAlign w:val="bottom"/>
            <w:gridSpan w:val="6"/>
          </w:tcPr>
          <w:p>
            <w:pPr>
              <w:ind w:left="20"/>
              <w:spacing w:after="0"/>
              <w:rPr>
                <w:sz w:val="20"/>
                <w:szCs w:val="20"/>
                <w:color w:val="auto"/>
              </w:rPr>
            </w:pPr>
            <w:r>
              <w:rPr>
                <w:rFonts w:ascii="Arial" w:cs="Arial" w:eastAsia="Arial" w:hAnsi="Arial"/>
                <w:sz w:val="12"/>
                <w:szCs w:val="12"/>
                <w:b w:val="1"/>
                <w:bCs w:val="1"/>
                <w:color w:val="auto"/>
                <w:w w:val="97"/>
              </w:rPr>
              <w:t>Nine Months Ended September 30,</w:t>
            </w:r>
          </w:p>
        </w:tc>
        <w:tc>
          <w:tcPr>
            <w:tcW w:w="0" w:type="dxa"/>
            <w:vAlign w:val="bottom"/>
          </w:tcPr>
          <w:p>
            <w:pPr>
              <w:spacing w:after="0"/>
              <w:rPr>
                <w:sz w:val="1"/>
                <w:szCs w:val="1"/>
                <w:color w:val="auto"/>
              </w:rPr>
            </w:pPr>
          </w:p>
        </w:tc>
      </w:tr>
      <w:tr>
        <w:trPr>
          <w:trHeight w:val="129"/>
        </w:trPr>
        <w:tc>
          <w:tcPr>
            <w:tcW w:w="4820" w:type="dxa"/>
            <w:vAlign w:val="bottom"/>
            <w:gridSpan w:val="2"/>
            <w:vMerge w:val="continue"/>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50"/>
              <w:spacing w:after="0" w:line="129" w:lineRule="exact"/>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30"/>
              <w:spacing w:after="0" w:line="129" w:lineRule="exact"/>
              <w:rPr>
                <w:sz w:val="20"/>
                <w:szCs w:val="20"/>
                <w:color w:val="auto"/>
              </w:rPr>
            </w:pPr>
            <w:r>
              <w:rPr>
                <w:rFonts w:ascii="Arial" w:cs="Arial" w:eastAsia="Arial" w:hAnsi="Arial"/>
                <w:sz w:val="12"/>
                <w:szCs w:val="12"/>
                <w:b w:val="1"/>
                <w:bCs w:val="1"/>
                <w:color w:val="auto"/>
              </w:rPr>
              <w:t>2024</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30"/>
              <w:spacing w:after="0" w:line="129" w:lineRule="exact"/>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30"/>
              <w:spacing w:after="0" w:line="129" w:lineRule="exact"/>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6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Reconciliation of per share amounts:</w:t>
            </w: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120"/>
              <w:spacing w:after="0"/>
              <w:rPr>
                <w:sz w:val="20"/>
                <w:szCs w:val="20"/>
                <w:color w:val="auto"/>
              </w:rPr>
            </w:pPr>
            <w:r>
              <w:rPr>
                <w:rFonts w:ascii="Arial" w:cs="Arial" w:eastAsia="Arial" w:hAnsi="Arial"/>
                <w:sz w:val="14"/>
                <w:szCs w:val="14"/>
                <w:color w:val="auto"/>
              </w:rPr>
              <w:t>(Loss) earnings per share of Class A common stock — basic</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(0.64)</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0.12</w:t>
            </w:r>
          </w:p>
        </w:tc>
        <w:tc>
          <w:tcPr>
            <w:tcW w:w="14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(0.36)</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Non-GAAP Adjustments (n)</w:t>
            </w: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2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Adjusted earnings per share - basic</w:t>
            </w:r>
          </w:p>
        </w:tc>
        <w:tc>
          <w:tcPr>
            <w:tcW w:w="200" w:type="dxa"/>
            <w:vAlign w:val="bottom"/>
          </w:tcPr>
          <w:p>
            <w:pPr>
              <w:ind w:left="20"/>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0.47</w:t>
            </w:r>
          </w:p>
        </w:tc>
        <w:tc>
          <w:tcPr>
            <w:tcW w:w="220" w:type="dxa"/>
            <w:vAlign w:val="bottom"/>
          </w:tcPr>
          <w:p>
            <w:pPr>
              <w:spacing w:after="0"/>
              <w:rPr>
                <w:sz w:val="13"/>
                <w:szCs w:val="13"/>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0.17</w:t>
            </w:r>
          </w:p>
        </w:tc>
        <w:tc>
          <w:tcPr>
            <w:tcW w:w="14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0.93</w:t>
            </w:r>
          </w:p>
        </w:tc>
        <w:tc>
          <w:tcPr>
            <w:tcW w:w="200" w:type="dxa"/>
            <w:vAlign w:val="bottom"/>
          </w:tcPr>
          <w:p>
            <w:pPr>
              <w:spacing w:after="0"/>
              <w:rPr>
                <w:sz w:val="13"/>
                <w:szCs w:val="13"/>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0.16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120"/>
              <w:spacing w:after="0"/>
              <w:rPr>
                <w:sz w:val="20"/>
                <w:szCs w:val="20"/>
                <w:color w:val="auto"/>
              </w:rPr>
            </w:pPr>
            <w:r>
              <w:rPr>
                <w:rFonts w:ascii="Arial" w:cs="Arial" w:eastAsia="Arial" w:hAnsi="Arial"/>
                <w:sz w:val="14"/>
                <w:szCs w:val="14"/>
                <w:color w:val="auto"/>
              </w:rPr>
              <w:t>(Loss) earnings per share of Class A common stock — diluted</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(0.64)</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0.09</w:t>
            </w:r>
          </w:p>
        </w:tc>
        <w:tc>
          <w:tcPr>
            <w:tcW w:w="14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(0.36)</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(0.18)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Non-GAAP Adjustments (n)</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2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Dilutive redemption of common units in CWGS, LLC for shares of</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20" w:type="dxa"/>
            <w:vAlign w:val="bottom"/>
            <w:gridSpan w:val="2"/>
          </w:tcPr>
          <w:p>
            <w:pPr>
              <w:ind w:left="220"/>
              <w:spacing w:after="0"/>
              <w:rPr>
                <w:sz w:val="20"/>
                <w:szCs w:val="20"/>
                <w:color w:val="auto"/>
              </w:rPr>
            </w:pPr>
            <w:r>
              <w:rPr>
                <w:rFonts w:ascii="Arial" w:cs="Arial" w:eastAsia="Arial" w:hAnsi="Arial"/>
                <w:sz w:val="14"/>
                <w:szCs w:val="14"/>
                <w:color w:val="auto"/>
              </w:rPr>
              <w:t>Class A common stock (o)</w:t>
            </w:r>
          </w:p>
        </w:tc>
        <w:tc>
          <w:tcPr>
            <w:tcW w:w="2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(0.04)</w:t>
            </w:r>
          </w:p>
        </w:tc>
        <w:tc>
          <w:tcPr>
            <w:tcW w:w="2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820" w:type="dxa"/>
            <w:vAlign w:val="bottom"/>
            <w:tcBorders>
              <w:top w:val="single" w:sz="8" w:color="CCEEFF"/>
            </w:tcBorders>
            <w:gridSpan w:val="2"/>
            <w:shd w:val="clear" w:color="auto" w:fill="CCEEFF"/>
          </w:tcPr>
          <w:p>
            <w:pPr>
              <w:ind w:left="340"/>
              <w:spacing w:after="0" w:line="155" w:lineRule="exact"/>
              <w:rPr>
                <w:sz w:val="20"/>
                <w:szCs w:val="20"/>
                <w:color w:val="auto"/>
              </w:rPr>
            </w:pPr>
            <w:r>
              <w:rPr>
                <w:rFonts w:ascii="Arial" w:cs="Arial" w:eastAsia="Arial" w:hAnsi="Arial"/>
                <w:sz w:val="14"/>
                <w:szCs w:val="14"/>
                <w:color w:val="auto"/>
              </w:rPr>
              <w:t>Adjusted earnings per share - diluted</w:t>
            </w:r>
          </w:p>
        </w:tc>
        <w:tc>
          <w:tcPr>
            <w:tcW w:w="20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0.43</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0.13</w:t>
            </w: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0.93</w:t>
            </w: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460" w:right="479" w:hanging="329"/>
        <w:spacing w:after="0" w:line="325" w:lineRule="auto"/>
        <w:tabs>
          <w:tab w:leader="none" w:pos="460" w:val="left"/>
        </w:tabs>
        <w:numPr>
          <w:ilvl w:val="0"/>
          <w:numId w:val="30"/>
        </w:numPr>
        <w:rPr>
          <w:rFonts w:ascii="Arial" w:cs="Arial" w:eastAsia="Arial" w:hAnsi="Arial"/>
          <w:sz w:val="13"/>
          <w:szCs w:val="13"/>
          <w:color w:val="231F20"/>
        </w:rPr>
      </w:pPr>
      <w:r>
        <w:rPr>
          <w:rFonts w:ascii="Arial" w:cs="Arial" w:eastAsia="Arial" w:hAnsi="Arial"/>
          <w:sz w:val="13"/>
          <w:szCs w:val="13"/>
          <w:color w:val="auto"/>
        </w:rPr>
        <w:t>Represents long-lived asset impairment charges related to the RV and Outdoor Retail segment. See Note 4 – Long-Lived Asset Impairment to our condensed consolidated financial statements included in Part I, Item 1 of this Form 10-Q for additional information.</w:t>
      </w:r>
    </w:p>
    <w:p>
      <w:pPr>
        <w:jc w:val="both"/>
        <w:ind w:left="460" w:right="79" w:hanging="329"/>
        <w:spacing w:after="0" w:line="252"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current and deferred income tax expense or benefit effect of the above adjustments. For the three and nine months ended September 30, 2025, the income tax impact for many of the adjustments related to the public holding company, CWH, which had a full valuation allowance against its net deferred tax assets, for which no income tax benefit or expense could be recognized. This assumption uses a blended statutory tax rate of 25.0% for the adjustments for the 2025 and 2024 periods, which represent the estimated tax rates that would apply had the above adjustments been included in the determination of our non-GAAP metric.</w:t>
      </w:r>
    </w:p>
    <w:p>
      <w:pPr>
        <w:spacing w:after="0" w:line="32"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(gain) loss on termination of operating leases resulting from lease termination fees and the derecognition of the operating lease assets and liabilities.</w:t>
      </w:r>
    </w:p>
    <w:p>
      <w:pPr>
        <w:spacing w:after="0" w:line="9" w:lineRule="exact"/>
        <w:rPr>
          <w:rFonts w:ascii="Arial" w:cs="Arial" w:eastAsia="Arial" w:hAnsi="Arial"/>
          <w:sz w:val="14"/>
          <w:szCs w:val="14"/>
          <w:color w:val="231F20"/>
        </w:rPr>
      </w:pPr>
    </w:p>
    <w:p>
      <w:pPr>
        <w:ind w:left="460" w:hanging="329"/>
        <w:spacing w:after="0"/>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an adjustment to eliminate the gains and losses on disposals and sales of various assets.</w:t>
      </w:r>
    </w:p>
    <w:p>
      <w:pPr>
        <w:spacing w:after="0" w:line="82" w:lineRule="exact"/>
        <w:rPr>
          <w:rFonts w:ascii="Arial" w:cs="Arial" w:eastAsia="Arial" w:hAnsi="Arial"/>
          <w:sz w:val="14"/>
          <w:szCs w:val="14"/>
          <w:color w:val="231F20"/>
        </w:rPr>
      </w:pPr>
    </w:p>
    <w:p>
      <w:pPr>
        <w:ind w:left="460" w:hanging="329"/>
        <w:spacing w:after="0"/>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noncash SBC expense relating to employees, directors, and consultants of the Company.</w:t>
      </w:r>
    </w:p>
    <w:p>
      <w:pPr>
        <w:spacing w:after="0" w:line="68" w:lineRule="exact"/>
        <w:rPr>
          <w:rFonts w:ascii="Arial" w:cs="Arial" w:eastAsia="Arial" w:hAnsi="Arial"/>
          <w:sz w:val="14"/>
          <w:szCs w:val="14"/>
          <w:color w:val="231F20"/>
        </w:rPr>
      </w:pPr>
    </w:p>
    <w:p>
      <w:pPr>
        <w:jc w:val="both"/>
        <w:ind w:left="460" w:right="79" w:hanging="329"/>
        <w:spacing w:after="0" w:line="263"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an adjustment to the Tax Receivable Agreement liability for the change in the determination of the realizability of future cash tax benefits underlying the estimate of future payments under the Tax Receivable Agreement. See Note 13 – Income Taxes to our condensed consolidated financial statements included in Part I, Item 1 of this Form 10-Q.</w:t>
      </w:r>
    </w:p>
    <w:p>
      <w:pPr>
        <w:spacing w:after="0" w:line="24"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losses and/or impairment on investments in equity securities and interest income relating to any notes receivables with those investments.</w:t>
      </w:r>
    </w:p>
    <w:p>
      <w:pPr>
        <w:spacing w:after="0" w:line="22"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income tax expense relating to the significant change in the valuation allowance for deferred tax assets for CWH, the public holding company.</w:t>
      </w:r>
    </w:p>
    <w:p>
      <w:pPr>
        <w:spacing w:after="0" w:line="9" w:lineRule="exact"/>
        <w:rPr>
          <w:rFonts w:ascii="Arial" w:cs="Arial" w:eastAsia="Arial" w:hAnsi="Arial"/>
          <w:sz w:val="14"/>
          <w:szCs w:val="14"/>
          <w:color w:val="231F20"/>
        </w:rPr>
      </w:pPr>
    </w:p>
    <w:p>
      <w:pPr>
        <w:jc w:val="both"/>
        <w:ind w:left="460" w:right="79" w:hanging="329"/>
        <w:spacing w:after="0" w:line="256"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adjustment to net income attributable to non-controlling interests resulting from the above adjustments that impact the net income of CWGS, LLC. This adjustment uses the non-controlling interest’s weighted average ownership of CWGS, LLC of 38.8% and 46.8% for the three months ended September 30, 2025 and 2024, respectively, and 38.8% and 46.9% for the nine months ended September 30, 2025 and 2024, respectively.</w:t>
      </w:r>
    </w:p>
    <w:p>
      <w:pPr>
        <w:spacing w:after="0" w:line="28"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reallocation of net income attributable to non-controlling interests from the impact of the assumed change in ownership of CWGS, LLC from stock options, restricted stock units, and/or common units of CWGS, LLC.</w:t>
      </w:r>
    </w:p>
    <w:p>
      <w:pPr>
        <w:spacing w:after="0" w:line="22" w:lineRule="exact"/>
        <w:rPr>
          <w:rFonts w:ascii="Arial" w:cs="Arial" w:eastAsia="Arial" w:hAnsi="Arial"/>
          <w:sz w:val="14"/>
          <w:szCs w:val="14"/>
          <w:color w:val="231F20"/>
        </w:rPr>
      </w:pPr>
    </w:p>
    <w:p>
      <w:pPr>
        <w:jc w:val="both"/>
        <w:ind w:left="460" w:right="79" w:hanging="329"/>
        <w:spacing w:after="0" w:line="252"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income tax expense effect of the above adjustment for reallocation of net (loss) income attributable to non-controlling interests. For the three and nine months ended September 30, 2025, the income tax impact of this reallocation adjustment related to the public holding company, CWH, which had a full valuation allowance against its net deferred tax assets, for which no income tax benefit or expense could be recognized. This assumption uses a blended statutory tax rate of 25.0% for the adjustments for the 2025 and 2024 periods.</w:t>
      </w:r>
    </w:p>
    <w:p>
      <w:pPr>
        <w:spacing w:after="0" w:line="32" w:lineRule="exact"/>
        <w:rPr>
          <w:rFonts w:ascii="Arial" w:cs="Arial" w:eastAsia="Arial" w:hAnsi="Arial"/>
          <w:sz w:val="14"/>
          <w:szCs w:val="14"/>
          <w:color w:val="231F20"/>
        </w:rPr>
      </w:pPr>
    </w:p>
    <w:p>
      <w:pPr>
        <w:ind w:left="460" w:hanging="329"/>
        <w:spacing w:after="0"/>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impact to the denominator for stock options, restricted stock units, and/or common units of CWGS, LLC.</w:t>
      </w:r>
    </w:p>
    <w:p>
      <w:pPr>
        <w:spacing w:after="0" w:line="68" w:lineRule="exact"/>
        <w:rPr>
          <w:rFonts w:ascii="Arial" w:cs="Arial" w:eastAsia="Arial" w:hAnsi="Arial"/>
          <w:sz w:val="14"/>
          <w:szCs w:val="14"/>
          <w:color w:val="231F20"/>
        </w:rPr>
      </w:pPr>
    </w:p>
    <w:p>
      <w:pPr>
        <w:ind w:left="460" w:right="79" w:hanging="329"/>
        <w:spacing w:after="0" w:line="252"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The below amounts have not been considered in our adjusted earnings per share – diluted amounts as the effect of these items are anti-dilutive. Additionally, 750,000 performance stock units granted in January 2025 were excluded from the calculation of our adjusted earnings per share – diluted, since they represent contingently issuable shares for which all of the necessary conditions had not been satisfied (see Note 16 — Stock-Based Compensation Plans to our condensed consolidated financial statements included in Part I, Item 1 of this Form 10-Q).</w:t>
      </w:r>
    </w:p>
    <w:p>
      <w:pPr>
        <w:spacing w:after="0" w:line="45" w:lineRule="exact"/>
        <w:rPr>
          <w:rFonts w:ascii="Arial" w:cs="Arial" w:eastAsia="Arial" w:hAnsi="Arial"/>
          <w:sz w:val="14"/>
          <w:szCs w:val="14"/>
          <w:color w:val="231F20"/>
        </w:rPr>
      </w:pPr>
    </w:p>
    <w:p>
      <w:pPr>
        <w:ind w:left="460" w:hanging="329"/>
        <w:spacing w:after="0"/>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per share impact of the Non-GAAP adjustments to net (loss) income detailed above (see (a) through (i) above).</w:t>
      </w:r>
    </w:p>
    <w:p>
      <w:pPr>
        <w:spacing w:after="0" w:line="68"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per share impact of stock options, restricted stock units, and/or common units of CWGS, LLC from the difference in their dilutive impact between the GAAP and Non-GAAP earnings per share calculations.</w:t>
      </w: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SG&amp;A Excluding SBC</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define “SG&amp;A Excluding SBC” as SG&amp;A before SBC relating to SG&amp;A. We caution investors that amounts presented in accordance with our definition of SG&amp;A Excluding SBC may not be comparable to similar measures disclosed by our competitors, because not all companies and analysts calculate SG&amp;A Excluding SBC in the same manner. We present SG&amp;A Excluding SBC because we believe that investors’ understanding of our performance and drivers of our other Non-GAAP Financial Measures, such as Adjusted EBITDA, is enhanced by including this Non-GAAP Financial Measure. We believe it provides a reasonable basis for comparing our ongoing results of operations.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reconciles SG&amp;A Excluding SBC to the most directly comparable GAAP financial performance measure: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380" w:type="dxa"/>
            <w:vAlign w:val="bottom"/>
            <w:gridSpan w:val="2"/>
            <w:vMerge w:val="restart"/>
          </w:tcPr>
          <w:p>
            <w:pPr>
              <w:ind w:left="20"/>
              <w:spacing w:after="0"/>
              <w:rPr>
                <w:sz w:val="20"/>
                <w:szCs w:val="20"/>
                <w:color w:val="auto"/>
              </w:rPr>
            </w:pPr>
            <w:r>
              <w:rPr>
                <w:rFonts w:ascii="Arial" w:cs="Arial" w:eastAsia="Arial" w:hAnsi="Arial"/>
                <w:sz w:val="11"/>
                <w:szCs w:val="11"/>
                <w:color w:val="auto"/>
              </w:rPr>
              <w:t>($ in thousands)</w:t>
            </w:r>
          </w:p>
        </w:tc>
        <w:tc>
          <w:tcPr>
            <w:tcW w:w="2360" w:type="dxa"/>
            <w:vAlign w:val="bottom"/>
            <w:gridSpan w:val="6"/>
          </w:tcPr>
          <w:p>
            <w:pPr>
              <w:jc w:val="right"/>
              <w:ind w:right="280"/>
              <w:spacing w:after="0"/>
              <w:rPr>
                <w:sz w:val="20"/>
                <w:szCs w:val="20"/>
                <w:color w:val="auto"/>
              </w:rPr>
            </w:pPr>
            <w:r>
              <w:rPr>
                <w:rFonts w:ascii="Arial" w:cs="Arial" w:eastAsia="Arial" w:hAnsi="Arial"/>
                <w:sz w:val="12"/>
                <w:szCs w:val="12"/>
                <w:b w:val="1"/>
                <w:bCs w:val="1"/>
                <w:color w:val="auto"/>
              </w:rPr>
              <w:t>Three Months Ended September 30,</w:t>
            </w:r>
          </w:p>
        </w:tc>
        <w:tc>
          <w:tcPr>
            <w:tcW w:w="2160" w:type="dxa"/>
            <w:vAlign w:val="bottom"/>
            <w:gridSpan w:val="5"/>
          </w:tcPr>
          <w:p>
            <w:pPr>
              <w:jc w:val="right"/>
              <w:ind w:right="44"/>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28"/>
        </w:trPr>
        <w:tc>
          <w:tcPr>
            <w:tcW w:w="4380" w:type="dxa"/>
            <w:vAlign w:val="bottom"/>
            <w:gridSpan w:val="2"/>
            <w:vMerge w:val="continue"/>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64"/>
              <w:spacing w:after="0" w:line="129" w:lineRule="exact"/>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64"/>
              <w:spacing w:after="0" w:line="129" w:lineRule="exact"/>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64"/>
              <w:spacing w:after="0" w:line="129" w:lineRule="exact"/>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83"/>
        </w:trPr>
        <w:tc>
          <w:tcPr>
            <w:tcW w:w="416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SG&amp;A Excluding SBC:</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80" w:type="dxa"/>
            <w:vAlign w:val="bottom"/>
            <w:gridSpan w:val="2"/>
          </w:tcPr>
          <w:p>
            <w:pPr>
              <w:ind w:left="120"/>
              <w:spacing w:after="0"/>
              <w:rPr>
                <w:sz w:val="20"/>
                <w:szCs w:val="20"/>
                <w:color w:val="auto"/>
              </w:rPr>
            </w:pPr>
            <w:r>
              <w:rPr>
                <w:rFonts w:ascii="Arial" w:cs="Arial" w:eastAsia="Arial" w:hAnsi="Arial"/>
                <w:sz w:val="16"/>
                <w:szCs w:val="16"/>
                <w:color w:val="auto"/>
              </w:rPr>
              <w:t>SG&amp;A</w:t>
            </w:r>
          </w:p>
        </w:tc>
        <w:tc>
          <w:tcPr>
            <w:tcW w:w="220" w:type="dxa"/>
            <w:vAlign w:val="bottom"/>
          </w:tcPr>
          <w:p>
            <w:pPr>
              <w:jc w:val="right"/>
              <w:ind w:right="47"/>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411,011</w:t>
            </w:r>
          </w:p>
        </w:tc>
        <w:tc>
          <w:tcPr>
            <w:tcW w:w="22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414,209</w:t>
            </w:r>
          </w:p>
        </w:tc>
        <w:tc>
          <w:tcPr>
            <w:tcW w:w="2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1,235,945</w:t>
            </w:r>
          </w:p>
        </w:tc>
        <w:tc>
          <w:tcPr>
            <w:tcW w:w="2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1,205,358</w:t>
            </w:r>
          </w:p>
        </w:tc>
        <w:tc>
          <w:tcPr>
            <w:tcW w:w="0" w:type="dxa"/>
            <w:vAlign w:val="bottom"/>
          </w:tcPr>
          <w:p>
            <w:pPr>
              <w:spacing w:after="0"/>
              <w:rPr>
                <w:sz w:val="1"/>
                <w:szCs w:val="1"/>
                <w:color w:val="auto"/>
              </w:rPr>
            </w:pPr>
          </w:p>
        </w:tc>
      </w:tr>
      <w:tr>
        <w:trPr>
          <w:trHeight w:val="189"/>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SBC - SG&amp;A</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(7,632)</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(5,478)</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(23,121)</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(15,891)</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gridSpan w:val="2"/>
          </w:tcPr>
          <w:p>
            <w:pPr>
              <w:ind w:left="340"/>
              <w:spacing w:after="0" w:line="183" w:lineRule="exact"/>
              <w:rPr>
                <w:sz w:val="20"/>
                <w:szCs w:val="20"/>
                <w:color w:val="auto"/>
              </w:rPr>
            </w:pPr>
            <w:r>
              <w:rPr>
                <w:rFonts w:ascii="Arial" w:cs="Arial" w:eastAsia="Arial" w:hAnsi="Arial"/>
                <w:sz w:val="16"/>
                <w:szCs w:val="16"/>
                <w:color w:val="auto"/>
              </w:rPr>
              <w:t>SG&amp;A Excluding SBC:</w:t>
            </w:r>
          </w:p>
        </w:tc>
        <w:tc>
          <w:tcPr>
            <w:tcW w:w="220" w:type="dxa"/>
            <w:vAlign w:val="bottom"/>
            <w:tcBorders>
              <w:top w:val="single" w:sz="8" w:color="auto"/>
              <w:bottom w:val="single" w:sz="8" w:color="auto"/>
            </w:tcBorders>
          </w:tcPr>
          <w:p>
            <w:pPr>
              <w:jc w:val="right"/>
              <w:ind w:right="47"/>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403,379</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408,731</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1,212,824</w:t>
            </w:r>
          </w:p>
        </w:tc>
        <w:tc>
          <w:tcPr>
            <w:tcW w:w="2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1,189,467</w:t>
            </w:r>
          </w:p>
        </w:tc>
        <w:tc>
          <w:tcPr>
            <w:tcW w:w="0" w:type="dxa"/>
            <w:vAlign w:val="bottom"/>
          </w:tcPr>
          <w:p>
            <w:pPr>
              <w:spacing w:after="0"/>
              <w:rPr>
                <w:sz w:val="1"/>
                <w:szCs w:val="1"/>
                <w:color w:val="auto"/>
              </w:rPr>
            </w:pPr>
          </w:p>
        </w:tc>
      </w:tr>
      <w:tr>
        <w:trPr>
          <w:trHeight w:val="170"/>
        </w:trPr>
        <w:tc>
          <w:tcPr>
            <w:tcW w:w="4380" w:type="dxa"/>
            <w:vAlign w:val="bottom"/>
            <w:gridSpan w:val="2"/>
            <w:shd w:val="clear" w:color="auto" w:fill="CCEEFF"/>
          </w:tcPr>
          <w:p>
            <w:pPr>
              <w:ind w:left="340"/>
              <w:spacing w:after="0" w:line="170" w:lineRule="exact"/>
              <w:rPr>
                <w:sz w:val="20"/>
                <w:szCs w:val="20"/>
                <w:color w:val="auto"/>
              </w:rPr>
            </w:pPr>
            <w:r>
              <w:rPr>
                <w:rFonts w:ascii="Arial" w:cs="Arial" w:eastAsia="Arial" w:hAnsi="Arial"/>
                <w:sz w:val="16"/>
                <w:szCs w:val="16"/>
                <w:color w:val="auto"/>
              </w:rPr>
              <w:t>As a percentage of gross profit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78.0%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82.0%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78.8%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primary requirements for liquidity and capital have been working capital, inventory management, acquiring and building new store locations, the improvement and expansion of existing store locations, debt service, distributions/dividends to holders of equity interests in CWGS, LLC and our Class A common stock, and general corporate needs. These cash requirements have historically been met through cash provided by operating activities, cash and cash equivalents, proceeds from registered offerings of our Class A common stock, borrowings under our Senior Secured Credit Facilities (as defined in Part I, Item 1 of this Form 10-Q), borrowings under our Floor Plan Facility (as defined in Part I, Item 1 of this Form 10-Q), and borrowings under our Real Estate Facilities (as defined in Part I, Item 1 of this Form 10-Q).</w:t>
      </w:r>
    </w:p>
    <w:p>
      <w:pPr>
        <w:spacing w:after="0" w:line="18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additional liquidity needs are expected to include public company costs, payment of cash dividends, any exercise of the redemption right by the Continuing Equity Owners from time to time (should we elect to redeem common units for a cash payment), our stock repurchase program as described below, payments under the Tax Receivable Agreement to the extent that tax benefits underlying the Tax Receivable Agreement are realizable, and state and federal taxes to the extent not reduced as a result of the tax deductions generated by (i) payments under the Tax Receivable Agreement and (ii) redemptions of common units by the Continuing Equity Owners. The Continuing Equity Owners may exercise such redemption right for as long as their common units remain outstanding. Although the actual timing and amount of any payments that may be made under the Tax Receivable Agreement will vary, we expect that the payments that we will be required to make to the Continuing Equity Owners, Former Profits Unit Holders and Crestview Partners II GP, L.P. may be significant if the tax benefits underlying the Tax Receivable Agreement are realizable. Any payments made by us to Continuing Equity Owners, Former Profits Unit Holders and Crestview Partners II GP, L.P. under the Tax Receivable Agreement will generally reduce the amount of overall cash flow that might have otherwise been available to us or to CWGS, LLC and, to the extent that we are unable to make payments under the Tax Receivable Agreement for any reason, the unpaid amounts generally will be deferred and will accrue interest until paid by us; provided, however, that nonpayment for a specified period may constitute a material breach of a material obligation under the Tax Receivable Agreement and therefore may accelerate payments due under the Tax Receivable Agreement. For a discussion of the Tax Receivable Agreement, see Note 13 — Income Taxes to our condensed consolidated financial statements included in Part I, Item 1 of this Form 10-Q.</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Repurchase Program</w:t>
      </w:r>
    </w:p>
    <w:p>
      <w:pPr>
        <w:spacing w:after="0" w:line="15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During the three months ended September 30, 2025, we did not repurchase Class A common stock under our stock repurchase program, which expires on December 31, 2025. As of September 30, 2025, $120.2 million was available under the stock repurchase program to repurchase additional shares of our Class A common stock.</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Since December 2016, we have paid our quarterly cash dividend to holders of Class A common stock. Since September 2023, the quarterly cash dividend has been $0.125 per share of Class A common stock, and we paid $7.9 million, in the aggregate, for dividends for the third quarter of 2025, which was funded with a $0.060 per common unit cash distribution from CWGS, LLC and the remaining $0.065 per share of Class A common stock funded with all or a portion of the Excess Tax Distribution (as defined under “Dividend Policy”</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included in Part II, Item 5 of our Annual Report). In aggregate, $3.8 million and $4.1 million of the September 2025 quarterly cash dividend was funded by the cash distribution from CWGS, LLC and the Excess Tax Distribution, respectively. Additionally, in September 2025, the non-controlling interest received its share of the $0.060 per common unit distribution from CWGS, LLC for an aggregate $2.4 million, which was presented in distributions to holders of LLC common units in our condensed consolidated statements of cash flows included in Part I, Item 1 of this Form 10-Q. During the six months ended June 30, 2025, the dividends were funded entirely from the Excess Tax, with no portion funded by other cash distributions from CWGS, LLC.</w:t>
      </w:r>
    </w:p>
    <w:p>
      <w:pPr>
        <w:spacing w:after="0" w:line="185"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ability to pay cash dividends on our Class A common stock depends on, among other things, our results of operations, financial condition, level of indebtedness, capital requirements, contractual restrictions, restrictions in our debt agreements and in any preferred stock, restrictions under applicable law, the extent to which such distributions would render CWGS, LLC insolvent, our business prospects and other factors that our Board of Directors may deem relevant. Our dividend policy has certain risks and limitations particularly with respect to liquidity, and we may not pay future dividends according to our policy, or at all. See “Dividend Policy” included in Part II, Item 5 of our Annual Report and “Risk Factors ─ Risks Relating to Ownership of Our Class A Common Stock ─ Our ability to pay regular and special dividends on our Class A common stock is subject to the discretion of our Board of Directors and may be limited by our structure and statutory restrictions” included in Part I, Item 1A of our Annual Report.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Acquisitions and Capital Expenditures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nine months ended September 30, 2025, the RV and Outdoor Retail segment purchased real property for an aggregate purchase price of $ 123.9 million, inclusive of a $1.1 million note receivable that was forgiven as partial consideration for one of the properties.</w:t>
      </w:r>
    </w:p>
    <w:p>
      <w:pPr>
        <w:spacing w:after="0" w:line="16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Over the twelve months ended September 30, 2025, our store location count decreased by 10 store locations, as we consolidated 15 store locations during that period to improve overall cost efficiency of the remaining store locations. Over the next twelve months, our expansion of existing and new dealerships through construction and acquisition is expected to cost between $63.0 million and $81.0 million from a combination of business acquisitions and capital expenditures relating to land, buildings, and improvements. These cost estimates exclude amounts for acquired inventories, which are primarily financed through our Floor Plan Facility. Additionally, the cost estimates do not consider potential funding received through sale leaseback transactions or other means for real estate and construction activities. We will update our cost estimates in future periodic reports, if necessary, as there are further developments. Factors that could impact the quantity of future locations or the cost to acquire or open those locations include, but are not limited to, our ability to locate potential acquisition targets or greenfield locations in a geographic area and at a cost that meets our success criteria; continued strong cash flow generation to fund these acquisitions and new locations; and availability of financing.</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Tax Receivable Agreement Liability</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expect to pay $1.2 million under the Tax Receivable Agreement during the year ending December 31, 2026 and do not currently estimate that future cash tax benefits underlying the estimate of further future payments under the Tax Receivable Agreement are realizable.</w:t>
      </w:r>
    </w:p>
    <w:p>
      <w:pPr>
        <w:spacing w:after="0" w:line="16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See Note 13 — Income Taxes to our condensed consolidated financial statements included in Part I, Item 1 of this Form 10-Q for additional information.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Cash Requirements or Commitments</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Substantially all of our new RV inventory and, at times, certain of our used RV inventory is financed under our Floor Plan Facility (defined in Note 3 – Inventories and Floor Plan Payables to our condensed consolidated financial statements included in Part I, Item 1 of this Form 10-Q). See “Summary of Credit Facilities, Other Long-Term Debt, and Finance Lease Arrangements” for a summary of the cash requirements related to our indebtedness.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Cash requirements relating to the Supplier Agreement, operating and finance lease obligations, and service and marketing sponsorship agreements have not materially changed since our Annual Report.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Sources of Liquidity and Capital</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believe that our sources of liquidity and capital including cash provided by operating activities, equity offerings and borrowings under our various credit facilities, other long-term debt, and finance lease arrangements (see “Summary of Credit Facilities, Other Long-Term Debt, and Finance Lease Arrangements” below), including additional borrowing capacity where applicable, will be sufficient to finance our continued operations, growth strategy, including the opening of any additional store locations, quarterly cash dividends (as described above), required payments for our obligations under the Tax Receivable Agreement to the extent that tax benefits underlying the Tax Receivable Agreement are realizable, and additional expenses we expect to incur for at least the next twelve months.</w:t>
      </w:r>
    </w:p>
    <w:p>
      <w:pPr>
        <w:spacing w:after="0" w:line="18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However, we cannot assure you that our cash provided by operating activities, cash and cash equivalents, registered offerings of equity under our Registration Statement on Form S-3, or cash available under our Revolving Credit Facility, our Floor Plan Facility, and our Real Estate Facilities, will be sufficient to meet our future needs. If we are unable to generate sufficient cash flows from operations in the future and if availability under our Revolving Credit Facility, our Floor Plan Facility, and our Real Estate Facilities is not sufficient, we may have to obtain additional financing. If we obtain additional capital by issuing equity, the interests of our existing stockholders will be diluted. If we incur additional indebtedness, that indebtedness may impose significant financial and other covenants that may significantly restrict our operations. We cannot assure you that we could obtain refinancing or additional financing on favorable terms or at all, including the expected additional borrowings noted above and particularly in light of the current macroeconomic uncertainty. See “Risk Factors — Risks Related to our Business — Our ability to operate and expand our business and to respond to changing business and economic conditions will depend on the availability of adequate capital” included in Part I, Item 1A of our Annual Report.</w:t>
      </w:r>
    </w:p>
    <w:p>
      <w:pPr>
        <w:spacing w:after="0" w:line="18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As of September 30, 2025, December 31, 2024, and September 30, 2024, we had working capital of $540.7 million, $590.3 million, and $397.2 million, respectively, including $230.5 million, $208.4 million, and $28.4 million, respectively, of cash and cash equivalents. Within current liabilities, which are deducted from current assets to calculate our working capital, we had deferred revenues of $98.3 million, $92.1 million, and $100.9 million as of September 30, 2025, December 31, 2024, and September 30, 2024, respectively. Deferred revenues primarily consists of cash collected for club memberships and roadside assistance contracts in advance of services to be provided, which is deferred and recognized as revenue over the life of the membership, deferred revenues for the annual campground guide, and our Good Sam Club loyalty points liability. We use net proceeds from this deferred membership revenue to lower our long-term borrowings and finance our working capital needs. Our Floor Plan Facility includes a flooring line aggregate interest reduction (“FLAIR”) offset account that allows us to transfer cash as an offset to the payables under the Floor Plan Facility. The FLAIR offset account was $ 0.3 million as of September 30, 2025, all of which could have been withdrawn while remaining in compliance with the financial covenants of the Floor Plan Facility. Cash may be transferred from the FLAIR offset account to cash and cash equivalents at our discretion.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Seasonality</w:t>
      </w:r>
    </w:p>
    <w:p>
      <w:pPr>
        <w:spacing w:after="0" w:line="142" w:lineRule="exact"/>
        <w:rPr>
          <w:sz w:val="20"/>
          <w:szCs w:val="20"/>
          <w:color w:val="auto"/>
        </w:rPr>
      </w:pPr>
    </w:p>
    <w:p>
      <w:pPr>
        <w:jc w:val="both"/>
        <w:ind w:left="60" w:right="59" w:firstLine="648"/>
        <w:spacing w:after="0" w:line="245" w:lineRule="auto"/>
        <w:rPr>
          <w:sz w:val="20"/>
          <w:szCs w:val="20"/>
          <w:color w:val="auto"/>
        </w:rPr>
      </w:pPr>
      <w:r>
        <w:rPr>
          <w:rFonts w:ascii="Arial" w:cs="Arial" w:eastAsia="Arial" w:hAnsi="Arial"/>
          <w:sz w:val="18"/>
          <w:szCs w:val="18"/>
          <w:color w:val="auto"/>
        </w:rPr>
        <w:t>We have experienced, and expect to continue to experience, variability in revenue, net income, and cash flows as a result of annual seasonality in our business (see Note 1 — Summary of Significant Accounting</w:t>
      </w:r>
    </w:p>
    <w:p>
      <w:pPr>
        <w:jc w:val="both"/>
        <w:ind w:left="60" w:right="79"/>
        <w:spacing w:after="0" w:line="237" w:lineRule="auto"/>
        <w:rPr>
          <w:sz w:val="20"/>
          <w:szCs w:val="20"/>
          <w:color w:val="auto"/>
        </w:rPr>
      </w:pPr>
      <w:r>
        <w:rPr>
          <w:rFonts w:ascii="Arial" w:cs="Arial" w:eastAsia="Arial" w:hAnsi="Arial"/>
          <w:sz w:val="18"/>
          <w:szCs w:val="18"/>
          <w:color w:val="auto"/>
        </w:rPr>
        <w:t>Policies — Seasonality to our condensed consolidated financial statements included in Part I, Item 1 of this Form 10-Q).</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10"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The following table shows summary cash flow information for the nine months ended September 30, 2025 and 2024:</w:t>
      </w:r>
    </w:p>
    <w:p>
      <w:pPr>
        <w:ind w:left="6120"/>
        <w:spacing w:after="0" w:line="237" w:lineRule="auto"/>
        <w:rPr>
          <w:sz w:val="20"/>
          <w:szCs w:val="20"/>
          <w:color w:val="auto"/>
        </w:rPr>
      </w:pPr>
      <w:r>
        <w:rPr>
          <w:rFonts w:ascii="Arial" w:cs="Arial" w:eastAsia="Arial" w:hAnsi="Arial"/>
          <w:sz w:val="14"/>
          <w:szCs w:val="14"/>
          <w:b w:val="1"/>
          <w:bCs w:val="1"/>
          <w:color w:val="auto"/>
        </w:rPr>
        <w:t>Nine Months Ended September 30,</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156"/>
        </w:trPr>
        <w:tc>
          <w:tcPr>
            <w:tcW w:w="54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1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95,236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408,541</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(226,071)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(57,096)</w:t>
            </w: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152,926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(362,712)</w:t>
            </w:r>
          </w:p>
        </w:tc>
      </w:tr>
      <w:tr>
        <w:trPr>
          <w:trHeight w:val="196"/>
        </w:trPr>
        <w:tc>
          <w:tcPr>
            <w:tcW w:w="5460" w:type="dxa"/>
            <w:vAlign w:val="bottom"/>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22,091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(11,267)</w:t>
            </w: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flows from operating activities are primarily collections from contracts in</w:t>
      </w:r>
      <w:r>
        <w:rPr>
          <w:rFonts w:ascii="Arial" w:cs="Arial" w:eastAsia="Arial" w:hAnsi="Arial"/>
          <w:sz w:val="18"/>
          <w:szCs w:val="18"/>
          <w:i w:val="1"/>
          <w:iCs w:val="1"/>
          <w:color w:val="auto"/>
        </w:rPr>
        <w:t xml:space="preserve"> </w:t>
      </w:r>
      <w:r>
        <w:rPr>
          <w:rFonts w:ascii="Arial" w:cs="Arial" w:eastAsia="Arial" w:hAnsi="Arial"/>
          <w:sz w:val="18"/>
          <w:szCs w:val="18"/>
          <w:color w:val="auto"/>
        </w:rPr>
        <w:t>transit and customers following the sale of new and used vehicles, as well as from the sale of retail products and services and Good Sam services and plans. Contracts in transit represent amounts due from third -party lenders from whom pre-arranged agreements have been determined, and to whom the retail installment sales contracts have been assigned. Our primary uses of cash from operating activities are repayments of vehicle floor plan payables, payments to retail product suppliers, personnel-related expenditures, payments related to leased property, advertising, and various services and program costs.</w:t>
      </w:r>
    </w:p>
    <w:p>
      <w:pPr>
        <w:spacing w:after="0" w:line="18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Net cash provided by operating activities was $95.2 million in the nine months ended September 30, 2025, a decrease of $313.3 million from $408.5 million of net cash provided by operating activities in the nine months ended September 30, 2024. The decrease was primarily due to a $407.0 million decrease in the working capital adjustment for inventory, a $149.2 million change in the Tax Receivable Agreement liability adjustment, an $18.5 million decrease in the working capital adjustment for receivables and contracts in transit, an $11.1 million decrease in long-lived asset impairment, a $9.6 million decrease in loss on sale or disposal of assets, a $5.0 million decrease in the working capital adjustment for deferred revenue, and a $3.1 million decrease in working capital adjustment for other, net, partially offset by a $214.2 million increase in deferred income taxes, a $ 22.8 million increase in net income, a $12.9 million increase in working capital adjustment related to the Tax Receivable Agreement, an $11.7 million increase in depreciation and amortization, a $7.7 million increase in working capital adjustment for prepaid expenses and other assets, a $7.3 million increase in SBC, and a $5.7 million increase in working capital adjustment for accounts payable and other accrued expenses.</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investment in business activities primarily consists of expanding our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organic growth and the acquisition of RV dealership locations. Substantially all of our new RV dealership locations and capital expenditures have been financed using cash provided by operating activities and borrowings under our various credit facilities, other long-term debt, proceeds from registered offerings of our Class A common stock, and finance lease arrangements, as applicable (see Liquidity and Capital Resources — Summary of Credit Facilities, Other Long-Term Debt, and Finance Lease Arrangements in Part I, Item 2 of this Form 10-Q).</w:t>
      </w:r>
    </w:p>
    <w:p>
      <w:pPr>
        <w:spacing w:after="0" w:line="185" w:lineRule="exact"/>
        <w:rPr>
          <w:sz w:val="20"/>
          <w:szCs w:val="20"/>
          <w:color w:val="auto"/>
        </w:rPr>
      </w:pPr>
    </w:p>
    <w:p>
      <w:pPr>
        <w:jc w:val="both"/>
        <w:ind w:left="60" w:right="79" w:firstLine="648"/>
        <w:spacing w:after="0" w:line="255" w:lineRule="auto"/>
        <w:rPr>
          <w:sz w:val="20"/>
          <w:szCs w:val="20"/>
          <w:color w:val="auto"/>
        </w:rPr>
      </w:pPr>
      <w:r>
        <w:rPr>
          <w:rFonts w:ascii="Arial" w:cs="Arial" w:eastAsia="Arial" w:hAnsi="Arial"/>
          <w:sz w:val="18"/>
          <w:szCs w:val="18"/>
          <w:color w:val="auto"/>
        </w:rPr>
        <w:t>The table below summarizes our capital expenditures for the nine months ended September 30, 2025 and 2024:</w:t>
      </w:r>
    </w:p>
    <w:p>
      <w:pPr>
        <w:ind w:left="5680"/>
        <w:spacing w:after="0" w:line="237" w:lineRule="auto"/>
        <w:rPr>
          <w:sz w:val="20"/>
          <w:szCs w:val="20"/>
          <w:color w:val="auto"/>
        </w:rPr>
      </w:pPr>
      <w:r>
        <w:rPr>
          <w:rFonts w:ascii="Arial" w:cs="Arial" w:eastAsia="Arial" w:hAnsi="Arial"/>
          <w:sz w:val="14"/>
          <w:szCs w:val="14"/>
          <w:b w:val="1"/>
          <w:bCs w:val="1"/>
          <w:color w:val="auto"/>
        </w:rPr>
        <w:t>Nine Months Ended September 30,</w:t>
      </w:r>
    </w:p>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155"/>
        </w:trPr>
        <w:tc>
          <w:tcPr>
            <w:tcW w:w="458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IT hardware and software</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15,866</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15,070</w:t>
            </w: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Greenfield and acquired dealership locations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11,500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22,172</w:t>
            </w: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Existing store locations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54,646</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28,586</w:t>
            </w:r>
          </w:p>
        </w:tc>
      </w:tr>
      <w:tr>
        <w:trPr>
          <w:trHeight w:val="202"/>
        </w:trPr>
        <w:tc>
          <w:tcPr>
            <w:tcW w:w="20" w:type="dxa"/>
            <w:vAlign w:val="bottom"/>
          </w:tcPr>
          <w:p>
            <w:pPr>
              <w:spacing w:after="0"/>
              <w:rPr>
                <w:sz w:val="17"/>
                <w:szCs w:val="17"/>
                <w:color w:val="auto"/>
              </w:rPr>
            </w:pPr>
          </w:p>
        </w:tc>
        <w:tc>
          <w:tcPr>
            <w:tcW w:w="45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2,118</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2,366</w:t>
            </w:r>
          </w:p>
        </w:tc>
      </w:tr>
      <w:tr>
        <w:trPr>
          <w:trHeight w:val="196"/>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capital expenditures</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84,130</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68,194</w:t>
            </w: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Our capital expenditures consist primarily of investing in acquired and greenfield retail and RV dealership locations, existing retail locations, information technology, hardware, and software. The expected minimum capital expenditures relating to new dealerships and real estate purchases through September 30, 2026 are discussed above. As of September 30, 2025, we had entered into contracts for construction of new</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dealership buildings for an aggregate future commitment of capital expenditures of $3.4 million. There were no other material commitments for capital expenditures as of September 30, 2025.</w:t>
      </w:r>
    </w:p>
    <w:p>
      <w:pPr>
        <w:spacing w:after="0" w:line="15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Net cash used in investing activities was $226.1 million for the nine months ended September 30, 2025. The $226.1 million of cash used in investing activities was primarily comprised of $122.8 million for the purchase of real property, and $84.1 million of capital expenditures primarily related to retail locations, $81.2 million for the acquisition of RV dealerships, net of cash acquired and the $11.0 million of deposits paid in 2024 for these 2025 acquisitions, partially offset by $53.8 million of proceeds from the sale of real property, and $11.0 million of proceeds from a business divestiture.</w:t>
      </w:r>
    </w:p>
    <w:p>
      <w:pPr>
        <w:spacing w:after="0" w:line="17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Net cash used in investing activities was $57.1 million for the nine months ended September 30, 2024. The $57.1 million of cash used in investing activities was comprised of $68.2 million of capital expenditures primarily related to retail locations, $62.3 million for the acquisition of RV dealerships and a tire delivery service business, net of cash acquired, and $1.2 million for the purchase of real property, partially offset by $48.4 million of proceeds from the sale of real property, $20.0 million in proceeds from the divestiture of a business, $3.8 million of proceeds from the sale of property and equipment, and $2.6 million of proceeds from the sale of intangible assets.</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Our financing activities primarily consist of proceeds from the issuance of debt,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principal, cash dividends to holders of Class A common stock, and cash distributions to holders of CWGS, LLC common units</w:t>
      </w:r>
      <w:r>
        <w:rPr>
          <w:rFonts w:ascii="Arial" w:cs="Arial" w:eastAsia="Arial" w:hAnsi="Arial"/>
          <w:sz w:val="18"/>
          <w:szCs w:val="18"/>
          <w:b w:val="1"/>
          <w:bCs w:val="1"/>
          <w:color w:val="auto"/>
        </w:rPr>
        <w:t>.</w:t>
      </w:r>
    </w:p>
    <w:p>
      <w:pPr>
        <w:spacing w:after="0" w:line="15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net cash provided by financing activities was $ 152.9 million for the nine months ended September 30, 2025. The $152.9 million of cash provided by financing activities was primarily due to $226.3 million of net proceeds on borrowings under the Floor Plan Facility, partially offset by payments totaling $38.2 million on long-term debt, $23.5 million of dividends paid on Class A common stock, and $5.5 million for finance lease payments.</w:t>
      </w:r>
    </w:p>
    <w:p>
      <w:pPr>
        <w:spacing w:after="0" w:line="1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net cash used in financing activities was $362.7 million for the nine months ended September 30, 2024. The $362.7 million of cash used in financing activities was primarily due to $317.5 million of net payments on borrowings under the Floor Plan Facility, $66.8 million of payments on long-term debt, $32.0 million of payments on the revolving line of credit, $18.8 million of member distributions, $16.9 million of dividends paid on Class A common stock, $5.7 million for finance lease payments, and $3.1 million of withholding taxes paid upon the vesting of restricted stock units, partially offset by $55.6 million of proceeds from long-term debt, and $43.0 million from borrowings on revolving line of credit.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Credit Facilities, Other Long-Term Debt, and Finance Lease Arrangements</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of September 30, 2025, we had outstanding debt in the form of our Senior Secured Credit Facilities, our Floor Plan Facility, our Real Estate Facilities, other long-term debt, and finance lease obligations. We may from time to time seek to refinance, retire or exchange our outstanding debt. Such refinancings, repayments or exchanges, if any, will depend on prevailing market conditions, our liquidity requirements, contractual restrictions and other factors. The amounts involved may be material.</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44" w:lineRule="auto"/>
        <w:rPr>
          <w:sz w:val="20"/>
          <w:szCs w:val="20"/>
          <w:color w:val="auto"/>
        </w:rPr>
      </w:pPr>
      <w:r>
        <w:rPr>
          <w:rFonts w:ascii="Arial" w:cs="Arial" w:eastAsia="Arial" w:hAnsi="Arial"/>
          <w:sz w:val="18"/>
          <w:szCs w:val="18"/>
          <w:color w:val="auto"/>
        </w:rPr>
        <w:t>The following table shows a summary of the outstanding balances, current portion, and remaining available borrowings under our credit facilities, other long-term debt and finance lease arrangements (see definitions and further details in Note 3 – Inventories and Floor Plan Payables, Note 7 – Long-Term Debt, and Note 8 – Lease Obligations to our condensed consolidated financial statements included in Part I, Item 1 of this Form 10-Q) as of September 30, 2025:</w:t>
      </w:r>
    </w:p>
    <w:p>
      <w:pPr>
        <w:spacing w:after="0" w:line="100"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ind w:right="134"/>
              <w:spacing w:after="0"/>
              <w:rPr>
                <w:sz w:val="20"/>
                <w:szCs w:val="20"/>
                <w:color w:val="auto"/>
              </w:rPr>
            </w:pPr>
            <w:r>
              <w:rPr>
                <w:rFonts w:ascii="Arial" w:cs="Arial" w:eastAsia="Arial" w:hAnsi="Arial"/>
                <w:sz w:val="16"/>
                <w:szCs w:val="16"/>
                <w:b w:val="1"/>
                <w:bCs w:val="1"/>
                <w:color w:val="auto"/>
              </w:rPr>
              <w:t>Current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7"/>
                <w:szCs w:val="17"/>
                <w:color w:val="auto"/>
              </w:rPr>
            </w:pPr>
          </w:p>
        </w:tc>
      </w:tr>
      <w:tr>
        <w:trPr>
          <w:trHeight w:val="203"/>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thousands)</w:t>
            </w:r>
          </w:p>
        </w:tc>
        <w:tc>
          <w:tcPr>
            <w:tcW w:w="1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Outstanding</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rPr>
              <w:t>Portion</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Available</w:t>
            </w:r>
          </w:p>
        </w:tc>
        <w:tc>
          <w:tcPr>
            <w:tcW w:w="200" w:type="dxa"/>
            <w:vAlign w:val="bottom"/>
            <w:tcBorders>
              <w:bottom w:val="single" w:sz="8" w:color="CCEEFF"/>
            </w:tcBorders>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Floor Plan Facility:</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5220" w:type="dxa"/>
            <w:vAlign w:val="bottom"/>
          </w:tcPr>
          <w:p>
            <w:pPr>
              <w:ind w:left="100"/>
              <w:spacing w:after="0" w:line="202" w:lineRule="exact"/>
              <w:rPr>
                <w:sz w:val="20"/>
                <w:szCs w:val="20"/>
                <w:color w:val="auto"/>
              </w:rPr>
            </w:pPr>
            <w:r>
              <w:rPr>
                <w:rFonts w:ascii="Arial" w:cs="Arial" w:eastAsia="Arial" w:hAnsi="Arial"/>
                <w:sz w:val="18"/>
                <w:szCs w:val="18"/>
                <w:color w:val="auto"/>
              </w:rPr>
              <w:t>Notes payable - floor plan</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$ 1,361,019</w:t>
            </w:r>
          </w:p>
        </w:tc>
        <w:tc>
          <w:tcPr>
            <w:tcW w:w="1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$ 1,361,019</w:t>
            </w:r>
          </w:p>
        </w:tc>
        <w:tc>
          <w:tcPr>
            <w:tcW w:w="1260" w:type="dxa"/>
            <w:vAlign w:val="bottom"/>
            <w:gridSpan w:val="3"/>
          </w:tcPr>
          <w:p>
            <w:pPr>
              <w:jc w:val="right"/>
              <w:spacing w:after="0" w:line="202" w:lineRule="exact"/>
              <w:rPr>
                <w:sz w:val="20"/>
                <w:szCs w:val="20"/>
                <w:color w:val="auto"/>
              </w:rPr>
            </w:pPr>
            <w:r>
              <w:rPr>
                <w:rFonts w:ascii="Arial" w:cs="Arial" w:eastAsia="Arial" w:hAnsi="Arial"/>
                <w:sz w:val="16"/>
                <w:szCs w:val="16"/>
                <w:color w:val="auto"/>
              </w:rPr>
              <w:t xml:space="preserve">$ 685,045 </w:t>
            </w:r>
            <w:r>
              <w:rPr>
                <w:rFonts w:ascii="Arial" w:cs="Arial" w:eastAsia="Arial" w:hAnsi="Arial"/>
                <w:sz w:val="23"/>
                <w:szCs w:val="23"/>
                <w:color w:val="auto"/>
                <w:vertAlign w:val="superscript"/>
              </w:rPr>
              <w:t>(1)</w:t>
            </w:r>
          </w:p>
        </w:tc>
      </w:tr>
      <w:tr>
        <w:trPr>
          <w:trHeight w:val="203"/>
        </w:trPr>
        <w:tc>
          <w:tcPr>
            <w:tcW w:w="5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Revolving line of credit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Senior Secured Credit Facilities: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Term Loan Facility</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1,311,362</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14,015</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r>
      <w:tr>
        <w:trPr>
          <w:trHeight w:val="203"/>
        </w:trPr>
        <w:tc>
          <w:tcPr>
            <w:tcW w:w="5220" w:type="dxa"/>
            <w:vAlign w:val="bottom"/>
          </w:tcPr>
          <w:p>
            <w:pPr>
              <w:ind w:left="100"/>
              <w:spacing w:after="0" w:line="202" w:lineRule="exact"/>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22,750</w:t>
            </w:r>
          </w:p>
        </w:tc>
        <w:tc>
          <w:tcPr>
            <w:tcW w:w="2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5220" w:type="dxa"/>
            <w:vAlign w:val="bottom"/>
          </w:tcPr>
          <w:p>
            <w:pPr>
              <w:ind w:left="100"/>
              <w:spacing w:after="0" w:line="202" w:lineRule="exact"/>
              <w:rPr>
                <w:sz w:val="20"/>
                <w:szCs w:val="20"/>
                <w:color w:val="auto"/>
              </w:rPr>
            </w:pPr>
            <w:r>
              <w:rPr>
                <w:rFonts w:ascii="Arial" w:cs="Arial" w:eastAsia="Arial" w:hAnsi="Arial"/>
                <w:sz w:val="18"/>
                <w:szCs w:val="18"/>
                <w:color w:val="auto"/>
              </w:rPr>
              <w:t>Real Estate Facilities</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163,018</w:t>
            </w:r>
          </w:p>
        </w:tc>
        <w:tc>
          <w:tcPr>
            <w:tcW w:w="180" w:type="dxa"/>
            <w:vAlign w:val="bottom"/>
          </w:tcPr>
          <w:p>
            <w:pPr>
              <w:jc w:val="right"/>
              <w:spacing w:after="0"/>
              <w:rPr>
                <w:sz w:val="20"/>
                <w:szCs w:val="20"/>
                <w:color w:val="auto"/>
              </w:rPr>
            </w:pPr>
            <w:r>
              <w:rPr>
                <w:rFonts w:ascii="Arial" w:cs="Arial" w:eastAsia="Arial" w:hAnsi="Arial"/>
                <w:sz w:val="13"/>
                <w:szCs w:val="13"/>
                <w:color w:val="auto"/>
              </w:rPr>
              <w:t>(4)</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8,387</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57,390</w:t>
            </w:r>
          </w:p>
        </w:tc>
        <w:tc>
          <w:tcPr>
            <w:tcW w:w="20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203"/>
        </w:trPr>
        <w:tc>
          <w:tcPr>
            <w:tcW w:w="5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long-term debt</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7,676</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r>
      <w:tr>
        <w:trPr>
          <w:trHeight w:val="203"/>
        </w:trPr>
        <w:tc>
          <w:tcPr>
            <w:tcW w:w="5220" w:type="dxa"/>
            <w:vAlign w:val="bottom"/>
          </w:tcPr>
          <w:p>
            <w:pPr>
              <w:ind w:left="100"/>
              <w:spacing w:after="0" w:line="202" w:lineRule="exact"/>
              <w:rPr>
                <w:sz w:val="20"/>
                <w:szCs w:val="20"/>
                <w:color w:val="auto"/>
              </w:rPr>
            </w:pPr>
            <w:r>
              <w:rPr>
                <w:rFonts w:ascii="Arial" w:cs="Arial" w:eastAsia="Arial" w:hAnsi="Arial"/>
                <w:sz w:val="18"/>
                <w:szCs w:val="18"/>
                <w:color w:val="auto"/>
              </w:rPr>
              <w:t>Finance lease obligations</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137,004</w:t>
            </w:r>
          </w:p>
        </w:tc>
        <w:tc>
          <w:tcPr>
            <w:tcW w:w="1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8,689</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r>
      <w:tr>
        <w:trPr>
          <w:trHeight w:val="196"/>
        </w:trPr>
        <w:tc>
          <w:tcPr>
            <w:tcW w:w="5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$ 2,980,079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$ 1,392,457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$ 835,185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left="380" w:right="79" w:hanging="330"/>
        <w:spacing w:after="0" w:line="246" w:lineRule="auto"/>
        <w:tabs>
          <w:tab w:leader="none" w:pos="380" w:val="left"/>
        </w:tabs>
        <w:numPr>
          <w:ilvl w:val="0"/>
          <w:numId w:val="31"/>
        </w:numPr>
        <w:rPr>
          <w:rFonts w:ascii="Arial" w:cs="Arial" w:eastAsia="Arial" w:hAnsi="Arial"/>
          <w:sz w:val="13"/>
          <w:szCs w:val="13"/>
          <w:color w:val="231F20"/>
        </w:rPr>
      </w:pPr>
      <w:r>
        <w:rPr>
          <w:rFonts w:ascii="Arial" w:cs="Arial" w:eastAsia="Arial" w:hAnsi="Arial"/>
          <w:sz w:val="14"/>
          <w:szCs w:val="14"/>
          <w:color w:val="auto"/>
        </w:rPr>
        <w:t>The unencumbered borrowing capacity for the Floor Plan Facility represents the additional borrowing capacity less any accounts payable for sold inventory and less any purchase commitments. Additional borrowings are subject to the vehicle collateral requirements under the Floor Plan Facility. The Floor Plan Facility also includes an accordion feature allowing us, at our option, to request to increase the aggregate amount of the floor plan notes payable in $50.0 million increments up to a maximum amount of $300.0 million. The Floor Plan Lenders are not under any obligation to provide commitments in respect of any future increase under the accordion feature. In February 2025, FreedomRoads, LLC entered into an amendment to the Floor Plan Facility, which (a) increased the commitment for floor plan borrowings by $300.0 million to $2.15 billion, (b) increased the commitment for the letter of credit facility by $15.0 million to $45.0 million, and (c) extended the maturity date from September 30, 2026 to the earlier of, if applicable, (i) February 18, 2030 or (ii) March 5, 2028, if the Company’s Term Loan Facility (as defined and discussed in Note 7 — Long-Term Debt) has not been repaid, refinanced, or defeased and the maturity has not been extended by at least 180 days after February 18, 2030.</w:t>
      </w:r>
    </w:p>
    <w:p>
      <w:pPr>
        <w:spacing w:after="0" w:line="23" w:lineRule="exact"/>
        <w:rPr>
          <w:rFonts w:ascii="Arial" w:cs="Arial" w:eastAsia="Arial" w:hAnsi="Arial"/>
          <w:sz w:val="13"/>
          <w:szCs w:val="13"/>
          <w:color w:val="231F20"/>
        </w:rPr>
      </w:pPr>
    </w:p>
    <w:p>
      <w:pPr>
        <w:ind w:left="380" w:hanging="330"/>
        <w:spacing w:after="0"/>
        <w:tabs>
          <w:tab w:leader="none" w:pos="380" w:val="left"/>
        </w:tabs>
        <w:numPr>
          <w:ilvl w:val="0"/>
          <w:numId w:val="31"/>
        </w:numPr>
        <w:rPr>
          <w:rFonts w:ascii="Arial" w:cs="Arial" w:eastAsia="Arial" w:hAnsi="Arial"/>
          <w:sz w:val="13"/>
          <w:szCs w:val="13"/>
          <w:color w:val="231F20"/>
        </w:rPr>
      </w:pPr>
      <w:r>
        <w:rPr>
          <w:rFonts w:ascii="Arial" w:cs="Arial" w:eastAsia="Arial" w:hAnsi="Arial"/>
          <w:sz w:val="14"/>
          <w:szCs w:val="14"/>
          <w:color w:val="auto"/>
        </w:rPr>
        <w:t>The revolving line of credit borrowings are subject to a borrowing base calculation but were not limited as of September 30, 2025.</w:t>
      </w:r>
    </w:p>
    <w:p>
      <w:pPr>
        <w:spacing w:after="0" w:line="55" w:lineRule="exact"/>
        <w:rPr>
          <w:rFonts w:ascii="Arial" w:cs="Arial" w:eastAsia="Arial" w:hAnsi="Arial"/>
          <w:sz w:val="13"/>
          <w:szCs w:val="13"/>
          <w:color w:val="231F20"/>
        </w:rPr>
      </w:pPr>
    </w:p>
    <w:p>
      <w:pPr>
        <w:jc w:val="both"/>
        <w:ind w:left="380" w:right="79" w:hanging="330"/>
        <w:spacing w:after="0" w:line="287" w:lineRule="auto"/>
        <w:tabs>
          <w:tab w:leader="none" w:pos="380" w:val="left"/>
        </w:tabs>
        <w:numPr>
          <w:ilvl w:val="0"/>
          <w:numId w:val="31"/>
        </w:numPr>
        <w:rPr>
          <w:rFonts w:ascii="Arial" w:cs="Arial" w:eastAsia="Arial" w:hAnsi="Arial"/>
          <w:sz w:val="13"/>
          <w:szCs w:val="13"/>
          <w:color w:val="231F20"/>
        </w:rPr>
      </w:pPr>
      <w:r>
        <w:rPr>
          <w:rFonts w:ascii="Arial" w:cs="Arial" w:eastAsia="Arial" w:hAnsi="Arial"/>
          <w:sz w:val="14"/>
          <w:szCs w:val="14"/>
          <w:color w:val="auto"/>
        </w:rPr>
        <w:t>The Revolving Credit Facility remaining available balance was reduced by outstanding undrawn letters of credit. The Credit Agreement requires compliance with a Total Net Leverage Ratio covenant when borrowings on the Revolving Credit Facility (excluding certain amounts relating to letters of credit) are over a 35%, or $22.8 million, threshold (Note 7 – Long-Term Debt to our condensed consolidated financial statements included in Part I, Item 1 of this Form 10-Q). The otherwise remaining available borrowings of $60.1 million were reduced by $37.3 million to $22.8 million in light of this financial covenant as of September 30, 2025.</w:t>
      </w:r>
    </w:p>
    <w:p>
      <w:pPr>
        <w:spacing w:after="0" w:line="9" w:lineRule="exact"/>
        <w:rPr>
          <w:rFonts w:ascii="Arial" w:cs="Arial" w:eastAsia="Arial" w:hAnsi="Arial"/>
          <w:sz w:val="13"/>
          <w:szCs w:val="13"/>
          <w:color w:val="231F20"/>
        </w:rPr>
      </w:pPr>
    </w:p>
    <w:p>
      <w:pPr>
        <w:jc w:val="both"/>
        <w:ind w:left="380" w:right="79" w:hanging="330"/>
        <w:spacing w:after="0" w:line="289" w:lineRule="auto"/>
        <w:tabs>
          <w:tab w:leader="none" w:pos="380" w:val="left"/>
        </w:tabs>
        <w:numPr>
          <w:ilvl w:val="0"/>
          <w:numId w:val="31"/>
        </w:numPr>
        <w:rPr>
          <w:rFonts w:ascii="Arial" w:cs="Arial" w:eastAsia="Arial" w:hAnsi="Arial"/>
          <w:sz w:val="13"/>
          <w:szCs w:val="13"/>
          <w:color w:val="231F20"/>
        </w:rPr>
      </w:pPr>
      <w:r>
        <w:rPr>
          <w:rFonts w:ascii="Arial" w:cs="Arial" w:eastAsia="Arial" w:hAnsi="Arial"/>
          <w:sz w:val="14"/>
          <w:szCs w:val="14"/>
          <w:color w:val="auto"/>
        </w:rPr>
        <w:t>Additional borrowings on the Real Estate Facilities are subject to a debt service coverage ratio covenant and to the property collateral requirements under the Real Estate Facilities. In August 2024, we amended the M&amp;T Real Estate Facility to increase the borrowing capacity by $50.0 million, which was not deducted from our option to request an additional $100.0 million of principal capacity. The lenders under the M&amp;T Real Estate Facility are not under any obligation to provide commitments in respect of any such increase.</w:t>
      </w:r>
    </w:p>
    <w:p>
      <w:pPr>
        <w:spacing w:after="0" w:line="227"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September 30, 2025 and 2024, the applicable interest rate for the floor plan notes payable under the Floor Plan Facility was 6.29% and 7.47%, respectively. As of September 30, 2025 and 2024, the average interest rate for the Term Loan Facility was 6.78% and 7.47%, respectively. The decrease in interest rates and lower average outstanding principal balances for our floor plan, Real Estate Facilities, and revolving line of credit have resulted in a combined year-over-year decrease of our floor plan interest expense and other interest expense, net of $9.2 million and $36.5 million for the three and nine months ended September 30, 2025 compared to the three and nine months ended September 30, 2024, respectively.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Sale/Leaseback Arrangements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have in the past and may in the future enter into sale-leaseback transactions to finance certain property acquisitions and capital expenditures, pursuant to which we sell property and/or leasehold improvements to third parties and agree to lease those assets back for a certain period of time. Such sales generate proceeds which vary from period to period. In the nine months ended September 30, 2025 and 2024, we entered into sale-leaseback transactions for three properties each associated with store locations in the RV and Outdoor Retail segment and received consideration of $40.2 million and $37.3 million of cash, respectively. We recorded a gain of $0.1 million and $0.4 million for the nine months ended September 30, 2025 and September 30, 2024, respectively, that was included in (gain) loss on sale or disposal of assets in the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condensed consolidated statements of operations. We entered into lease agreements for the properties as the lessee with each of the buyers with lease terms ranging from 17 to 20 years.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Deferred revenue consists of our sales for products not yet recognized as revenue at the end of a given period. Our deferred revenue as of September 30, 2025 was $160.1 million.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prepare our condensed consolidated financial statements in accordance with GAAP, and in doing so, we have to make estimates, assumptions and judgments affecting the reported amounts of assets, liabilities, revenues and expenses, as well as the related disclosure of contingent assets and liabilities. We base our estimates, assumptions and judgments on historical experience and on various other factors we believe to be reasonable under the circumstances. Different assumptions and judgments would change estimates used in the preparation of our condensed consolidated financial statements, which, in turn, could change our results from those reported. We evaluate our critical accounting estimates, assumptions and judgments on an ongoing basis.</w:t>
      </w:r>
    </w:p>
    <w:p>
      <w:pPr>
        <w:spacing w:after="0" w:line="18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There has been no material change in our critical accounting policies and estimates from those previously reported and disclosed in our Annual Report.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See Note 1 – Summary of Significant Accounting Policies to our condensed consolidated financial statements in Item 1, Part I of this Form 10-Q.</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Annual Report. As of September 30, 2025, there have been no material changes in this information.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 carried out an evaluation, under the supervision and participation of our Chief Executive Officer (principal executive officer) and our Chief Financial Officer (principal financial officer), of the effectiveness of our disclosure controls and procedures (as defined in Rules 13a-15(e) and 15d-15(e) under the Securities Exchange Act of 1934, as amended (the “Exchange Act”)) as of the end of the period covered by this Form 10-Q. Based on our management’s evaluation, our Chief Executive Officer (principal executive officer) and our Chief Financial Officer (principal financial officer) concluded that our disclosure controls and procedures were not effective as of September 30, 2025 as a result of the material weakness described in our Annual Report and below.</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connection with the preparation of our financial statements for the year ended December 31, 2024, we identified a material weakness in the design and operation of our income tax controls, including over the review of the measurement of the realizable portion of the Company’s outside basis difference deferred tax asset in the operating partnership, CWGS, LLC. This material weakness remains unremediated as of September 30, 2025.</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Remediation Efforts to Address Material Weakness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Our management is committed to maintaining a strong internal control environment. In response to the identified material weakness above, management with the oversight of the Audit Committee of the Board of Directors, is taking comprehensive actions to remediate the above material weakness. Our remediation plans include the following:</w:t>
      </w:r>
    </w:p>
    <w:p>
      <w:pPr>
        <w:spacing w:after="0" w:line="174" w:lineRule="exact"/>
        <w:rPr>
          <w:sz w:val="20"/>
          <w:szCs w:val="20"/>
          <w:color w:val="auto"/>
        </w:rPr>
      </w:pPr>
    </w:p>
    <w:p>
      <w:pPr>
        <w:ind w:left="1380" w:right="99" w:hanging="331"/>
        <w:spacing w:after="0" w:line="270" w:lineRule="auto"/>
        <w:tabs>
          <w:tab w:leader="none" w:pos="138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Implementing separate specific controls over the review of the quantification of realizable tax basis in CWGS, LLC;</w:t>
      </w:r>
    </w:p>
    <w:p>
      <w:pPr>
        <w:spacing w:after="0" w:line="154" w:lineRule="exact"/>
        <w:rPr>
          <w:rFonts w:ascii="Times New Roman" w:cs="Times New Roman" w:eastAsia="Times New Roman" w:hAnsi="Times New Roman"/>
          <w:sz w:val="18"/>
          <w:szCs w:val="18"/>
          <w:color w:val="auto"/>
        </w:rPr>
      </w:pPr>
    </w:p>
    <w:p>
      <w:pPr>
        <w:ind w:left="1380" w:right="739" w:hanging="331"/>
        <w:spacing w:after="0" w:line="270" w:lineRule="auto"/>
        <w:tabs>
          <w:tab w:leader="none" w:pos="138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Redesigning the reports utilized to calculate the gross outside basis difference to enhance management’s review of the calculation; and</w:t>
      </w:r>
    </w:p>
    <w:p>
      <w:pPr>
        <w:spacing w:after="0" w:line="154" w:lineRule="exact"/>
        <w:rPr>
          <w:rFonts w:ascii="Times New Roman" w:cs="Times New Roman" w:eastAsia="Times New Roman" w:hAnsi="Times New Roman"/>
          <w:sz w:val="18"/>
          <w:szCs w:val="18"/>
          <w:color w:val="auto"/>
        </w:rPr>
      </w:pPr>
    </w:p>
    <w:p>
      <w:pPr>
        <w:ind w:left="1380" w:right="639" w:hanging="331"/>
        <w:spacing w:after="0" w:line="270" w:lineRule="auto"/>
        <w:tabs>
          <w:tab w:leader="none" w:pos="138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and conducting training for individuals responsible for reviewing calculation and measurement of the realizable tax basis in CWGS, LLC.</w:t>
      </w:r>
    </w:p>
    <w:p>
      <w:pPr>
        <w:spacing w:after="0" w:line="15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may also conclude that additional measures may be required to remediate the material weakness in our internal control over financial reporting, which may necessitate additional implementation and evaluation time. We will continue to assess the effectiveness of our internal control over financial reporting and take steps to remediate the material weakness expeditiously. The material weakness will not be considered remediated until the applicable remediated controls operate for a sufficient period of time and management has concluded, through testing, that these controls are operating effectively.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are taking actions to remediate the material weaknesses relating to our internal control over financial reporting, as described above. Except as discussed above, there were no changes in our internal control over financial reporting (as defined in Rules 13a-15(f) and 15d-15(f) under the Exchange Act) identified in connection with the evaluation of our internal control performed during the fiscal quarter ended September 30, 2025, that has materially affected, or is reasonably likely to materially affect, our internal control over financial reporting.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See Note 10 – Commitments and Contingencies to our condensed consolidated financial statements in Item 1, Part I of this Form 10-Q.</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There have been no material changes to our risk factors as previously disclosed in Item 1A of Part I of our Annual Report.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following table presents information related to our repurchases of Class A common stock for the periods indicated:</w:t>
      </w:r>
    </w:p>
    <w:tbl>
      <w:tblPr>
        <w:tblLayout w:type="fixed"/>
        <w:tblInd w:w="40" w:type="dxa"/>
        <w:tblCellMar>
          <w:top w:w="0" w:type="dxa"/>
          <w:left w:w="0" w:type="dxa"/>
          <w:bottom w:w="0" w:type="dxa"/>
          <w:right w:w="0" w:type="dxa"/>
        </w:tblCellMar>
      </w:tblPr>
      <w:tr>
        <w:trPr>
          <w:trHeight w:val="124"/>
        </w:trPr>
        <w:tc>
          <w:tcPr>
            <w:tcW w:w="3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7"/>
              </w:rPr>
              <w:t>Total Number of</w:t>
            </w:r>
          </w:p>
        </w:tc>
        <w:tc>
          <w:tcPr>
            <w:tcW w:w="1260" w:type="dxa"/>
            <w:vAlign w:val="bottom"/>
          </w:tcPr>
          <w:p>
            <w:pPr>
              <w:spacing w:after="0"/>
              <w:rPr>
                <w:sz w:val="10"/>
                <w:szCs w:val="10"/>
                <w:color w:val="auto"/>
              </w:rPr>
            </w:pPr>
          </w:p>
        </w:tc>
      </w:tr>
      <w:tr>
        <w:trPr>
          <w:trHeight w:val="135"/>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Shares Purchased</w:t>
            </w: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Approximate Dollar</w:t>
            </w:r>
          </w:p>
        </w:tc>
      </w:tr>
      <w:tr>
        <w:trPr>
          <w:trHeight w:val="135"/>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as Part of Publicly</w:t>
            </w: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Value of Shares that</w:t>
            </w:r>
          </w:p>
        </w:tc>
      </w:tr>
      <w:tr>
        <w:trPr>
          <w:trHeight w:val="125"/>
        </w:trPr>
        <w:tc>
          <w:tcPr>
            <w:tcW w:w="3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ind w:left="140"/>
              <w:spacing w:after="0" w:line="125" w:lineRule="exact"/>
              <w:rPr>
                <w:sz w:val="20"/>
                <w:szCs w:val="20"/>
                <w:color w:val="auto"/>
              </w:rPr>
            </w:pPr>
            <w:r>
              <w:rPr>
                <w:rFonts w:ascii="Arial" w:cs="Arial" w:eastAsia="Arial" w:hAnsi="Arial"/>
                <w:sz w:val="12"/>
                <w:szCs w:val="12"/>
                <w:b w:val="1"/>
                <w:bCs w:val="1"/>
                <w:color w:val="auto"/>
              </w:rPr>
              <w:t>Total Number of</w:t>
            </w:r>
          </w:p>
        </w:tc>
        <w:tc>
          <w:tcPr>
            <w:tcW w:w="1300" w:type="dxa"/>
            <w:vAlign w:val="bottom"/>
            <w:gridSpan w:val="2"/>
          </w:tcPr>
          <w:p>
            <w:pPr>
              <w:jc w:val="center"/>
              <w:ind w:right="140"/>
              <w:spacing w:after="0" w:line="125" w:lineRule="exact"/>
              <w:rPr>
                <w:sz w:val="20"/>
                <w:szCs w:val="20"/>
                <w:color w:val="auto"/>
              </w:rPr>
            </w:pPr>
            <w:r>
              <w:rPr>
                <w:rFonts w:ascii="Arial" w:cs="Arial" w:eastAsia="Arial" w:hAnsi="Arial"/>
                <w:sz w:val="12"/>
                <w:szCs w:val="12"/>
                <w:b w:val="1"/>
                <w:bCs w:val="1"/>
                <w:color w:val="auto"/>
                <w:w w:val="95"/>
              </w:rPr>
              <w:t>Average Price Paid</w:t>
            </w:r>
          </w:p>
        </w:tc>
        <w:tc>
          <w:tcPr>
            <w:tcW w:w="130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9"/>
              </w:rPr>
              <w:t>Announced</w:t>
            </w:r>
          </w:p>
        </w:tc>
        <w:tc>
          <w:tcPr>
            <w:tcW w:w="126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6"/>
              </w:rPr>
              <w:t>May Yet Be Purchased</w:t>
            </w:r>
          </w:p>
        </w:tc>
      </w:tr>
      <w:tr>
        <w:trPr>
          <w:trHeight w:val="155"/>
        </w:trPr>
        <w:tc>
          <w:tcPr>
            <w:tcW w:w="3720" w:type="dxa"/>
            <w:vAlign w:val="bottom"/>
            <w:gridSpan w:val="2"/>
          </w:tcPr>
          <w:p>
            <w:pPr>
              <w:ind w:left="20"/>
              <w:spacing w:after="0"/>
              <w:rPr>
                <w:sz w:val="20"/>
                <w:szCs w:val="20"/>
                <w:color w:val="auto"/>
              </w:rPr>
            </w:pPr>
            <w:r>
              <w:rPr>
                <w:rFonts w:ascii="Arial" w:cs="Arial" w:eastAsia="Arial" w:hAnsi="Arial"/>
                <w:sz w:val="12"/>
                <w:szCs w:val="12"/>
                <w:b w:val="1"/>
                <w:bCs w:val="1"/>
                <w:color w:val="auto"/>
              </w:rPr>
              <w:t>Period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 Purchased</w:t>
            </w:r>
          </w:p>
        </w:tc>
        <w:tc>
          <w:tcPr>
            <w:tcW w:w="13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per Share</w:t>
            </w:r>
          </w:p>
        </w:tc>
        <w:tc>
          <w:tcPr>
            <w:tcW w:w="1300" w:type="dxa"/>
            <w:vAlign w:val="bottom"/>
            <w:gridSpan w:val="2"/>
          </w:tcPr>
          <w:p>
            <w:pPr>
              <w:jc w:val="center"/>
              <w:ind w:right="120"/>
              <w:spacing w:after="0" w:line="155" w:lineRule="exact"/>
              <w:rPr>
                <w:sz w:val="20"/>
                <w:szCs w:val="20"/>
                <w:color w:val="auto"/>
              </w:rPr>
            </w:pPr>
            <w:r>
              <w:rPr>
                <w:rFonts w:ascii="Arial" w:cs="Arial" w:eastAsia="Arial" w:hAnsi="Arial"/>
                <w:sz w:val="12"/>
                <w:szCs w:val="12"/>
                <w:b w:val="1"/>
                <w:bCs w:val="1"/>
                <w:color w:val="auto"/>
                <w:w w:val="94"/>
              </w:rPr>
              <w:t>Programs</w:t>
            </w:r>
            <w:r>
              <w:rPr>
                <w:rFonts w:ascii="Arial" w:cs="Arial" w:eastAsia="Arial" w:hAnsi="Arial"/>
                <w:sz w:val="17"/>
                <w:szCs w:val="17"/>
                <w:b w:val="1"/>
                <w:bCs w:val="1"/>
                <w:color w:val="auto"/>
                <w:w w:val="94"/>
                <w:vertAlign w:val="superscript"/>
              </w:rPr>
              <w:t>(1)</w:t>
            </w:r>
          </w:p>
        </w:tc>
        <w:tc>
          <w:tcPr>
            <w:tcW w:w="1260" w:type="dxa"/>
            <w:vAlign w:val="bottom"/>
          </w:tcPr>
          <w:p>
            <w:pPr>
              <w:jc w:val="center"/>
              <w:spacing w:after="0" w:line="155" w:lineRule="exact"/>
              <w:rPr>
                <w:sz w:val="20"/>
                <w:szCs w:val="20"/>
                <w:color w:val="auto"/>
              </w:rPr>
            </w:pPr>
            <w:r>
              <w:rPr>
                <w:rFonts w:ascii="Arial" w:cs="Arial" w:eastAsia="Arial" w:hAnsi="Arial"/>
                <w:sz w:val="12"/>
                <w:szCs w:val="12"/>
                <w:b w:val="1"/>
                <w:bCs w:val="1"/>
                <w:color w:val="auto"/>
                <w:w w:val="95"/>
              </w:rPr>
              <w:t>Under the Programs</w:t>
            </w:r>
            <w:r>
              <w:rPr>
                <w:rFonts w:ascii="Arial" w:cs="Arial" w:eastAsia="Arial" w:hAnsi="Arial"/>
                <w:sz w:val="17"/>
                <w:szCs w:val="17"/>
                <w:b w:val="1"/>
                <w:bCs w:val="1"/>
                <w:color w:val="auto"/>
                <w:w w:val="95"/>
                <w:vertAlign w:val="superscript"/>
              </w:rPr>
              <w:t>(1)</w:t>
            </w:r>
          </w:p>
        </w:tc>
      </w:tr>
      <w:tr>
        <w:trPr>
          <w:trHeight w:val="196"/>
        </w:trPr>
        <w:tc>
          <w:tcPr>
            <w:tcW w:w="35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July 1, 2025 to July 31, 2025</w:t>
            </w: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94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94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$120,166,000</w:t>
            </w:r>
          </w:p>
        </w:tc>
      </w:tr>
      <w:tr>
        <w:trPr>
          <w:trHeight w:val="203"/>
        </w:trPr>
        <w:tc>
          <w:tcPr>
            <w:tcW w:w="3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August 1, 2025 to August 31, 2025</w:t>
            </w:r>
          </w:p>
        </w:tc>
        <w:tc>
          <w:tcPr>
            <w:tcW w:w="13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120,166,000</w:t>
            </w:r>
          </w:p>
        </w:tc>
      </w:tr>
      <w:tr>
        <w:trPr>
          <w:trHeight w:val="203"/>
        </w:trPr>
        <w:tc>
          <w:tcPr>
            <w:tcW w:w="37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September 1, 2025 to September 30, 2025</w:t>
            </w:r>
          </w:p>
        </w:tc>
        <w:tc>
          <w:tcPr>
            <w:tcW w:w="1320" w:type="dxa"/>
            <w:vAlign w:val="bottom"/>
            <w:gridSpan w:val="2"/>
            <w:shd w:val="clear" w:color="auto" w:fill="CCEEFF"/>
          </w:tcPr>
          <w:p>
            <w:pPr>
              <w:ind w:left="94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4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120,166,000</w:t>
            </w:r>
          </w:p>
        </w:tc>
      </w:tr>
      <w:tr>
        <w:trPr>
          <w:trHeight w:val="196"/>
        </w:trPr>
        <w:tc>
          <w:tcPr>
            <w:tcW w:w="3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ind w:left="94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tcBorders>
              <w:top w:val="single" w:sz="8" w:color="auto"/>
              <w:bottom w:val="single" w:sz="8" w:color="auto"/>
            </w:tcBorders>
          </w:tcPr>
          <w:p>
            <w:pPr>
              <w:ind w:left="94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120,166,000</w:t>
            </w:r>
          </w:p>
        </w:tc>
      </w:tr>
      <w:tr>
        <w:trPr>
          <w:trHeight w:val="20"/>
        </w:trPr>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left="380" w:right="79" w:hanging="330"/>
        <w:spacing w:after="0" w:line="250"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On October 30, 2020, our Board of Directors authorized a stock repurchase program for the repurchase of up to $100.0 million of the Company’s Class A common stock, expiring on October 31, 2022. In August 2021 and January 2022, our Board of Directors authorized increases to the stock repurchase program for the repurchase of up to an additional $125.0 million and $152.7 million of the Company’s Class A common stock, respectively. Following these extensions, the stock repurchase program now expires on December 31, 2025. This program does not obligate the Company to acquire any particular amount of Class A common stock and the program may be extended, modified, suspended or discontinued at any time at the board’s discretion.</w:t>
      </w:r>
    </w:p>
    <w:p>
      <w:pPr>
        <w:spacing w:after="0" w:line="6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table above excludes shares net settled by the Company in connection with tax withholdings associated with the vesting of restricted stock units as these shares were not issued and outstanding.</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Since we are a holding company, our ability to pay cash dividends on our Class A common stock depends on our receipt of cash distributions from CWGS, LLC and, through CWGS, LLC, cash distributions and dividends from its operating subsidiaries, which may restrict our ability to pay dividends as a result of the laws of their jurisdiction of organization, agreements of our subsidiaries or covenants under any existing and future outstanding indebtedness we or our subsidiaries incur. In particular, our ability to pay any cash dividends on our Class A common stock is limited by restrictions on the ability of CWGS, LLC and our other subsidiaries and us to pay dividends or make distributions to us under the terms of our Senior Secured Credit Facilities and Floor Plan Facility. See “Dividend Policy” included in Part II, Item 5 of our Annual Report and “Risk Factors ─ Risks Relating to Ownership of Our Class A Common Stock ─ Our ability to pay regular and special dividends on our Class A common stock is subject to the discretion of our Board of Directors and may be limited by our structure and statutory restrictions” included in Part I, Item 1A of our Annual Report.</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700" w:right="3439" w:hanging="650"/>
        <w:spacing w:after="0" w:line="485"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Disclosure in lieu of reporting on a Current Report on Form 8-K. None.</w:t>
      </w:r>
    </w:p>
    <w:p>
      <w:pPr>
        <w:ind w:left="700" w:right="279" w:hanging="650"/>
        <w:spacing w:after="0" w:line="271"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Material changes to the procedures by which security holders may recommend nominees to the board of directors.</w:t>
      </w:r>
    </w:p>
    <w:p>
      <w:pPr>
        <w:spacing w:after="0" w:line="15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211" w:lineRule="exact"/>
        <w:rPr>
          <w:rFonts w:ascii="Arial" w:cs="Arial" w:eastAsia="Arial" w:hAnsi="Arial"/>
          <w:sz w:val="18"/>
          <w:szCs w:val="18"/>
          <w:color w:val="auto"/>
        </w:rPr>
      </w:pPr>
    </w:p>
    <w:p>
      <w:pPr>
        <w:ind w:left="700" w:hanging="650"/>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Insider trading arrangements and policies.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During the three months ended September 30, 2025, no director or officer of the Company adopted or terminated a “Rule 10b5-1 trading arrangement” or “non-Rule 10b5-1 trading arrangement,” as each term is defined in Item 408(a) of Regulation S-K.</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Exhibits Index</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Filing</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80" w:type="dxa"/>
            <w:vAlign w:val="bottom"/>
            <w:gridSpan w:val="17"/>
          </w:tcPr>
          <w:p>
            <w:pPr>
              <w:ind w:left="320"/>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Exhibit</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Borders>
              <w:top w:val="single" w:sz="8" w:color="auto"/>
            </w:tcBorders>
            <w:gridSpan w:val="17"/>
          </w:tcPr>
          <w:p>
            <w:pPr>
              <w:spacing w:after="0" w:line="169" w:lineRule="exact"/>
              <w:rPr>
                <w:rFonts w:ascii="Arial" w:cs="Arial" w:eastAsia="Arial" w:hAnsi="Arial"/>
                <w:sz w:val="18"/>
                <w:szCs w:val="18"/>
                <w:color w:val="0000EE"/>
              </w:rPr>
            </w:pPr>
            <w:hyperlink r:id="rId72">
              <w:r>
                <w:rPr>
                  <w:rFonts w:ascii="Arial" w:cs="Arial" w:eastAsia="Arial" w:hAnsi="Arial"/>
                  <w:sz w:val="18"/>
                  <w:szCs w:val="18"/>
                  <w:color w:val="0000EE"/>
                </w:rPr>
                <w:t>Amended and Restated Certificate of</w:t>
              </w:r>
            </w:hyperlink>
          </w:p>
        </w:tc>
        <w:tc>
          <w:tcPr>
            <w:tcW w:w="180" w:type="dxa"/>
            <w:vAlign w:val="bottom"/>
          </w:tcPr>
          <w:p>
            <w:pPr>
              <w:spacing w:after="0"/>
              <w:rPr>
                <w:sz w:val="14"/>
                <w:szCs w:val="14"/>
                <w:color w:val="auto"/>
              </w:rPr>
            </w:pPr>
          </w:p>
        </w:tc>
        <w:tc>
          <w:tcPr>
            <w:tcW w:w="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10-Q</w:t>
            </w:r>
          </w:p>
        </w:tc>
        <w:tc>
          <w:tcPr>
            <w:tcW w:w="20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001-37908</w:t>
            </w:r>
          </w:p>
        </w:tc>
        <w:tc>
          <w:tcPr>
            <w:tcW w:w="20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6"/>
              </w:rPr>
              <w:t>11/10/16</w:t>
            </w:r>
          </w:p>
        </w:tc>
        <w:tc>
          <w:tcPr>
            <w:tcW w:w="16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72">
              <w:r>
                <w:rPr>
                  <w:rFonts w:ascii="Arial" w:cs="Arial" w:eastAsia="Arial" w:hAnsi="Arial"/>
                  <w:sz w:val="18"/>
                  <w:szCs w:val="18"/>
                  <w:color w:val="0000EE"/>
                </w:rPr>
                <w:t>Incorporation of Camping World</w:t>
              </w:r>
            </w:hyperlink>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r:id="rId72">
              <w:r>
                <w:rPr>
                  <w:rFonts w:ascii="Arial" w:cs="Arial" w:eastAsia="Arial" w:hAnsi="Arial"/>
                  <w:sz w:val="18"/>
                  <w:szCs w:val="18"/>
                  <w:color w:val="0000EE"/>
                  <w:w w:val="98"/>
                </w:rPr>
                <w:t>Holdings, Inc.</w:t>
              </w:r>
            </w:hyperlink>
          </w:p>
        </w:tc>
        <w:tc>
          <w:tcPr>
            <w:tcW w:w="144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2240" w:type="dxa"/>
            <w:vAlign w:val="bottom"/>
            <w:tcBorders>
              <w:bottom w:val="single" w:sz="8" w:color="0000EE"/>
            </w:tcBorders>
            <w:gridSpan w:val="7"/>
          </w:tcPr>
          <w:p>
            <w:pPr>
              <w:spacing w:after="0"/>
              <w:rPr>
                <w:rFonts w:ascii="Arial" w:cs="Arial" w:eastAsia="Arial" w:hAnsi="Arial"/>
                <w:sz w:val="18"/>
                <w:szCs w:val="18"/>
                <w:color w:val="0000EE"/>
                <w:w w:val="99"/>
              </w:rPr>
            </w:pPr>
            <w:hyperlink r:id="rId73">
              <w:r>
                <w:rPr>
                  <w:rFonts w:ascii="Arial" w:cs="Arial" w:eastAsia="Arial" w:hAnsi="Arial"/>
                  <w:sz w:val="18"/>
                  <w:szCs w:val="18"/>
                  <w:color w:val="0000EE"/>
                  <w:w w:val="99"/>
                </w:rPr>
                <w:t>Certificate of Amendment to</w:t>
              </w:r>
            </w:hyperlink>
          </w:p>
        </w:tc>
        <w:tc>
          <w:tcPr>
            <w:tcW w:w="980" w:type="dxa"/>
            <w:vAlign w:val="bottom"/>
            <w:gridSpan w:val="12"/>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001-37908</w:t>
            </w:r>
          </w:p>
        </w:tc>
        <w:tc>
          <w:tcPr>
            <w:tcW w:w="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5/19/25</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19"/>
          </w:tcPr>
          <w:p>
            <w:pPr>
              <w:spacing w:after="0" w:line="182" w:lineRule="exact"/>
              <w:rPr>
                <w:rFonts w:ascii="Arial" w:cs="Arial" w:eastAsia="Arial" w:hAnsi="Arial"/>
                <w:sz w:val="18"/>
                <w:szCs w:val="18"/>
                <w:color w:val="0000EE"/>
              </w:rPr>
            </w:pPr>
            <w:hyperlink r:id="rId73">
              <w:r>
                <w:rPr>
                  <w:rFonts w:ascii="Arial" w:cs="Arial" w:eastAsia="Arial" w:hAnsi="Arial"/>
                  <w:sz w:val="18"/>
                  <w:szCs w:val="18"/>
                  <w:color w:val="0000EE"/>
                </w:rPr>
                <w:t>Amended and Restated Certificate of</w:t>
              </w:r>
            </w:hyperlink>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r:id="rId73">
              <w:r>
                <w:rPr>
                  <w:rFonts w:ascii="Arial" w:cs="Arial" w:eastAsia="Arial" w:hAnsi="Arial"/>
                  <w:sz w:val="18"/>
                  <w:szCs w:val="18"/>
                  <w:color w:val="0000EE"/>
                  <w:w w:val="99"/>
                </w:rPr>
                <w:t>Incorporation of Camping World</w:t>
              </w:r>
            </w:hyperlink>
          </w:p>
        </w:tc>
        <w:tc>
          <w:tcPr>
            <w:tcW w:w="40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19"/>
          </w:tcPr>
          <w:p>
            <w:pPr>
              <w:spacing w:after="0" w:line="182" w:lineRule="exact"/>
              <w:rPr>
                <w:rFonts w:ascii="Arial" w:cs="Arial" w:eastAsia="Arial" w:hAnsi="Arial"/>
                <w:sz w:val="18"/>
                <w:szCs w:val="18"/>
                <w:color w:val="0000EE"/>
              </w:rPr>
            </w:pPr>
            <w:hyperlink r:id="rId73">
              <w:r>
                <w:rPr>
                  <w:rFonts w:ascii="Arial" w:cs="Arial" w:eastAsia="Arial" w:hAnsi="Arial"/>
                  <w:sz w:val="18"/>
                  <w:szCs w:val="18"/>
                  <w:color w:val="0000EE"/>
                </w:rPr>
                <w:t>Holdings, Inc., dated May 16, 2025</w:t>
              </w:r>
            </w:hyperlink>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2780" w:type="dxa"/>
            <w:vAlign w:val="bottom"/>
            <w:tcBorders>
              <w:top w:val="single" w:sz="8" w:color="0000EE"/>
            </w:tcBorders>
            <w:gridSpan w:val="15"/>
          </w:tcPr>
          <w:p>
            <w:pPr>
              <w:spacing w:after="0"/>
              <w:rPr>
                <w:rFonts w:ascii="Arial" w:cs="Arial" w:eastAsia="Arial" w:hAnsi="Arial"/>
                <w:sz w:val="18"/>
                <w:szCs w:val="18"/>
                <w:color w:val="0000EE"/>
              </w:rPr>
            </w:pPr>
            <w:hyperlink r:id="rId74">
              <w:r>
                <w:rPr>
                  <w:rFonts w:ascii="Arial" w:cs="Arial" w:eastAsia="Arial" w:hAnsi="Arial"/>
                  <w:sz w:val="18"/>
                  <w:szCs w:val="18"/>
                  <w:color w:val="0000EE"/>
                </w:rPr>
                <w:t>Amended and Restated Bylaws of</w:t>
              </w:r>
            </w:hyperlink>
          </w:p>
        </w:tc>
        <w:tc>
          <w:tcPr>
            <w:tcW w:w="440" w:type="dxa"/>
            <w:vAlign w:val="bottom"/>
            <w:gridSpan w:val="4"/>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001-37908</w:t>
            </w:r>
          </w:p>
        </w:tc>
        <w:tc>
          <w:tcPr>
            <w:tcW w:w="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5/1/25</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74">
              <w:r>
                <w:rPr>
                  <w:rFonts w:ascii="Arial" w:cs="Arial" w:eastAsia="Arial" w:hAnsi="Arial"/>
                  <w:sz w:val="18"/>
                  <w:szCs w:val="18"/>
                  <w:color w:val="0000EE"/>
                </w:rPr>
                <w:t>Camping World Holdings, Inc.</w:t>
              </w:r>
            </w:hyperlink>
          </w:p>
        </w:tc>
        <w:tc>
          <w:tcPr>
            <w:tcW w:w="2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2380" w:type="dxa"/>
            <w:vAlign w:val="bottom"/>
            <w:tcBorders>
              <w:top w:val="single" w:sz="8" w:color="0000EE"/>
            </w:tcBorders>
            <w:gridSpan w:val="8"/>
          </w:tcPr>
          <w:p>
            <w:pPr>
              <w:spacing w:after="0"/>
              <w:rPr>
                <w:rFonts w:ascii="Arial" w:cs="Arial" w:eastAsia="Arial" w:hAnsi="Arial"/>
                <w:sz w:val="18"/>
                <w:szCs w:val="18"/>
                <w:color w:val="0000EE"/>
              </w:rPr>
            </w:pPr>
            <w:hyperlink r:id="rId75">
              <w:r>
                <w:rPr>
                  <w:rFonts w:ascii="Arial" w:cs="Arial" w:eastAsia="Arial" w:hAnsi="Arial"/>
                  <w:sz w:val="18"/>
                  <w:szCs w:val="18"/>
                  <w:color w:val="0000EE"/>
                </w:rPr>
                <w:t>Specimen Stock Certificate</w:t>
              </w:r>
            </w:hyperlink>
          </w:p>
        </w:tc>
        <w:tc>
          <w:tcPr>
            <w:tcW w:w="840" w:type="dxa"/>
            <w:vAlign w:val="bottom"/>
            <w:gridSpan w:val="11"/>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333-211977</w:t>
            </w:r>
          </w:p>
        </w:tc>
        <w:tc>
          <w:tcPr>
            <w:tcW w:w="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9/13/16</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19"/>
          </w:tcPr>
          <w:p>
            <w:pPr>
              <w:spacing w:after="0" w:line="182" w:lineRule="exact"/>
              <w:rPr>
                <w:rFonts w:ascii="Arial" w:cs="Arial" w:eastAsia="Arial" w:hAnsi="Arial"/>
                <w:sz w:val="18"/>
                <w:szCs w:val="18"/>
                <w:color w:val="0000EE"/>
              </w:rPr>
            </w:pPr>
            <w:hyperlink r:id="rId75">
              <w:r>
                <w:rPr>
                  <w:rFonts w:ascii="Arial" w:cs="Arial" w:eastAsia="Arial" w:hAnsi="Arial"/>
                  <w:sz w:val="18"/>
                  <w:szCs w:val="18"/>
                  <w:color w:val="0000EE"/>
                </w:rPr>
                <w:t>evidencing the shares of Class A</w:t>
              </w:r>
            </w:hyperlink>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75">
              <w:r>
                <w:rPr>
                  <w:rFonts w:ascii="Arial" w:cs="Arial" w:eastAsia="Arial" w:hAnsi="Arial"/>
                  <w:sz w:val="18"/>
                  <w:szCs w:val="18"/>
                  <w:color w:val="0000EE"/>
                </w:rPr>
                <w:t>common stock</w:t>
              </w:r>
            </w:hyperlink>
          </w:p>
        </w:tc>
        <w:tc>
          <w:tcPr>
            <w:tcW w:w="120" w:type="dxa"/>
            <w:vAlign w:val="bottom"/>
            <w:gridSpan w:val="2"/>
          </w:tcPr>
          <w:p>
            <w:pPr>
              <w:spacing w:after="0"/>
              <w:rPr>
                <w:sz w:val="15"/>
                <w:szCs w:val="15"/>
                <w:color w:val="auto"/>
              </w:rPr>
            </w:pPr>
          </w:p>
        </w:tc>
        <w:tc>
          <w:tcPr>
            <w:tcW w:w="240" w:type="dxa"/>
            <w:vAlign w:val="bottom"/>
            <w:gridSpan w:val="3"/>
          </w:tcPr>
          <w:p>
            <w:pPr>
              <w:spacing w:after="0"/>
              <w:rPr>
                <w:sz w:val="15"/>
                <w:szCs w:val="15"/>
                <w:color w:val="auto"/>
              </w:rPr>
            </w:pP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21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Rule 13a-14(a) / 15d-14(a)</w:t>
            </w:r>
          </w:p>
        </w:tc>
        <w:tc>
          <w:tcPr>
            <w:tcW w:w="106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19"/>
          </w:tcPr>
          <w:p>
            <w:pPr>
              <w:spacing w:after="0" w:line="182" w:lineRule="exact"/>
              <w:rPr>
                <w:sz w:val="20"/>
                <w:szCs w:val="20"/>
                <w:color w:val="auto"/>
              </w:rPr>
            </w:pPr>
            <w:r>
              <w:rPr>
                <w:rFonts w:ascii="Arial" w:cs="Arial" w:eastAsia="Arial" w:hAnsi="Arial"/>
                <w:sz w:val="18"/>
                <w:szCs w:val="18"/>
                <w:color w:val="0000EE"/>
              </w:rPr>
              <w:t>Certification of Chief Executive</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Officer</w:t>
            </w:r>
          </w:p>
        </w:tc>
        <w:tc>
          <w:tcPr>
            <w:tcW w:w="1920" w:type="dxa"/>
            <w:vAlign w:val="bottom"/>
            <w:tcBorders>
              <w:top w:val="single" w:sz="8" w:color="0000EE"/>
            </w:tcBorders>
            <w:gridSpan w:val="7"/>
          </w:tcPr>
          <w:p>
            <w:pPr>
              <w:spacing w:after="0"/>
              <w:rPr>
                <w:sz w:val="15"/>
                <w:szCs w:val="15"/>
                <w:color w:val="auto"/>
              </w:rPr>
            </w:pPr>
          </w:p>
        </w:tc>
        <w:tc>
          <w:tcPr>
            <w:tcW w:w="280" w:type="dxa"/>
            <w:vAlign w:val="bottom"/>
            <w:gridSpan w:val="5"/>
          </w:tcPr>
          <w:p>
            <w:pPr>
              <w:spacing w:after="0"/>
              <w:rPr>
                <w:sz w:val="15"/>
                <w:szCs w:val="15"/>
                <w:color w:val="auto"/>
              </w:rPr>
            </w:pPr>
          </w:p>
        </w:tc>
        <w:tc>
          <w:tcPr>
            <w:tcW w:w="240" w:type="dxa"/>
            <w:vAlign w:val="bottom"/>
            <w:gridSpan w:val="3"/>
          </w:tcPr>
          <w:p>
            <w:pPr>
              <w:spacing w:after="0"/>
              <w:rPr>
                <w:sz w:val="15"/>
                <w:szCs w:val="15"/>
                <w:color w:val="auto"/>
              </w:rPr>
            </w:pP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21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Rule 13a-14(a) / 15d-14(a)</w:t>
            </w:r>
          </w:p>
        </w:tc>
        <w:tc>
          <w:tcPr>
            <w:tcW w:w="106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tcBorders>
              <w:bottom w:val="single" w:sz="8" w:color="0000EE"/>
            </w:tcBorders>
            <w:gridSpan w:val="17"/>
          </w:tcPr>
          <w:p>
            <w:pPr>
              <w:spacing w:after="0" w:line="182" w:lineRule="exact"/>
              <w:rPr>
                <w:sz w:val="20"/>
                <w:szCs w:val="20"/>
                <w:color w:val="auto"/>
              </w:rPr>
            </w:pPr>
            <w:r>
              <w:rPr>
                <w:rFonts w:ascii="Arial" w:cs="Arial" w:eastAsia="Arial" w:hAnsi="Arial"/>
                <w:sz w:val="18"/>
                <w:szCs w:val="18"/>
                <w:color w:val="0000EE"/>
                <w:w w:val="99"/>
              </w:rPr>
              <w:t>Certification of Chief Financial Officer</w:t>
            </w: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3220" w:type="dxa"/>
            <w:vAlign w:val="bottom"/>
            <w:gridSpan w:val="19"/>
          </w:tcPr>
          <w:p>
            <w:pPr>
              <w:spacing w:after="0"/>
              <w:rPr>
                <w:sz w:val="20"/>
                <w:szCs w:val="20"/>
                <w:color w:val="auto"/>
              </w:rPr>
            </w:pPr>
            <w:r>
              <w:rPr>
                <w:rFonts w:ascii="Arial" w:cs="Arial" w:eastAsia="Arial" w:hAnsi="Arial"/>
                <w:sz w:val="18"/>
                <w:szCs w:val="18"/>
                <w:color w:val="0000EE"/>
              </w:rPr>
              <w:t>Section 1350 Certification of Chief</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Executive Officer</w:t>
            </w:r>
          </w:p>
        </w:tc>
        <w:tc>
          <w:tcPr>
            <w:tcW w:w="480" w:type="dxa"/>
            <w:vAlign w:val="bottom"/>
            <w:gridSpan w:val="5"/>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920" w:type="dxa"/>
            <w:vAlign w:val="bottom"/>
            <w:tcBorders>
              <w:left w:val="single" w:sz="8" w:color="0000EE"/>
            </w:tcBorders>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3220" w:type="dxa"/>
            <w:vAlign w:val="bottom"/>
            <w:gridSpan w:val="19"/>
          </w:tcPr>
          <w:p>
            <w:pPr>
              <w:spacing w:after="0"/>
              <w:rPr>
                <w:sz w:val="20"/>
                <w:szCs w:val="20"/>
                <w:color w:val="auto"/>
              </w:rPr>
            </w:pPr>
            <w:r>
              <w:rPr>
                <w:rFonts w:ascii="Arial" w:cs="Arial" w:eastAsia="Arial" w:hAnsi="Arial"/>
                <w:sz w:val="18"/>
                <w:szCs w:val="18"/>
                <w:color w:val="0000EE"/>
              </w:rPr>
              <w:t>Section 1350 Certification of Chief</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Financial Officer</w:t>
            </w:r>
          </w:p>
        </w:tc>
        <w:tc>
          <w:tcPr>
            <w:tcW w:w="480" w:type="dxa"/>
            <w:vAlign w:val="bottom"/>
            <w:gridSpan w:val="5"/>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92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4"/>
                <w:szCs w:val="24"/>
                <w:color w:val="auto"/>
              </w:rPr>
            </w:pPr>
          </w:p>
        </w:tc>
        <w:tc>
          <w:tcPr>
            <w:tcW w:w="3220" w:type="dxa"/>
            <w:vAlign w:val="bottom"/>
            <w:gridSpan w:val="19"/>
          </w:tcPr>
          <w:p>
            <w:pPr>
              <w:spacing w:after="0"/>
              <w:rPr>
                <w:sz w:val="20"/>
                <w:szCs w:val="20"/>
                <w:color w:val="auto"/>
              </w:rPr>
            </w:pPr>
            <w:r>
              <w:rPr>
                <w:rFonts w:ascii="Arial" w:cs="Arial" w:eastAsia="Arial" w:hAnsi="Arial"/>
                <w:sz w:val="18"/>
                <w:szCs w:val="18"/>
                <w:color w:val="auto"/>
              </w:rPr>
              <w:t>Inline XBRL Instance Document – the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19"/>
          </w:tcPr>
          <w:p>
            <w:pPr>
              <w:spacing w:after="0" w:line="202" w:lineRule="exact"/>
              <w:rPr>
                <w:sz w:val="20"/>
                <w:szCs w:val="20"/>
                <w:color w:val="auto"/>
              </w:rPr>
            </w:pPr>
            <w:r>
              <w:rPr>
                <w:rFonts w:ascii="Arial" w:cs="Arial" w:eastAsia="Arial" w:hAnsi="Arial"/>
                <w:sz w:val="18"/>
                <w:szCs w:val="18"/>
                <w:color w:val="auto"/>
              </w:rPr>
              <w:t>instance document does not appear</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19"/>
          </w:tcPr>
          <w:p>
            <w:pPr>
              <w:spacing w:after="0" w:line="202" w:lineRule="exact"/>
              <w:rPr>
                <w:sz w:val="20"/>
                <w:szCs w:val="20"/>
                <w:color w:val="auto"/>
              </w:rPr>
            </w:pPr>
            <w:r>
              <w:rPr>
                <w:rFonts w:ascii="Arial" w:cs="Arial" w:eastAsia="Arial" w:hAnsi="Arial"/>
                <w:sz w:val="18"/>
                <w:szCs w:val="18"/>
                <w:color w:val="auto"/>
              </w:rPr>
              <w:t>in the Interactive Data File because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19"/>
          </w:tcPr>
          <w:p>
            <w:pPr>
              <w:spacing w:after="0" w:line="202" w:lineRule="exact"/>
              <w:rPr>
                <w:sz w:val="20"/>
                <w:szCs w:val="20"/>
                <w:color w:val="auto"/>
              </w:rPr>
            </w:pPr>
            <w:r>
              <w:rPr>
                <w:rFonts w:ascii="Arial" w:cs="Arial" w:eastAsia="Arial" w:hAnsi="Arial"/>
                <w:sz w:val="18"/>
                <w:szCs w:val="18"/>
                <w:color w:val="auto"/>
              </w:rPr>
              <w:t>its XBRL tags are embedded within</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19"/>
          </w:tcPr>
          <w:p>
            <w:pPr>
              <w:spacing w:after="0"/>
              <w:rPr>
                <w:sz w:val="20"/>
                <w:szCs w:val="20"/>
                <w:color w:val="auto"/>
              </w:rPr>
            </w:pPr>
            <w:r>
              <w:rPr>
                <w:rFonts w:ascii="Arial" w:cs="Arial" w:eastAsia="Arial" w:hAnsi="Arial"/>
                <w:sz w:val="18"/>
                <w:szCs w:val="18"/>
                <w:color w:val="auto"/>
              </w:rPr>
              <w:t>the Inline XBRL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3220" w:type="dxa"/>
            <w:vAlign w:val="bottom"/>
            <w:gridSpan w:val="19"/>
          </w:tcPr>
          <w:p>
            <w:pPr>
              <w:spacing w:after="0"/>
              <w:rPr>
                <w:sz w:val="20"/>
                <w:szCs w:val="20"/>
                <w:color w:val="auto"/>
              </w:rPr>
            </w:pPr>
            <w:r>
              <w:rPr>
                <w:rFonts w:ascii="Arial" w:cs="Arial" w:eastAsia="Arial" w:hAnsi="Arial"/>
                <w:sz w:val="18"/>
                <w:szCs w:val="18"/>
                <w:color w:val="auto"/>
              </w:rPr>
              <w:t>Inline XBRL Taxonomy Extension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19"/>
          </w:tcPr>
          <w:p>
            <w:pPr>
              <w:spacing w:after="0"/>
              <w:rPr>
                <w:sz w:val="20"/>
                <w:szCs w:val="20"/>
                <w:color w:val="auto"/>
              </w:rPr>
            </w:pPr>
            <w:r>
              <w:rPr>
                <w:rFonts w:ascii="Arial" w:cs="Arial" w:eastAsia="Arial" w:hAnsi="Arial"/>
                <w:sz w:val="18"/>
                <w:szCs w:val="18"/>
                <w:color w:val="auto"/>
              </w:rPr>
              <w:t>Schema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3220" w:type="dxa"/>
            <w:vAlign w:val="bottom"/>
            <w:gridSpan w:val="19"/>
          </w:tcPr>
          <w:p>
            <w:pPr>
              <w:spacing w:after="0"/>
              <w:rPr>
                <w:sz w:val="20"/>
                <w:szCs w:val="20"/>
                <w:color w:val="auto"/>
              </w:rPr>
            </w:pPr>
            <w:r>
              <w:rPr>
                <w:rFonts w:ascii="Arial" w:cs="Arial" w:eastAsia="Arial" w:hAnsi="Arial"/>
                <w:sz w:val="18"/>
                <w:szCs w:val="18"/>
                <w:color w:val="auto"/>
              </w:rPr>
              <w:t>Inline XBRL Taxonomy Extension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19"/>
          </w:tcPr>
          <w:p>
            <w:pPr>
              <w:spacing w:after="0"/>
              <w:rPr>
                <w:sz w:val="20"/>
                <w:szCs w:val="20"/>
                <w:color w:val="auto"/>
              </w:rPr>
            </w:pPr>
            <w:r>
              <w:rPr>
                <w:rFonts w:ascii="Arial" w:cs="Arial" w:eastAsia="Arial" w:hAnsi="Arial"/>
                <w:sz w:val="18"/>
                <w:szCs w:val="18"/>
                <w:color w:val="auto"/>
              </w:rPr>
              <w:t>Calculation 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4"/>
                <w:szCs w:val="24"/>
                <w:color w:val="auto"/>
              </w:rPr>
            </w:pPr>
          </w:p>
        </w:tc>
        <w:tc>
          <w:tcPr>
            <w:tcW w:w="3220" w:type="dxa"/>
            <w:vAlign w:val="bottom"/>
            <w:gridSpan w:val="19"/>
          </w:tcPr>
          <w:p>
            <w:pPr>
              <w:spacing w:after="0"/>
              <w:rPr>
                <w:sz w:val="20"/>
                <w:szCs w:val="20"/>
                <w:color w:val="auto"/>
              </w:rPr>
            </w:pPr>
            <w:r>
              <w:rPr>
                <w:rFonts w:ascii="Arial" w:cs="Arial" w:eastAsia="Arial" w:hAnsi="Arial"/>
                <w:sz w:val="18"/>
                <w:szCs w:val="18"/>
                <w:color w:val="auto"/>
              </w:rPr>
              <w:t>Inline XBRL Extension Definition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6"/>
        </w:trPr>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Filing</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30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Form</w:t>
            </w:r>
          </w:p>
        </w:tc>
        <w:tc>
          <w:tcPr>
            <w:tcW w:w="200" w:type="dxa"/>
            <w:vAlign w:val="bottom"/>
          </w:tcPr>
          <w:p>
            <w:pPr>
              <w:spacing w:after="0"/>
              <w:rPr>
                <w:sz w:val="14"/>
                <w:szCs w:val="14"/>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File No.</w:t>
            </w:r>
          </w:p>
        </w:tc>
        <w:tc>
          <w:tcPr>
            <w:tcW w:w="200" w:type="dxa"/>
            <w:vAlign w:val="bottom"/>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80"/>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3420" w:type="dxa"/>
            <w:vAlign w:val="bottom"/>
            <w:gridSpan w:val="3"/>
          </w:tcPr>
          <w:p>
            <w:pPr>
              <w:ind w:left="200"/>
              <w:spacing w:after="0"/>
              <w:rPr>
                <w:sz w:val="20"/>
                <w:szCs w:val="20"/>
                <w:color w:val="auto"/>
              </w:rPr>
            </w:pPr>
            <w:r>
              <w:rPr>
                <w:rFonts w:ascii="Arial" w:cs="Arial" w:eastAsia="Arial" w:hAnsi="Arial"/>
                <w:sz w:val="18"/>
                <w:szCs w:val="18"/>
                <w:color w:val="auto"/>
              </w:rPr>
              <w:t>Inline XBRL Taxonomy Label</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40" w:type="dxa"/>
            <w:vAlign w:val="bottom"/>
          </w:tcPr>
          <w:p>
            <w:pPr>
              <w:spacing w:after="0"/>
              <w:rPr>
                <w:sz w:val="20"/>
                <w:szCs w:val="20"/>
                <w:color w:val="auto"/>
              </w:rPr>
            </w:pPr>
          </w:p>
        </w:tc>
        <w:tc>
          <w:tcPr>
            <w:tcW w:w="3420" w:type="dxa"/>
            <w:vAlign w:val="bottom"/>
            <w:gridSpan w:val="3"/>
          </w:tcPr>
          <w:p>
            <w:pPr>
              <w:ind w:left="200"/>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3420" w:type="dxa"/>
            <w:vAlign w:val="bottom"/>
            <w:gridSpan w:val="3"/>
          </w:tcPr>
          <w:p>
            <w:pPr>
              <w:ind w:left="200"/>
              <w:spacing w:after="0"/>
              <w:rPr>
                <w:sz w:val="20"/>
                <w:szCs w:val="20"/>
                <w:color w:val="auto"/>
              </w:rPr>
            </w:pPr>
            <w:r>
              <w:rPr>
                <w:rFonts w:ascii="Arial" w:cs="Arial" w:eastAsia="Arial" w:hAnsi="Arial"/>
                <w:sz w:val="18"/>
                <w:szCs w:val="18"/>
                <w:color w:val="auto"/>
              </w:rPr>
              <w:t>Inline XBRL Taxonomy Extension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40" w:type="dxa"/>
            <w:vAlign w:val="bottom"/>
          </w:tcPr>
          <w:p>
            <w:pPr>
              <w:spacing w:after="0"/>
              <w:rPr>
                <w:sz w:val="20"/>
                <w:szCs w:val="20"/>
                <w:color w:val="auto"/>
              </w:rPr>
            </w:pPr>
          </w:p>
        </w:tc>
        <w:tc>
          <w:tcPr>
            <w:tcW w:w="3420" w:type="dxa"/>
            <w:vAlign w:val="bottom"/>
            <w:gridSpan w:val="3"/>
          </w:tcPr>
          <w:p>
            <w:pPr>
              <w:ind w:left="200"/>
              <w:spacing w:after="0"/>
              <w:rPr>
                <w:sz w:val="20"/>
                <w:szCs w:val="20"/>
                <w:color w:val="auto"/>
              </w:rPr>
            </w:pPr>
            <w:r>
              <w:rPr>
                <w:rFonts w:ascii="Arial" w:cs="Arial" w:eastAsia="Arial" w:hAnsi="Arial"/>
                <w:sz w:val="18"/>
                <w:szCs w:val="18"/>
                <w:color w:val="auto"/>
              </w:rPr>
              <w:t>Presentation 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3420" w:type="dxa"/>
            <w:vAlign w:val="bottom"/>
            <w:gridSpan w:val="3"/>
          </w:tcPr>
          <w:p>
            <w:pPr>
              <w:ind w:left="200"/>
              <w:spacing w:after="0"/>
              <w:rPr>
                <w:sz w:val="20"/>
                <w:szCs w:val="20"/>
                <w:color w:val="auto"/>
              </w:rPr>
            </w:pPr>
            <w:r>
              <w:rPr>
                <w:rFonts w:ascii="Arial" w:cs="Arial" w:eastAsia="Arial" w:hAnsi="Arial"/>
                <w:sz w:val="18"/>
                <w:szCs w:val="18"/>
                <w:color w:val="auto"/>
              </w:rPr>
              <w:t>Cover Page Interactive Data File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34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(formatted as Inline XBRL and</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40" w:type="dxa"/>
            <w:vAlign w:val="bottom"/>
          </w:tcPr>
          <w:p>
            <w:pPr>
              <w:spacing w:after="0"/>
              <w:rPr>
                <w:sz w:val="20"/>
                <w:szCs w:val="20"/>
                <w:color w:val="auto"/>
              </w:rPr>
            </w:pPr>
          </w:p>
        </w:tc>
        <w:tc>
          <w:tcPr>
            <w:tcW w:w="3420" w:type="dxa"/>
            <w:vAlign w:val="bottom"/>
            <w:gridSpan w:val="3"/>
          </w:tcPr>
          <w:p>
            <w:pPr>
              <w:ind w:left="200"/>
              <w:spacing w:after="0"/>
              <w:rPr>
                <w:sz w:val="20"/>
                <w:szCs w:val="20"/>
                <w:color w:val="auto"/>
              </w:rPr>
            </w:pPr>
            <w:r>
              <w:rPr>
                <w:rFonts w:ascii="Arial" w:cs="Arial" w:eastAsia="Arial" w:hAnsi="Arial"/>
                <w:sz w:val="18"/>
                <w:szCs w:val="18"/>
                <w:color w:val="auto"/>
              </w:rPr>
              <w:t>contained in Exhibit 101)</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 w:hanging="270"/>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9" w:lineRule="exact"/>
        <w:rPr>
          <w:sz w:val="20"/>
          <w:szCs w:val="20"/>
          <w:color w:val="auto"/>
        </w:rPr>
      </w:pPr>
    </w:p>
    <w:p>
      <w:pPr>
        <w:ind w:left="320" w:hanging="270"/>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5" w:lineRule="exact"/>
        <w:rPr>
          <w:rFonts w:ascii="Arial" w:cs="Arial" w:eastAsia="Arial" w:hAnsi="Arial"/>
          <w:sz w:val="14"/>
          <w:szCs w:val="14"/>
          <w:color w:val="auto"/>
        </w:rPr>
      </w:pPr>
    </w:p>
    <w:p>
      <w:pPr>
        <w:ind w:left="320" w:hanging="270"/>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5920" w:type="dxa"/>
            <w:vAlign w:val="bottom"/>
            <w:gridSpan w:val="2"/>
          </w:tcPr>
          <w:p>
            <w:pPr>
              <w:ind w:left="1140"/>
              <w:spacing w:after="0"/>
              <w:rPr>
                <w:sz w:val="20"/>
                <w:szCs w:val="20"/>
                <w:color w:val="auto"/>
              </w:rPr>
            </w:pPr>
            <w:r>
              <w:rPr>
                <w:rFonts w:ascii="Arial" w:cs="Arial" w:eastAsia="Arial" w:hAnsi="Arial"/>
                <w:sz w:val="18"/>
                <w:szCs w:val="18"/>
                <w:b w:val="1"/>
                <w:bCs w:val="1"/>
                <w:color w:val="auto"/>
              </w:rPr>
              <w:t>Camping World Holdings, Inc</w:t>
            </w:r>
            <w:r>
              <w:rPr>
                <w:rFonts w:ascii="Arial" w:cs="Arial" w:eastAsia="Arial" w:hAnsi="Arial"/>
                <w:sz w:val="18"/>
                <w:szCs w:val="18"/>
                <w:color w:val="auto"/>
              </w:rPr>
              <w:t>.</w:t>
            </w:r>
          </w:p>
        </w:tc>
      </w:tr>
      <w:tr>
        <w:trPr>
          <w:trHeight w:val="221"/>
        </w:trPr>
        <w:tc>
          <w:tcPr>
            <w:tcW w:w="2980" w:type="dxa"/>
            <w:vAlign w:val="bottom"/>
          </w:tcPr>
          <w:p>
            <w:pPr>
              <w:spacing w:after="0"/>
              <w:rPr>
                <w:sz w:val="20"/>
                <w:szCs w:val="20"/>
                <w:color w:val="auto"/>
              </w:rPr>
            </w:pPr>
            <w:r>
              <w:rPr>
                <w:rFonts w:ascii="Arial" w:cs="Arial" w:eastAsia="Arial" w:hAnsi="Arial"/>
                <w:sz w:val="18"/>
                <w:szCs w:val="18"/>
                <w:color w:val="auto"/>
              </w:rPr>
              <w:t>Date: October 30, 2025</w:t>
            </w:r>
          </w:p>
        </w:tc>
        <w:tc>
          <w:tcPr>
            <w:tcW w:w="5920" w:type="dxa"/>
            <w:vAlign w:val="bottom"/>
            <w:gridSpan w:val="2"/>
          </w:tcPr>
          <w:p>
            <w:pPr>
              <w:ind w:left="1140"/>
              <w:spacing w:after="0"/>
              <w:rPr>
                <w:sz w:val="20"/>
                <w:szCs w:val="20"/>
                <w:color w:val="auto"/>
              </w:rPr>
            </w:pPr>
            <w:r>
              <w:rPr>
                <w:rFonts w:ascii="Arial" w:cs="Arial" w:eastAsia="Arial" w:hAnsi="Arial"/>
                <w:sz w:val="18"/>
                <w:szCs w:val="18"/>
                <w:color w:val="auto"/>
              </w:rPr>
              <w:t>By: /s/ Thomas E. Kirn</w:t>
            </w:r>
          </w:p>
        </w:tc>
      </w:tr>
      <w:tr>
        <w:trPr>
          <w:trHeight w:val="177"/>
        </w:trPr>
        <w:tc>
          <w:tcPr>
            <w:tcW w:w="2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6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Thomas E. Kirn</w:t>
            </w:r>
          </w:p>
        </w:tc>
      </w:tr>
      <w:tr>
        <w:trPr>
          <w:trHeight w:val="203"/>
        </w:trPr>
        <w:tc>
          <w:tcPr>
            <w:tcW w:w="2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(Principal Financial Officer and Principal</w:t>
            </w:r>
          </w:p>
        </w:tc>
      </w:tr>
      <w:tr>
        <w:trPr>
          <w:trHeight w:val="239"/>
        </w:trPr>
        <w:tc>
          <w:tcPr>
            <w:tcW w:w="29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Marcus A. Lemonis, certify that:</w:t>
      </w:r>
    </w:p>
    <w:p>
      <w:pPr>
        <w:spacing w:after="0" w:line="225" w:lineRule="exact"/>
        <w:rPr>
          <w:sz w:val="20"/>
          <w:szCs w:val="20"/>
          <w:color w:val="auto"/>
        </w:rPr>
      </w:pPr>
    </w:p>
    <w:p>
      <w:pPr>
        <w:ind w:left="240" w:hanging="196"/>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Camping World Holdings, Inc.;</w:t>
      </w:r>
    </w:p>
    <w:p>
      <w:pPr>
        <w:spacing w:after="0" w:line="225" w:lineRule="exact"/>
        <w:rPr>
          <w:rFonts w:ascii="Arial" w:cs="Arial" w:eastAsia="Arial" w:hAnsi="Arial"/>
          <w:sz w:val="18"/>
          <w:szCs w:val="18"/>
          <w:color w:val="auto"/>
        </w:rPr>
      </w:pPr>
    </w:p>
    <w:p>
      <w:pPr>
        <w:jc w:val="both"/>
        <w:ind w:left="40" w:right="80" w:firstLine="4"/>
        <w:spacing w:after="0" w:line="268" w:lineRule="auto"/>
        <w:tabs>
          <w:tab w:leader="none" w:pos="2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8"/>
          <w:szCs w:val="18"/>
          <w:color w:val="auto"/>
        </w:rPr>
      </w:pPr>
    </w:p>
    <w:p>
      <w:pPr>
        <w:jc w:val="both"/>
        <w:ind w:left="40" w:right="80" w:firstLine="4"/>
        <w:spacing w:after="0" w:line="268" w:lineRule="auto"/>
        <w:tabs>
          <w:tab w:leader="none" w:pos="241"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0" w:right="80" w:firstLine="4"/>
        <w:spacing w:after="0" w:line="261" w:lineRule="auto"/>
        <w:tabs>
          <w:tab w:leader="none" w:pos="27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700" w:right="80" w:hanging="8"/>
        <w:spacing w:after="0" w:line="262" w:lineRule="auto"/>
        <w:tabs>
          <w:tab w:leader="none" w:pos="103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700" w:right="80" w:hanging="8"/>
        <w:spacing w:after="0" w:line="262" w:lineRule="auto"/>
        <w:tabs>
          <w:tab w:leader="none" w:pos="97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700" w:right="80" w:hanging="8"/>
        <w:spacing w:after="0" w:line="268" w:lineRule="auto"/>
        <w:tabs>
          <w:tab w:leader="none" w:pos="971"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jc w:val="both"/>
        <w:ind w:left="700" w:right="80" w:hanging="8"/>
        <w:spacing w:after="0" w:line="262" w:lineRule="auto"/>
        <w:tabs>
          <w:tab w:leader="none" w:pos="99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40" w:right="80" w:firstLine="4"/>
        <w:spacing w:after="0" w:line="261" w:lineRule="auto"/>
        <w:tabs>
          <w:tab w:leader="none" w:pos="2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700" w:right="80" w:hanging="8"/>
        <w:spacing w:after="0" w:line="268" w:lineRule="auto"/>
        <w:tabs>
          <w:tab w:leader="none" w:pos="99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700" w:right="80" w:hanging="8"/>
        <w:spacing w:after="0" w:line="287" w:lineRule="auto"/>
        <w:tabs>
          <w:tab w:leader="none" w:pos="100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80"/>
        <w:spacing w:after="0"/>
        <w:tabs>
          <w:tab w:leader="none" w:pos="4580" w:val="left"/>
        </w:tabs>
        <w:rPr>
          <w:sz w:val="20"/>
          <w:szCs w:val="20"/>
          <w:color w:val="auto"/>
        </w:rPr>
      </w:pPr>
      <w:r>
        <w:rPr>
          <w:rFonts w:ascii="Arial" w:cs="Arial" w:eastAsia="Arial" w:hAnsi="Arial"/>
          <w:sz w:val="18"/>
          <w:szCs w:val="18"/>
          <w:color w:val="auto"/>
        </w:rPr>
        <w:t>Date: October 30, 2025</w:t>
      </w:r>
      <w:r>
        <w:rPr>
          <w:sz w:val="20"/>
          <w:szCs w:val="20"/>
          <w:color w:val="auto"/>
        </w:rPr>
        <w:tab/>
      </w:r>
      <w:r>
        <w:rPr>
          <w:rFonts w:ascii="Arial" w:cs="Arial" w:eastAsia="Arial" w:hAnsi="Arial"/>
          <w:sz w:val="18"/>
          <w:szCs w:val="18"/>
          <w:color w:val="auto"/>
        </w:rPr>
        <w:t>By: /s/ Marcus A. Lemonis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34925</wp:posOffset>
            </wp:positionV>
            <wp:extent cx="25628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Marcus A. Lemonis</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122" w:right="14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Thomas E. Kirn, certify that:</w:t>
      </w:r>
    </w:p>
    <w:p>
      <w:pPr>
        <w:spacing w:after="0" w:line="225" w:lineRule="exact"/>
        <w:rPr>
          <w:sz w:val="20"/>
          <w:szCs w:val="20"/>
          <w:color w:val="auto"/>
        </w:rPr>
      </w:pPr>
    </w:p>
    <w:p>
      <w:pPr>
        <w:ind w:left="240" w:hanging="196"/>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Camping World Holdings, Inc.;</w:t>
      </w:r>
    </w:p>
    <w:p>
      <w:pPr>
        <w:spacing w:after="0" w:line="225" w:lineRule="exact"/>
        <w:rPr>
          <w:rFonts w:ascii="Arial" w:cs="Arial" w:eastAsia="Arial" w:hAnsi="Arial"/>
          <w:sz w:val="18"/>
          <w:szCs w:val="18"/>
          <w:color w:val="auto"/>
        </w:rPr>
      </w:pPr>
    </w:p>
    <w:p>
      <w:pPr>
        <w:jc w:val="both"/>
        <w:ind w:left="40" w:right="160" w:firstLine="4"/>
        <w:spacing w:after="0" w:line="268" w:lineRule="auto"/>
        <w:tabs>
          <w:tab w:leader="none" w:pos="2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8"/>
          <w:szCs w:val="18"/>
          <w:color w:val="auto"/>
        </w:rPr>
      </w:pPr>
    </w:p>
    <w:p>
      <w:pPr>
        <w:jc w:val="both"/>
        <w:ind w:left="40" w:right="160" w:firstLine="4"/>
        <w:spacing w:after="0" w:line="268" w:lineRule="auto"/>
        <w:tabs>
          <w:tab w:leader="none" w:pos="2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0" w:right="160" w:firstLine="4"/>
        <w:spacing w:after="0" w:line="261" w:lineRule="auto"/>
        <w:tabs>
          <w:tab w:leader="none" w:pos="27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700" w:right="160" w:hanging="8"/>
        <w:spacing w:after="0" w:line="262" w:lineRule="auto"/>
        <w:tabs>
          <w:tab w:leader="none" w:pos="103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700" w:right="160" w:hanging="8"/>
        <w:spacing w:after="0" w:line="262" w:lineRule="auto"/>
        <w:tabs>
          <w:tab w:leader="none" w:pos="97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700" w:right="160" w:hanging="8"/>
        <w:spacing w:after="0" w:line="268" w:lineRule="auto"/>
        <w:tabs>
          <w:tab w:leader="none" w:pos="971"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jc w:val="both"/>
        <w:ind w:left="700" w:right="160" w:hanging="8"/>
        <w:spacing w:after="0" w:line="262" w:lineRule="auto"/>
        <w:tabs>
          <w:tab w:leader="none" w:pos="99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40" w:right="160" w:firstLine="4"/>
        <w:spacing w:after="0" w:line="261" w:lineRule="auto"/>
        <w:tabs>
          <w:tab w:leader="none" w:pos="2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700" w:right="160" w:hanging="8"/>
        <w:spacing w:after="0" w:line="268" w:lineRule="auto"/>
        <w:tabs>
          <w:tab w:leader="none" w:pos="99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700" w:right="160" w:hanging="8"/>
        <w:spacing w:after="0" w:line="287" w:lineRule="auto"/>
        <w:tabs>
          <w:tab w:leader="none" w:pos="100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8"/>
          <w:szCs w:val="18"/>
          <w:color w:val="auto"/>
        </w:rPr>
        <w:t>Date: October 30, 2025</w:t>
      </w:r>
      <w:r>
        <w:rPr>
          <w:sz w:val="20"/>
          <w:szCs w:val="20"/>
          <w:color w:val="auto"/>
        </w:rPr>
        <w:tab/>
      </w:r>
      <w:r>
        <w:rPr>
          <w:rFonts w:ascii="Arial" w:cs="Arial" w:eastAsia="Arial" w:hAnsi="Arial"/>
          <w:sz w:val="18"/>
          <w:szCs w:val="18"/>
          <w:color w:val="auto"/>
        </w:rPr>
        <w:t>By: /s/ Thomas E.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34925</wp:posOffset>
            </wp:positionV>
            <wp:extent cx="25628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Thomas E. Kirn</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Officer and Principal</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528955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20"/>
          </w:cols>
          <w:pgMar w:left="1440" w:top="122" w:right="1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left="40" w:right="20" w:firstLine="648"/>
        <w:spacing w:after="0" w:line="255" w:lineRule="auto"/>
        <w:rPr>
          <w:sz w:val="20"/>
          <w:szCs w:val="20"/>
          <w:color w:val="auto"/>
        </w:rPr>
      </w:pPr>
      <w:r>
        <w:rPr>
          <w:rFonts w:ascii="Arial" w:cs="Arial" w:eastAsia="Arial" w:hAnsi="Arial"/>
          <w:sz w:val="18"/>
          <w:szCs w:val="18"/>
          <w:color w:val="auto"/>
        </w:rPr>
        <w:t>In connection with the Quarterly Report on Form 10-Q of Camping World Holdings, Inc. (the “Company”) for the period ended September 30, 2025, as filed with the U.S. Securities and Exchange Commission on the date hereof (the “Report”), I, Marcus A. Lemonis, Chairman and Chief Executive Officer of the Company, hereby certify, pursuant to 18 U.S.C. Section 1350, as adopted pursuant to Section 906 of the Sarbanes-Oxley Act of 2002, that, to my knowledge:</w:t>
      </w:r>
    </w:p>
    <w:p>
      <w:pPr>
        <w:spacing w:after="0" w:line="183" w:lineRule="exact"/>
        <w:rPr>
          <w:sz w:val="20"/>
          <w:szCs w:val="20"/>
          <w:color w:val="auto"/>
        </w:rPr>
      </w:pPr>
    </w:p>
    <w:p>
      <w:pPr>
        <w:ind w:left="40" w:right="20" w:firstLine="652"/>
        <w:spacing w:after="0" w:line="28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9" w:lineRule="exact"/>
        <w:rPr>
          <w:rFonts w:ascii="Arial" w:cs="Arial" w:eastAsia="Arial" w:hAnsi="Arial"/>
          <w:sz w:val="18"/>
          <w:szCs w:val="18"/>
          <w:color w:val="auto"/>
        </w:rPr>
      </w:pPr>
    </w:p>
    <w:p>
      <w:pPr>
        <w:ind w:left="40" w:right="20" w:firstLine="652"/>
        <w:spacing w:after="0" w:line="287" w:lineRule="auto"/>
        <w:tabs>
          <w:tab w:leader="none" w:pos="96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8"/>
          <w:szCs w:val="18"/>
          <w:color w:val="auto"/>
        </w:rPr>
        <w:t>Date: October 30, 2025</w:t>
      </w:r>
      <w:r>
        <w:rPr>
          <w:sz w:val="20"/>
          <w:szCs w:val="20"/>
          <w:color w:val="auto"/>
        </w:rPr>
        <w:tab/>
      </w:r>
      <w:r>
        <w:rPr>
          <w:rFonts w:ascii="Arial" w:cs="Arial" w:eastAsia="Arial" w:hAnsi="Arial"/>
          <w:sz w:val="18"/>
          <w:szCs w:val="18"/>
          <w:color w:val="auto"/>
        </w:rPr>
        <w:t>By:  /s/ Marcus A. Lemonis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34925</wp:posOffset>
            </wp:positionV>
            <wp:extent cx="25203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5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Marcus A. Lemonis</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460"/>
          </w:cols>
          <w:pgMar w:left="1440" w:top="122" w:right="999" w:bottom="1440" w:gutter="0" w:footer="0" w:header="0"/>
        </w:sectPr>
      </w:pPr>
    </w:p>
    <w:bookmarkStart w:id="67" w:name="page68"/>
    <w:bookmarkEnd w:id="67"/>
    <w:p>
      <w:pPr>
        <w:ind w:left="8280"/>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left="40" w:firstLine="648"/>
        <w:spacing w:after="0" w:line="257" w:lineRule="auto"/>
        <w:rPr>
          <w:sz w:val="20"/>
          <w:szCs w:val="20"/>
          <w:color w:val="auto"/>
        </w:rPr>
      </w:pPr>
      <w:r>
        <w:rPr>
          <w:rFonts w:ascii="Arial" w:cs="Arial" w:eastAsia="Arial" w:hAnsi="Arial"/>
          <w:sz w:val="18"/>
          <w:szCs w:val="18"/>
          <w:color w:val="auto"/>
        </w:rPr>
        <w:t>In connection with the Quarterly Report on Form 10-Q of Camping World Holdings, Inc. (the “Company”) for the period ended September 30, 2025, as filed with the U.S. Securities and Exchange Commission on the date hereof (the “Report”), I, Thomas E. Kirn, Chief Financial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40" w:firstLine="652"/>
        <w:spacing w:after="0" w:line="287" w:lineRule="auto"/>
        <w:tabs>
          <w:tab w:leader="none" w:pos="96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9" w:lineRule="exact"/>
        <w:rPr>
          <w:rFonts w:ascii="Arial" w:cs="Arial" w:eastAsia="Arial" w:hAnsi="Arial"/>
          <w:sz w:val="18"/>
          <w:szCs w:val="18"/>
          <w:color w:val="auto"/>
        </w:rPr>
      </w:pPr>
    </w:p>
    <w:p>
      <w:pPr>
        <w:ind w:left="40" w:firstLine="652"/>
        <w:spacing w:after="0" w:line="287" w:lineRule="auto"/>
        <w:tabs>
          <w:tab w:leader="none" w:pos="96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180" w:type="dxa"/>
            <w:vAlign w:val="bottom"/>
          </w:tcPr>
          <w:p>
            <w:pPr>
              <w:spacing w:after="0"/>
              <w:rPr>
                <w:sz w:val="20"/>
                <w:szCs w:val="20"/>
                <w:color w:val="auto"/>
              </w:rPr>
            </w:pPr>
            <w:r>
              <w:rPr>
                <w:rFonts w:ascii="Arial" w:cs="Arial" w:eastAsia="Arial" w:hAnsi="Arial"/>
                <w:sz w:val="18"/>
                <w:szCs w:val="18"/>
                <w:color w:val="auto"/>
              </w:rPr>
              <w:t>Date: October 30, 2025</w:t>
            </w:r>
          </w:p>
        </w:tc>
        <w:tc>
          <w:tcPr>
            <w:tcW w:w="5740" w:type="dxa"/>
            <w:vAlign w:val="bottom"/>
            <w:gridSpan w:val="2"/>
          </w:tcPr>
          <w:p>
            <w:pPr>
              <w:ind w:left="1300"/>
              <w:spacing w:after="0"/>
              <w:rPr>
                <w:sz w:val="20"/>
                <w:szCs w:val="20"/>
                <w:color w:val="auto"/>
              </w:rPr>
            </w:pPr>
            <w:r>
              <w:rPr>
                <w:rFonts w:ascii="Arial" w:cs="Arial" w:eastAsia="Arial" w:hAnsi="Arial"/>
                <w:sz w:val="18"/>
                <w:szCs w:val="18"/>
                <w:color w:val="auto"/>
              </w:rPr>
              <w:t>By:  /s/ Thomas E. Kirn</w:t>
            </w:r>
          </w:p>
        </w:tc>
      </w:tr>
      <w:tr>
        <w:trPr>
          <w:trHeight w:val="191"/>
        </w:trPr>
        <w:tc>
          <w:tcPr>
            <w:tcW w:w="3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Thomas E. Kirn</w:t>
            </w:r>
          </w:p>
        </w:tc>
      </w:tr>
      <w:tr>
        <w:trPr>
          <w:trHeight w:val="216"/>
        </w:trPr>
        <w:tc>
          <w:tcPr>
            <w:tcW w:w="3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9"/>
        </w:trPr>
        <w:tc>
          <w:tcPr>
            <w:tcW w:w="3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813"/>
        </w:trPr>
        <w:tc>
          <w:tcPr>
            <w:tcW w:w="3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360"/>
      </w:cols>
      <w:pgMar w:left="1440" w:top="122"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2"/>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6"/>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0"/>
    </w:lvl>
  </w:abstractNum>
  <w:abstractNum w:abstractNumId="17">
    <w:nsid w:val="3A95F874"/>
    <w:multiLevelType w:val="hybridMultilevel"/>
    <w:lvl w:ilvl="0">
      <w:lvlJc w:val="left"/>
      <w:lvlText w:val="(%1)"/>
      <w:numFmt w:val="lowerRoman"/>
      <w:start w:val="7"/>
    </w:lvl>
  </w:abstractNum>
  <w:abstractNum w:abstractNumId="18">
    <w:nsid w:val="8138641"/>
    <w:multiLevelType w:val="hybridMultilevel"/>
    <w:lvl w:ilvl="0">
      <w:lvlJc w:val="left"/>
      <w:lvlText w:val="%1"/>
      <w:numFmt w:val="upperLetter"/>
      <w:start w:val="35"/>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3"/>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72" Type="http://schemas.openxmlformats.org/officeDocument/2006/relationships/hyperlink" Target="http://www.sec.gov/Archives/edgar/data/1669779/000155837016009958/cwh-20160930ex31ff0a1e6.htm" TargetMode="External"/><Relationship Id="rId73" Type="http://schemas.openxmlformats.org/officeDocument/2006/relationships/hyperlink" Target="https://www.sec.gov/Archives/edgar/data/1669779/000155837025007964/cwh-20250515xex3d1.htm" TargetMode="External"/><Relationship Id="rId74" Type="http://schemas.openxmlformats.org/officeDocument/2006/relationships/hyperlink" Target="https://www.sec.gov/Archives/edgar/data/1669779/000155837025006122/cwh-20250331xex3d2.htm" TargetMode="External"/><Relationship Id="rId75" Type="http://schemas.openxmlformats.org/officeDocument/2006/relationships/hyperlink" Target="http://www.sec.gov/Archives/edgar/data/1669779/000104746916015424/a2229683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2025-10-30T15:32:28Z</dcterms:created>
  <dcterms:modified xsi:type="dcterms:W3CDTF">2025-10-30T15:32:28Z</dcterms:modified>
</cp:coreProperties>
</file>