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180340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223520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4"/>
        <w:spacing w:after="0"/>
        <w:rPr>
          <w:sz w:val="20"/>
          <w:szCs w:val="20"/>
          <w:color w:val="auto"/>
        </w:rPr>
      </w:pPr>
      <w:r>
        <w:rPr>
          <w:rFonts w:ascii="Arial" w:cs="Arial" w:eastAsia="Arial" w:hAnsi="Arial"/>
          <w:sz w:val="22"/>
          <w:szCs w:val="22"/>
          <w:b w:val="1"/>
          <w:bCs w:val="1"/>
          <w:color w:val="auto"/>
        </w:rPr>
        <w:t>UNITED STATES</w:t>
      </w:r>
    </w:p>
    <w:p>
      <w:pPr>
        <w:spacing w:after="0" w:line="8" w:lineRule="exact"/>
        <w:rPr>
          <w:sz w:val="24"/>
          <w:szCs w:val="24"/>
          <w:color w:val="auto"/>
        </w:rPr>
      </w:pPr>
    </w:p>
    <w:p>
      <w:pPr>
        <w:jc w:val="center"/>
        <w:ind w:right="14"/>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4"/>
        <w:spacing w:after="0"/>
        <w:rPr>
          <w:sz w:val="20"/>
          <w:szCs w:val="20"/>
          <w:color w:val="auto"/>
        </w:rPr>
      </w:pPr>
      <w:r>
        <w:rPr>
          <w:rFonts w:ascii="Arial" w:cs="Arial" w:eastAsia="Arial" w:hAnsi="Arial"/>
          <w:sz w:val="18"/>
          <w:szCs w:val="18"/>
          <w:b w:val="1"/>
          <w:bCs w:val="1"/>
          <w:color w:val="auto"/>
        </w:rPr>
        <w:t>Washington, D.C. 20549</w:t>
      </w:r>
    </w:p>
    <w:p>
      <w:pPr>
        <w:spacing w:after="0" w:line="30" w:lineRule="exact"/>
        <w:rPr>
          <w:sz w:val="24"/>
          <w:szCs w:val="24"/>
          <w:color w:val="auto"/>
        </w:rPr>
      </w:pPr>
    </w:p>
    <w:p>
      <w:pPr>
        <w:jc w:val="center"/>
        <w:ind w:right="14"/>
        <w:spacing w:after="0"/>
        <w:rPr>
          <w:sz w:val="20"/>
          <w:szCs w:val="20"/>
          <w:color w:val="auto"/>
        </w:rPr>
      </w:pPr>
      <w:r>
        <w:rPr>
          <w:rFonts w:ascii="Arial" w:cs="Arial" w:eastAsia="Arial" w:hAnsi="Arial"/>
          <w:sz w:val="29"/>
          <w:szCs w:val="29"/>
          <w:b w:val="1"/>
          <w:bCs w:val="1"/>
          <w:color w:val="auto"/>
        </w:rPr>
        <w:t>FORM 10-Q</w:t>
      </w:r>
    </w:p>
    <w:p>
      <w:pPr>
        <w:spacing w:after="0" w:line="141" w:lineRule="exact"/>
        <w:rPr>
          <w:sz w:val="24"/>
          <w:szCs w:val="24"/>
          <w:color w:val="auto"/>
        </w:rPr>
      </w:pPr>
    </w:p>
    <w:p>
      <w:pPr>
        <w:ind w:left="3066" w:right="340" w:hanging="3066"/>
        <w:spacing w:after="0" w:line="310" w:lineRule="auto"/>
        <w:tabs>
          <w:tab w:leader="none" w:pos="668" w:val="left"/>
        </w:tabs>
        <w:numPr>
          <w:ilvl w:val="0"/>
          <w:numId w:val="1"/>
        </w:numPr>
        <w:rPr>
          <w:rFonts w:ascii="MS PGothic" w:cs="MS PGothic" w:eastAsia="MS PGothic" w:hAnsi="MS PGothic"/>
          <w:sz w:val="20"/>
          <w:szCs w:val="20"/>
          <w:color w:val="auto"/>
          <w:highlight w:val="black"/>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For the quarterly period ended September 30, 2026</w:t>
      </w:r>
    </w:p>
    <w:p>
      <w:pPr>
        <w:spacing w:after="0" w:line="1" w:lineRule="exact"/>
        <w:rPr>
          <w:sz w:val="24"/>
          <w:szCs w:val="24"/>
          <w:color w:val="auto"/>
        </w:rPr>
      </w:pPr>
    </w:p>
    <w:p>
      <w:pPr>
        <w:jc w:val="center"/>
        <w:ind w:right="14"/>
        <w:spacing w:after="0"/>
        <w:rPr>
          <w:sz w:val="20"/>
          <w:szCs w:val="20"/>
          <w:color w:val="auto"/>
        </w:rPr>
      </w:pPr>
      <w:r>
        <w:rPr>
          <w:rFonts w:ascii="Arial" w:cs="Arial" w:eastAsia="Arial" w:hAnsi="Arial"/>
          <w:sz w:val="18"/>
          <w:szCs w:val="18"/>
          <w:color w:val="auto"/>
        </w:rPr>
        <w:t>or</w:t>
      </w:r>
    </w:p>
    <w:p>
      <w:pPr>
        <w:spacing w:after="0" w:line="90" w:lineRule="exact"/>
        <w:rPr>
          <w:sz w:val="24"/>
          <w:szCs w:val="24"/>
          <w:color w:val="auto"/>
        </w:rPr>
      </w:pPr>
    </w:p>
    <w:p>
      <w:pPr>
        <w:ind w:left="2406" w:right="340" w:hanging="2406"/>
        <w:spacing w:after="0" w:line="310" w:lineRule="auto"/>
        <w:tabs>
          <w:tab w:leader="none" w:pos="664" w:val="left"/>
        </w:tabs>
        <w:numPr>
          <w:ilvl w:val="0"/>
          <w:numId w:val="2"/>
        </w:numPr>
        <w:rPr>
          <w:rFonts w:ascii="MS PGothic" w:cs="MS PGothic" w:eastAsia="MS PGothic" w:hAnsi="MS PGothic"/>
          <w:sz w:val="20"/>
          <w:szCs w:val="20"/>
          <w:color w:val="auto"/>
        </w:rPr>
      </w:pP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8"/>
          <w:szCs w:val="18"/>
          <w:color w:val="auto"/>
        </w:rPr>
        <w:t>For the transition period from _____________ to _______________</w:t>
      </w:r>
    </w:p>
    <w:p>
      <w:pPr>
        <w:spacing w:after="0" w:line="1" w:lineRule="exact"/>
        <w:rPr>
          <w:rFonts w:ascii="MS PGothic" w:cs="MS PGothic" w:eastAsia="MS PGothic" w:hAnsi="MS PGothic"/>
          <w:sz w:val="20"/>
          <w:szCs w:val="20"/>
          <w:color w:val="auto"/>
        </w:rPr>
      </w:pPr>
    </w:p>
    <w:p>
      <w:pPr>
        <w:ind w:left="3586"/>
        <w:spacing w:after="0"/>
        <w:rPr>
          <w:rFonts w:ascii="MS PGothic" w:cs="MS PGothic" w:eastAsia="MS PGothic" w:hAnsi="MS PGothic"/>
          <w:sz w:val="20"/>
          <w:szCs w:val="20"/>
          <w:color w:val="auto"/>
        </w:rPr>
      </w:pPr>
      <w:r>
        <w:rPr>
          <w:rFonts w:ascii="Arial" w:cs="Arial" w:eastAsia="Arial" w:hAnsi="Arial"/>
          <w:sz w:val="18"/>
          <w:szCs w:val="18"/>
          <w:color w:val="auto"/>
        </w:rPr>
        <w:t>Commission File Number: 001-37908</w:t>
      </w:r>
    </w:p>
    <w:p>
      <w:pPr>
        <w:spacing w:after="0" w:line="57" w:lineRule="exact"/>
        <w:rPr>
          <w:sz w:val="24"/>
          <w:szCs w:val="24"/>
          <w:color w:val="auto"/>
        </w:rPr>
      </w:pPr>
    </w:p>
    <w:p>
      <w:pPr>
        <w:jc w:val="center"/>
        <w:ind w:right="14"/>
        <w:spacing w:after="0"/>
        <w:rPr>
          <w:sz w:val="20"/>
          <w:szCs w:val="20"/>
          <w:color w:val="auto"/>
        </w:rPr>
      </w:pPr>
      <w:r>
        <w:rPr>
          <w:rFonts w:ascii="Arial" w:cs="Arial" w:eastAsia="Arial" w:hAnsi="Arial"/>
          <w:sz w:val="25"/>
          <w:szCs w:val="25"/>
          <w:b w:val="1"/>
          <w:bCs w:val="1"/>
          <w:color w:val="auto"/>
        </w:rPr>
        <w:t>CAMPING WORLD HOLDINGS, INC.</w:t>
      </w:r>
    </w:p>
    <w:p>
      <w:pPr>
        <w:spacing w:after="0" w:line="30" w:lineRule="exact"/>
        <w:rPr>
          <w:sz w:val="24"/>
          <w:szCs w:val="24"/>
          <w:color w:val="auto"/>
        </w:rPr>
      </w:pPr>
    </w:p>
    <w:p>
      <w:pPr>
        <w:jc w:val="center"/>
        <w:ind w:right="14"/>
        <w:spacing w:after="0"/>
        <w:rPr>
          <w:sz w:val="20"/>
          <w:szCs w:val="20"/>
          <w:color w:val="auto"/>
        </w:rPr>
      </w:pPr>
      <w:r>
        <w:rPr>
          <w:rFonts w:ascii="Arial" w:cs="Arial" w:eastAsia="Arial" w:hAnsi="Arial"/>
          <w:sz w:val="20"/>
          <w:szCs w:val="20"/>
          <w:color w:val="auto"/>
        </w:rPr>
        <w:t>(Exact name of registrant as specified in its charter)</w:t>
      </w:r>
    </w:p>
    <w:p>
      <w:pPr>
        <w:sectPr>
          <w:pgSz w:w="11900" w:h="16838" w:orient="portrait"/>
          <w:cols w:equalWidth="0" w:num="1">
            <w:col w:w="10226"/>
          </w:cols>
          <w:pgMar w:left="834" w:top="661" w:right="839" w:bottom="1440" w:gutter="0" w:footer="0" w:header="0"/>
        </w:sectPr>
      </w:pPr>
    </w:p>
    <w:p>
      <w:pPr>
        <w:spacing w:after="0" w:line="79" w:lineRule="exact"/>
        <w:rPr>
          <w:sz w:val="24"/>
          <w:szCs w:val="24"/>
          <w:color w:val="auto"/>
        </w:rPr>
      </w:pPr>
    </w:p>
    <w:p>
      <w:pPr>
        <w:jc w:val="center"/>
        <w:ind w:right="394"/>
        <w:spacing w:after="0"/>
        <w:rPr>
          <w:sz w:val="20"/>
          <w:szCs w:val="20"/>
          <w:color w:val="auto"/>
        </w:rPr>
      </w:pPr>
      <w:r>
        <w:rPr>
          <w:rFonts w:ascii="Arial" w:cs="Arial" w:eastAsia="Arial" w:hAnsi="Arial"/>
          <w:sz w:val="18"/>
          <w:szCs w:val="18"/>
          <w:b w:val="1"/>
          <w:bCs w:val="1"/>
          <w:color w:val="auto"/>
        </w:rPr>
        <w:t>Delaware</w:t>
      </w:r>
    </w:p>
    <w:p>
      <w:pPr>
        <w:spacing w:after="0" w:line="14" w:lineRule="exact"/>
        <w:rPr>
          <w:sz w:val="24"/>
          <w:szCs w:val="24"/>
          <w:color w:val="auto"/>
        </w:rPr>
      </w:pPr>
    </w:p>
    <w:p>
      <w:pPr>
        <w:jc w:val="center"/>
        <w:ind w:right="394"/>
        <w:spacing w:after="0"/>
        <w:rPr>
          <w:sz w:val="20"/>
          <w:szCs w:val="20"/>
          <w:color w:val="auto"/>
        </w:rPr>
      </w:pPr>
      <w:r>
        <w:rPr>
          <w:rFonts w:ascii="Arial" w:cs="Arial" w:eastAsia="Arial" w:hAnsi="Arial"/>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81-1737145</w:t>
      </w:r>
    </w:p>
    <w:p>
      <w:pPr>
        <w:spacing w:after="0" w:line="14" w:lineRule="exact"/>
        <w:rPr>
          <w:sz w:val="24"/>
          <w:szCs w:val="24"/>
          <w:color w:val="auto"/>
        </w:rPr>
      </w:pPr>
    </w:p>
    <w:p>
      <w:pPr>
        <w:jc w:val="center"/>
        <w:ind w:right="1140"/>
        <w:spacing w:after="0"/>
        <w:rPr>
          <w:sz w:val="20"/>
          <w:szCs w:val="20"/>
          <w:color w:val="auto"/>
        </w:rPr>
      </w:pPr>
      <w:r>
        <w:rPr>
          <w:rFonts w:ascii="Arial" w:cs="Arial" w:eastAsia="Arial" w:hAnsi="Arial"/>
          <w:sz w:val="17"/>
          <w:szCs w:val="17"/>
          <w:color w:val="auto"/>
        </w:rPr>
        <w:t>(I.R.S. Employer Identification No.)</w:t>
      </w:r>
    </w:p>
    <w:p>
      <w:pPr>
        <w:spacing w:after="0" w:line="151" w:lineRule="exact"/>
        <w:rPr>
          <w:sz w:val="24"/>
          <w:szCs w:val="24"/>
          <w:color w:val="auto"/>
        </w:rPr>
      </w:pPr>
    </w:p>
    <w:p>
      <w:pPr>
        <w:sectPr>
          <w:pgSz w:w="11900" w:h="16838" w:orient="portrait"/>
          <w:cols w:equalWidth="0" w:num="2">
            <w:col w:w="5606" w:space="720"/>
            <w:col w:w="3900"/>
          </w:cols>
          <w:pgMar w:left="834" w:top="661" w:right="839" w:bottom="1440" w:gutter="0" w:footer="0" w:header="0"/>
          <w:type w:val="continuous"/>
        </w:sectPr>
      </w:pPr>
    </w:p>
    <w:p>
      <w:pPr>
        <w:jc w:val="center"/>
        <w:ind w:right="-5"/>
        <w:spacing w:after="0"/>
        <w:rPr>
          <w:sz w:val="20"/>
          <w:szCs w:val="20"/>
          <w:color w:val="auto"/>
        </w:rPr>
      </w:pPr>
      <w:r>
        <w:rPr>
          <w:rFonts w:ascii="Arial" w:cs="Arial" w:eastAsia="Arial" w:hAnsi="Arial"/>
          <w:sz w:val="18"/>
          <w:szCs w:val="18"/>
          <w:b w:val="1"/>
          <w:bCs w:val="1"/>
          <w:color w:val="auto"/>
        </w:rPr>
        <w:t>2 Marriott Drive</w:t>
      </w:r>
    </w:p>
    <w:p>
      <w:pPr>
        <w:spacing w:after="0" w:line="9" w:lineRule="exact"/>
        <w:rPr>
          <w:sz w:val="24"/>
          <w:szCs w:val="24"/>
          <w:color w:val="auto"/>
        </w:rPr>
      </w:pPr>
    </w:p>
    <w:p>
      <w:pPr>
        <w:jc w:val="center"/>
        <w:ind w:right="-5"/>
        <w:spacing w:after="0"/>
        <w:rPr>
          <w:sz w:val="20"/>
          <w:szCs w:val="20"/>
          <w:color w:val="auto"/>
        </w:rPr>
      </w:pPr>
      <w:r>
        <w:rPr>
          <w:rFonts w:ascii="Arial" w:cs="Arial" w:eastAsia="Arial" w:hAnsi="Arial"/>
          <w:sz w:val="18"/>
          <w:szCs w:val="18"/>
          <w:b w:val="1"/>
          <w:bCs w:val="1"/>
          <w:color w:val="auto"/>
        </w:rPr>
        <w:t>Lincolnshire, IL 60069</w:t>
      </w:r>
    </w:p>
    <w:p>
      <w:pPr>
        <w:jc w:val="center"/>
        <w:ind w:right="-5"/>
        <w:spacing w:after="0"/>
        <w:rPr>
          <w:sz w:val="20"/>
          <w:szCs w:val="20"/>
          <w:color w:val="auto"/>
        </w:rPr>
      </w:pPr>
      <w:r>
        <w:rPr>
          <w:rFonts w:ascii="Arial" w:cs="Arial" w:eastAsia="Arial" w:hAnsi="Arial"/>
          <w:sz w:val="18"/>
          <w:szCs w:val="18"/>
          <w:color w:val="auto"/>
        </w:rPr>
        <w:t>(Address of principal executive offices) (Zip Code)</w:t>
      </w:r>
    </w:p>
    <w:p>
      <w:pPr>
        <w:spacing w:after="0" w:line="86" w:lineRule="exact"/>
        <w:rPr>
          <w:sz w:val="24"/>
          <w:szCs w:val="24"/>
          <w:color w:val="auto"/>
        </w:rPr>
      </w:pPr>
    </w:p>
    <w:p>
      <w:pPr>
        <w:jc w:val="center"/>
        <w:ind w:right="-5"/>
        <w:spacing w:after="0"/>
        <w:rPr>
          <w:sz w:val="20"/>
          <w:szCs w:val="20"/>
          <w:color w:val="auto"/>
        </w:rPr>
      </w:pPr>
      <w:r>
        <w:rPr>
          <w:rFonts w:ascii="Arial" w:cs="Arial" w:eastAsia="Arial" w:hAnsi="Arial"/>
          <w:sz w:val="18"/>
          <w:szCs w:val="18"/>
          <w:b w:val="1"/>
          <w:bCs w:val="1"/>
          <w:color w:val="auto"/>
        </w:rPr>
        <w:t>Telephone: (847) 808-3000</w:t>
      </w:r>
    </w:p>
    <w:p>
      <w:pPr>
        <w:spacing w:after="0" w:line="14" w:lineRule="exact"/>
        <w:rPr>
          <w:sz w:val="24"/>
          <w:szCs w:val="24"/>
          <w:color w:val="auto"/>
        </w:rPr>
      </w:pPr>
    </w:p>
    <w:p>
      <w:pPr>
        <w:jc w:val="center"/>
        <w:ind w:right="-5"/>
        <w:spacing w:after="0"/>
        <w:rPr>
          <w:sz w:val="20"/>
          <w:szCs w:val="20"/>
          <w:color w:val="auto"/>
        </w:rPr>
      </w:pPr>
      <w:r>
        <w:rPr>
          <w:rFonts w:ascii="Arial" w:cs="Arial" w:eastAsia="Arial" w:hAnsi="Arial"/>
          <w:sz w:val="18"/>
          <w:szCs w:val="18"/>
          <w:color w:val="auto"/>
        </w:rPr>
        <w:t>(Registrant’s telephone number, including area code)</w:t>
      </w:r>
    </w:p>
    <w:p>
      <w:pPr>
        <w:spacing w:after="0" w:line="86" w:lineRule="exact"/>
        <w:rPr>
          <w:sz w:val="24"/>
          <w:szCs w:val="24"/>
          <w:color w:val="auto"/>
        </w:rPr>
      </w:pPr>
    </w:p>
    <w:p>
      <w:pPr>
        <w:jc w:val="center"/>
        <w:ind w:right="-5"/>
        <w:spacing w:after="0"/>
        <w:rPr>
          <w:sz w:val="20"/>
          <w:szCs w:val="20"/>
          <w:color w:val="auto"/>
        </w:rPr>
      </w:pPr>
      <w:r>
        <w:rPr>
          <w:rFonts w:ascii="Arial" w:cs="Arial" w:eastAsia="Arial" w:hAnsi="Arial"/>
          <w:sz w:val="18"/>
          <w:szCs w:val="18"/>
          <w:b w:val="1"/>
          <w:bCs w:val="1"/>
          <w:color w:val="auto"/>
        </w:rPr>
        <w:t>N/A</w:t>
      </w:r>
    </w:p>
    <w:p>
      <w:pPr>
        <w:spacing w:after="0" w:line="14" w:lineRule="exact"/>
        <w:rPr>
          <w:sz w:val="24"/>
          <w:szCs w:val="24"/>
          <w:color w:val="auto"/>
        </w:rPr>
      </w:pPr>
    </w:p>
    <w:p>
      <w:pPr>
        <w:ind w:left="1846"/>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45" w:lineRule="exact"/>
        <w:rPr>
          <w:sz w:val="24"/>
          <w:szCs w:val="24"/>
          <w:color w:val="auto"/>
        </w:rPr>
      </w:pPr>
    </w:p>
    <w:p>
      <w:pPr>
        <w:ind w:left="246"/>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16" w:lineRule="exact"/>
        <w:rPr>
          <w:sz w:val="24"/>
          <w:szCs w:val="24"/>
          <w:color w:val="auto"/>
        </w:rPr>
      </w:pPr>
    </w:p>
    <w:tbl>
      <w:tblPr>
        <w:tblLayout w:type="fixed"/>
        <w:tblInd w:w="376" w:type="dxa"/>
        <w:tblCellMar>
          <w:top w:w="0" w:type="dxa"/>
          <w:left w:w="0" w:type="dxa"/>
          <w:bottom w:w="0" w:type="dxa"/>
          <w:right w:w="0" w:type="dxa"/>
        </w:tblCellMar>
      </w:tblPr>
      <w:tr>
        <w:trPr>
          <w:trHeight w:val="216"/>
        </w:trPr>
        <w:tc>
          <w:tcPr>
            <w:tcW w:w="30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Title of each class</w:t>
            </w:r>
          </w:p>
        </w:tc>
        <w:tc>
          <w:tcPr>
            <w:tcW w:w="19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Trading Symbol(s)</w:t>
            </w:r>
          </w:p>
        </w:tc>
        <w:tc>
          <w:tcPr>
            <w:tcW w:w="44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Name of each exchange on which registered</w:t>
            </w:r>
          </w:p>
        </w:tc>
      </w:tr>
      <w:tr>
        <w:trPr>
          <w:trHeight w:val="177"/>
        </w:trPr>
        <w:tc>
          <w:tcPr>
            <w:tcW w:w="3080" w:type="dxa"/>
            <w:vAlign w:val="bottom"/>
            <w:tcBorders>
              <w:left w:val="single" w:sz="8" w:color="auto"/>
              <w:right w:val="single" w:sz="8" w:color="auto"/>
            </w:tcBorders>
          </w:tcPr>
          <w:p>
            <w:pPr>
              <w:jc w:val="center"/>
              <w:spacing w:after="0" w:line="177" w:lineRule="exact"/>
              <w:rPr>
                <w:sz w:val="20"/>
                <w:szCs w:val="20"/>
                <w:color w:val="auto"/>
              </w:rPr>
            </w:pPr>
            <w:r>
              <w:rPr>
                <w:rFonts w:ascii="Arial" w:cs="Arial" w:eastAsia="Arial" w:hAnsi="Arial"/>
                <w:sz w:val="18"/>
                <w:szCs w:val="18"/>
                <w:color w:val="auto"/>
                <w:w w:val="99"/>
              </w:rPr>
              <w:t>Class A Common Stock,</w:t>
            </w:r>
          </w:p>
        </w:tc>
        <w:tc>
          <w:tcPr>
            <w:tcW w:w="1960" w:type="dxa"/>
            <w:vAlign w:val="bottom"/>
            <w:tcBorders>
              <w:right w:val="single" w:sz="8" w:color="auto"/>
            </w:tcBorders>
          </w:tcPr>
          <w:p>
            <w:pPr>
              <w:jc w:val="center"/>
              <w:spacing w:after="0" w:line="177" w:lineRule="exact"/>
              <w:rPr>
                <w:sz w:val="20"/>
                <w:szCs w:val="20"/>
                <w:color w:val="auto"/>
              </w:rPr>
            </w:pPr>
            <w:r>
              <w:rPr>
                <w:rFonts w:ascii="Arial" w:cs="Arial" w:eastAsia="Arial" w:hAnsi="Arial"/>
                <w:sz w:val="18"/>
                <w:szCs w:val="18"/>
                <w:color w:val="auto"/>
              </w:rPr>
              <w:t>CWH</w:t>
            </w:r>
          </w:p>
        </w:tc>
        <w:tc>
          <w:tcPr>
            <w:tcW w:w="4480" w:type="dxa"/>
            <w:vAlign w:val="bottom"/>
            <w:tcBorders>
              <w:right w:val="single" w:sz="8" w:color="auto"/>
            </w:tcBorders>
          </w:tcPr>
          <w:p>
            <w:pPr>
              <w:jc w:val="center"/>
              <w:spacing w:after="0" w:line="177" w:lineRule="exact"/>
              <w:rPr>
                <w:sz w:val="20"/>
                <w:szCs w:val="20"/>
                <w:color w:val="auto"/>
              </w:rPr>
            </w:pPr>
            <w:r>
              <w:rPr>
                <w:rFonts w:ascii="Arial" w:cs="Arial" w:eastAsia="Arial" w:hAnsi="Arial"/>
                <w:sz w:val="18"/>
                <w:szCs w:val="18"/>
                <w:color w:val="auto"/>
                <w:w w:val="99"/>
              </w:rPr>
              <w:t>New York Stock Exchange</w:t>
            </w:r>
          </w:p>
        </w:tc>
      </w:tr>
      <w:tr>
        <w:trPr>
          <w:trHeight w:val="221"/>
        </w:trPr>
        <w:tc>
          <w:tcPr>
            <w:tcW w:w="3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$0.01 par value per share</w:t>
            </w:r>
          </w:p>
        </w:tc>
        <w:tc>
          <w:tcPr>
            <w:tcW w:w="1960" w:type="dxa"/>
            <w:vAlign w:val="bottom"/>
            <w:tcBorders>
              <w:bottom w:val="single" w:sz="8" w:color="auto"/>
              <w:right w:val="single" w:sz="8" w:color="auto"/>
            </w:tcBorders>
          </w:tcPr>
          <w:p>
            <w:pPr>
              <w:spacing w:after="0"/>
              <w:rPr>
                <w:sz w:val="19"/>
                <w:szCs w:val="19"/>
                <w:color w:val="auto"/>
              </w:rPr>
            </w:pPr>
          </w:p>
        </w:tc>
        <w:tc>
          <w:tcPr>
            <w:tcW w:w="4480" w:type="dxa"/>
            <w:vAlign w:val="bottom"/>
            <w:tcBorders>
              <w:bottom w:val="single" w:sz="8" w:color="auto"/>
              <w:right w:val="single" w:sz="8" w:color="auto"/>
            </w:tcBorders>
          </w:tcPr>
          <w:p>
            <w:pPr>
              <w:spacing w:after="0"/>
              <w:rPr>
                <w:sz w:val="19"/>
                <w:szCs w:val="19"/>
                <w:color w:val="auto"/>
              </w:rPr>
            </w:pPr>
          </w:p>
        </w:tc>
      </w:tr>
    </w:tbl>
    <w:p>
      <w:pPr>
        <w:spacing w:after="0" w:line="89" w:lineRule="exact"/>
        <w:rPr>
          <w:sz w:val="24"/>
          <w:szCs w:val="24"/>
          <w:color w:val="auto"/>
        </w:rPr>
      </w:pPr>
    </w:p>
    <w:p>
      <w:pPr>
        <w:jc w:val="both"/>
        <w:ind w:left="6" w:firstLine="247"/>
        <w:spacing w:after="0" w:line="22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63" w:lineRule="exact"/>
        <w:rPr>
          <w:sz w:val="24"/>
          <w:szCs w:val="24"/>
          <w:color w:val="auto"/>
        </w:rPr>
      </w:pPr>
    </w:p>
    <w:p>
      <w:pPr>
        <w:jc w:val="both"/>
        <w:ind w:left="6" w:firstLine="247"/>
        <w:spacing w:after="0" w:line="223"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63" w:lineRule="exact"/>
        <w:rPr>
          <w:sz w:val="24"/>
          <w:szCs w:val="24"/>
          <w:color w:val="auto"/>
        </w:rPr>
      </w:pPr>
    </w:p>
    <w:p>
      <w:pPr>
        <w:jc w:val="both"/>
        <w:ind w:left="6" w:firstLine="247"/>
        <w:spacing w:after="0" w:line="25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1" w:lineRule="exact"/>
        <w:rPr>
          <w:sz w:val="24"/>
          <w:szCs w:val="24"/>
          <w:color w:val="auto"/>
        </w:rPr>
      </w:pPr>
    </w:p>
    <w:tbl>
      <w:tblPr>
        <w:tblLayout w:type="fixed"/>
        <w:tblInd w:w="1026" w:type="dxa"/>
        <w:tblCellMar>
          <w:top w:w="0" w:type="dxa"/>
          <w:left w:w="0" w:type="dxa"/>
          <w:bottom w:w="0" w:type="dxa"/>
          <w:right w:w="0" w:type="dxa"/>
        </w:tblCellMar>
      </w:tblPr>
      <w:tr>
        <w:trPr>
          <w:trHeight w:val="303"/>
        </w:trPr>
        <w:tc>
          <w:tcPr>
            <w:tcW w:w="18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160" w:type="dxa"/>
            <w:vAlign w:val="bottom"/>
          </w:tcPr>
          <w:p>
            <w:pPr>
              <w:ind w:left="6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3120" w:type="dxa"/>
            <w:vAlign w:val="bottom"/>
          </w:tcPr>
          <w:p>
            <w:pPr>
              <w:ind w:left="920"/>
              <w:spacing w:after="0"/>
              <w:rPr>
                <w:sz w:val="20"/>
                <w:szCs w:val="20"/>
                <w:color w:val="auto"/>
              </w:rPr>
            </w:pPr>
            <w:r>
              <w:rPr>
                <w:rFonts w:ascii="Arial" w:cs="Arial" w:eastAsia="Arial" w:hAnsi="Arial"/>
                <w:sz w:val="18"/>
                <w:szCs w:val="18"/>
                <w:color w:val="auto"/>
              </w:rPr>
              <w:t>Accelerated filer</w:t>
            </w:r>
          </w:p>
        </w:tc>
        <w:tc>
          <w:tcPr>
            <w:tcW w:w="200" w:type="dxa"/>
            <w:vAlign w:val="bottom"/>
          </w:tcPr>
          <w:p>
            <w:pPr>
              <w:jc w:val="right"/>
              <w:spacing w:after="0" w:line="242" w:lineRule="exact"/>
              <w:rPr>
                <w:sz w:val="20"/>
                <w:szCs w:val="20"/>
                <w:color w:val="auto"/>
              </w:rPr>
            </w:pPr>
            <w:r>
              <w:rPr>
                <w:rFonts w:ascii="Arial Unicode MS" w:cs="Arial Unicode MS" w:eastAsia="Arial Unicode MS" w:hAnsi="Arial Unicode MS"/>
                <w:sz w:val="18"/>
                <w:szCs w:val="18"/>
                <w:color w:val="auto"/>
              </w:rPr>
              <w:t>☐</w:t>
            </w:r>
          </w:p>
        </w:tc>
      </w:tr>
      <w:tr>
        <w:trPr>
          <w:trHeight w:val="324"/>
        </w:trPr>
        <w:tc>
          <w:tcPr>
            <w:tcW w:w="1820" w:type="dxa"/>
            <w:vAlign w:val="bottom"/>
          </w:tcPr>
          <w:p>
            <w:pPr>
              <w:spacing w:after="0"/>
              <w:rPr>
                <w:sz w:val="20"/>
                <w:szCs w:val="20"/>
                <w:color w:val="auto"/>
              </w:rPr>
            </w:pPr>
            <w:r>
              <w:rPr>
                <w:rFonts w:ascii="Arial" w:cs="Arial" w:eastAsia="Arial" w:hAnsi="Arial"/>
                <w:sz w:val="18"/>
                <w:szCs w:val="18"/>
                <w:color w:val="auto"/>
              </w:rPr>
              <w:t>Non-accelerated filer</w:t>
            </w:r>
          </w:p>
        </w:tc>
        <w:tc>
          <w:tcPr>
            <w:tcW w:w="1160" w:type="dxa"/>
            <w:vAlign w:val="bottom"/>
          </w:tcPr>
          <w:p>
            <w:pPr>
              <w:ind w:left="4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3120" w:type="dxa"/>
            <w:vAlign w:val="bottom"/>
          </w:tcPr>
          <w:p>
            <w:pPr>
              <w:ind w:left="920"/>
              <w:spacing w:after="0"/>
              <w:rPr>
                <w:sz w:val="20"/>
                <w:szCs w:val="20"/>
                <w:color w:val="auto"/>
              </w:rPr>
            </w:pPr>
            <w:r>
              <w:rPr>
                <w:rFonts w:ascii="Arial" w:cs="Arial" w:eastAsia="Arial" w:hAnsi="Arial"/>
                <w:sz w:val="18"/>
                <w:szCs w:val="18"/>
                <w:color w:val="auto"/>
              </w:rPr>
              <w:t>Smaller reporting company</w:t>
            </w:r>
          </w:p>
        </w:tc>
        <w:tc>
          <w:tcPr>
            <w:tcW w:w="200" w:type="dxa"/>
            <w:vAlign w:val="bottom"/>
          </w:tcPr>
          <w:p>
            <w:pPr>
              <w:jc w:val="right"/>
              <w:spacing w:after="0" w:line="242" w:lineRule="exact"/>
              <w:rPr>
                <w:sz w:val="20"/>
                <w:szCs w:val="20"/>
                <w:color w:val="auto"/>
              </w:rPr>
            </w:pPr>
            <w:r>
              <w:rPr>
                <w:rFonts w:ascii="Arial Unicode MS" w:cs="Arial Unicode MS" w:eastAsia="Arial Unicode MS" w:hAnsi="Arial Unicode MS"/>
                <w:sz w:val="18"/>
                <w:szCs w:val="18"/>
                <w:color w:val="auto"/>
              </w:rPr>
              <w:t>☐</w:t>
            </w:r>
          </w:p>
        </w:tc>
      </w:tr>
      <w:tr>
        <w:trPr>
          <w:trHeight w:val="324"/>
        </w:trPr>
        <w:tc>
          <w:tcPr>
            <w:tcW w:w="1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320" w:type="dxa"/>
            <w:vAlign w:val="bottom"/>
            <w:gridSpan w:val="2"/>
          </w:tcPr>
          <w:p>
            <w:pPr>
              <w:ind w:left="920"/>
              <w:spacing w:after="0" w:line="242" w:lineRule="exact"/>
              <w:rPr>
                <w:sz w:val="20"/>
                <w:szCs w:val="20"/>
                <w:color w:val="auto"/>
              </w:rPr>
            </w:pPr>
            <w:r>
              <w:rPr>
                <w:rFonts w:ascii="Arial" w:cs="Arial" w:eastAsia="Arial" w:hAnsi="Arial"/>
                <w:sz w:val="18"/>
                <w:szCs w:val="18"/>
                <w:color w:val="auto"/>
              </w:rPr>
              <w:t xml:space="preserve">Emerging growth company </w:t>
            </w:r>
            <w:r>
              <w:rPr>
                <w:rFonts w:ascii="Arial Unicode MS" w:cs="Arial Unicode MS" w:eastAsia="Arial Unicode MS" w:hAnsi="Arial Unicode MS"/>
                <w:sz w:val="18"/>
                <w:szCs w:val="18"/>
                <w:color w:val="auto"/>
              </w:rPr>
              <w:t>☐</w:t>
            </w:r>
          </w:p>
        </w:tc>
      </w:tr>
    </w:tbl>
    <w:p>
      <w:pPr>
        <w:spacing w:after="0" w:line="75" w:lineRule="exact"/>
        <w:rPr>
          <w:sz w:val="24"/>
          <w:szCs w:val="24"/>
          <w:color w:val="auto"/>
        </w:rPr>
      </w:pPr>
    </w:p>
    <w:p>
      <w:pPr>
        <w:jc w:val="both"/>
        <w:ind w:left="6" w:firstLine="247"/>
        <w:spacing w:after="0" w:line="242"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 w:lineRule="exact"/>
        <w:rPr>
          <w:sz w:val="24"/>
          <w:szCs w:val="24"/>
          <w:color w:val="auto"/>
        </w:rPr>
      </w:pPr>
    </w:p>
    <w:p>
      <w:pPr>
        <w:ind w:left="46"/>
        <w:spacing w:after="0" w:line="242" w:lineRule="exact"/>
        <w:rPr>
          <w:sz w:val="20"/>
          <w:szCs w:val="20"/>
          <w:color w:val="auto"/>
        </w:rPr>
      </w:pPr>
      <w:r>
        <w:rPr>
          <w:rFonts w:ascii="Arial Unicode MS" w:cs="Arial Unicode MS" w:eastAsia="Arial Unicode MS" w:hAnsi="Arial Unicode MS"/>
          <w:sz w:val="18"/>
          <w:szCs w:val="18"/>
          <w:color w:val="auto"/>
        </w:rPr>
        <w:t>☐</w:t>
      </w:r>
    </w:p>
    <w:p>
      <w:pPr>
        <w:spacing w:after="0" w:line="42" w:lineRule="exact"/>
        <w:rPr>
          <w:sz w:val="24"/>
          <w:szCs w:val="24"/>
          <w:color w:val="auto"/>
        </w:rPr>
      </w:pPr>
    </w:p>
    <w:p>
      <w:pPr>
        <w:ind w:left="6" w:firstLine="247"/>
        <w:spacing w:after="0" w:line="233"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62" w:lineRule="exact"/>
        <w:rPr>
          <w:sz w:val="24"/>
          <w:szCs w:val="24"/>
          <w:color w:val="auto"/>
        </w:rPr>
      </w:pPr>
    </w:p>
    <w:p>
      <w:pPr>
        <w:ind w:left="6" w:right="560" w:firstLine="247"/>
        <w:spacing w:after="0" w:line="271" w:lineRule="auto"/>
        <w:rPr>
          <w:sz w:val="20"/>
          <w:szCs w:val="20"/>
          <w:color w:val="auto"/>
        </w:rPr>
      </w:pPr>
      <w:r>
        <w:rPr>
          <w:rFonts w:ascii="Arial" w:cs="Arial" w:eastAsia="Arial" w:hAnsi="Arial"/>
          <w:sz w:val="18"/>
          <w:szCs w:val="18"/>
          <w:color w:val="auto"/>
        </w:rPr>
        <w:t>As of October 30, 2026, the registrant had 63,890,128 shares of Class A common stock, 39,466,964 shares of Class B common stock and one share of Class C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443865</wp:posOffset>
            </wp:positionV>
            <wp:extent cx="649795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57785</wp:posOffset>
            </wp:positionV>
            <wp:extent cx="649795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40640</wp:posOffset>
            </wp:positionV>
            <wp:extent cx="64979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ectPr>
          <w:pgSz w:w="11900" w:h="16838" w:orient="portrait"/>
          <w:cols w:equalWidth="0" w:num="1">
            <w:col w:w="10226"/>
          </w:cols>
          <w:pgMar w:left="834" w:top="661" w:right="839" w:bottom="144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Camping World Holdings,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Quarterly Report on Form 10-Q</w:t>
      </w: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2026</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561"/>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60" w:type="dxa"/>
            <w:vAlign w:val="bottom"/>
            <w:tcBorders>
              <w:bottom w:val="single" w:sz="8" w:color="0000EE"/>
            </w:tcBorders>
            <w:gridSpan w:val="11"/>
          </w:tcPr>
          <w:p>
            <w:pPr>
              <w:jc w:val="center"/>
              <w:spacing w:after="0"/>
              <w:rPr>
                <w:sz w:val="20"/>
                <w:szCs w:val="20"/>
                <w:color w:val="auto"/>
              </w:rPr>
            </w:pPr>
            <w:r>
              <w:rPr>
                <w:rFonts w:ascii="Arial" w:cs="Arial" w:eastAsia="Arial" w:hAnsi="Arial"/>
                <w:sz w:val="18"/>
                <w:szCs w:val="18"/>
                <w:b w:val="1"/>
                <w:bCs w:val="1"/>
                <w:color w:val="0000EE"/>
                <w:w w:val="99"/>
              </w:rPr>
              <w:t>PART I. FINANCIAL INFORMATION</w:t>
            </w:r>
          </w:p>
        </w:tc>
        <w:tc>
          <w:tcPr>
            <w:tcW w:w="2700" w:type="dxa"/>
            <w:vAlign w:val="bottom"/>
            <w:gridSpan w:val="8"/>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Arial" w:cs="Arial" w:eastAsia="Arial" w:hAnsi="Arial"/>
                <w:sz w:val="18"/>
                <w:szCs w:val="18"/>
                <w:color w:val="0000EE"/>
              </w:rPr>
              <w:t>Item 1</w:t>
            </w:r>
          </w:p>
        </w:tc>
        <w:tc>
          <w:tcPr>
            <w:tcW w:w="7420" w:type="dxa"/>
            <w:vAlign w:val="bottom"/>
            <w:gridSpan w:val="24"/>
          </w:tcPr>
          <w:p>
            <w:pPr>
              <w:spacing w:after="0"/>
              <w:rPr>
                <w:sz w:val="20"/>
                <w:szCs w:val="20"/>
                <w:color w:val="auto"/>
              </w:rPr>
            </w:pPr>
            <w:r>
              <w:rPr>
                <w:rFonts w:ascii="Arial" w:cs="Arial" w:eastAsia="Arial" w:hAnsi="Arial"/>
                <w:sz w:val="18"/>
                <w:szCs w:val="18"/>
                <w:color w:val="0000EE"/>
              </w:rPr>
              <w:t>Financial Statements (unaudited)</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40" w:type="dxa"/>
            <w:vAlign w:val="bottom"/>
            <w:tcBorders>
              <w:top w:val="single" w:sz="8" w:color="0000EE"/>
            </w:tcBorders>
            <w:gridSpan w:val="11"/>
          </w:tcPr>
          <w:p>
            <w:pPr>
              <w:spacing w:after="0" w:line="182" w:lineRule="exact"/>
              <w:rPr>
                <w:sz w:val="20"/>
                <w:szCs w:val="20"/>
                <w:color w:val="auto"/>
              </w:rPr>
            </w:pPr>
            <w:r>
              <w:rPr>
                <w:rFonts w:ascii="Arial" w:cs="Arial" w:eastAsia="Arial" w:hAnsi="Arial"/>
                <w:sz w:val="18"/>
                <w:szCs w:val="18"/>
                <w:color w:val="0000EE"/>
                <w:w w:val="90"/>
              </w:rPr>
              <w:t>Unaudited Condensed Consolidated</w:t>
            </w:r>
          </w:p>
        </w:tc>
        <w:tc>
          <w:tcPr>
            <w:tcW w:w="4780" w:type="dxa"/>
            <w:vAlign w:val="bottom"/>
            <w:gridSpan w:val="13"/>
          </w:tcPr>
          <w:p>
            <w:pPr>
              <w:jc w:val="center"/>
              <w:ind w:left="50"/>
              <w:spacing w:after="0" w:line="182" w:lineRule="exact"/>
              <w:rPr>
                <w:sz w:val="20"/>
                <w:szCs w:val="20"/>
                <w:color w:val="auto"/>
              </w:rPr>
            </w:pPr>
            <w:r>
              <w:rPr>
                <w:rFonts w:ascii="Arial" w:cs="Arial" w:eastAsia="Arial" w:hAnsi="Arial"/>
                <w:sz w:val="18"/>
                <w:szCs w:val="18"/>
                <w:color w:val="0000EE"/>
                <w:w w:val="99"/>
              </w:rPr>
              <w:t>Balance Sheets – September 30, 2026, December 31,</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80" w:type="dxa"/>
            <w:vAlign w:val="bottom"/>
            <w:tcBorders>
              <w:top w:val="single" w:sz="8" w:color="0000EE"/>
              <w:bottom w:val="single" w:sz="8" w:color="0000EE"/>
            </w:tcBorders>
            <w:gridSpan w:val="9"/>
          </w:tcPr>
          <w:p>
            <w:pPr>
              <w:spacing w:after="0" w:line="182" w:lineRule="exact"/>
              <w:rPr>
                <w:sz w:val="20"/>
                <w:szCs w:val="20"/>
                <w:color w:val="auto"/>
              </w:rPr>
            </w:pPr>
            <w:r>
              <w:rPr>
                <w:rFonts w:ascii="Arial" w:cs="Arial" w:eastAsia="Arial" w:hAnsi="Arial"/>
                <w:sz w:val="18"/>
                <w:szCs w:val="18"/>
                <w:color w:val="0000EE"/>
                <w:w w:val="99"/>
              </w:rPr>
              <w:t>2025, and September 30, 2025</w:t>
            </w:r>
          </w:p>
        </w:tc>
        <w:tc>
          <w:tcPr>
            <w:tcW w:w="4780" w:type="dxa"/>
            <w:vAlign w:val="bottom"/>
            <w:tcBorders>
              <w:top w:val="single" w:sz="8" w:color="0000EE"/>
            </w:tcBorders>
            <w:gridSpan w:val="14"/>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20" w:type="dxa"/>
            <w:vAlign w:val="bottom"/>
            <w:gridSpan w:val="24"/>
          </w:tcPr>
          <w:p>
            <w:pPr>
              <w:spacing w:after="0" w:line="182" w:lineRule="exact"/>
              <w:rPr>
                <w:sz w:val="20"/>
                <w:szCs w:val="20"/>
                <w:color w:val="auto"/>
              </w:rPr>
            </w:pPr>
            <w:r>
              <w:rPr>
                <w:rFonts w:ascii="Arial" w:cs="Arial" w:eastAsia="Arial" w:hAnsi="Arial"/>
                <w:sz w:val="18"/>
                <w:szCs w:val="18"/>
                <w:color w:val="0000EE"/>
              </w:rPr>
              <w:t>Unaudited Condensed Consolidated Statements of Operations – Three and Nine Months</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60" w:type="dxa"/>
            <w:vAlign w:val="bottom"/>
            <w:tcBorders>
              <w:top w:val="single" w:sz="8" w:color="0000EE"/>
            </w:tcBorders>
            <w:gridSpan w:val="20"/>
          </w:tcPr>
          <w:p>
            <w:pPr>
              <w:spacing w:after="0" w:line="182" w:lineRule="exact"/>
              <w:rPr>
                <w:sz w:val="20"/>
                <w:szCs w:val="20"/>
                <w:color w:val="auto"/>
              </w:rPr>
            </w:pPr>
            <w:r>
              <w:rPr>
                <w:rFonts w:ascii="Arial" w:cs="Arial" w:eastAsia="Arial" w:hAnsi="Arial"/>
                <w:sz w:val="18"/>
                <w:szCs w:val="18"/>
                <w:color w:val="0000EE"/>
              </w:rPr>
              <w:t>Ended September 30, 2026 and 2025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gridSpan w:val="2"/>
          </w:tcPr>
          <w:p>
            <w:pPr>
              <w:spacing w:after="0"/>
              <w:rPr>
                <w:sz w:val="15"/>
                <w:szCs w:val="15"/>
                <w:color w:val="auto"/>
              </w:rPr>
            </w:pP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0" w:type="dxa"/>
            <w:vAlign w:val="bottom"/>
            <w:tcBorders>
              <w:top w:val="single" w:sz="8" w:color="0000EE"/>
            </w:tcBorders>
            <w:gridSpan w:val="12"/>
          </w:tcPr>
          <w:p>
            <w:pPr>
              <w:spacing w:after="0" w:line="182" w:lineRule="exact"/>
              <w:rPr>
                <w:sz w:val="20"/>
                <w:szCs w:val="20"/>
                <w:color w:val="auto"/>
              </w:rPr>
            </w:pPr>
            <w:r>
              <w:rPr>
                <w:rFonts w:ascii="Arial" w:cs="Arial" w:eastAsia="Arial" w:hAnsi="Arial"/>
                <w:sz w:val="18"/>
                <w:szCs w:val="18"/>
                <w:color w:val="0000EE"/>
              </w:rPr>
              <w:t>Unaudited Condensed Consolidated</w:t>
            </w:r>
          </w:p>
        </w:tc>
        <w:tc>
          <w:tcPr>
            <w:tcW w:w="4420" w:type="dxa"/>
            <w:vAlign w:val="bottom"/>
            <w:gridSpan w:val="12"/>
          </w:tcPr>
          <w:p>
            <w:pPr>
              <w:jc w:val="center"/>
              <w:ind w:right="260"/>
              <w:spacing w:after="0" w:line="182" w:lineRule="exact"/>
              <w:rPr>
                <w:sz w:val="20"/>
                <w:szCs w:val="20"/>
                <w:color w:val="auto"/>
              </w:rPr>
            </w:pPr>
            <w:r>
              <w:rPr>
                <w:rFonts w:ascii="Arial" w:cs="Arial" w:eastAsia="Arial" w:hAnsi="Arial"/>
                <w:sz w:val="18"/>
                <w:szCs w:val="18"/>
                <w:color w:val="0000EE"/>
                <w:w w:val="98"/>
              </w:rPr>
              <w:t>Statements of Stockholders’ Equity – Three and Nine</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160" w:type="dxa"/>
            <w:vAlign w:val="bottom"/>
            <w:tcBorders>
              <w:top w:val="single" w:sz="8" w:color="0000EE"/>
            </w:tcBorders>
            <w:gridSpan w:val="22"/>
          </w:tcPr>
          <w:p>
            <w:pPr>
              <w:spacing w:after="0" w:line="182" w:lineRule="exact"/>
              <w:rPr>
                <w:sz w:val="20"/>
                <w:szCs w:val="20"/>
                <w:color w:val="auto"/>
              </w:rPr>
            </w:pPr>
            <w:r>
              <w:rPr>
                <w:rFonts w:ascii="Arial" w:cs="Arial" w:eastAsia="Arial" w:hAnsi="Arial"/>
                <w:sz w:val="18"/>
                <w:szCs w:val="18"/>
                <w:color w:val="0000EE"/>
              </w:rPr>
              <w:t>Months Ended September 30, 2026 and 2025</w:t>
            </w:r>
          </w:p>
        </w:tc>
        <w:tc>
          <w:tcPr>
            <w:tcW w:w="260" w:type="dxa"/>
            <w:vAlign w:val="bottom"/>
            <w:gridSpan w:val="2"/>
          </w:tcPr>
          <w:p>
            <w:pPr>
              <w:spacing w:after="0"/>
              <w:rPr>
                <w:sz w:val="15"/>
                <w:szCs w:val="15"/>
                <w:color w:val="auto"/>
              </w:rPr>
            </w:pP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40" w:type="dxa"/>
            <w:vAlign w:val="bottom"/>
            <w:tcBorders>
              <w:top w:val="single" w:sz="8" w:color="0000EE"/>
            </w:tcBorders>
            <w:gridSpan w:val="13"/>
          </w:tcPr>
          <w:p>
            <w:pPr>
              <w:spacing w:after="0" w:line="182" w:lineRule="exact"/>
              <w:rPr>
                <w:sz w:val="20"/>
                <w:szCs w:val="20"/>
                <w:color w:val="auto"/>
              </w:rPr>
            </w:pPr>
            <w:r>
              <w:rPr>
                <w:rFonts w:ascii="Arial" w:cs="Arial" w:eastAsia="Arial" w:hAnsi="Arial"/>
                <w:sz w:val="18"/>
                <w:szCs w:val="18"/>
                <w:color w:val="0000EE"/>
                <w:w w:val="93"/>
              </w:rPr>
              <w:t>Unaudited Condensed Consolidated Statements</w:t>
            </w:r>
          </w:p>
        </w:tc>
        <w:tc>
          <w:tcPr>
            <w:tcW w:w="3780" w:type="dxa"/>
            <w:vAlign w:val="bottom"/>
            <w:gridSpan w:val="11"/>
          </w:tcPr>
          <w:p>
            <w:pPr>
              <w:ind w:left="260"/>
              <w:spacing w:after="0" w:line="182" w:lineRule="exact"/>
              <w:rPr>
                <w:sz w:val="20"/>
                <w:szCs w:val="20"/>
                <w:color w:val="auto"/>
              </w:rPr>
            </w:pPr>
            <w:r>
              <w:rPr>
                <w:rFonts w:ascii="Arial" w:cs="Arial" w:eastAsia="Arial" w:hAnsi="Arial"/>
                <w:sz w:val="18"/>
                <w:szCs w:val="18"/>
                <w:color w:val="0000EE"/>
              </w:rPr>
              <w:t>of Cash Flows – Nine Months Ended</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20" w:type="dxa"/>
            <w:vAlign w:val="bottom"/>
            <w:tcBorders>
              <w:top w:val="single" w:sz="8" w:color="0000EE"/>
            </w:tcBorders>
            <w:gridSpan w:val="19"/>
          </w:tcPr>
          <w:p>
            <w:pPr>
              <w:spacing w:after="0" w:line="182" w:lineRule="exact"/>
              <w:rPr>
                <w:sz w:val="20"/>
                <w:szCs w:val="20"/>
                <w:color w:val="auto"/>
              </w:rPr>
            </w:pPr>
            <w:r>
              <w:rPr>
                <w:rFonts w:ascii="Arial" w:cs="Arial" w:eastAsia="Arial" w:hAnsi="Arial"/>
                <w:sz w:val="18"/>
                <w:szCs w:val="18"/>
                <w:color w:val="0000EE"/>
              </w:rPr>
              <w:t>September 30, 2026 and 2025</w:t>
            </w:r>
          </w:p>
        </w:tc>
        <w:tc>
          <w:tcPr>
            <w:tcW w:w="260" w:type="dxa"/>
            <w:vAlign w:val="bottom"/>
            <w:gridSpan w:val="2"/>
          </w:tcPr>
          <w:p>
            <w:pPr>
              <w:spacing w:after="0"/>
              <w:rPr>
                <w:sz w:val="15"/>
                <w:szCs w:val="15"/>
                <w:color w:val="auto"/>
              </w:rPr>
            </w:pPr>
          </w:p>
        </w:tc>
        <w:tc>
          <w:tcPr>
            <w:tcW w:w="340" w:type="dxa"/>
            <w:vAlign w:val="bottom"/>
            <w:gridSpan w:val="3"/>
          </w:tcPr>
          <w:p>
            <w:pPr>
              <w:spacing w:after="0"/>
              <w:rPr>
                <w:sz w:val="15"/>
                <w:szCs w:val="15"/>
                <w:color w:val="auto"/>
              </w:rPr>
            </w:pP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20" w:type="dxa"/>
            <w:vAlign w:val="bottom"/>
            <w:tcBorders>
              <w:top w:val="single" w:sz="8" w:color="0000EE"/>
            </w:tcBorders>
            <w:gridSpan w:val="8"/>
          </w:tcPr>
          <w:p>
            <w:pPr>
              <w:spacing w:after="0" w:line="182" w:lineRule="exact"/>
              <w:rPr>
                <w:sz w:val="20"/>
                <w:szCs w:val="20"/>
                <w:color w:val="auto"/>
              </w:rPr>
            </w:pPr>
            <w:r>
              <w:rPr>
                <w:rFonts w:ascii="Arial" w:cs="Arial" w:eastAsia="Arial" w:hAnsi="Arial"/>
                <w:sz w:val="18"/>
                <w:szCs w:val="18"/>
                <w:color w:val="0000EE"/>
                <w:w w:val="95"/>
              </w:rPr>
              <w:t>Notes to Unaudited Condensed</w:t>
            </w:r>
          </w:p>
        </w:tc>
        <w:tc>
          <w:tcPr>
            <w:tcW w:w="120" w:type="dxa"/>
            <w:vAlign w:val="bottom"/>
            <w:gridSpan w:val="2"/>
          </w:tcPr>
          <w:p>
            <w:pPr>
              <w:spacing w:after="0"/>
              <w:rPr>
                <w:sz w:val="15"/>
                <w:szCs w:val="15"/>
                <w:color w:val="auto"/>
              </w:rPr>
            </w:pPr>
          </w:p>
        </w:tc>
        <w:tc>
          <w:tcPr>
            <w:tcW w:w="4880" w:type="dxa"/>
            <w:vAlign w:val="bottom"/>
            <w:gridSpan w:val="14"/>
          </w:tcPr>
          <w:p>
            <w:pPr>
              <w:ind w:left="20"/>
              <w:spacing w:after="0" w:line="182" w:lineRule="exact"/>
              <w:rPr>
                <w:sz w:val="20"/>
                <w:szCs w:val="20"/>
                <w:color w:val="auto"/>
              </w:rPr>
            </w:pPr>
            <w:r>
              <w:rPr>
                <w:rFonts w:ascii="Arial" w:cs="Arial" w:eastAsia="Arial" w:hAnsi="Arial"/>
                <w:sz w:val="18"/>
                <w:szCs w:val="18"/>
                <w:color w:val="0000EE"/>
              </w:rPr>
              <w:t>Consolidated Financial Statements</w:t>
            </w:r>
          </w:p>
        </w:tc>
        <w:tc>
          <w:tcPr>
            <w:tcW w:w="560" w:type="dxa"/>
            <w:vAlign w:val="bottom"/>
          </w:tcPr>
          <w:p>
            <w:pPr>
              <w:jc w:val="center"/>
              <w:spacing w:after="0" w:line="182" w:lineRule="exact"/>
              <w:rPr>
                <w:sz w:val="20"/>
                <w:szCs w:val="20"/>
                <w:color w:val="auto"/>
              </w:rPr>
            </w:pPr>
            <w:r>
              <w:rPr>
                <w:rFonts w:ascii="Arial" w:cs="Arial" w:eastAsia="Arial" w:hAnsi="Arial"/>
                <w:sz w:val="18"/>
                <w:szCs w:val="18"/>
                <w:color w:val="auto"/>
                <w:w w:val="99"/>
              </w:rPr>
              <w:t>10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20" w:type="dxa"/>
            <w:vAlign w:val="bottom"/>
            <w:gridSpan w:val="5"/>
          </w:tcPr>
          <w:p>
            <w:pPr>
              <w:spacing w:after="0" w:line="182" w:lineRule="exact"/>
              <w:rPr>
                <w:sz w:val="20"/>
                <w:szCs w:val="20"/>
                <w:color w:val="auto"/>
              </w:rPr>
            </w:pPr>
            <w:r>
              <w:rPr>
                <w:rFonts w:ascii="Arial" w:cs="Arial" w:eastAsia="Arial" w:hAnsi="Arial"/>
                <w:sz w:val="18"/>
                <w:szCs w:val="18"/>
                <w:color w:val="0000EE"/>
              </w:rPr>
              <w:t>Item 2</w:t>
            </w:r>
          </w:p>
        </w:tc>
        <w:tc>
          <w:tcPr>
            <w:tcW w:w="5340" w:type="dxa"/>
            <w:vAlign w:val="bottom"/>
            <w:tcBorders>
              <w:top w:val="single" w:sz="8" w:color="0000EE"/>
            </w:tcBorders>
            <w:gridSpan w:val="18"/>
          </w:tcPr>
          <w:p>
            <w:pPr>
              <w:spacing w:after="0" w:line="182" w:lineRule="exact"/>
              <w:rPr>
                <w:sz w:val="20"/>
                <w:szCs w:val="20"/>
                <w:color w:val="auto"/>
              </w:rPr>
            </w:pPr>
            <w:r>
              <w:rPr>
                <w:rFonts w:ascii="Arial" w:cs="Arial" w:eastAsia="Arial" w:hAnsi="Arial"/>
                <w:sz w:val="18"/>
                <w:szCs w:val="18"/>
                <w:color w:val="0000EE"/>
              </w:rPr>
              <w:t>Management’s Discussion and Analysis of Financial Condition and</w:t>
            </w:r>
          </w:p>
        </w:tc>
        <w:tc>
          <w:tcPr>
            <w:tcW w:w="2080" w:type="dxa"/>
            <w:vAlign w:val="bottom"/>
            <w:gridSpan w:val="6"/>
          </w:tcPr>
          <w:p>
            <w:pPr>
              <w:spacing w:after="0" w:line="182" w:lineRule="exact"/>
              <w:rPr>
                <w:sz w:val="20"/>
                <w:szCs w:val="20"/>
                <w:color w:val="auto"/>
              </w:rPr>
            </w:pPr>
            <w:r>
              <w:rPr>
                <w:rFonts w:ascii="Arial" w:cs="Arial" w:eastAsia="Arial" w:hAnsi="Arial"/>
                <w:sz w:val="18"/>
                <w:szCs w:val="18"/>
                <w:color w:val="0000EE"/>
              </w:rPr>
              <w:t>Results of Operations</w:t>
            </w:r>
          </w:p>
        </w:tc>
        <w:tc>
          <w:tcPr>
            <w:tcW w:w="560" w:type="dxa"/>
            <w:vAlign w:val="bottom"/>
          </w:tcPr>
          <w:p>
            <w:pPr>
              <w:jc w:val="center"/>
              <w:spacing w:after="0" w:line="182" w:lineRule="exact"/>
              <w:rPr>
                <w:sz w:val="20"/>
                <w:szCs w:val="20"/>
                <w:color w:val="auto"/>
              </w:rPr>
            </w:pPr>
            <w:r>
              <w:rPr>
                <w:rFonts w:ascii="Arial" w:cs="Arial" w:eastAsia="Arial" w:hAnsi="Arial"/>
                <w:sz w:val="18"/>
                <w:szCs w:val="18"/>
                <w:color w:val="auto"/>
                <w:w w:val="99"/>
              </w:rPr>
              <w:t>35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Borders>
              <w:top w:val="single" w:sz="8" w:color="0000EE"/>
            </w:tcBorders>
          </w:tcPr>
          <w:p>
            <w:pPr>
              <w:spacing w:after="0" w:line="182" w:lineRule="exact"/>
              <w:rPr>
                <w:sz w:val="20"/>
                <w:szCs w:val="20"/>
                <w:color w:val="auto"/>
              </w:rPr>
            </w:pPr>
            <w:r>
              <w:rPr>
                <w:rFonts w:ascii="Arial" w:cs="Arial" w:eastAsia="Arial" w:hAnsi="Arial"/>
                <w:sz w:val="18"/>
                <w:szCs w:val="18"/>
                <w:color w:val="0000EE"/>
                <w:w w:val="95"/>
              </w:rPr>
              <w:t>Item 3</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80" w:type="dxa"/>
            <w:vAlign w:val="bottom"/>
            <w:tcBorders>
              <w:top w:val="single" w:sz="8" w:color="0000EE"/>
            </w:tcBorders>
            <w:gridSpan w:val="21"/>
          </w:tcPr>
          <w:p>
            <w:pPr>
              <w:spacing w:after="0" w:line="182" w:lineRule="exact"/>
              <w:rPr>
                <w:sz w:val="20"/>
                <w:szCs w:val="20"/>
                <w:color w:val="auto"/>
              </w:rPr>
            </w:pPr>
            <w:r>
              <w:rPr>
                <w:rFonts w:ascii="Arial" w:cs="Arial" w:eastAsia="Arial" w:hAnsi="Arial"/>
                <w:sz w:val="18"/>
                <w:szCs w:val="18"/>
                <w:color w:val="0000EE"/>
              </w:rPr>
              <w:t>Quantitative and Qualitative Disclosures About Market Risk</w:t>
            </w:r>
          </w:p>
        </w:tc>
        <w:tc>
          <w:tcPr>
            <w:tcW w:w="340" w:type="dxa"/>
            <w:vAlign w:val="bottom"/>
            <w:gridSpan w:val="3"/>
          </w:tcPr>
          <w:p>
            <w:pPr>
              <w:spacing w:after="0"/>
              <w:rPr>
                <w:sz w:val="15"/>
                <w:szCs w:val="15"/>
                <w:color w:val="auto"/>
              </w:rPr>
            </w:pPr>
          </w:p>
        </w:tc>
        <w:tc>
          <w:tcPr>
            <w:tcW w:w="560" w:type="dxa"/>
            <w:vAlign w:val="bottom"/>
          </w:tcPr>
          <w:p>
            <w:pPr>
              <w:jc w:val="center"/>
              <w:spacing w:after="0" w:line="182" w:lineRule="exact"/>
              <w:rPr>
                <w:sz w:val="20"/>
                <w:szCs w:val="20"/>
                <w:color w:val="auto"/>
              </w:rPr>
            </w:pPr>
            <w:r>
              <w:rPr>
                <w:rFonts w:ascii="Arial" w:cs="Arial" w:eastAsia="Arial" w:hAnsi="Arial"/>
                <w:sz w:val="18"/>
                <w:szCs w:val="18"/>
                <w:color w:val="auto"/>
                <w:w w:val="99"/>
              </w:rPr>
              <w:t>64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Borders>
              <w:top w:val="single" w:sz="8" w:color="0000EE"/>
            </w:tcBorders>
          </w:tcPr>
          <w:p>
            <w:pPr>
              <w:spacing w:after="0" w:line="182" w:lineRule="exact"/>
              <w:rPr>
                <w:sz w:val="20"/>
                <w:szCs w:val="20"/>
                <w:color w:val="auto"/>
              </w:rPr>
            </w:pPr>
            <w:r>
              <w:rPr>
                <w:rFonts w:ascii="Arial" w:cs="Arial" w:eastAsia="Arial" w:hAnsi="Arial"/>
                <w:sz w:val="18"/>
                <w:szCs w:val="18"/>
                <w:color w:val="0000EE"/>
                <w:w w:val="95"/>
              </w:rPr>
              <w:t>Item 4</w:t>
            </w:r>
          </w:p>
        </w:tc>
        <w:tc>
          <w:tcPr>
            <w:tcW w:w="20" w:type="dxa"/>
            <w:vAlign w:val="bottom"/>
            <w:tcBorders>
              <w:top w:val="single" w:sz="8" w:color="0000EE"/>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700" w:type="dxa"/>
            <w:vAlign w:val="bottom"/>
            <w:tcBorders>
              <w:top w:val="single" w:sz="8" w:color="0000EE"/>
            </w:tcBorders>
            <w:gridSpan w:val="15"/>
          </w:tcPr>
          <w:p>
            <w:pPr>
              <w:spacing w:after="0" w:line="182" w:lineRule="exact"/>
              <w:rPr>
                <w:sz w:val="20"/>
                <w:szCs w:val="20"/>
                <w:color w:val="auto"/>
              </w:rPr>
            </w:pPr>
            <w:r>
              <w:rPr>
                <w:rFonts w:ascii="Arial" w:cs="Arial" w:eastAsia="Arial" w:hAnsi="Arial"/>
                <w:sz w:val="18"/>
                <w:szCs w:val="18"/>
                <w:color w:val="0000EE"/>
              </w:rPr>
              <w:t>Controls and Procedures</w:t>
            </w:r>
          </w:p>
        </w:tc>
        <w:tc>
          <w:tcPr>
            <w:tcW w:w="140" w:type="dxa"/>
            <w:vAlign w:val="bottom"/>
            <w:gridSpan w:val="2"/>
          </w:tcPr>
          <w:p>
            <w:pPr>
              <w:spacing w:after="0"/>
              <w:rPr>
                <w:sz w:val="15"/>
                <w:szCs w:val="15"/>
                <w:color w:val="auto"/>
              </w:rPr>
            </w:pPr>
          </w:p>
        </w:tc>
        <w:tc>
          <w:tcPr>
            <w:tcW w:w="2580" w:type="dxa"/>
            <w:vAlign w:val="bottom"/>
            <w:gridSpan w:val="7"/>
          </w:tcPr>
          <w:p>
            <w:pPr>
              <w:spacing w:after="0"/>
              <w:rPr>
                <w:sz w:val="15"/>
                <w:szCs w:val="15"/>
                <w:color w:val="auto"/>
              </w:rPr>
            </w:pPr>
          </w:p>
        </w:tc>
        <w:tc>
          <w:tcPr>
            <w:tcW w:w="560" w:type="dxa"/>
            <w:vAlign w:val="bottom"/>
          </w:tcPr>
          <w:p>
            <w:pPr>
              <w:jc w:val="center"/>
              <w:spacing w:after="0" w:line="182" w:lineRule="exact"/>
              <w:rPr>
                <w:sz w:val="20"/>
                <w:szCs w:val="20"/>
                <w:color w:val="auto"/>
              </w:rPr>
            </w:pPr>
            <w:r>
              <w:rPr>
                <w:rFonts w:ascii="Arial" w:cs="Arial" w:eastAsia="Arial" w:hAnsi="Arial"/>
                <w:sz w:val="18"/>
                <w:szCs w:val="18"/>
                <w:color w:val="auto"/>
                <w:w w:val="99"/>
              </w:rPr>
              <w:t>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58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80" w:type="dxa"/>
            <w:vAlign w:val="bottom"/>
            <w:tcBorders>
              <w:bottom w:val="single" w:sz="8" w:color="0000EE"/>
            </w:tcBorders>
            <w:gridSpan w:val="8"/>
          </w:tcPr>
          <w:p>
            <w:pPr>
              <w:jc w:val="center"/>
              <w:spacing w:after="0"/>
              <w:rPr>
                <w:sz w:val="20"/>
                <w:szCs w:val="20"/>
                <w:color w:val="auto"/>
              </w:rPr>
            </w:pPr>
            <w:r>
              <w:rPr>
                <w:rFonts w:ascii="Arial" w:cs="Arial" w:eastAsia="Arial" w:hAnsi="Arial"/>
                <w:sz w:val="18"/>
                <w:szCs w:val="18"/>
                <w:b w:val="1"/>
                <w:bCs w:val="1"/>
                <w:color w:val="0000EE"/>
                <w:w w:val="99"/>
              </w:rPr>
              <w:t>PART II. OTHER INFORMATION</w:t>
            </w:r>
          </w:p>
        </w:tc>
        <w:tc>
          <w:tcPr>
            <w:tcW w:w="2840" w:type="dxa"/>
            <w:vAlign w:val="bottom"/>
            <w:gridSpan w:val="10"/>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520" w:type="dxa"/>
            <w:vAlign w:val="bottom"/>
            <w:gridSpan w:val="2"/>
          </w:tcPr>
          <w:p>
            <w:pPr>
              <w:spacing w:after="0"/>
              <w:rPr>
                <w:sz w:val="20"/>
                <w:szCs w:val="20"/>
                <w:color w:val="auto"/>
              </w:rPr>
            </w:pPr>
            <w:r>
              <w:rPr>
                <w:rFonts w:ascii="Arial" w:cs="Arial" w:eastAsia="Arial" w:hAnsi="Arial"/>
                <w:sz w:val="18"/>
                <w:szCs w:val="18"/>
                <w:color w:val="0000EE"/>
                <w:w w:val="99"/>
              </w:rPr>
              <w:t>Item 1</w:t>
            </w:r>
          </w:p>
        </w:tc>
        <w:tc>
          <w:tcPr>
            <w:tcW w:w="400" w:type="dxa"/>
            <w:vAlign w:val="bottom"/>
            <w:gridSpan w:val="3"/>
          </w:tcPr>
          <w:p>
            <w:pPr>
              <w:spacing w:after="0"/>
              <w:rPr>
                <w:sz w:val="24"/>
                <w:szCs w:val="24"/>
                <w:color w:val="auto"/>
              </w:rPr>
            </w:pPr>
          </w:p>
        </w:tc>
        <w:tc>
          <w:tcPr>
            <w:tcW w:w="7420" w:type="dxa"/>
            <w:vAlign w:val="bottom"/>
            <w:gridSpan w:val="24"/>
          </w:tcPr>
          <w:p>
            <w:pPr>
              <w:spacing w:after="0"/>
              <w:rPr>
                <w:sz w:val="20"/>
                <w:szCs w:val="20"/>
                <w:color w:val="auto"/>
              </w:rPr>
            </w:pPr>
            <w:r>
              <w:rPr>
                <w:rFonts w:ascii="Arial" w:cs="Arial" w:eastAsia="Arial" w:hAnsi="Arial"/>
                <w:sz w:val="18"/>
                <w:szCs w:val="18"/>
                <w:color w:val="0000EE"/>
              </w:rPr>
              <w:t>Legal Proceedings</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gridSpan w:val="3"/>
            <w:vMerge w:val="restart"/>
          </w:tcPr>
          <w:p>
            <w:pPr>
              <w:spacing w:after="0" w:line="20" w:lineRule="exact"/>
              <w:rPr>
                <w:sz w:val="1"/>
                <w:szCs w:val="1"/>
                <w:color w:val="auto"/>
              </w:rPr>
            </w:pPr>
          </w:p>
        </w:tc>
        <w:tc>
          <w:tcPr>
            <w:tcW w:w="560" w:type="dxa"/>
            <w:vAlign w:val="bottom"/>
            <w:gridSpan w:val="3"/>
            <w:vMerge w:val="restart"/>
          </w:tcPr>
          <w:p>
            <w:pPr>
              <w:spacing w:after="0" w:line="20" w:lineRule="exact"/>
              <w:rPr>
                <w:sz w:val="1"/>
                <w:szCs w:val="1"/>
                <w:color w:val="auto"/>
              </w:rPr>
            </w:pPr>
          </w:p>
        </w:tc>
        <w:tc>
          <w:tcPr>
            <w:tcW w:w="2300" w:type="dxa"/>
            <w:vAlign w:val="bottom"/>
            <w:gridSpan w:val="7"/>
            <w:vMerge w:val="restart"/>
          </w:tcPr>
          <w:p>
            <w:pPr>
              <w:spacing w:after="0" w:line="20" w:lineRule="exact"/>
              <w:rPr>
                <w:sz w:val="1"/>
                <w:szCs w:val="1"/>
                <w:color w:val="auto"/>
              </w:rPr>
            </w:pPr>
          </w:p>
        </w:tc>
        <w:tc>
          <w:tcPr>
            <w:tcW w:w="2580" w:type="dxa"/>
            <w:vAlign w:val="bottom"/>
            <w:gridSpan w:val="7"/>
            <w:vMerge w:val="restart"/>
          </w:tcPr>
          <w:p>
            <w:pPr>
              <w:spacing w:after="0" w:line="20" w:lineRule="exact"/>
              <w:rPr>
                <w:sz w:val="1"/>
                <w:szCs w:val="1"/>
                <w:color w:val="auto"/>
              </w:rPr>
            </w:pPr>
          </w:p>
        </w:tc>
        <w:tc>
          <w:tcPr>
            <w:tcW w:w="56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9"/>
              </w:rPr>
              <w:t>65</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920" w:type="dxa"/>
            <w:vAlign w:val="bottom"/>
            <w:gridSpan w:val="5"/>
          </w:tcPr>
          <w:p>
            <w:pPr>
              <w:spacing w:after="0" w:line="182" w:lineRule="exact"/>
              <w:rPr>
                <w:sz w:val="20"/>
                <w:szCs w:val="20"/>
                <w:color w:val="auto"/>
              </w:rPr>
            </w:pPr>
            <w:r>
              <w:rPr>
                <w:rFonts w:ascii="Arial" w:cs="Arial" w:eastAsia="Arial" w:hAnsi="Arial"/>
                <w:sz w:val="18"/>
                <w:szCs w:val="18"/>
                <w:color w:val="0000EE"/>
              </w:rPr>
              <w:t>Item 1A</w:t>
            </w:r>
          </w:p>
        </w:tc>
        <w:tc>
          <w:tcPr>
            <w:tcW w:w="1480" w:type="dxa"/>
            <w:vAlign w:val="bottom"/>
            <w:gridSpan w:val="4"/>
          </w:tcPr>
          <w:p>
            <w:pPr>
              <w:spacing w:after="0" w:line="182" w:lineRule="exact"/>
              <w:rPr>
                <w:sz w:val="20"/>
                <w:szCs w:val="20"/>
                <w:color w:val="auto"/>
              </w:rPr>
            </w:pPr>
            <w:r>
              <w:rPr>
                <w:rFonts w:ascii="Arial" w:cs="Arial" w:eastAsia="Arial" w:hAnsi="Arial"/>
                <w:sz w:val="18"/>
                <w:szCs w:val="18"/>
                <w:color w:val="0000EE"/>
              </w:rPr>
              <w:t>Risk Factors</w:t>
            </w:r>
          </w:p>
        </w:tc>
        <w:tc>
          <w:tcPr>
            <w:tcW w:w="500" w:type="dxa"/>
            <w:vAlign w:val="bottom"/>
            <w:gridSpan w:val="3"/>
            <w:vMerge w:val="continue"/>
          </w:tcPr>
          <w:p>
            <w:pPr>
              <w:spacing w:after="0"/>
              <w:rPr>
                <w:sz w:val="15"/>
                <w:szCs w:val="15"/>
                <w:color w:val="auto"/>
              </w:rPr>
            </w:pPr>
          </w:p>
        </w:tc>
        <w:tc>
          <w:tcPr>
            <w:tcW w:w="560" w:type="dxa"/>
            <w:vAlign w:val="bottom"/>
            <w:gridSpan w:val="3"/>
            <w:vMerge w:val="continue"/>
          </w:tcPr>
          <w:p>
            <w:pPr>
              <w:spacing w:after="0"/>
              <w:rPr>
                <w:sz w:val="15"/>
                <w:szCs w:val="15"/>
                <w:color w:val="auto"/>
              </w:rPr>
            </w:pPr>
          </w:p>
        </w:tc>
        <w:tc>
          <w:tcPr>
            <w:tcW w:w="2300" w:type="dxa"/>
            <w:vAlign w:val="bottom"/>
            <w:gridSpan w:val="7"/>
            <w:vMerge w:val="continue"/>
          </w:tcPr>
          <w:p>
            <w:pPr>
              <w:spacing w:after="0"/>
              <w:rPr>
                <w:sz w:val="15"/>
                <w:szCs w:val="15"/>
                <w:color w:val="auto"/>
              </w:rPr>
            </w:pPr>
          </w:p>
        </w:tc>
        <w:tc>
          <w:tcPr>
            <w:tcW w:w="2580" w:type="dxa"/>
            <w:vAlign w:val="bottom"/>
            <w:gridSpan w:val="7"/>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20" w:type="dxa"/>
            <w:vAlign w:val="bottom"/>
            <w:tcBorders>
              <w:top w:val="single" w:sz="8" w:color="0000EE"/>
            </w:tcBorders>
            <w:gridSpan w:val="3"/>
          </w:tcPr>
          <w:p>
            <w:pPr>
              <w:spacing w:after="0" w:line="182" w:lineRule="exact"/>
              <w:rPr>
                <w:sz w:val="20"/>
                <w:szCs w:val="20"/>
                <w:color w:val="auto"/>
              </w:rPr>
            </w:pPr>
            <w:r>
              <w:rPr>
                <w:rFonts w:ascii="Arial" w:cs="Arial" w:eastAsia="Arial" w:hAnsi="Arial"/>
                <w:sz w:val="18"/>
                <w:szCs w:val="18"/>
                <w:color w:val="0000EE"/>
              </w:rPr>
              <w:t>Item 2</w:t>
            </w: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Borders>
              <w:top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5"/>
              </w:rPr>
              <w:t>Unregistered</w:t>
            </w:r>
          </w:p>
        </w:tc>
        <w:tc>
          <w:tcPr>
            <w:tcW w:w="6420" w:type="dxa"/>
            <w:vAlign w:val="bottom"/>
            <w:gridSpan w:val="22"/>
          </w:tcPr>
          <w:p>
            <w:pPr>
              <w:ind w:left="80"/>
              <w:spacing w:after="0" w:line="182" w:lineRule="exact"/>
              <w:rPr>
                <w:sz w:val="20"/>
                <w:szCs w:val="20"/>
                <w:color w:val="auto"/>
              </w:rPr>
            </w:pPr>
            <w:r>
              <w:rPr>
                <w:rFonts w:ascii="Arial" w:cs="Arial" w:eastAsia="Arial" w:hAnsi="Arial"/>
                <w:sz w:val="18"/>
                <w:szCs w:val="18"/>
                <w:color w:val="0000EE"/>
              </w:rPr>
              <w:t>Sales of Equity Securities and Use of Proceeds</w:t>
            </w:r>
          </w:p>
        </w:tc>
        <w:tc>
          <w:tcPr>
            <w:tcW w:w="560" w:type="dxa"/>
            <w:vAlign w:val="bottom"/>
          </w:tcPr>
          <w:p>
            <w:pPr>
              <w:jc w:val="center"/>
              <w:spacing w:after="0" w:line="182" w:lineRule="exact"/>
              <w:rPr>
                <w:sz w:val="20"/>
                <w:szCs w:val="20"/>
                <w:color w:val="auto"/>
              </w:rPr>
            </w:pPr>
            <w:r>
              <w:rPr>
                <w:rFonts w:ascii="Arial" w:cs="Arial" w:eastAsia="Arial" w:hAnsi="Arial"/>
                <w:sz w:val="18"/>
                <w:szCs w:val="18"/>
                <w:color w:val="auto"/>
                <w:w w:val="99"/>
              </w:rPr>
              <w:t>68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0" w:type="dxa"/>
            <w:vAlign w:val="bottom"/>
            <w:tcBorders>
              <w:top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9"/>
              </w:rPr>
              <w:t>Item 3</w:t>
            </w:r>
          </w:p>
        </w:tc>
        <w:tc>
          <w:tcPr>
            <w:tcW w:w="34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4840" w:type="dxa"/>
            <w:vAlign w:val="bottom"/>
            <w:tcBorders>
              <w:top w:val="single" w:sz="8" w:color="0000EE"/>
            </w:tcBorders>
            <w:gridSpan w:val="17"/>
          </w:tcPr>
          <w:p>
            <w:pPr>
              <w:spacing w:after="0" w:line="182" w:lineRule="exact"/>
              <w:rPr>
                <w:sz w:val="20"/>
                <w:szCs w:val="20"/>
                <w:color w:val="auto"/>
              </w:rPr>
            </w:pPr>
            <w:r>
              <w:rPr>
                <w:rFonts w:ascii="Arial" w:cs="Arial" w:eastAsia="Arial" w:hAnsi="Arial"/>
                <w:sz w:val="18"/>
                <w:szCs w:val="18"/>
                <w:color w:val="0000EE"/>
              </w:rPr>
              <w:t>Defaults Upon Senior Securities</w:t>
            </w:r>
          </w:p>
        </w:tc>
        <w:tc>
          <w:tcPr>
            <w:tcW w:w="2580" w:type="dxa"/>
            <w:vAlign w:val="bottom"/>
            <w:gridSpan w:val="7"/>
          </w:tcPr>
          <w:p>
            <w:pPr>
              <w:spacing w:after="0"/>
              <w:rPr>
                <w:sz w:val="15"/>
                <w:szCs w:val="15"/>
                <w:color w:val="auto"/>
              </w:rPr>
            </w:pPr>
          </w:p>
        </w:tc>
        <w:tc>
          <w:tcPr>
            <w:tcW w:w="560" w:type="dxa"/>
            <w:vAlign w:val="bottom"/>
          </w:tcPr>
          <w:p>
            <w:pPr>
              <w:jc w:val="center"/>
              <w:spacing w:after="0" w:line="182" w:lineRule="exact"/>
              <w:rPr>
                <w:sz w:val="20"/>
                <w:szCs w:val="20"/>
                <w:color w:val="auto"/>
              </w:rPr>
            </w:pPr>
            <w:r>
              <w:rPr>
                <w:rFonts w:ascii="Arial" w:cs="Arial" w:eastAsia="Arial" w:hAnsi="Arial"/>
                <w:sz w:val="18"/>
                <w:szCs w:val="18"/>
                <w:color w:val="auto"/>
                <w:w w:val="99"/>
              </w:rPr>
              <w:t>69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20" w:type="dxa"/>
            <w:vAlign w:val="bottom"/>
            <w:tcBorders>
              <w:top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9"/>
              </w:rPr>
              <w:t>Item 4</w:t>
            </w:r>
          </w:p>
        </w:tc>
        <w:tc>
          <w:tcPr>
            <w:tcW w:w="34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2540" w:type="dxa"/>
            <w:vAlign w:val="bottom"/>
            <w:tcBorders>
              <w:top w:val="single" w:sz="8" w:color="0000EE"/>
            </w:tcBorders>
            <w:gridSpan w:val="10"/>
          </w:tcPr>
          <w:p>
            <w:pPr>
              <w:spacing w:after="0" w:line="182" w:lineRule="exact"/>
              <w:rPr>
                <w:sz w:val="20"/>
                <w:szCs w:val="20"/>
                <w:color w:val="auto"/>
              </w:rPr>
            </w:pPr>
            <w:r>
              <w:rPr>
                <w:rFonts w:ascii="Arial" w:cs="Arial" w:eastAsia="Arial" w:hAnsi="Arial"/>
                <w:sz w:val="18"/>
                <w:szCs w:val="18"/>
                <w:color w:val="0000EE"/>
              </w:rPr>
              <w:t>Mine Safety Disclosures</w:t>
            </w:r>
          </w:p>
        </w:tc>
        <w:tc>
          <w:tcPr>
            <w:tcW w:w="4880" w:type="dxa"/>
            <w:vAlign w:val="bottom"/>
            <w:gridSpan w:val="14"/>
          </w:tcPr>
          <w:p>
            <w:pPr>
              <w:spacing w:after="0"/>
              <w:rPr>
                <w:sz w:val="15"/>
                <w:szCs w:val="15"/>
                <w:color w:val="auto"/>
              </w:rPr>
            </w:pPr>
          </w:p>
        </w:tc>
        <w:tc>
          <w:tcPr>
            <w:tcW w:w="560" w:type="dxa"/>
            <w:vAlign w:val="bottom"/>
          </w:tcPr>
          <w:p>
            <w:pPr>
              <w:jc w:val="center"/>
              <w:spacing w:after="0" w:line="182" w:lineRule="exact"/>
              <w:rPr>
                <w:sz w:val="20"/>
                <w:szCs w:val="20"/>
                <w:color w:val="auto"/>
              </w:rPr>
            </w:pPr>
            <w:r>
              <w:rPr>
                <w:rFonts w:ascii="Arial" w:cs="Arial" w:eastAsia="Arial" w:hAnsi="Arial"/>
                <w:sz w:val="18"/>
                <w:szCs w:val="18"/>
                <w:color w:val="auto"/>
                <w:w w:val="99"/>
              </w:rPr>
              <w:t>69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0" w:type="dxa"/>
            <w:vAlign w:val="bottom"/>
            <w:tcBorders>
              <w:top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9"/>
              </w:rPr>
              <w:t>Item 5</w:t>
            </w:r>
          </w:p>
        </w:tc>
        <w:tc>
          <w:tcPr>
            <w:tcW w:w="34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1980" w:type="dxa"/>
            <w:vAlign w:val="bottom"/>
            <w:tcBorders>
              <w:top w:val="single" w:sz="8" w:color="0000EE"/>
            </w:tcBorders>
            <w:gridSpan w:val="7"/>
          </w:tcPr>
          <w:p>
            <w:pPr>
              <w:spacing w:after="0" w:line="182" w:lineRule="exact"/>
              <w:rPr>
                <w:sz w:val="20"/>
                <w:szCs w:val="20"/>
                <w:color w:val="auto"/>
              </w:rPr>
            </w:pPr>
            <w:r>
              <w:rPr>
                <w:rFonts w:ascii="Arial" w:cs="Arial" w:eastAsia="Arial" w:hAnsi="Arial"/>
                <w:sz w:val="18"/>
                <w:szCs w:val="18"/>
                <w:color w:val="0000EE"/>
              </w:rPr>
              <w:t>Other Information</w:t>
            </w:r>
          </w:p>
        </w:tc>
        <w:tc>
          <w:tcPr>
            <w:tcW w:w="5440" w:type="dxa"/>
            <w:vAlign w:val="bottom"/>
            <w:gridSpan w:val="17"/>
          </w:tcPr>
          <w:p>
            <w:pPr>
              <w:spacing w:after="0"/>
              <w:rPr>
                <w:sz w:val="15"/>
                <w:szCs w:val="15"/>
                <w:color w:val="auto"/>
              </w:rPr>
            </w:pPr>
          </w:p>
        </w:tc>
        <w:tc>
          <w:tcPr>
            <w:tcW w:w="560" w:type="dxa"/>
            <w:vAlign w:val="bottom"/>
          </w:tcPr>
          <w:p>
            <w:pPr>
              <w:jc w:val="center"/>
              <w:spacing w:after="0" w:line="182" w:lineRule="exact"/>
              <w:rPr>
                <w:sz w:val="20"/>
                <w:szCs w:val="20"/>
                <w:color w:val="auto"/>
              </w:rPr>
            </w:pPr>
            <w:r>
              <w:rPr>
                <w:rFonts w:ascii="Arial" w:cs="Arial" w:eastAsia="Arial" w:hAnsi="Arial"/>
                <w:sz w:val="18"/>
                <w:szCs w:val="18"/>
                <w:color w:val="auto"/>
                <w:w w:val="99"/>
              </w:rPr>
              <w:t>69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0" w:type="dxa"/>
            <w:vAlign w:val="bottom"/>
            <w:tcBorders>
              <w:top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9"/>
              </w:rPr>
              <w:t>Item 6</w:t>
            </w:r>
          </w:p>
        </w:tc>
        <w:tc>
          <w:tcPr>
            <w:tcW w:w="34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1400" w:type="dxa"/>
            <w:vAlign w:val="bottom"/>
            <w:tcBorders>
              <w:top w:val="single" w:sz="8" w:color="0000EE"/>
            </w:tcBorders>
            <w:gridSpan w:val="3"/>
          </w:tcPr>
          <w:p>
            <w:pPr>
              <w:spacing w:after="0" w:line="182" w:lineRule="exact"/>
              <w:rPr>
                <w:sz w:val="20"/>
                <w:szCs w:val="20"/>
                <w:color w:val="auto"/>
              </w:rPr>
            </w:pPr>
            <w:r>
              <w:rPr>
                <w:rFonts w:ascii="Arial" w:cs="Arial" w:eastAsia="Arial" w:hAnsi="Arial"/>
                <w:sz w:val="18"/>
                <w:szCs w:val="18"/>
                <w:color w:val="0000EE"/>
              </w:rPr>
              <w:t>Exhibits</w:t>
            </w:r>
          </w:p>
        </w:tc>
        <w:tc>
          <w:tcPr>
            <w:tcW w:w="6020" w:type="dxa"/>
            <w:vAlign w:val="bottom"/>
            <w:gridSpan w:val="21"/>
          </w:tcPr>
          <w:p>
            <w:pPr>
              <w:spacing w:after="0"/>
              <w:rPr>
                <w:sz w:val="15"/>
                <w:szCs w:val="15"/>
                <w:color w:val="auto"/>
              </w:rPr>
            </w:pPr>
          </w:p>
        </w:tc>
        <w:tc>
          <w:tcPr>
            <w:tcW w:w="560" w:type="dxa"/>
            <w:vAlign w:val="bottom"/>
          </w:tcPr>
          <w:p>
            <w:pPr>
              <w:jc w:val="center"/>
              <w:spacing w:after="0" w:line="182" w:lineRule="exact"/>
              <w:rPr>
                <w:sz w:val="20"/>
                <w:szCs w:val="20"/>
                <w:color w:val="auto"/>
              </w:rPr>
            </w:pPr>
            <w:r>
              <w:rPr>
                <w:rFonts w:ascii="Arial" w:cs="Arial" w:eastAsia="Arial" w:hAnsi="Arial"/>
                <w:sz w:val="18"/>
                <w:szCs w:val="18"/>
                <w:color w:val="auto"/>
                <w:w w:val="99"/>
              </w:rPr>
              <w:t>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Arial" w:cs="Arial" w:eastAsia="Arial" w:hAnsi="Arial"/>
                <w:sz w:val="18"/>
                <w:szCs w:val="18"/>
                <w:color w:val="0000EE"/>
              </w:rPr>
              <w:t>Signatures</w:t>
            </w: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72</w:t>
            </w:r>
          </w:p>
        </w:tc>
        <w:tc>
          <w:tcPr>
            <w:tcW w:w="0" w:type="dxa"/>
            <w:vAlign w:val="bottom"/>
          </w:tcPr>
          <w:p>
            <w:pPr>
              <w:spacing w:after="0"/>
              <w:rPr>
                <w:sz w:val="1"/>
                <w:szCs w:val="1"/>
                <w:color w:val="auto"/>
              </w:rPr>
            </w:pPr>
          </w:p>
        </w:tc>
      </w:tr>
      <w:tr>
        <w:trPr>
          <w:trHeight w:val="1188"/>
        </w:trPr>
        <w:tc>
          <w:tcPr>
            <w:tcW w:w="20" w:type="dxa"/>
            <w:vAlign w:val="bottom"/>
            <w:tcBorders>
              <w:bottom w:val="single" w:sz="8" w:color="auto"/>
            </w:tcBorders>
          </w:tcPr>
          <w:p>
            <w:pPr>
              <w:spacing w:after="0"/>
              <w:rPr>
                <w:sz w:val="24"/>
                <w:szCs w:val="24"/>
                <w:color w:val="auto"/>
              </w:rPr>
            </w:pPr>
          </w:p>
        </w:tc>
        <w:tc>
          <w:tcPr>
            <w:tcW w:w="50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2" w:right="1440"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BASIS OF PRESENTATION</w:t>
      </w:r>
    </w:p>
    <w:p>
      <w:pPr>
        <w:spacing w:after="0" w:line="185" w:lineRule="exact"/>
        <w:rPr>
          <w:sz w:val="20"/>
          <w:szCs w:val="20"/>
          <w:color w:val="auto"/>
        </w:rPr>
      </w:pPr>
    </w:p>
    <w:p>
      <w:pPr>
        <w:ind w:left="60" w:right="59" w:firstLine="648"/>
        <w:spacing w:after="0" w:line="271" w:lineRule="auto"/>
        <w:rPr>
          <w:sz w:val="20"/>
          <w:szCs w:val="20"/>
          <w:color w:val="auto"/>
        </w:rPr>
      </w:pPr>
      <w:r>
        <w:rPr>
          <w:rFonts w:ascii="Arial" w:cs="Arial" w:eastAsia="Arial" w:hAnsi="Arial"/>
          <w:sz w:val="18"/>
          <w:szCs w:val="18"/>
          <w:color w:val="auto"/>
        </w:rPr>
        <w:t>As used in this Quarterly Report on Form 10-Q (this “Form 10-Q”), unless the context otherwise requires, references to:</w:t>
      </w:r>
    </w:p>
    <w:p>
      <w:pPr>
        <w:spacing w:after="0" w:line="113" w:lineRule="exact"/>
        <w:rPr>
          <w:sz w:val="20"/>
          <w:szCs w:val="20"/>
          <w:color w:val="auto"/>
        </w:rPr>
      </w:pPr>
    </w:p>
    <w:p>
      <w:pPr>
        <w:jc w:val="both"/>
        <w:ind w:left="1380" w:right="79" w:hanging="331"/>
        <w:spacing w:after="0" w:line="246" w:lineRule="auto"/>
        <w:tabs>
          <w:tab w:leader="none" w:pos="1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“we,” “us,” “our,” “CWH,” the “Company,” “Camping World” and similar references refer to Camping World Holdings, Inc., and, unless referenced as “CWH” or otherwise stated, all of its subsidiaries, including CWGS Enterprises, LLC, which we refer to as “CWGS, LLC” and, unless otherwise stated, all of its subsidiaries.</w:t>
      </w:r>
    </w:p>
    <w:p>
      <w:pPr>
        <w:spacing w:after="0" w:line="136" w:lineRule="exact"/>
        <w:rPr>
          <w:rFonts w:ascii="Times New Roman" w:cs="Times New Roman" w:eastAsia="Times New Roman" w:hAnsi="Times New Roman"/>
          <w:sz w:val="18"/>
          <w:szCs w:val="18"/>
          <w:color w:val="auto"/>
        </w:rPr>
      </w:pPr>
    </w:p>
    <w:p>
      <w:pPr>
        <w:jc w:val="both"/>
        <w:ind w:left="1380" w:right="79" w:hanging="331"/>
        <w:spacing w:after="0" w:line="246" w:lineRule="auto"/>
        <w:tabs>
          <w:tab w:leader="none" w:pos="1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“Active Customer” refers to a customer who has transacted with us in any of the eight most recently completed fiscal quarters prior to the date of measurement. Unless otherwise indicated, the date of measurement is September 30, 2026, our most recently completed fiscal quarter.</w:t>
      </w:r>
    </w:p>
    <w:p>
      <w:pPr>
        <w:spacing w:after="0" w:line="149" w:lineRule="exact"/>
        <w:rPr>
          <w:rFonts w:ascii="Times New Roman" w:cs="Times New Roman" w:eastAsia="Times New Roman" w:hAnsi="Times New Roman"/>
          <w:sz w:val="18"/>
          <w:szCs w:val="18"/>
          <w:color w:val="auto"/>
        </w:rPr>
      </w:pPr>
    </w:p>
    <w:p>
      <w:pPr>
        <w:ind w:left="1380" w:right="79" w:hanging="331"/>
        <w:spacing w:after="0" w:line="270" w:lineRule="auto"/>
        <w:tabs>
          <w:tab w:leader="none" w:pos="1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“Annual Report” refers to our Annual Report on Form 10-K for the year ended December 31, 2025 filed with the Securities and Exchange Commission (“SEC”) on February 27, 2026.</w:t>
      </w:r>
    </w:p>
    <w:p>
      <w:pPr>
        <w:spacing w:after="0" w:line="113" w:lineRule="exact"/>
        <w:rPr>
          <w:rFonts w:ascii="Times New Roman" w:cs="Times New Roman" w:eastAsia="Times New Roman" w:hAnsi="Times New Roman"/>
          <w:sz w:val="18"/>
          <w:szCs w:val="18"/>
          <w:color w:val="auto"/>
        </w:rPr>
      </w:pPr>
    </w:p>
    <w:p>
      <w:pPr>
        <w:jc w:val="both"/>
        <w:ind w:left="1380" w:right="79" w:hanging="331"/>
        <w:spacing w:after="0" w:line="239" w:lineRule="auto"/>
        <w:tabs>
          <w:tab w:leader="none" w:pos="1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“Continuing Equity Owners” refers collectively to ML Acquisition, funds controlled by Crestview Partners II GP, L.P. and the Former Profits Unit Holders and each of their permitted transferees that own common units in CWGS, LLC and who may redeem at each of their options their common units for, at our election (determined solely by our independent directors within the meaning of the rules of the New York Stock Exchange who are disinterested), cash or newly issued shares of our Class A common stock. Direct exchanges of common units in CWGS, LLC by the Continuing Equity Owners with CWH for Class A common stock are included in the reference to “redemptions” in relation to common units in CWGS, LLC.</w:t>
      </w:r>
    </w:p>
    <w:p>
      <w:pPr>
        <w:spacing w:after="0" w:line="145" w:lineRule="exact"/>
        <w:rPr>
          <w:rFonts w:ascii="Times New Roman" w:cs="Times New Roman" w:eastAsia="Times New Roman" w:hAnsi="Times New Roman"/>
          <w:sz w:val="18"/>
          <w:szCs w:val="18"/>
          <w:color w:val="auto"/>
        </w:rPr>
      </w:pPr>
    </w:p>
    <w:p>
      <w:pPr>
        <w:jc w:val="both"/>
        <w:ind w:left="1380" w:right="79" w:hanging="331"/>
        <w:spacing w:after="0" w:line="242" w:lineRule="auto"/>
        <w:tabs>
          <w:tab w:leader="none" w:pos="1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“Former Profits Unit Holders” refers collectively to Brent Moody, Andris A. Baltins and K. Dillon Schickli, who are members of our Board of Directors, and certain other current and former non-executive employees, former executive officers, and former directors, in each case, who held common units of CWGS, LLC pursuant to CWGS, LLC’s equity incentive plan that was in existence prior to our IPO and received common units of CWGS, LLC in exchange for their profits units in CWGS, LLC.</w:t>
      </w:r>
    </w:p>
    <w:p>
      <w:pPr>
        <w:spacing w:after="0" w:line="150" w:lineRule="exact"/>
        <w:rPr>
          <w:rFonts w:ascii="Times New Roman" w:cs="Times New Roman" w:eastAsia="Times New Roman" w:hAnsi="Times New Roman"/>
          <w:sz w:val="18"/>
          <w:szCs w:val="18"/>
          <w:color w:val="auto"/>
        </w:rPr>
      </w:pPr>
    </w:p>
    <w:p>
      <w:pPr>
        <w:jc w:val="both"/>
        <w:ind w:left="1380" w:right="79" w:hanging="331"/>
        <w:spacing w:after="0" w:line="252" w:lineRule="auto"/>
        <w:tabs>
          <w:tab w:leader="none" w:pos="1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“ML Acquisition” refers to ML Acquisition Company, LLC, a Delaware limited liability company that is indirectly controlled by our former Chairman and Chief Executive Officer, Marcus A. Lemonis.</w:t>
      </w:r>
    </w:p>
    <w:p>
      <w:pPr>
        <w:spacing w:after="0" w:line="130"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“RV” refers to recreational vehicles.</w:t>
      </w:r>
    </w:p>
    <w:p>
      <w:pPr>
        <w:spacing w:after="0" w:line="183" w:lineRule="exact"/>
        <w:rPr>
          <w:rFonts w:ascii="Times New Roman" w:cs="Times New Roman" w:eastAsia="Times New Roman" w:hAnsi="Times New Roman"/>
          <w:sz w:val="18"/>
          <w:szCs w:val="18"/>
          <w:color w:val="auto"/>
        </w:rPr>
      </w:pPr>
    </w:p>
    <w:p>
      <w:pPr>
        <w:ind w:left="1380" w:right="159" w:hanging="331"/>
        <w:spacing w:after="0" w:line="252" w:lineRule="auto"/>
        <w:tabs>
          <w:tab w:leader="none" w:pos="1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“Tax Receivable Agreement” refers to the tax receivable agreement that the Company entered into with CWGS, LLC, each of the Continuing Equity Owners and Crestview Partners II GP, L.P. in connection with the Company’s IPO.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 w:name="page4"/>
    <w:bookmarkEnd w:id="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17" w:lineRule="exact"/>
        <w:rPr>
          <w:sz w:val="20"/>
          <w:szCs w:val="20"/>
          <w:color w:val="auto"/>
        </w:rPr>
      </w:pPr>
    </w:p>
    <w:p>
      <w:pPr>
        <w:jc w:val="both"/>
        <w:ind w:left="60" w:right="59" w:firstLine="648"/>
        <w:spacing w:after="0" w:line="236" w:lineRule="auto"/>
        <w:rPr>
          <w:sz w:val="20"/>
          <w:szCs w:val="20"/>
          <w:color w:val="auto"/>
        </w:rPr>
      </w:pPr>
      <w:r>
        <w:rPr>
          <w:rFonts w:ascii="Arial" w:cs="Arial" w:eastAsia="Arial" w:hAnsi="Arial"/>
          <w:sz w:val="18"/>
          <w:szCs w:val="18"/>
          <w:color w:val="auto"/>
        </w:rPr>
        <w:t>This Form 10-Q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and Section 21E of the Securities Exchange Act of 1934, as amended (the “Exchange Act”). All statements other than statements of historical facts contained in this Form 10-Q may be forward-looking statements. Statements regarding our future results of operations and financial position, business strategy and plans and objectives of management for future operations, including, among others, statements regarding expected new store location openings and closures, including greenfield locations and acquired locations; market share expectations; sufficiency of our sources of liquidity and capital and potential need for additional financing; future capital expenditures and debt service obligations; refinancing, retirement or exchange of outstanding debt, including the potential refinancing of our Senior Secured Credit Facilities (as defined herein); future impairment charges; expectations regarding industry trends and consumer behavior and growth; our product offerings and strategy; inventory management; volatility in sales and potential impact of miscalculating the demand for our products or our product mix; expectations regarding increases of certain expenses in connection with our growth and new or increased tariffs; the Iran conflict’s impact on gasoline prices and consumer demand; potential future tax benefits; our future tax savings and payments under the Tax Receivable Agreement (as defined herein); expectations regarding our pending litigation; effects of seasonality on our business; future effects of new federal legislation; and our plans related to dividend payments, are forward-looking statements. In some cases, you can identify forward-looking statements by terms such as “anticipate,” “believe,” “can,” “continue,” “could,” “designed,” “estimate,” “expect,” “forecast,” “goal,” “intend,” “may,” “might,” “plan,” “possible,” “potential,” “predict,” “project,” “should,” “target,” “will,” “would” or the negative of these terms or other similar expressions. 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but not limited to, the following:</w:t>
      </w:r>
    </w:p>
    <w:p>
      <w:pPr>
        <w:spacing w:after="0" w:line="162" w:lineRule="exact"/>
        <w:rPr>
          <w:sz w:val="20"/>
          <w:szCs w:val="20"/>
          <w:color w:val="auto"/>
        </w:rPr>
      </w:pPr>
    </w:p>
    <w:p>
      <w:pPr>
        <w:ind w:left="1040" w:right="119" w:hanging="315"/>
        <w:spacing w:after="0" w:line="270" w:lineRule="auto"/>
        <w:tabs>
          <w:tab w:leader="none" w:pos="104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general economic conditions in our markets, including inflation and interest rates, as well as the health of the RV industry, geopolitical conflicts and ongoing economic and financial uncertainties;</w:t>
      </w:r>
    </w:p>
    <w:p>
      <w:pPr>
        <w:spacing w:after="0" w:line="113"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availability and cost of financing to us and our customers;</w:t>
      </w:r>
    </w:p>
    <w:p>
      <w:pPr>
        <w:spacing w:after="0" w:line="183"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fuel shortages, high prices for fuel, or changes in energy sources;</w:t>
      </w:r>
    </w:p>
    <w:p>
      <w:pPr>
        <w:spacing w:after="0" w:line="197" w:lineRule="exact"/>
        <w:rPr>
          <w:rFonts w:ascii="Times New Roman" w:cs="Times New Roman" w:eastAsia="Times New Roman" w:hAnsi="Times New Roman"/>
          <w:sz w:val="18"/>
          <w:szCs w:val="18"/>
          <w:color w:val="auto"/>
        </w:rPr>
      </w:pPr>
    </w:p>
    <w:p>
      <w:pPr>
        <w:ind w:left="1040" w:right="459" w:hanging="315"/>
        <w:spacing w:after="0" w:line="270" w:lineRule="auto"/>
        <w:tabs>
          <w:tab w:leader="none" w:pos="104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well-being, as well as the continued popularity and reputation for quality, of our manufacturers, particularly Thor Industries, Inc. and Forest River, Inc.;</w:t>
      </w:r>
    </w:p>
    <w:p>
      <w:pPr>
        <w:spacing w:after="0" w:line="113"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consumer preferences for our products or our failure to gauge those preferences;</w:t>
      </w:r>
    </w:p>
    <w:p>
      <w:pPr>
        <w:spacing w:after="0" w:line="183" w:lineRule="exact"/>
        <w:rPr>
          <w:rFonts w:ascii="Times New Roman" w:cs="Times New Roman" w:eastAsia="Times New Roman" w:hAnsi="Times New Roman"/>
          <w:sz w:val="18"/>
          <w:szCs w:val="18"/>
          <w:color w:val="auto"/>
        </w:rPr>
      </w:pPr>
    </w:p>
    <w:p>
      <w:pPr>
        <w:ind w:left="1040" w:right="79" w:hanging="315"/>
        <w:spacing w:after="0" w:line="270" w:lineRule="auto"/>
        <w:tabs>
          <w:tab w:leader="none" w:pos="104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competition in the market for services, protection plans, products and resources targeting the RV lifestyle or RV enthusiast;</w:t>
      </w:r>
    </w:p>
    <w:p>
      <w:pPr>
        <w:spacing w:after="0" w:line="127" w:lineRule="exact"/>
        <w:rPr>
          <w:rFonts w:ascii="Times New Roman" w:cs="Times New Roman" w:eastAsia="Times New Roman" w:hAnsi="Times New Roman"/>
          <w:sz w:val="18"/>
          <w:szCs w:val="18"/>
          <w:color w:val="auto"/>
        </w:rPr>
      </w:pPr>
    </w:p>
    <w:p>
      <w:pPr>
        <w:ind w:left="1040" w:right="79" w:hanging="315"/>
        <w:spacing w:after="0" w:line="270" w:lineRule="auto"/>
        <w:tabs>
          <w:tab w:leader="none" w:pos="104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expansion into new, unfamiliar markets, businesses, or product lines or categories, as well as delays in opening new RV dealership locations, including greenfield locations and acquisitions;</w:t>
      </w:r>
    </w:p>
    <w:p>
      <w:pPr>
        <w:spacing w:after="0" w:line="113"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unforeseen expenses, difficulties, and delays encountered in connection with acquisitions;</w:t>
      </w:r>
    </w:p>
    <w:p>
      <w:pPr>
        <w:spacing w:after="0" w:line="183"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maintain the strength and value of our brands;</w:t>
      </w:r>
    </w:p>
    <w:p>
      <w:pPr>
        <w:spacing w:after="0" w:line="197" w:lineRule="exact"/>
        <w:rPr>
          <w:rFonts w:ascii="Times New Roman" w:cs="Times New Roman" w:eastAsia="Times New Roman" w:hAnsi="Times New Roman"/>
          <w:sz w:val="18"/>
          <w:szCs w:val="18"/>
          <w:color w:val="auto"/>
        </w:rPr>
      </w:pPr>
    </w:p>
    <w:p>
      <w:pPr>
        <w:ind w:left="1040" w:right="79" w:hanging="315"/>
        <w:spacing w:after="0" w:line="270" w:lineRule="auto"/>
        <w:tabs>
          <w:tab w:leader="none" w:pos="104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successfully order and manage our inventory to reflect consumer demand in a volatile market and anticipate changing consumer preferences and buying trends;</w:t>
      </w:r>
    </w:p>
    <w:p>
      <w:pPr>
        <w:spacing w:after="0" w:line="113" w:lineRule="exact"/>
        <w:rPr>
          <w:rFonts w:ascii="Times New Roman" w:cs="Times New Roman" w:eastAsia="Times New Roman" w:hAnsi="Times New Roman"/>
          <w:sz w:val="18"/>
          <w:szCs w:val="18"/>
          <w:color w:val="auto"/>
        </w:rPr>
      </w:pPr>
    </w:p>
    <w:p>
      <w:pPr>
        <w:ind w:left="1040" w:right="79" w:hanging="315"/>
        <w:spacing w:after="0" w:line="270" w:lineRule="auto"/>
        <w:tabs>
          <w:tab w:leader="none" w:pos="104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fluctuations in our same store revenue and whether such revenue will be a meaningful indicator of future performance;</w:t>
      </w:r>
    </w:p>
    <w:p>
      <w:pPr>
        <w:spacing w:after="0" w:line="113"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cyclical and seasonal nature of our business;</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4" w:name="page5"/>
    <w:bookmarkEnd w:id="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379" w:hanging="315"/>
        <w:spacing w:after="0" w:line="270" w:lineRule="auto"/>
        <w:tabs>
          <w:tab w:leader="none" w:pos="104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operate and expand our business and to respond to changing business and economic conditions, which depends on the availability of adequate capital;</w:t>
      </w:r>
    </w:p>
    <w:p>
      <w:pPr>
        <w:spacing w:after="0" w:line="12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the restrictive covenants imposed by our Senior Secured Credit Facilities and Floor Plan Facility;</w:t>
      </w:r>
    </w:p>
    <w:p>
      <w:pPr>
        <w:spacing w:after="0" w:line="183"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execute and achieve the expected benefits of our cost-cutting initiatives;</w:t>
      </w:r>
    </w:p>
    <w:p>
      <w:pPr>
        <w:spacing w:after="0" w:line="183" w:lineRule="exact"/>
        <w:rPr>
          <w:rFonts w:ascii="Times New Roman" w:cs="Times New Roman" w:eastAsia="Times New Roman" w:hAnsi="Times New Roman"/>
          <w:sz w:val="18"/>
          <w:szCs w:val="18"/>
          <w:color w:val="auto"/>
        </w:rPr>
      </w:pPr>
    </w:p>
    <w:p>
      <w:pPr>
        <w:ind w:left="1040" w:right="99" w:hanging="315"/>
        <w:spacing w:after="0" w:line="270" w:lineRule="auto"/>
        <w:tabs>
          <w:tab w:leader="none" w:pos="104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our reliance on our fulfillment and distribution centers for our retail and e-commerce businesses, which may be susceptible to a natural disaster or other serious disruption at any such facility;</w:t>
      </w:r>
    </w:p>
    <w:p>
      <w:pPr>
        <w:spacing w:after="0" w:line="127" w:lineRule="exact"/>
        <w:rPr>
          <w:rFonts w:ascii="Times New Roman" w:cs="Times New Roman" w:eastAsia="Times New Roman" w:hAnsi="Times New Roman"/>
          <w:sz w:val="18"/>
          <w:szCs w:val="18"/>
          <w:color w:val="auto"/>
        </w:rPr>
      </w:pPr>
    </w:p>
    <w:p>
      <w:pPr>
        <w:ind w:left="1040" w:right="419" w:hanging="315"/>
        <w:spacing w:after="0" w:line="270" w:lineRule="auto"/>
        <w:tabs>
          <w:tab w:leader="none" w:pos="104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natural disasters, whether or not caused by climate change, unusual weather conditions, epidemic outbreaks, terrorist acts and political events;</w:t>
      </w:r>
    </w:p>
    <w:p>
      <w:pPr>
        <w:spacing w:after="0" w:line="113" w:lineRule="exact"/>
        <w:rPr>
          <w:rFonts w:ascii="Times New Roman" w:cs="Times New Roman" w:eastAsia="Times New Roman" w:hAnsi="Times New Roman"/>
          <w:sz w:val="18"/>
          <w:szCs w:val="18"/>
          <w:color w:val="auto"/>
        </w:rPr>
      </w:pPr>
    </w:p>
    <w:p>
      <w:pPr>
        <w:ind w:left="1040" w:right="239" w:hanging="315"/>
        <w:spacing w:after="0" w:line="270" w:lineRule="auto"/>
        <w:tabs>
          <w:tab w:leader="none" w:pos="104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our dependence on our relationships with third-party providers of services, protection plans, products and resources and a disruption of these relationships or of these providers’ operations;</w:t>
      </w:r>
    </w:p>
    <w:p>
      <w:pPr>
        <w:spacing w:after="0" w:line="113"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risks associated with certain of the products that we sell being manufactured abroad;</w:t>
      </w:r>
    </w:p>
    <w:p>
      <w:pPr>
        <w:spacing w:after="0" w:line="197" w:lineRule="exact"/>
        <w:rPr>
          <w:rFonts w:ascii="Times New Roman" w:cs="Times New Roman" w:eastAsia="Times New Roman" w:hAnsi="Times New Roman"/>
          <w:sz w:val="18"/>
          <w:szCs w:val="18"/>
          <w:color w:val="auto"/>
        </w:rPr>
      </w:pPr>
    </w:p>
    <w:p>
      <w:pPr>
        <w:ind w:left="1040" w:right="219" w:hanging="315"/>
        <w:spacing w:after="0" w:line="300" w:lineRule="auto"/>
        <w:tabs>
          <w:tab w:leader="none" w:pos="1040"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color w:val="auto"/>
        </w:rPr>
        <w:t>whether third-party lending institutions and insurance companies will continue to provide financing for RV purchases, insurance and extended service contracts that relate to a portion of our net income;</w:t>
      </w:r>
    </w:p>
    <w:p>
      <w:pPr>
        <w:spacing w:after="0" w:line="90" w:lineRule="exact"/>
        <w:rPr>
          <w:rFonts w:ascii="Times New Roman" w:cs="Times New Roman" w:eastAsia="Times New Roman" w:hAnsi="Times New Roman"/>
          <w:sz w:val="17"/>
          <w:szCs w:val="17"/>
          <w:color w:val="auto"/>
        </w:rPr>
      </w:pPr>
    </w:p>
    <w:p>
      <w:pPr>
        <w:ind w:left="1040" w:hanging="315"/>
        <w:spacing w:after="0"/>
        <w:tabs>
          <w:tab w:leader="none" w:pos="104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retain senior executives and attract and retain other qualified employees;</w:t>
      </w:r>
    </w:p>
    <w:p>
      <w:pPr>
        <w:spacing w:after="0" w:line="183"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risks associated with leasing substantial amounts of space;</w:t>
      </w:r>
    </w:p>
    <w:p>
      <w:pPr>
        <w:spacing w:after="0" w:line="19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our private brand offerings exposing us to various risks;</w:t>
      </w:r>
    </w:p>
    <w:p>
      <w:pPr>
        <w:spacing w:after="0" w:line="183" w:lineRule="exact"/>
        <w:rPr>
          <w:rFonts w:ascii="Times New Roman" w:cs="Times New Roman" w:eastAsia="Times New Roman" w:hAnsi="Times New Roman"/>
          <w:sz w:val="18"/>
          <w:szCs w:val="18"/>
          <w:color w:val="auto"/>
        </w:rPr>
      </w:pPr>
    </w:p>
    <w:p>
      <w:pPr>
        <w:ind w:left="1040" w:right="79" w:hanging="315"/>
        <w:spacing w:after="0" w:line="270" w:lineRule="auto"/>
        <w:tabs>
          <w:tab w:leader="none" w:pos="104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whether we incur additional asset impairment charges for goodwill, intangible assets or other long-lived assets;</w:t>
      </w:r>
    </w:p>
    <w:p>
      <w:pPr>
        <w:spacing w:after="0" w:line="113" w:lineRule="exact"/>
        <w:rPr>
          <w:rFonts w:ascii="Times New Roman" w:cs="Times New Roman" w:eastAsia="Times New Roman" w:hAnsi="Times New Roman"/>
          <w:sz w:val="18"/>
          <w:szCs w:val="18"/>
          <w:color w:val="auto"/>
        </w:rPr>
      </w:pPr>
    </w:p>
    <w:p>
      <w:pPr>
        <w:ind w:left="1040" w:right="79" w:hanging="315"/>
        <w:spacing w:after="0" w:line="270" w:lineRule="auto"/>
        <w:tabs>
          <w:tab w:leader="none" w:pos="104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our business is subject to numerous federal, state and local regulations and litigation risk, and we have been, and may continue to be, named in litigation from time to time;</w:t>
      </w:r>
    </w:p>
    <w:p>
      <w:pPr>
        <w:spacing w:after="0" w:line="12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risks related to a failure in our e-commerce operations, security breaches and cybersecurity risks;</w:t>
      </w:r>
    </w:p>
    <w:p>
      <w:pPr>
        <w:spacing w:after="0" w:line="183" w:lineRule="exact"/>
        <w:rPr>
          <w:rFonts w:ascii="Times New Roman" w:cs="Times New Roman" w:eastAsia="Times New Roman" w:hAnsi="Times New Roman"/>
          <w:sz w:val="18"/>
          <w:szCs w:val="18"/>
          <w:color w:val="auto"/>
        </w:rPr>
      </w:pPr>
    </w:p>
    <w:p>
      <w:pPr>
        <w:ind w:left="1040" w:right="399" w:hanging="315"/>
        <w:spacing w:after="0" w:line="270" w:lineRule="auto"/>
        <w:tabs>
          <w:tab w:leader="none" w:pos="104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our inability to maintain or upgrade our information technology systems or our inability to convert to alternate systems in an efficient and timely manner;</w:t>
      </w:r>
    </w:p>
    <w:p>
      <w:pPr>
        <w:spacing w:after="0" w:line="113" w:lineRule="exact"/>
        <w:rPr>
          <w:rFonts w:ascii="Times New Roman" w:cs="Times New Roman" w:eastAsia="Times New Roman" w:hAnsi="Times New Roman"/>
          <w:sz w:val="18"/>
          <w:szCs w:val="18"/>
          <w:color w:val="auto"/>
        </w:rPr>
      </w:pPr>
    </w:p>
    <w:p>
      <w:pPr>
        <w:ind w:left="1040" w:right="919" w:hanging="315"/>
        <w:spacing w:after="0" w:line="270" w:lineRule="auto"/>
        <w:tabs>
          <w:tab w:leader="none" w:pos="104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risks related to disruptions or breaches involving our or our third-party providers’ information technology systems or confidential information;</w:t>
      </w:r>
    </w:p>
    <w:p>
      <w:pPr>
        <w:spacing w:after="0" w:line="127" w:lineRule="exact"/>
        <w:rPr>
          <w:rFonts w:ascii="Times New Roman" w:cs="Times New Roman" w:eastAsia="Times New Roman" w:hAnsi="Times New Roman"/>
          <w:sz w:val="18"/>
          <w:szCs w:val="18"/>
          <w:color w:val="auto"/>
        </w:rPr>
      </w:pPr>
    </w:p>
    <w:p>
      <w:pPr>
        <w:ind w:left="1040" w:right="159" w:hanging="315"/>
        <w:spacing w:after="0" w:line="270" w:lineRule="auto"/>
        <w:tabs>
          <w:tab w:leader="none" w:pos="104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risks relating to our organizational structure and to ownership of shares of our Class A common stock; and</w:t>
      </w:r>
    </w:p>
    <w:p>
      <w:pPr>
        <w:spacing w:after="0" w:line="113" w:lineRule="exact"/>
        <w:rPr>
          <w:rFonts w:ascii="Times New Roman" w:cs="Times New Roman" w:eastAsia="Times New Roman" w:hAnsi="Times New Roman"/>
          <w:sz w:val="18"/>
          <w:szCs w:val="18"/>
          <w:color w:val="auto"/>
        </w:rPr>
      </w:pPr>
    </w:p>
    <w:p>
      <w:pPr>
        <w:ind w:left="1040" w:right="79" w:hanging="315"/>
        <w:spacing w:after="0" w:line="270" w:lineRule="auto"/>
        <w:tabs>
          <w:tab w:leader="none" w:pos="104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the other factors set forth under “Risk Factors” in Item 1A of Part I of our Annual Report and Item 1A of Part II of this Form 10-Q, and in our other filings with the SEC.</w:t>
      </w:r>
    </w:p>
    <w:p>
      <w:pPr>
        <w:spacing w:after="0" w:line="114"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These risks may cause our actual results, performance or achievements to differ materially and adversely from those expressed or implied by the forward-looking statements.</w:t>
      </w:r>
    </w:p>
    <w:p>
      <w:pPr>
        <w:spacing w:after="0" w:line="127"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Any forward-looking statements made herein speak only as of the date of this Form 10-Q, and you should not rely on forward-looking statements as predictions of future events. Although we believe that the expectations reflected in the forward-looking statements are reasonable, we cannot guarantee that the future effects, results, performance, or achievements reflected in the forward-looking statements will be achieved or occur. We undertake no obligation to update any of these forward-looking statements for any reason after the date of this Form 10-Q or to conform these statements to actual results or revised expectations.</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5" w:name="page6"/>
    <w:bookmarkEnd w:id="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Part I – FINANCIAL INFORMATION</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Item 1. Financial Statements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Camping World Holdings, Inc.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 Condensed Consolidated Balance Sheets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 Thousands Except Per Share Amounts)</w:t>
      </w:r>
    </w:p>
    <w:p>
      <w:pPr>
        <w:spacing w:after="0" w:line="171" w:lineRule="exact"/>
        <w:rPr>
          <w:sz w:val="20"/>
          <w:szCs w:val="20"/>
          <w:color w:val="auto"/>
        </w:rPr>
      </w:pPr>
    </w:p>
    <w:tbl>
      <w:tblPr>
        <w:tblLayout w:type="fixed"/>
        <w:tblInd w:w="6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5620" w:type="dxa"/>
            <w:vAlign w:val="bottom"/>
          </w:tcPr>
          <w:p>
            <w:pPr>
              <w:spacing w:after="0"/>
              <w:rPr>
                <w:sz w:val="13"/>
                <w:szCs w:val="13"/>
                <w:color w:val="auto"/>
              </w:rPr>
            </w:pPr>
          </w:p>
        </w:tc>
        <w:tc>
          <w:tcPr>
            <w:tcW w:w="1000" w:type="dxa"/>
            <w:vAlign w:val="bottom"/>
            <w:gridSpan w:val="3"/>
          </w:tcPr>
          <w:p>
            <w:pPr>
              <w:jc w:val="right"/>
              <w:spacing w:after="0"/>
              <w:rPr>
                <w:sz w:val="20"/>
                <w:szCs w:val="20"/>
                <w:color w:val="auto"/>
              </w:rPr>
            </w:pPr>
            <w:r>
              <w:rPr>
                <w:rFonts w:ascii="Arial" w:cs="Arial" w:eastAsia="Arial" w:hAnsi="Arial"/>
                <w:sz w:val="13"/>
                <w:szCs w:val="13"/>
                <w:b w:val="1"/>
                <w:bCs w:val="1"/>
                <w:color w:val="auto"/>
              </w:rPr>
              <w:t>September 30,</w:t>
            </w:r>
          </w:p>
        </w:tc>
        <w:tc>
          <w:tcPr>
            <w:tcW w:w="160" w:type="dxa"/>
            <w:vAlign w:val="bottom"/>
          </w:tcPr>
          <w:p>
            <w:pPr>
              <w:spacing w:after="0"/>
              <w:rPr>
                <w:sz w:val="13"/>
                <w:szCs w:val="13"/>
                <w:color w:val="auto"/>
              </w:rPr>
            </w:pPr>
          </w:p>
        </w:tc>
        <w:tc>
          <w:tcPr>
            <w:tcW w:w="940" w:type="dxa"/>
            <w:vAlign w:val="bottom"/>
            <w:gridSpan w:val="2"/>
          </w:tcPr>
          <w:p>
            <w:pPr>
              <w:jc w:val="right"/>
              <w:spacing w:after="0"/>
              <w:rPr>
                <w:sz w:val="20"/>
                <w:szCs w:val="20"/>
                <w:color w:val="auto"/>
              </w:rPr>
            </w:pPr>
            <w:r>
              <w:rPr>
                <w:rFonts w:ascii="Arial" w:cs="Arial" w:eastAsia="Arial" w:hAnsi="Arial"/>
                <w:sz w:val="13"/>
                <w:szCs w:val="13"/>
                <w:b w:val="1"/>
                <w:bCs w:val="1"/>
                <w:color w:val="auto"/>
              </w:rPr>
              <w:t>December 31,</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gridSpan w:val="2"/>
          </w:tcPr>
          <w:p>
            <w:pPr>
              <w:jc w:val="right"/>
              <w:spacing w:after="0"/>
              <w:rPr>
                <w:sz w:val="20"/>
                <w:szCs w:val="20"/>
                <w:color w:val="auto"/>
              </w:rPr>
            </w:pPr>
            <w:r>
              <w:rPr>
                <w:rFonts w:ascii="Arial" w:cs="Arial" w:eastAsia="Arial" w:hAnsi="Arial"/>
                <w:sz w:val="13"/>
                <w:szCs w:val="13"/>
                <w:b w:val="1"/>
                <w:bCs w:val="1"/>
                <w:color w:val="auto"/>
              </w:rPr>
              <w:t>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20" w:type="dxa"/>
            <w:vAlign w:val="bottom"/>
          </w:tcPr>
          <w:p>
            <w:pPr>
              <w:ind w:left="556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ind w:right="293"/>
              <w:spacing w:after="0"/>
              <w:rPr>
                <w:sz w:val="20"/>
                <w:szCs w:val="20"/>
                <w:color w:val="auto"/>
              </w:rPr>
            </w:pPr>
            <w:r>
              <w:rPr>
                <w:rFonts w:ascii="Arial" w:cs="Arial" w:eastAsia="Arial" w:hAnsi="Arial"/>
                <w:sz w:val="13"/>
                <w:szCs w:val="13"/>
                <w:b w:val="1"/>
                <w:bCs w:val="1"/>
                <w:color w:val="auto"/>
              </w:rPr>
              <w:t>2026</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273"/>
              <w:spacing w:after="0"/>
              <w:rPr>
                <w:sz w:val="20"/>
                <w:szCs w:val="20"/>
                <w:color w:val="auto"/>
              </w:rPr>
            </w:pPr>
            <w:r>
              <w:rPr>
                <w:rFonts w:ascii="Arial" w:cs="Arial" w:eastAsia="Arial" w:hAnsi="Arial"/>
                <w:sz w:val="13"/>
                <w:szCs w:val="13"/>
                <w:b w:val="1"/>
                <w:bCs w:val="1"/>
                <w:color w:val="auto"/>
              </w:rPr>
              <w:t>2025</w:t>
            </w:r>
          </w:p>
        </w:tc>
        <w:tc>
          <w:tcPr>
            <w:tcW w:w="360" w:type="dxa"/>
            <w:vAlign w:val="bottom"/>
            <w:gridSpan w:val="3"/>
          </w:tcPr>
          <w:p>
            <w:pPr>
              <w:jc w:val="right"/>
              <w:ind w:right="123"/>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293"/>
              <w:spacing w:after="0"/>
              <w:rPr>
                <w:sz w:val="20"/>
                <w:szCs w:val="20"/>
                <w:color w:val="auto"/>
              </w:rPr>
            </w:pPr>
            <w:r>
              <w:rPr>
                <w:rFonts w:ascii="Arial" w:cs="Arial" w:eastAsia="Arial" w:hAnsi="Arial"/>
                <w:sz w:val="13"/>
                <w:szCs w:val="13"/>
                <w:b w:val="1"/>
                <w:bCs w:val="1"/>
                <w:color w:val="auto"/>
              </w:rPr>
              <w:t>2025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Assets</w:t>
            </w:r>
          </w:p>
        </w:tc>
        <w:tc>
          <w:tcPr>
            <w:tcW w:w="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20" w:type="dxa"/>
            <w:vAlign w:val="bottom"/>
          </w:tcPr>
          <w:p>
            <w:pPr>
              <w:spacing w:after="0"/>
              <w:rPr>
                <w:sz w:val="20"/>
                <w:szCs w:val="20"/>
                <w:color w:val="auto"/>
              </w:rPr>
            </w:pPr>
            <w:r>
              <w:rPr>
                <w:rFonts w:ascii="Arial" w:cs="Arial" w:eastAsia="Arial" w:hAnsi="Arial"/>
                <w:sz w:val="13"/>
                <w:szCs w:val="13"/>
                <w:color w:val="auto"/>
              </w:rPr>
              <w:t>Current assets: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20" w:type="dxa"/>
            <w:vAlign w:val="bottom"/>
            <w:shd w:val="clear" w:color="auto" w:fill="CCEEFF"/>
          </w:tcPr>
          <w:p>
            <w:pPr>
              <w:ind w:left="80"/>
              <w:spacing w:after="0"/>
              <w:rPr>
                <w:sz w:val="20"/>
                <w:szCs w:val="20"/>
                <w:color w:val="auto"/>
              </w:rPr>
            </w:pPr>
            <w:r>
              <w:rPr>
                <w:rFonts w:ascii="Arial" w:cs="Arial" w:eastAsia="Arial" w:hAnsi="Arial"/>
                <w:sz w:val="13"/>
                <w:szCs w:val="13"/>
                <w:color w:val="auto"/>
              </w:rPr>
              <w:t>Cash and cash equivalents</w:t>
            </w:r>
          </w:p>
        </w:tc>
        <w:tc>
          <w:tcPr>
            <w:tcW w:w="220" w:type="dxa"/>
            <w:vAlign w:val="bottom"/>
            <w:gridSpan w:val="2"/>
            <w:shd w:val="clear" w:color="auto" w:fill="CCEEFF"/>
          </w:tcPr>
          <w:p>
            <w:pPr>
              <w:jc w:val="right"/>
              <w:ind w:right="89"/>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263,756</w:t>
            </w:r>
          </w:p>
        </w:tc>
        <w:tc>
          <w:tcPr>
            <w:tcW w:w="340" w:type="dxa"/>
            <w:vAlign w:val="bottom"/>
            <w:gridSpan w:val="2"/>
            <w:shd w:val="clear" w:color="auto" w:fill="CCEEFF"/>
          </w:tcPr>
          <w:p>
            <w:pPr>
              <w:jc w:val="right"/>
              <w:ind w:right="64"/>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215,043</w:t>
            </w:r>
          </w:p>
        </w:tc>
        <w:tc>
          <w:tcPr>
            <w:tcW w:w="360" w:type="dxa"/>
            <w:vAlign w:val="bottom"/>
            <w:gridSpan w:val="3"/>
            <w:shd w:val="clear" w:color="auto" w:fill="CCEEFF"/>
          </w:tcPr>
          <w:p>
            <w:pPr>
              <w:jc w:val="right"/>
              <w:ind w:right="103"/>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230,513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20" w:type="dxa"/>
            <w:vAlign w:val="bottom"/>
          </w:tcPr>
          <w:p>
            <w:pPr>
              <w:ind w:left="80"/>
              <w:spacing w:after="0"/>
              <w:rPr>
                <w:sz w:val="20"/>
                <w:szCs w:val="20"/>
                <w:color w:val="auto"/>
              </w:rPr>
            </w:pPr>
            <w:r>
              <w:rPr>
                <w:rFonts w:ascii="Arial" w:cs="Arial" w:eastAsia="Arial" w:hAnsi="Arial"/>
                <w:sz w:val="13"/>
                <w:szCs w:val="13"/>
                <w:color w:val="auto"/>
              </w:rPr>
              <w:t>Contracts in transit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79,153</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53,327</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110,220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20" w:type="dxa"/>
            <w:vAlign w:val="bottom"/>
            <w:shd w:val="clear" w:color="auto" w:fill="CCEEFF"/>
          </w:tcPr>
          <w:p>
            <w:pPr>
              <w:ind w:left="80"/>
              <w:spacing w:after="0"/>
              <w:rPr>
                <w:sz w:val="20"/>
                <w:szCs w:val="20"/>
                <w:color w:val="auto"/>
              </w:rPr>
            </w:pPr>
            <w:r>
              <w:rPr>
                <w:rFonts w:ascii="Arial" w:cs="Arial" w:eastAsia="Arial" w:hAnsi="Arial"/>
                <w:sz w:val="13"/>
                <w:szCs w:val="13"/>
                <w:color w:val="auto"/>
              </w:rPr>
              <w:t>Accounts receivable, net</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146,298</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170,498</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122,357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20" w:type="dxa"/>
            <w:vAlign w:val="bottom"/>
          </w:tcPr>
          <w:p>
            <w:pPr>
              <w:ind w:left="80"/>
              <w:spacing w:after="0"/>
              <w:rPr>
                <w:sz w:val="20"/>
                <w:szCs w:val="20"/>
                <w:color w:val="auto"/>
              </w:rPr>
            </w:pPr>
            <w:r>
              <w:rPr>
                <w:rFonts w:ascii="Arial" w:cs="Arial" w:eastAsia="Arial" w:hAnsi="Arial"/>
                <w:sz w:val="13"/>
                <w:szCs w:val="13"/>
                <w:color w:val="auto"/>
              </w:rPr>
              <w:t>Inventories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1,768,811</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2,111,900</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2,026,392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20" w:type="dxa"/>
            <w:vAlign w:val="bottom"/>
            <w:shd w:val="clear" w:color="auto" w:fill="CCEEFF"/>
          </w:tcPr>
          <w:p>
            <w:pPr>
              <w:ind w:left="80"/>
              <w:spacing w:after="0"/>
              <w:rPr>
                <w:sz w:val="20"/>
                <w:szCs w:val="20"/>
                <w:color w:val="auto"/>
              </w:rPr>
            </w:pPr>
            <w:r>
              <w:rPr>
                <w:rFonts w:ascii="Arial" w:cs="Arial" w:eastAsia="Arial" w:hAnsi="Arial"/>
                <w:sz w:val="13"/>
                <w:szCs w:val="13"/>
                <w:color w:val="auto"/>
              </w:rPr>
              <w:t>Prepaid expenses and other assets</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59,276</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67,338</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57,644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20" w:type="dxa"/>
            <w:vAlign w:val="bottom"/>
            <w:tcBorders>
              <w:bottom w:val="single" w:sz="8" w:color="CCEEFF"/>
            </w:tcBorders>
          </w:tcPr>
          <w:p>
            <w:pPr>
              <w:ind w:left="80"/>
              <w:spacing w:after="0"/>
              <w:rPr>
                <w:sz w:val="20"/>
                <w:szCs w:val="20"/>
                <w:color w:val="auto"/>
              </w:rPr>
            </w:pPr>
            <w:r>
              <w:rPr>
                <w:rFonts w:ascii="Arial" w:cs="Arial" w:eastAsia="Arial" w:hAnsi="Arial"/>
                <w:sz w:val="13"/>
                <w:szCs w:val="13"/>
                <w:color w:val="auto"/>
              </w:rPr>
              <w:t>Assets held for sale</w:t>
            </w: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1,488</w:t>
            </w: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175</w:t>
            </w:r>
          </w:p>
        </w:tc>
        <w:tc>
          <w:tcPr>
            <w:tcW w:w="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38,431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2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Total current assets</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2,318,782</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2,618,281</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2,585,557</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5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3"/>
                <w:szCs w:val="13"/>
                <w:color w:val="auto"/>
              </w:rPr>
              <w:t>Property and equipment, net</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815,165</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832,062</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895,270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20" w:type="dxa"/>
            <w:vAlign w:val="bottom"/>
          </w:tcPr>
          <w:p>
            <w:pPr>
              <w:spacing w:after="0"/>
              <w:rPr>
                <w:sz w:val="20"/>
                <w:szCs w:val="20"/>
                <w:color w:val="auto"/>
              </w:rPr>
            </w:pPr>
            <w:r>
              <w:rPr>
                <w:rFonts w:ascii="Arial" w:cs="Arial" w:eastAsia="Arial" w:hAnsi="Arial"/>
                <w:sz w:val="13"/>
                <w:szCs w:val="13"/>
                <w:color w:val="auto"/>
              </w:rPr>
              <w:t>Operating lease assets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779,334</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790,974</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716,467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3"/>
                <w:szCs w:val="13"/>
                <w:color w:val="auto"/>
              </w:rPr>
              <w:t>Deferred tax assets, net</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1,426</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1,426</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20" w:type="dxa"/>
            <w:vAlign w:val="bottom"/>
          </w:tcPr>
          <w:p>
            <w:pPr>
              <w:spacing w:after="0"/>
              <w:rPr>
                <w:sz w:val="20"/>
                <w:szCs w:val="20"/>
                <w:color w:val="auto"/>
              </w:rPr>
            </w:pPr>
            <w:r>
              <w:rPr>
                <w:rFonts w:ascii="Arial" w:cs="Arial" w:eastAsia="Arial" w:hAnsi="Arial"/>
                <w:sz w:val="13"/>
                <w:szCs w:val="13"/>
                <w:color w:val="auto"/>
              </w:rPr>
              <w:t>Intangible assets, net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13,183</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15,824</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16,703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3"/>
                <w:szCs w:val="13"/>
                <w:color w:val="auto"/>
              </w:rPr>
              <w:t>Goodwill</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464,915</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749,321</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748,951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2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Other assets</w:t>
            </w: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35,854</w:t>
            </w: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36,446</w:t>
            </w:r>
          </w:p>
        </w:tc>
        <w:tc>
          <w:tcPr>
            <w:tcW w:w="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34,524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2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3"/>
                <w:szCs w:val="13"/>
                <w:color w:val="auto"/>
              </w:rPr>
              <w:t>Total assets</w:t>
            </w:r>
          </w:p>
        </w:tc>
        <w:tc>
          <w:tcPr>
            <w:tcW w:w="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4,428,659</w:t>
            </w:r>
          </w:p>
        </w:tc>
        <w:tc>
          <w:tcPr>
            <w:tcW w:w="16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5,044,334</w:t>
            </w:r>
          </w:p>
        </w:tc>
        <w:tc>
          <w:tcPr>
            <w:tcW w:w="180" w:type="dxa"/>
            <w:vAlign w:val="bottom"/>
            <w:tcBorders>
              <w:bottom w:val="single" w:sz="8" w:color="CCEEFF"/>
            </w:tcBorders>
            <w:gridSpan w:val="2"/>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4"/>
                <w:szCs w:val="4"/>
                <w:color w:val="auto"/>
                <w:w w:val="87"/>
              </w:rPr>
              <w:t>$</w:t>
            </w: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4,998,967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vMerge w:val="restart"/>
          </w:tcPr>
          <w:p>
            <w:pPr>
              <w:spacing w:after="0"/>
              <w:rPr>
                <w:sz w:val="20"/>
                <w:szCs w:val="20"/>
                <w:color w:val="auto"/>
              </w:rPr>
            </w:pPr>
            <w:r>
              <w:rPr>
                <w:rFonts w:ascii="Arial" w:cs="Arial" w:eastAsia="Arial" w:hAnsi="Arial"/>
                <w:sz w:val="13"/>
                <w:szCs w:val="13"/>
                <w:b w:val="1"/>
                <w:bCs w:val="1"/>
                <w:color w:val="auto"/>
              </w:rPr>
              <w:t>Liabilities and stockholders' equity</w:t>
            </w: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56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3"/>
                <w:szCs w:val="13"/>
                <w:color w:val="auto"/>
              </w:rPr>
              <w:t>Current liabilities:</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20" w:type="dxa"/>
            <w:vAlign w:val="bottom"/>
          </w:tcPr>
          <w:p>
            <w:pPr>
              <w:ind w:left="80"/>
              <w:spacing w:after="0"/>
              <w:rPr>
                <w:sz w:val="20"/>
                <w:szCs w:val="20"/>
                <w:color w:val="auto"/>
              </w:rPr>
            </w:pPr>
            <w:r>
              <w:rPr>
                <w:rFonts w:ascii="Arial" w:cs="Arial" w:eastAsia="Arial" w:hAnsi="Arial"/>
                <w:sz w:val="13"/>
                <w:szCs w:val="13"/>
                <w:color w:val="auto"/>
              </w:rPr>
              <w:t>Accounts payable</w:t>
            </w:r>
          </w:p>
        </w:tc>
        <w:tc>
          <w:tcPr>
            <w:tcW w:w="220" w:type="dxa"/>
            <w:vAlign w:val="bottom"/>
            <w:gridSpan w:val="2"/>
          </w:tcPr>
          <w:p>
            <w:pPr>
              <w:jc w:val="right"/>
              <w:ind w:right="89"/>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187,413</w:t>
            </w:r>
          </w:p>
        </w:tc>
        <w:tc>
          <w:tcPr>
            <w:tcW w:w="340" w:type="dxa"/>
            <w:vAlign w:val="bottom"/>
            <w:gridSpan w:val="2"/>
          </w:tcPr>
          <w:p>
            <w:pPr>
              <w:jc w:val="right"/>
              <w:ind w:right="64"/>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147,707</w:t>
            </w:r>
          </w:p>
        </w:tc>
        <w:tc>
          <w:tcPr>
            <w:tcW w:w="360" w:type="dxa"/>
            <w:vAlign w:val="bottom"/>
            <w:gridSpan w:val="3"/>
          </w:tcPr>
          <w:p>
            <w:pPr>
              <w:jc w:val="right"/>
              <w:ind w:right="103"/>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224,615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20" w:type="dxa"/>
            <w:vAlign w:val="bottom"/>
            <w:shd w:val="clear" w:color="auto" w:fill="CCEEFF"/>
          </w:tcPr>
          <w:p>
            <w:pPr>
              <w:ind w:left="80"/>
              <w:spacing w:after="0"/>
              <w:rPr>
                <w:sz w:val="20"/>
                <w:szCs w:val="20"/>
                <w:color w:val="auto"/>
              </w:rPr>
            </w:pPr>
            <w:r>
              <w:rPr>
                <w:rFonts w:ascii="Arial" w:cs="Arial" w:eastAsia="Arial" w:hAnsi="Arial"/>
                <w:sz w:val="13"/>
                <w:szCs w:val="13"/>
                <w:color w:val="auto"/>
              </w:rPr>
              <w:t>Accrued liabilities</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159,606</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128,399</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177,866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20" w:type="dxa"/>
            <w:vAlign w:val="bottom"/>
          </w:tcPr>
          <w:p>
            <w:pPr>
              <w:ind w:left="80"/>
              <w:spacing w:after="0"/>
              <w:rPr>
                <w:sz w:val="20"/>
                <w:szCs w:val="20"/>
                <w:color w:val="auto"/>
              </w:rPr>
            </w:pPr>
            <w:r>
              <w:rPr>
                <w:rFonts w:ascii="Arial" w:cs="Arial" w:eastAsia="Arial" w:hAnsi="Arial"/>
                <w:sz w:val="13"/>
                <w:szCs w:val="13"/>
                <w:color w:val="auto"/>
              </w:rPr>
              <w:t>Deferred revenues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88,857</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90,456</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98,293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20" w:type="dxa"/>
            <w:vAlign w:val="bottom"/>
            <w:shd w:val="clear" w:color="auto" w:fill="CCEEFF"/>
          </w:tcPr>
          <w:p>
            <w:pPr>
              <w:ind w:left="80"/>
              <w:spacing w:after="0"/>
              <w:rPr>
                <w:sz w:val="20"/>
                <w:szCs w:val="20"/>
                <w:color w:val="auto"/>
              </w:rPr>
            </w:pPr>
            <w:r>
              <w:rPr>
                <w:rFonts w:ascii="Arial" w:cs="Arial" w:eastAsia="Arial" w:hAnsi="Arial"/>
                <w:sz w:val="13"/>
                <w:szCs w:val="13"/>
                <w:color w:val="auto"/>
              </w:rPr>
              <w:t>Current portion of operating lease liabilities</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65,071</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65,365</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65,497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20" w:type="dxa"/>
            <w:vAlign w:val="bottom"/>
          </w:tcPr>
          <w:p>
            <w:pPr>
              <w:ind w:left="80"/>
              <w:spacing w:after="0"/>
              <w:rPr>
                <w:sz w:val="20"/>
                <w:szCs w:val="20"/>
                <w:color w:val="auto"/>
              </w:rPr>
            </w:pPr>
            <w:r>
              <w:rPr>
                <w:rFonts w:ascii="Arial" w:cs="Arial" w:eastAsia="Arial" w:hAnsi="Arial"/>
                <w:sz w:val="13"/>
                <w:szCs w:val="13"/>
                <w:color w:val="auto"/>
              </w:rPr>
              <w:t>Current portion of finance lease liabilities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8,812</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8,820</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8,689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20" w:type="dxa"/>
            <w:vAlign w:val="bottom"/>
            <w:shd w:val="clear" w:color="auto" w:fill="CCEEFF"/>
          </w:tcPr>
          <w:p>
            <w:pPr>
              <w:ind w:left="80"/>
              <w:spacing w:after="0"/>
              <w:rPr>
                <w:sz w:val="20"/>
                <w:szCs w:val="20"/>
                <w:color w:val="auto"/>
              </w:rPr>
            </w:pPr>
            <w:r>
              <w:rPr>
                <w:rFonts w:ascii="Arial" w:cs="Arial" w:eastAsia="Arial" w:hAnsi="Arial"/>
                <w:sz w:val="13"/>
                <w:szCs w:val="13"/>
                <w:color w:val="auto"/>
              </w:rPr>
              <w:t>Current portion of Tax Receivable Agreement liability</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1,416</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20" w:type="dxa"/>
            <w:vAlign w:val="bottom"/>
          </w:tcPr>
          <w:p>
            <w:pPr>
              <w:ind w:left="80"/>
              <w:spacing w:after="0"/>
              <w:rPr>
                <w:sz w:val="20"/>
                <w:szCs w:val="20"/>
                <w:color w:val="auto"/>
              </w:rPr>
            </w:pPr>
            <w:r>
              <w:rPr>
                <w:rFonts w:ascii="Arial" w:cs="Arial" w:eastAsia="Arial" w:hAnsi="Arial"/>
                <w:sz w:val="13"/>
                <w:szCs w:val="13"/>
                <w:color w:val="auto"/>
              </w:rPr>
              <w:t>Current portion of long-term debt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23,868</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57,939</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22,749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20" w:type="dxa"/>
            <w:vAlign w:val="bottom"/>
            <w:shd w:val="clear" w:color="auto" w:fill="CCEEFF"/>
          </w:tcPr>
          <w:p>
            <w:pPr>
              <w:ind w:left="80"/>
              <w:spacing w:after="0"/>
              <w:rPr>
                <w:sz w:val="20"/>
                <w:szCs w:val="20"/>
                <w:color w:val="auto"/>
              </w:rPr>
            </w:pPr>
            <w:r>
              <w:rPr>
                <w:rFonts w:ascii="Arial" w:cs="Arial" w:eastAsia="Arial" w:hAnsi="Arial"/>
                <w:sz w:val="13"/>
                <w:szCs w:val="13"/>
                <w:color w:val="auto"/>
              </w:rPr>
              <w:t>Notes payable – floor plan, net</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1,254,357</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1,603,645</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1,361,019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20" w:type="dxa"/>
            <w:vAlign w:val="bottom"/>
            <w:tcBorders>
              <w:bottom w:val="single" w:sz="8" w:color="CCEEFF"/>
            </w:tcBorders>
          </w:tcPr>
          <w:p>
            <w:pPr>
              <w:ind w:left="80"/>
              <w:spacing w:after="0"/>
              <w:rPr>
                <w:sz w:val="20"/>
                <w:szCs w:val="20"/>
                <w:color w:val="auto"/>
              </w:rPr>
            </w:pPr>
            <w:r>
              <w:rPr>
                <w:rFonts w:ascii="Arial" w:cs="Arial" w:eastAsia="Arial" w:hAnsi="Arial"/>
                <w:sz w:val="13"/>
                <w:szCs w:val="13"/>
                <w:color w:val="auto"/>
              </w:rPr>
              <w:t>Other current liabilities</w:t>
            </w: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86,923</w:t>
            </w: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79,391</w:t>
            </w:r>
          </w:p>
        </w:tc>
        <w:tc>
          <w:tcPr>
            <w:tcW w:w="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84,896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2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Total current liabilities</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1,874,907</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2,183,138</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2,044,824</w:t>
            </w:r>
          </w:p>
        </w:tc>
        <w:tc>
          <w:tcPr>
            <w:tcW w:w="0" w:type="dxa"/>
            <w:vAlign w:val="bottom"/>
          </w:tcPr>
          <w:p>
            <w:pPr>
              <w:spacing w:after="0"/>
              <w:rPr>
                <w:sz w:val="1"/>
                <w:szCs w:val="1"/>
                <w:color w:val="auto"/>
              </w:rPr>
            </w:pPr>
          </w:p>
        </w:tc>
      </w:tr>
      <w:tr>
        <w:trPr>
          <w:trHeight w:val="162"/>
        </w:trPr>
        <w:tc>
          <w:tcPr>
            <w:tcW w:w="56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3"/>
                <w:szCs w:val="13"/>
                <w:color w:val="auto"/>
              </w:rPr>
              <w:t>Operating lease liabilities, net of current portion</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804,325</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804,167</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732,884</w:t>
            </w:r>
          </w:p>
        </w:tc>
        <w:tc>
          <w:tcPr>
            <w:tcW w:w="0" w:type="dxa"/>
            <w:vAlign w:val="bottom"/>
          </w:tcPr>
          <w:p>
            <w:pPr>
              <w:spacing w:after="0"/>
              <w:rPr>
                <w:sz w:val="1"/>
                <w:szCs w:val="1"/>
                <w:color w:val="auto"/>
              </w:rPr>
            </w:pPr>
          </w:p>
        </w:tc>
      </w:tr>
      <w:tr>
        <w:trPr>
          <w:trHeight w:val="162"/>
        </w:trPr>
        <w:tc>
          <w:tcPr>
            <w:tcW w:w="5640" w:type="dxa"/>
            <w:vAlign w:val="bottom"/>
            <w:gridSpan w:val="2"/>
          </w:tcPr>
          <w:p>
            <w:pPr>
              <w:spacing w:after="0"/>
              <w:rPr>
                <w:sz w:val="20"/>
                <w:szCs w:val="20"/>
                <w:color w:val="auto"/>
              </w:rPr>
            </w:pPr>
            <w:r>
              <w:rPr>
                <w:rFonts w:ascii="Arial" w:cs="Arial" w:eastAsia="Arial" w:hAnsi="Arial"/>
                <w:sz w:val="13"/>
                <w:szCs w:val="13"/>
                <w:color w:val="auto"/>
              </w:rPr>
              <w:t>Finance lease liabilities, net of current portion</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122,263</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125,384</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128,315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3"/>
                <w:szCs w:val="13"/>
                <w:color w:val="auto"/>
              </w:rPr>
              <w:t>Long-term debt, net of current portion</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1,399,546</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1,413,618</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1,459,307</w:t>
            </w:r>
          </w:p>
        </w:tc>
        <w:tc>
          <w:tcPr>
            <w:tcW w:w="0" w:type="dxa"/>
            <w:vAlign w:val="bottom"/>
          </w:tcPr>
          <w:p>
            <w:pPr>
              <w:spacing w:after="0"/>
              <w:rPr>
                <w:sz w:val="1"/>
                <w:szCs w:val="1"/>
                <w:color w:val="auto"/>
              </w:rPr>
            </w:pPr>
          </w:p>
        </w:tc>
      </w:tr>
      <w:tr>
        <w:trPr>
          <w:trHeight w:val="162"/>
        </w:trPr>
        <w:tc>
          <w:tcPr>
            <w:tcW w:w="5640" w:type="dxa"/>
            <w:vAlign w:val="bottom"/>
            <w:gridSpan w:val="2"/>
          </w:tcPr>
          <w:p>
            <w:pPr>
              <w:spacing w:after="0"/>
              <w:rPr>
                <w:sz w:val="20"/>
                <w:szCs w:val="20"/>
                <w:color w:val="auto"/>
              </w:rPr>
            </w:pPr>
            <w:r>
              <w:rPr>
                <w:rFonts w:ascii="Arial" w:cs="Arial" w:eastAsia="Arial" w:hAnsi="Arial"/>
                <w:sz w:val="13"/>
                <w:szCs w:val="13"/>
                <w:color w:val="auto"/>
              </w:rPr>
              <w:t>Deferred revenues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50,490</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56,773</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61,844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3"/>
                <w:szCs w:val="13"/>
                <w:color w:val="auto"/>
              </w:rPr>
              <w:t>Other long-term liabilities</w:t>
            </w:r>
          </w:p>
        </w:tc>
        <w:tc>
          <w:tcPr>
            <w:tcW w:w="2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95,082</w:t>
            </w:r>
          </w:p>
        </w:tc>
        <w:tc>
          <w:tcPr>
            <w:tcW w:w="16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89,455</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88,819</w:t>
            </w:r>
          </w:p>
        </w:tc>
        <w:tc>
          <w:tcPr>
            <w:tcW w:w="0" w:type="dxa"/>
            <w:vAlign w:val="bottom"/>
          </w:tcPr>
          <w:p>
            <w:pPr>
              <w:spacing w:after="0"/>
              <w:rPr>
                <w:sz w:val="1"/>
                <w:szCs w:val="1"/>
                <w:color w:val="auto"/>
              </w:rPr>
            </w:pPr>
          </w:p>
        </w:tc>
      </w:tr>
      <w:tr>
        <w:trPr>
          <w:trHeight w:val="142"/>
        </w:trPr>
        <w:tc>
          <w:tcPr>
            <w:tcW w:w="5640" w:type="dxa"/>
            <w:vAlign w:val="bottom"/>
            <w:gridSpan w:val="2"/>
          </w:tcPr>
          <w:p>
            <w:pPr>
              <w:spacing w:after="0" w:line="142" w:lineRule="exact"/>
              <w:rPr>
                <w:sz w:val="20"/>
                <w:szCs w:val="20"/>
                <w:color w:val="auto"/>
              </w:rPr>
            </w:pPr>
            <w:r>
              <w:rPr>
                <w:rFonts w:ascii="Arial" w:cs="Arial" w:eastAsia="Arial" w:hAnsi="Arial"/>
                <w:sz w:val="13"/>
                <w:szCs w:val="13"/>
                <w:color w:val="auto"/>
              </w:rPr>
              <w:t>Total liabilities</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3"/>
                <w:szCs w:val="13"/>
                <w:color w:val="auto"/>
              </w:rPr>
              <w:t>4,346,613</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3"/>
                <w:szCs w:val="13"/>
                <w:color w:val="auto"/>
              </w:rPr>
              <w:t>4,672,535</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3"/>
                <w:szCs w:val="13"/>
                <w:color w:val="auto"/>
              </w:rPr>
              <w:t>4,515,993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3"/>
                <w:szCs w:val="13"/>
                <w:color w:val="auto"/>
              </w:rPr>
              <w:t>Commitments and contingencies</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20" w:type="dxa"/>
            <w:vAlign w:val="bottom"/>
          </w:tcPr>
          <w:p>
            <w:pPr>
              <w:spacing w:after="0"/>
              <w:rPr>
                <w:sz w:val="20"/>
                <w:szCs w:val="20"/>
                <w:color w:val="auto"/>
              </w:rPr>
            </w:pPr>
            <w:r>
              <w:rPr>
                <w:rFonts w:ascii="Arial" w:cs="Arial" w:eastAsia="Arial" w:hAnsi="Arial"/>
                <w:sz w:val="13"/>
                <w:szCs w:val="13"/>
                <w:color w:val="auto"/>
              </w:rPr>
              <w:t>Stockholders' equity:</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5620" w:type="dxa"/>
            <w:vAlign w:val="bottom"/>
            <w:shd w:val="clear" w:color="auto" w:fill="CCEEFF"/>
          </w:tcPr>
          <w:p>
            <w:pPr>
              <w:ind w:left="80"/>
              <w:spacing w:after="0" w:line="136" w:lineRule="exact"/>
              <w:rPr>
                <w:sz w:val="20"/>
                <w:szCs w:val="20"/>
                <w:color w:val="auto"/>
              </w:rPr>
            </w:pPr>
            <w:r>
              <w:rPr>
                <w:rFonts w:ascii="Arial" w:cs="Arial" w:eastAsia="Arial" w:hAnsi="Arial"/>
                <w:sz w:val="13"/>
                <w:szCs w:val="13"/>
                <w:color w:val="auto"/>
              </w:rPr>
              <w:t>Preferred stock, par value $0.01 per share – 20,000 shares authorized; none issued and</w:t>
            </w: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620" w:type="dxa"/>
            <w:vAlign w:val="bottom"/>
            <w:shd w:val="clear" w:color="auto" w:fill="CCEEFF"/>
          </w:tcPr>
          <w:p>
            <w:pPr>
              <w:ind w:left="80"/>
              <w:spacing w:after="0"/>
              <w:rPr>
                <w:sz w:val="20"/>
                <w:szCs w:val="20"/>
                <w:color w:val="auto"/>
              </w:rPr>
            </w:pPr>
            <w:r>
              <w:rPr>
                <w:rFonts w:ascii="Arial" w:cs="Arial" w:eastAsia="Arial" w:hAnsi="Arial"/>
                <w:sz w:val="13"/>
                <w:szCs w:val="13"/>
                <w:color w:val="auto"/>
              </w:rPr>
              <w:t>outstanding</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5620" w:type="dxa"/>
            <w:vAlign w:val="bottom"/>
          </w:tcPr>
          <w:p>
            <w:pPr>
              <w:ind w:left="80"/>
              <w:spacing w:after="0" w:line="136" w:lineRule="exact"/>
              <w:rPr>
                <w:sz w:val="20"/>
                <w:szCs w:val="20"/>
                <w:color w:val="auto"/>
              </w:rPr>
            </w:pPr>
            <w:r>
              <w:rPr>
                <w:rFonts w:ascii="Arial" w:cs="Arial" w:eastAsia="Arial" w:hAnsi="Arial"/>
                <w:sz w:val="13"/>
                <w:szCs w:val="13"/>
                <w:color w:val="auto"/>
              </w:rPr>
              <w:t>Class A common stock, par value $0.01 per share – 250,000 shares authorized; 63,890,</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620" w:type="dxa"/>
            <w:vAlign w:val="bottom"/>
          </w:tcPr>
          <w:p>
            <w:pPr>
              <w:ind w:left="80"/>
              <w:spacing w:after="0"/>
              <w:rPr>
                <w:sz w:val="20"/>
                <w:szCs w:val="20"/>
                <w:color w:val="auto"/>
              </w:rPr>
            </w:pPr>
            <w:r>
              <w:rPr>
                <w:rFonts w:ascii="Arial" w:cs="Arial" w:eastAsia="Arial" w:hAnsi="Arial"/>
                <w:sz w:val="13"/>
                <w:szCs w:val="13"/>
                <w:color w:val="auto"/>
              </w:rPr>
              <w:t>63,437 and 62,819 shares issued and outstanding, respectively</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639</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634</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628</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5620" w:type="dxa"/>
            <w:vAlign w:val="bottom"/>
            <w:shd w:val="clear" w:color="auto" w:fill="CCEEFF"/>
          </w:tcPr>
          <w:p>
            <w:pPr>
              <w:ind w:left="80"/>
              <w:spacing w:after="0" w:line="136" w:lineRule="exact"/>
              <w:rPr>
                <w:sz w:val="20"/>
                <w:szCs w:val="20"/>
                <w:color w:val="auto"/>
              </w:rPr>
            </w:pPr>
            <w:r>
              <w:rPr>
                <w:rFonts w:ascii="Arial" w:cs="Arial" w:eastAsia="Arial" w:hAnsi="Arial"/>
                <w:sz w:val="13"/>
                <w:szCs w:val="13"/>
                <w:color w:val="auto"/>
              </w:rPr>
              <w:t>Class B common stock, par value $0.0001 per share – 75,000 shares authorized; 39,466</w:t>
            </w: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620" w:type="dxa"/>
            <w:vAlign w:val="bottom"/>
            <w:shd w:val="clear" w:color="auto" w:fill="CCEEFF"/>
          </w:tcPr>
          <w:p>
            <w:pPr>
              <w:ind w:left="80"/>
              <w:spacing w:after="0"/>
              <w:rPr>
                <w:sz w:val="20"/>
                <w:szCs w:val="20"/>
                <w:color w:val="auto"/>
              </w:rPr>
            </w:pPr>
            <w:r>
              <w:rPr>
                <w:rFonts w:ascii="Arial" w:cs="Arial" w:eastAsia="Arial" w:hAnsi="Arial"/>
                <w:sz w:val="13"/>
                <w:szCs w:val="13"/>
                <w:color w:val="auto"/>
              </w:rPr>
              <w:t>shares issued and outstanding</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5620" w:type="dxa"/>
            <w:vAlign w:val="bottom"/>
          </w:tcPr>
          <w:p>
            <w:pPr>
              <w:ind w:left="80"/>
              <w:spacing w:after="0" w:line="136" w:lineRule="exact"/>
              <w:rPr>
                <w:sz w:val="20"/>
                <w:szCs w:val="20"/>
                <w:color w:val="auto"/>
              </w:rPr>
            </w:pPr>
            <w:r>
              <w:rPr>
                <w:rFonts w:ascii="Arial" w:cs="Arial" w:eastAsia="Arial" w:hAnsi="Arial"/>
                <w:sz w:val="13"/>
                <w:szCs w:val="13"/>
                <w:color w:val="auto"/>
              </w:rPr>
              <w:t>Class C common stock, par value $0.0001 per share – 0.001 share authorized, issued</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620" w:type="dxa"/>
            <w:vAlign w:val="bottom"/>
          </w:tcPr>
          <w:p>
            <w:pPr>
              <w:ind w:left="80"/>
              <w:spacing w:after="0"/>
              <w:rPr>
                <w:sz w:val="20"/>
                <w:szCs w:val="20"/>
                <w:color w:val="auto"/>
              </w:rPr>
            </w:pPr>
            <w:r>
              <w:rPr>
                <w:rFonts w:ascii="Arial" w:cs="Arial" w:eastAsia="Arial" w:hAnsi="Arial"/>
                <w:sz w:val="13"/>
                <w:szCs w:val="13"/>
                <w:color w:val="auto"/>
              </w:rPr>
              <w:t>and outstanding</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20" w:type="dxa"/>
            <w:vAlign w:val="bottom"/>
            <w:shd w:val="clear" w:color="auto" w:fill="CCEEFF"/>
          </w:tcPr>
          <w:p>
            <w:pPr>
              <w:ind w:left="80"/>
              <w:spacing w:after="0"/>
              <w:rPr>
                <w:sz w:val="20"/>
                <w:szCs w:val="20"/>
                <w:color w:val="auto"/>
              </w:rPr>
            </w:pPr>
            <w:r>
              <w:rPr>
                <w:rFonts w:ascii="Arial" w:cs="Arial" w:eastAsia="Arial" w:hAnsi="Arial"/>
                <w:sz w:val="13"/>
                <w:szCs w:val="13"/>
                <w:color w:val="auto"/>
              </w:rPr>
              <w:t>Additional paid-in capital</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225,702</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216,944</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209,349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20" w:type="dxa"/>
            <w:vAlign w:val="bottom"/>
            <w:tcBorders>
              <w:bottom w:val="single" w:sz="8" w:color="CCEEFF"/>
            </w:tcBorders>
          </w:tcPr>
          <w:p>
            <w:pPr>
              <w:ind w:left="80"/>
              <w:spacing w:after="0"/>
              <w:rPr>
                <w:sz w:val="20"/>
                <w:szCs w:val="20"/>
                <w:color w:val="auto"/>
              </w:rPr>
            </w:pPr>
            <w:r>
              <w:rPr>
                <w:rFonts w:ascii="Arial" w:cs="Arial" w:eastAsia="Arial" w:hAnsi="Arial"/>
                <w:sz w:val="13"/>
                <w:szCs w:val="13"/>
                <w:color w:val="auto"/>
              </w:rPr>
              <w:t>Retained (deficit) earnings</w:t>
            </w: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(175,553)</w:t>
            </w: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11,008</w:t>
            </w:r>
          </w:p>
        </w:tc>
        <w:tc>
          <w:tcPr>
            <w:tcW w:w="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86,235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2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Total stockholders' equity attributable to Camping World Holdings, Inc.</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50,792</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228,590</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296,216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2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Non-controlling interests</w:t>
            </w: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31,254</w:t>
            </w: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143,209</w:t>
            </w:r>
          </w:p>
        </w:tc>
        <w:tc>
          <w:tcPr>
            <w:tcW w:w="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186,758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2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Total stockholders' equity</w:t>
            </w:r>
          </w:p>
        </w:tc>
        <w:tc>
          <w:tcPr>
            <w:tcW w:w="2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82,046</w:t>
            </w:r>
          </w:p>
        </w:tc>
        <w:tc>
          <w:tcPr>
            <w:tcW w:w="16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371,799</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482,974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20" w:type="dxa"/>
            <w:vAlign w:val="bottom"/>
          </w:tcPr>
          <w:p>
            <w:pPr>
              <w:spacing w:after="0" w:line="142" w:lineRule="exact"/>
              <w:rPr>
                <w:sz w:val="20"/>
                <w:szCs w:val="20"/>
                <w:color w:val="auto"/>
              </w:rPr>
            </w:pPr>
            <w:r>
              <w:rPr>
                <w:rFonts w:ascii="Arial" w:cs="Arial" w:eastAsia="Arial" w:hAnsi="Arial"/>
                <w:sz w:val="13"/>
                <w:szCs w:val="13"/>
                <w:color w:val="auto"/>
              </w:rPr>
              <w:t>Total liabilities and stockholders' equity</w:t>
            </w:r>
          </w:p>
        </w:tc>
        <w:tc>
          <w:tcPr>
            <w:tcW w:w="20" w:type="dxa"/>
            <w:vAlign w:val="bottom"/>
          </w:tcPr>
          <w:p>
            <w:pPr>
              <w:spacing w:after="0"/>
              <w:rPr>
                <w:sz w:val="12"/>
                <w:szCs w:val="12"/>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line="142" w:lineRule="exact"/>
              <w:rPr>
                <w:sz w:val="20"/>
                <w:szCs w:val="20"/>
                <w:color w:val="auto"/>
              </w:rPr>
            </w:pPr>
            <w:r>
              <w:rPr>
                <w:rFonts w:ascii="Arial" w:cs="Arial" w:eastAsia="Arial" w:hAnsi="Arial"/>
                <w:sz w:val="13"/>
                <w:szCs w:val="13"/>
                <w:color w:val="auto"/>
              </w:rPr>
              <w:t>4,428,659</w:t>
            </w:r>
          </w:p>
        </w:tc>
        <w:tc>
          <w:tcPr>
            <w:tcW w:w="160" w:type="dxa"/>
            <w:vAlign w:val="bottom"/>
          </w:tcPr>
          <w:p>
            <w:pPr>
              <w:spacing w:after="0"/>
              <w:rPr>
                <w:sz w:val="12"/>
                <w:szCs w:val="12"/>
                <w:color w:val="auto"/>
              </w:rPr>
            </w:pPr>
          </w:p>
        </w:tc>
        <w:tc>
          <w:tcPr>
            <w:tcW w:w="180" w:type="dxa"/>
            <w:vAlign w:val="bottom"/>
          </w:tcPr>
          <w:p>
            <w:pPr>
              <w:jc w:val="right"/>
              <w:ind w:right="64"/>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line="142" w:lineRule="exact"/>
              <w:rPr>
                <w:sz w:val="20"/>
                <w:szCs w:val="20"/>
                <w:color w:val="auto"/>
              </w:rPr>
            </w:pPr>
            <w:r>
              <w:rPr>
                <w:rFonts w:ascii="Arial" w:cs="Arial" w:eastAsia="Arial" w:hAnsi="Arial"/>
                <w:sz w:val="13"/>
                <w:szCs w:val="13"/>
                <w:color w:val="auto"/>
              </w:rPr>
              <w:t>5,044,334</w:t>
            </w:r>
          </w:p>
        </w:tc>
        <w:tc>
          <w:tcPr>
            <w:tcW w:w="180" w:type="dxa"/>
            <w:vAlign w:val="bottom"/>
            <w:gridSpan w:val="2"/>
          </w:tcPr>
          <w:p>
            <w:pPr>
              <w:spacing w:after="0"/>
              <w:rPr>
                <w:sz w:val="12"/>
                <w:szCs w:val="12"/>
                <w:color w:val="auto"/>
              </w:rPr>
            </w:pPr>
          </w:p>
        </w:tc>
        <w:tc>
          <w:tcPr>
            <w:tcW w:w="180" w:type="dxa"/>
            <w:vAlign w:val="bottom"/>
          </w:tcPr>
          <w:p>
            <w:pPr>
              <w:jc w:val="right"/>
              <w:ind w:right="103"/>
              <w:spacing w:after="0"/>
              <w:rPr>
                <w:sz w:val="20"/>
                <w:szCs w:val="20"/>
                <w:color w:val="auto"/>
              </w:rPr>
            </w:pPr>
            <w:r>
              <w:rPr>
                <w:rFonts w:ascii="Arial" w:cs="Arial" w:eastAsia="Arial" w:hAnsi="Arial"/>
                <w:sz w:val="4"/>
                <w:szCs w:val="4"/>
                <w:color w:val="auto"/>
                <w:w w:val="87"/>
              </w:rPr>
              <w:t>$</w:t>
            </w:r>
          </w:p>
        </w:tc>
        <w:tc>
          <w:tcPr>
            <w:tcW w:w="800" w:type="dxa"/>
            <w:vAlign w:val="bottom"/>
          </w:tcPr>
          <w:p>
            <w:pPr>
              <w:jc w:val="right"/>
              <w:spacing w:after="0" w:line="142" w:lineRule="exact"/>
              <w:rPr>
                <w:sz w:val="20"/>
                <w:szCs w:val="20"/>
                <w:color w:val="auto"/>
              </w:rPr>
            </w:pPr>
            <w:r>
              <w:rPr>
                <w:rFonts w:ascii="Arial" w:cs="Arial" w:eastAsia="Arial" w:hAnsi="Arial"/>
                <w:sz w:val="13"/>
                <w:szCs w:val="13"/>
                <w:color w:val="auto"/>
              </w:rPr>
              <w:t>4,998,967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 w:name="page7"/>
    <w:bookmarkEnd w:id="6"/>
    <w:p>
      <w:pPr>
        <w:ind w:left="2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Camping World Holdings, Inc. and Subsidiaries</w:t>
      </w:r>
    </w:p>
    <w:p>
      <w:pPr>
        <w:jc w:val="center"/>
        <w:ind w:right="-19"/>
        <w:spacing w:after="0" w:line="230" w:lineRule="auto"/>
        <w:rPr>
          <w:sz w:val="20"/>
          <w:szCs w:val="20"/>
          <w:color w:val="auto"/>
        </w:rPr>
      </w:pPr>
      <w:r>
        <w:rPr>
          <w:rFonts w:ascii="Arial" w:cs="Arial" w:eastAsia="Arial" w:hAnsi="Arial"/>
          <w:sz w:val="15"/>
          <w:szCs w:val="15"/>
          <w:color w:val="auto"/>
        </w:rPr>
        <w:t>Unaudited Condensed Consolidated Statements of Operations</w:t>
      </w:r>
    </w:p>
    <w:p>
      <w:pPr>
        <w:jc w:val="center"/>
        <w:ind w:right="-19"/>
        <w:spacing w:after="0"/>
        <w:rPr>
          <w:sz w:val="20"/>
          <w:szCs w:val="20"/>
          <w:color w:val="auto"/>
        </w:rPr>
      </w:pPr>
      <w:r>
        <w:rPr>
          <w:rFonts w:ascii="Arial" w:cs="Arial" w:eastAsia="Arial" w:hAnsi="Arial"/>
          <w:sz w:val="15"/>
          <w:szCs w:val="15"/>
          <w:color w:val="auto"/>
        </w:rPr>
        <w:t>(In Thousands Except Per Share Amounts)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40" w:type="dxa"/>
            <w:vAlign w:val="bottom"/>
            <w:gridSpan w:val="4"/>
          </w:tcPr>
          <w:p>
            <w:pPr>
              <w:jc w:val="right"/>
              <w:ind w:right="268"/>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gridSpan w:val="4"/>
          </w:tcPr>
          <w:p>
            <w:pPr>
              <w:jc w:val="right"/>
              <w:ind w:right="288"/>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right"/>
              <w:ind w:right="508"/>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right"/>
              <w:ind w:right="488"/>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ind w:right="248"/>
              <w:spacing w:after="0" w:line="155" w:lineRule="exact"/>
              <w:rPr>
                <w:sz w:val="20"/>
                <w:szCs w:val="20"/>
                <w:color w:val="auto"/>
              </w:rPr>
            </w:pPr>
            <w:r>
              <w:rPr>
                <w:rFonts w:ascii="Arial" w:cs="Arial" w:eastAsia="Arial" w:hAnsi="Arial"/>
                <w:sz w:val="14"/>
                <w:szCs w:val="14"/>
                <w:b w:val="1"/>
                <w:bCs w:val="1"/>
                <w:color w:val="auto"/>
              </w:rPr>
              <w:t>2026</w:t>
            </w:r>
          </w:p>
        </w:tc>
        <w:tc>
          <w:tcPr>
            <w:tcW w:w="360" w:type="dxa"/>
            <w:vAlign w:val="bottom"/>
            <w:gridSpan w:val="2"/>
          </w:tcPr>
          <w:p>
            <w:pPr>
              <w:jc w:val="right"/>
              <w:ind w:right="88"/>
              <w:spacing w:after="0" w:line="155" w:lineRule="exact"/>
              <w:rPr>
                <w:sz w:val="20"/>
                <w:szCs w:val="20"/>
                <w:color w:val="auto"/>
              </w:rPr>
            </w:pPr>
            <w:r>
              <w:rPr>
                <w:rFonts w:ascii="Arial" w:cs="Arial" w:eastAsia="Arial" w:hAnsi="Arial"/>
                <w:sz w:val="14"/>
                <w:szCs w:val="14"/>
                <w:b w:val="1"/>
                <w:bCs w:val="1"/>
                <w:color w:val="auto"/>
              </w:rPr>
              <w:t>​​​</w:t>
            </w:r>
          </w:p>
        </w:tc>
        <w:tc>
          <w:tcPr>
            <w:tcW w:w="780" w:type="dxa"/>
            <w:vAlign w:val="bottom"/>
          </w:tcPr>
          <w:p>
            <w:pPr>
              <w:jc w:val="right"/>
              <w:ind w:right="248"/>
              <w:spacing w:after="0" w:line="155" w:lineRule="exact"/>
              <w:rPr>
                <w:sz w:val="20"/>
                <w:szCs w:val="20"/>
                <w:color w:val="auto"/>
              </w:rPr>
            </w:pPr>
            <w:r>
              <w:rPr>
                <w:rFonts w:ascii="Arial" w:cs="Arial" w:eastAsia="Arial" w:hAnsi="Arial"/>
                <w:sz w:val="14"/>
                <w:szCs w:val="14"/>
                <w:b w:val="1"/>
                <w:bCs w:val="1"/>
                <w:color w:val="auto"/>
              </w:rPr>
              <w:t>2025</w:t>
            </w:r>
          </w:p>
        </w:tc>
        <w:tc>
          <w:tcPr>
            <w:tcW w:w="200" w:type="dxa"/>
            <w:vAlign w:val="bottom"/>
          </w:tcPr>
          <w:p>
            <w:pPr>
              <w:ind w:left="80"/>
              <w:spacing w:after="0" w:line="155"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c>
          <w:tcPr>
            <w:tcW w:w="740" w:type="dxa"/>
            <w:vAlign w:val="bottom"/>
          </w:tcPr>
          <w:p>
            <w:pPr>
              <w:jc w:val="right"/>
              <w:ind w:right="208"/>
              <w:spacing w:after="0" w:line="155" w:lineRule="exact"/>
              <w:rPr>
                <w:sz w:val="20"/>
                <w:szCs w:val="20"/>
                <w:color w:val="auto"/>
              </w:rPr>
            </w:pPr>
            <w:r>
              <w:rPr>
                <w:rFonts w:ascii="Arial" w:cs="Arial" w:eastAsia="Arial" w:hAnsi="Arial"/>
                <w:sz w:val="14"/>
                <w:szCs w:val="14"/>
                <w:b w:val="1"/>
                <w:bCs w:val="1"/>
                <w:color w:val="auto"/>
              </w:rPr>
              <w:t>2026</w:t>
            </w:r>
          </w:p>
        </w:tc>
        <w:tc>
          <w:tcPr>
            <w:tcW w:w="380" w:type="dxa"/>
            <w:vAlign w:val="bottom"/>
            <w:gridSpan w:val="2"/>
          </w:tcPr>
          <w:p>
            <w:pPr>
              <w:jc w:val="right"/>
              <w:ind w:right="108"/>
              <w:spacing w:after="0" w:line="155" w:lineRule="exact"/>
              <w:rPr>
                <w:sz w:val="20"/>
                <w:szCs w:val="20"/>
                <w:color w:val="auto"/>
              </w:rPr>
            </w:pPr>
            <w:r>
              <w:rPr>
                <w:rFonts w:ascii="Arial" w:cs="Arial" w:eastAsia="Arial" w:hAnsi="Arial"/>
                <w:sz w:val="14"/>
                <w:szCs w:val="14"/>
                <w:b w:val="1"/>
                <w:bCs w:val="1"/>
                <w:color w:val="auto"/>
              </w:rPr>
              <w:t>​​​</w:t>
            </w:r>
          </w:p>
        </w:tc>
        <w:tc>
          <w:tcPr>
            <w:tcW w:w="780" w:type="dxa"/>
            <w:vAlign w:val="bottom"/>
          </w:tcPr>
          <w:p>
            <w:pPr>
              <w:jc w:val="right"/>
              <w:ind w:right="248"/>
              <w:spacing w:after="0" w:line="155" w:lineRule="exact"/>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4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Revenue:</w:t>
            </w: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40" w:type="dxa"/>
            <w:vAlign w:val="bottom"/>
          </w:tcPr>
          <w:p>
            <w:pPr>
              <w:ind w:left="100"/>
              <w:spacing w:after="0"/>
              <w:rPr>
                <w:sz w:val="20"/>
                <w:szCs w:val="20"/>
                <w:color w:val="auto"/>
              </w:rPr>
            </w:pPr>
            <w:r>
              <w:rPr>
                <w:rFonts w:ascii="Arial" w:cs="Arial" w:eastAsia="Arial" w:hAnsi="Arial"/>
                <w:sz w:val="14"/>
                <w:szCs w:val="14"/>
                <w:color w:val="auto"/>
              </w:rPr>
              <w:t>Good Sam Services and Plans</w:t>
            </w:r>
          </w:p>
        </w:tc>
        <w:tc>
          <w:tcPr>
            <w:tcW w:w="28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50,066</w:t>
            </w:r>
          </w:p>
        </w:tc>
        <w:tc>
          <w:tcPr>
            <w:tcW w:w="36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52,508</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153,153</w:t>
            </w:r>
          </w:p>
        </w:tc>
        <w:tc>
          <w:tcPr>
            <w:tcW w:w="38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152,929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RV and Outdoor Retail</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40" w:type="dxa"/>
            <w:vAlign w:val="bottom"/>
          </w:tcPr>
          <w:p>
            <w:pPr>
              <w:ind w:left="200"/>
              <w:spacing w:after="0"/>
              <w:rPr>
                <w:sz w:val="20"/>
                <w:szCs w:val="20"/>
                <w:color w:val="auto"/>
              </w:rPr>
            </w:pPr>
            <w:r>
              <w:rPr>
                <w:rFonts w:ascii="Arial" w:cs="Arial" w:eastAsia="Arial" w:hAnsi="Arial"/>
                <w:sz w:val="14"/>
                <w:szCs w:val="14"/>
                <w:color w:val="auto"/>
              </w:rPr>
              <w:t>New vehicles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638,903</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766,779</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2,095,644</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2,303,317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Used vehicles</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518,490</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589,092</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1,502,592</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1,583,714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40" w:type="dxa"/>
            <w:vAlign w:val="bottom"/>
          </w:tcPr>
          <w:p>
            <w:pPr>
              <w:ind w:left="200"/>
              <w:spacing w:after="0"/>
              <w:rPr>
                <w:sz w:val="20"/>
                <w:szCs w:val="20"/>
                <w:color w:val="auto"/>
              </w:rPr>
            </w:pPr>
            <w:r>
              <w:rPr>
                <w:rFonts w:ascii="Arial" w:cs="Arial" w:eastAsia="Arial" w:hAnsi="Arial"/>
                <w:sz w:val="14"/>
                <w:szCs w:val="14"/>
                <w:color w:val="auto"/>
              </w:rPr>
              <w:t>Products, service and other</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208,993</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208,634</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584,976</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596,516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Finance and insurance, net</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147,479</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178,297</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495,256</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528,162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4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Good Sam Club</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18,979</w:t>
            </w: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10,808</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39,933</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30,952</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740" w:type="dxa"/>
            <w:vAlign w:val="bottom"/>
            <w:shd w:val="clear" w:color="auto" w:fill="CCEEFF"/>
          </w:tcPr>
          <w:p>
            <w:pPr>
              <w:ind w:left="200"/>
              <w:spacing w:after="0" w:line="155" w:lineRule="exact"/>
              <w:rPr>
                <w:sz w:val="20"/>
                <w:szCs w:val="20"/>
                <w:color w:val="auto"/>
              </w:rPr>
            </w:pPr>
            <w:r>
              <w:rPr>
                <w:rFonts w:ascii="Arial" w:cs="Arial" w:eastAsia="Arial" w:hAnsi="Arial"/>
                <w:sz w:val="14"/>
                <w:szCs w:val="14"/>
                <w:color w:val="auto"/>
              </w:rPr>
              <w:t>Subtotal</w:t>
            </w:r>
          </w:p>
        </w:tc>
        <w:tc>
          <w:tcPr>
            <w:tcW w:w="12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1,532,844</w:t>
            </w:r>
          </w:p>
        </w:tc>
        <w:tc>
          <w:tcPr>
            <w:tcW w:w="1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1,753,610</w:t>
            </w:r>
          </w:p>
        </w:tc>
        <w:tc>
          <w:tcPr>
            <w:tcW w:w="20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4,718,401</w:t>
            </w:r>
          </w:p>
        </w:tc>
        <w:tc>
          <w:tcPr>
            <w:tcW w:w="2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5,042,661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40" w:type="dxa"/>
            <w:vAlign w:val="bottom"/>
          </w:tcPr>
          <w:p>
            <w:pPr>
              <w:spacing w:after="0" w:line="155" w:lineRule="exact"/>
              <w:rPr>
                <w:sz w:val="20"/>
                <w:szCs w:val="20"/>
                <w:color w:val="auto"/>
              </w:rPr>
            </w:pPr>
            <w:r>
              <w:rPr>
                <w:rFonts w:ascii="Arial" w:cs="Arial" w:eastAsia="Arial" w:hAnsi="Arial"/>
                <w:sz w:val="14"/>
                <w:szCs w:val="14"/>
                <w:color w:val="auto"/>
              </w:rPr>
              <w:t>Total revenue</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1,582,910</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1,806,118</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4,871,554</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5,195,590</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74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Costs  applicable  to  revenue  (exclusive  of  depreciation  and  amortization  shown</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4"/>
                <w:szCs w:val="14"/>
                <w:color w:val="auto"/>
              </w:rPr>
              <w:t>separately below):</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40" w:type="dxa"/>
            <w:vAlign w:val="bottom"/>
          </w:tcPr>
          <w:p>
            <w:pPr>
              <w:ind w:left="100"/>
              <w:spacing w:after="0"/>
              <w:rPr>
                <w:sz w:val="20"/>
                <w:szCs w:val="20"/>
                <w:color w:val="auto"/>
              </w:rPr>
            </w:pPr>
            <w:r>
              <w:rPr>
                <w:rFonts w:ascii="Arial" w:cs="Arial" w:eastAsia="Arial" w:hAnsi="Arial"/>
                <w:sz w:val="14"/>
                <w:szCs w:val="14"/>
                <w:color w:val="auto"/>
              </w:rPr>
              <w:t>Good Sam Services and Plans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18,874</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22,772</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58,669</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62,440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RV and Outdoor Retail</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40" w:type="dxa"/>
            <w:vAlign w:val="bottom"/>
          </w:tcPr>
          <w:p>
            <w:pPr>
              <w:ind w:left="200"/>
              <w:spacing w:after="0"/>
              <w:rPr>
                <w:sz w:val="20"/>
                <w:szCs w:val="20"/>
                <w:color w:val="auto"/>
              </w:rPr>
            </w:pPr>
            <w:r>
              <w:rPr>
                <w:rFonts w:ascii="Arial" w:cs="Arial" w:eastAsia="Arial" w:hAnsi="Arial"/>
                <w:sz w:val="14"/>
                <w:szCs w:val="14"/>
                <w:color w:val="auto"/>
              </w:rPr>
              <w:t>New vehicles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573,892</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669,415</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1,863,791</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1,994,647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Used vehicles</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425,390</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481,217</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1,242,569</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1,280,417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40" w:type="dxa"/>
            <w:vAlign w:val="bottom"/>
          </w:tcPr>
          <w:p>
            <w:pPr>
              <w:ind w:left="200"/>
              <w:spacing w:after="0"/>
              <w:rPr>
                <w:sz w:val="20"/>
                <w:szCs w:val="20"/>
                <w:color w:val="auto"/>
              </w:rPr>
            </w:pPr>
            <w:r>
              <w:rPr>
                <w:rFonts w:ascii="Arial" w:cs="Arial" w:eastAsia="Arial" w:hAnsi="Arial"/>
                <w:sz w:val="14"/>
                <w:szCs w:val="14"/>
                <w:color w:val="auto"/>
              </w:rPr>
              <w:t>Products, service and other</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129,046</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114,427</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326,526</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315,578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Good Sam Club</w:t>
            </w:r>
          </w:p>
        </w:tc>
        <w:tc>
          <w:tcPr>
            <w:tcW w:w="1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1,449</w:t>
            </w:r>
          </w:p>
        </w:tc>
        <w:tc>
          <w:tcPr>
            <w:tcW w:w="1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1,254</w:t>
            </w:r>
          </w:p>
        </w:tc>
        <w:tc>
          <w:tcPr>
            <w:tcW w:w="2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4,023</w:t>
            </w:r>
          </w:p>
        </w:tc>
        <w:tc>
          <w:tcPr>
            <w:tcW w:w="2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3,592</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740" w:type="dxa"/>
            <w:vAlign w:val="bottom"/>
            <w:tcBorders>
              <w:bottom w:val="single" w:sz="8" w:color="CCEEFF"/>
            </w:tcBorders>
          </w:tcPr>
          <w:p>
            <w:pPr>
              <w:ind w:left="200"/>
              <w:spacing w:after="0" w:line="155" w:lineRule="exact"/>
              <w:rPr>
                <w:sz w:val="20"/>
                <w:szCs w:val="20"/>
                <w:color w:val="auto"/>
              </w:rPr>
            </w:pPr>
            <w:r>
              <w:rPr>
                <w:rFonts w:ascii="Arial" w:cs="Arial" w:eastAsia="Arial" w:hAnsi="Arial"/>
                <w:sz w:val="14"/>
                <w:szCs w:val="14"/>
                <w:color w:val="auto"/>
              </w:rPr>
              <w:t>Subtotal</w:t>
            </w:r>
          </w:p>
        </w:tc>
        <w:tc>
          <w:tcPr>
            <w:tcW w:w="1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1,129,777</w:t>
            </w:r>
          </w:p>
        </w:tc>
        <w:tc>
          <w:tcPr>
            <w:tcW w:w="1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1,266,313</w:t>
            </w:r>
          </w:p>
        </w:tc>
        <w:tc>
          <w:tcPr>
            <w:tcW w:w="2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3,436,909</w:t>
            </w:r>
          </w:p>
        </w:tc>
        <w:tc>
          <w:tcPr>
            <w:tcW w:w="2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3,594,234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4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Total costs applicable to revenue</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1,148,651</w:t>
            </w: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1,289,085</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3,495,578</w:t>
            </w: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3,656,674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40" w:type="dxa"/>
            <w:vAlign w:val="bottom"/>
          </w:tcPr>
          <w:p>
            <w:pPr>
              <w:spacing w:after="0"/>
              <w:rPr>
                <w:sz w:val="20"/>
                <w:szCs w:val="20"/>
                <w:color w:val="auto"/>
              </w:rPr>
            </w:pPr>
            <w:r>
              <w:rPr>
                <w:rFonts w:ascii="Arial" w:cs="Arial" w:eastAsia="Arial" w:hAnsi="Arial"/>
                <w:sz w:val="14"/>
                <w:szCs w:val="14"/>
                <w:color w:val="auto"/>
              </w:rPr>
              <w:t>Operating expenses: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Selling, general, and administrative</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387,084</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411,011</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1,156,248</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1,235,945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40" w:type="dxa"/>
            <w:vAlign w:val="bottom"/>
          </w:tcPr>
          <w:p>
            <w:pPr>
              <w:ind w:left="100"/>
              <w:spacing w:after="0"/>
              <w:rPr>
                <w:sz w:val="20"/>
                <w:szCs w:val="20"/>
                <w:color w:val="auto"/>
              </w:rPr>
            </w:pPr>
            <w:r>
              <w:rPr>
                <w:rFonts w:ascii="Arial" w:cs="Arial" w:eastAsia="Arial" w:hAnsi="Arial"/>
                <w:sz w:val="14"/>
                <w:szCs w:val="14"/>
                <w:color w:val="auto"/>
              </w:rPr>
              <w:t>Debt restructure expense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510</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510</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Depreciation and amortization</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26,967</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25,654</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74,319</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71,617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40" w:type="dxa"/>
            <w:vAlign w:val="bottom"/>
          </w:tcPr>
          <w:p>
            <w:pPr>
              <w:ind w:left="100"/>
              <w:spacing w:after="0"/>
              <w:rPr>
                <w:sz w:val="20"/>
                <w:szCs w:val="20"/>
                <w:color w:val="auto"/>
              </w:rPr>
            </w:pPr>
            <w:r>
              <w:rPr>
                <w:rFonts w:ascii="Arial" w:cs="Arial" w:eastAsia="Arial" w:hAnsi="Arial"/>
                <w:sz w:val="14"/>
                <w:szCs w:val="14"/>
                <w:color w:val="auto"/>
              </w:rPr>
              <w:t>Goodwill impairment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286,748</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286,748</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Long-lived asset impairment</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6,668</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617</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19,767</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40" w:type="dxa"/>
            <w:vAlign w:val="bottom"/>
          </w:tcPr>
          <w:p>
            <w:pPr>
              <w:ind w:left="100"/>
              <w:spacing w:after="0"/>
              <w:rPr>
                <w:sz w:val="20"/>
                <w:szCs w:val="20"/>
                <w:color w:val="auto"/>
              </w:rPr>
            </w:pPr>
            <w:r>
              <w:rPr>
                <w:rFonts w:ascii="Arial" w:cs="Arial" w:eastAsia="Arial" w:hAnsi="Arial"/>
                <w:sz w:val="14"/>
                <w:szCs w:val="14"/>
                <w:color w:val="auto"/>
              </w:rPr>
              <w:t>Loss (gain) on lease termination and/or remeasurement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51</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76</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107</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(Gain) loss on sale or disposal of assets</w:t>
            </w:r>
          </w:p>
        </w:tc>
        <w:tc>
          <w:tcPr>
            <w:tcW w:w="1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534</w:t>
            </w:r>
          </w:p>
        </w:tc>
        <w:tc>
          <w:tcPr>
            <w:tcW w:w="2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(1,912)</w:t>
            </w:r>
          </w:p>
        </w:tc>
        <w:tc>
          <w:tcPr>
            <w:tcW w:w="2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740" w:type="dxa"/>
            <w:vAlign w:val="bottom"/>
            <w:tcBorders>
              <w:bottom w:val="single" w:sz="8" w:color="CCEEFF"/>
            </w:tcBorders>
          </w:tcPr>
          <w:p>
            <w:pPr>
              <w:spacing w:after="0" w:line="155" w:lineRule="exact"/>
              <w:rPr>
                <w:sz w:val="20"/>
                <w:szCs w:val="20"/>
                <w:color w:val="auto"/>
              </w:rPr>
            </w:pPr>
            <w:r>
              <w:rPr>
                <w:rFonts w:ascii="Arial" w:cs="Arial" w:eastAsia="Arial" w:hAnsi="Arial"/>
                <w:sz w:val="14"/>
                <w:szCs w:val="14"/>
                <w:color w:val="auto"/>
              </w:rPr>
              <w:t>Total operating expenses</w:t>
            </w:r>
          </w:p>
        </w:tc>
        <w:tc>
          <w:tcPr>
            <w:tcW w:w="1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708,003</w:t>
            </w:r>
          </w:p>
        </w:tc>
        <w:tc>
          <w:tcPr>
            <w:tcW w:w="1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437,892</w:t>
            </w:r>
          </w:p>
        </w:tc>
        <w:tc>
          <w:tcPr>
            <w:tcW w:w="2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1,535,787</w:t>
            </w:r>
          </w:p>
        </w:tc>
        <w:tc>
          <w:tcPr>
            <w:tcW w:w="2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1,308,664</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74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(Loss) income from operations</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(273,744)</w:t>
            </w: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79,141</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(159,811)</w:t>
            </w: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230,252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40" w:type="dxa"/>
            <w:vAlign w:val="bottom"/>
          </w:tcPr>
          <w:p>
            <w:pPr>
              <w:spacing w:after="0"/>
              <w:rPr>
                <w:sz w:val="20"/>
                <w:szCs w:val="20"/>
                <w:color w:val="auto"/>
              </w:rPr>
            </w:pPr>
            <w:r>
              <w:rPr>
                <w:rFonts w:ascii="Arial" w:cs="Arial" w:eastAsia="Arial" w:hAnsi="Arial"/>
                <w:sz w:val="14"/>
                <w:szCs w:val="14"/>
                <w:color w:val="auto"/>
              </w:rPr>
              <w:t>Other (expense) income: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Floor plan interest expense</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(15,159)</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(18,061)</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(56,830)</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(57,356)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40" w:type="dxa"/>
            <w:vAlign w:val="bottom"/>
          </w:tcPr>
          <w:p>
            <w:pPr>
              <w:ind w:left="100"/>
              <w:spacing w:after="0"/>
              <w:rPr>
                <w:sz w:val="20"/>
                <w:szCs w:val="20"/>
                <w:color w:val="auto"/>
              </w:rPr>
            </w:pPr>
            <w:r>
              <w:rPr>
                <w:rFonts w:ascii="Arial" w:cs="Arial" w:eastAsia="Arial" w:hAnsi="Arial"/>
                <w:sz w:val="14"/>
                <w:szCs w:val="14"/>
                <w:color w:val="auto"/>
              </w:rPr>
              <w:t>Other interest expense, net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(27,409)</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(30,982)</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(81,170)</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(92,349)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Loss on debt restructure</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40" w:type="dxa"/>
            <w:vAlign w:val="bottom"/>
          </w:tcPr>
          <w:p>
            <w:pPr>
              <w:ind w:left="100"/>
              <w:spacing w:after="0"/>
              <w:rPr>
                <w:sz w:val="20"/>
                <w:szCs w:val="20"/>
                <w:color w:val="auto"/>
              </w:rPr>
            </w:pPr>
            <w:r>
              <w:rPr>
                <w:rFonts w:ascii="Arial" w:cs="Arial" w:eastAsia="Arial" w:hAnsi="Arial"/>
                <w:sz w:val="14"/>
                <w:szCs w:val="14"/>
                <w:color w:val="auto"/>
              </w:rPr>
              <w:t>Tax Receivable Agreement liability adjustment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149,172</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149,172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Other expense, net</w:t>
            </w:r>
          </w:p>
        </w:tc>
        <w:tc>
          <w:tcPr>
            <w:tcW w:w="1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(2,458)</w:t>
            </w:r>
          </w:p>
        </w:tc>
        <w:tc>
          <w:tcPr>
            <w:tcW w:w="1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(1,162)</w:t>
            </w:r>
          </w:p>
        </w:tc>
        <w:tc>
          <w:tcPr>
            <w:tcW w:w="2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(2,620)</w:t>
            </w:r>
          </w:p>
        </w:tc>
        <w:tc>
          <w:tcPr>
            <w:tcW w:w="2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(3,920)</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740" w:type="dxa"/>
            <w:vAlign w:val="bottom"/>
            <w:tcBorders>
              <w:bottom w:val="single" w:sz="8" w:color="CCEEFF"/>
            </w:tcBorders>
          </w:tcPr>
          <w:p>
            <w:pPr>
              <w:spacing w:after="0" w:line="155" w:lineRule="exact"/>
              <w:rPr>
                <w:sz w:val="20"/>
                <w:szCs w:val="20"/>
                <w:color w:val="auto"/>
              </w:rPr>
            </w:pPr>
            <w:r>
              <w:rPr>
                <w:rFonts w:ascii="Arial" w:cs="Arial" w:eastAsia="Arial" w:hAnsi="Arial"/>
                <w:sz w:val="14"/>
                <w:szCs w:val="14"/>
                <w:color w:val="auto"/>
              </w:rPr>
              <w:t>Total other (expense) income</w:t>
            </w:r>
          </w:p>
        </w:tc>
        <w:tc>
          <w:tcPr>
            <w:tcW w:w="1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(45,355)</w:t>
            </w:r>
          </w:p>
        </w:tc>
        <w:tc>
          <w:tcPr>
            <w:tcW w:w="1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98,967</w:t>
            </w:r>
          </w:p>
        </w:tc>
        <w:tc>
          <w:tcPr>
            <w:tcW w:w="2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(140,949)</w:t>
            </w:r>
          </w:p>
        </w:tc>
        <w:tc>
          <w:tcPr>
            <w:tcW w:w="2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(4,453)</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74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(Loss) income before income taxes</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(319,099)</w:t>
            </w: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178,108</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(300,760)</w:t>
            </w: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225,799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Income tax expense</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(988)</w:t>
            </w: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(207,459)</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(2,275)</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(222,309)</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74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Net (loss) income</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(320,087)</w:t>
            </w: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(29,351)</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(303,035)</w:t>
            </w: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3,490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Less: net (loss) income attributable to non-controlling interests</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123,068</w:t>
            </w: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(11,087)</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116,474</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(25,992)</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740" w:type="dxa"/>
            <w:vAlign w:val="bottom"/>
            <w:tcBorders>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Net loss attributable to Camping World Holdings, Inc.</w:t>
            </w:r>
          </w:p>
        </w:tc>
        <w:tc>
          <w:tcPr>
            <w:tcW w:w="1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(197,019)</w:t>
            </w:r>
          </w:p>
        </w:tc>
        <w:tc>
          <w:tcPr>
            <w:tcW w:w="1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(40,438)</w:t>
            </w:r>
          </w:p>
        </w:tc>
        <w:tc>
          <w:tcPr>
            <w:tcW w:w="2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(186,561)</w:t>
            </w:r>
          </w:p>
        </w:tc>
        <w:tc>
          <w:tcPr>
            <w:tcW w:w="2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(22,502)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5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4"/>
                <w:szCs w:val="14"/>
                <w:color w:val="auto"/>
              </w:rPr>
              <w:t>Loss per share of Class A common stock:</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40" w:type="dxa"/>
            <w:vAlign w:val="bottom"/>
          </w:tcPr>
          <w:p>
            <w:pPr>
              <w:ind w:left="100"/>
              <w:spacing w:after="0"/>
              <w:rPr>
                <w:sz w:val="20"/>
                <w:szCs w:val="20"/>
                <w:color w:val="auto"/>
              </w:rPr>
            </w:pPr>
            <w:r>
              <w:rPr>
                <w:rFonts w:ascii="Arial" w:cs="Arial" w:eastAsia="Arial" w:hAnsi="Arial"/>
                <w:sz w:val="14"/>
                <w:szCs w:val="14"/>
                <w:color w:val="auto"/>
              </w:rPr>
              <w:t>Basic</w:t>
            </w:r>
          </w:p>
        </w:tc>
        <w:tc>
          <w:tcPr>
            <w:tcW w:w="28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(3.09)</w:t>
            </w:r>
          </w:p>
        </w:tc>
        <w:tc>
          <w:tcPr>
            <w:tcW w:w="36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(0.64)</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(2.93)</w:t>
            </w:r>
          </w:p>
        </w:tc>
        <w:tc>
          <w:tcPr>
            <w:tcW w:w="38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(0.36)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Diluted</w:t>
            </w:r>
          </w:p>
        </w:tc>
        <w:tc>
          <w:tcPr>
            <w:tcW w:w="28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w:t>
            </w:r>
          </w:p>
        </w:tc>
        <w:tc>
          <w:tcPr>
            <w:tcW w:w="36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w:t>
            </w:r>
          </w:p>
        </w:tc>
        <w:tc>
          <w:tcPr>
            <w:tcW w:w="38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40" w:type="dxa"/>
            <w:vAlign w:val="bottom"/>
          </w:tcPr>
          <w:p>
            <w:pPr>
              <w:spacing w:after="0"/>
              <w:rPr>
                <w:sz w:val="20"/>
                <w:szCs w:val="20"/>
                <w:color w:val="auto"/>
              </w:rPr>
            </w:pPr>
            <w:r>
              <w:rPr>
                <w:rFonts w:ascii="Arial" w:cs="Arial" w:eastAsia="Arial" w:hAnsi="Arial"/>
                <w:sz w:val="14"/>
                <w:szCs w:val="14"/>
                <w:color w:val="auto"/>
              </w:rPr>
              <w:t>Weighted average shares of Class A common stock outstanding:</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Basic</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63,860</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62,735</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63,670</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62,627</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740" w:type="dxa"/>
            <w:vAlign w:val="bottom"/>
          </w:tcPr>
          <w:p>
            <w:pPr>
              <w:ind w:left="100"/>
              <w:spacing w:after="0"/>
              <w:rPr>
                <w:sz w:val="20"/>
                <w:szCs w:val="20"/>
                <w:color w:val="auto"/>
              </w:rPr>
            </w:pPr>
            <w:r>
              <w:rPr>
                <w:rFonts w:ascii="Arial" w:cs="Arial" w:eastAsia="Arial" w:hAnsi="Arial"/>
                <w:sz w:val="14"/>
                <w:szCs w:val="14"/>
                <w:color w:val="auto"/>
              </w:rPr>
              <w:t>Diluted</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63,860</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62,735</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63,670</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62,627</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351790</wp:posOffset>
            </wp:positionV>
            <wp:extent cx="649795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20" w:top="512" w:right="85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Camping World Holdings, Inc.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Condensed Consolidated Statements of Stockholders’ Equity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 Thousands)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30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right"/>
              <w:ind w:right="87"/>
              <w:spacing w:after="0"/>
              <w:rPr>
                <w:sz w:val="20"/>
                <w:szCs w:val="20"/>
                <w:color w:val="auto"/>
              </w:rPr>
            </w:pPr>
            <w:r>
              <w:rPr>
                <w:rFonts w:ascii="Arial" w:cs="Arial" w:eastAsia="Arial" w:hAnsi="Arial"/>
                <w:sz w:val="10"/>
                <w:szCs w:val="10"/>
                <w:b w:val="1"/>
                <w:bCs w:val="1"/>
                <w:color w:val="auto"/>
              </w:rPr>
              <w:t>Additional</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center"/>
              <w:ind w:right="67"/>
              <w:spacing w:after="0"/>
              <w:rPr>
                <w:sz w:val="20"/>
                <w:szCs w:val="20"/>
                <w:color w:val="auto"/>
              </w:rPr>
            </w:pPr>
            <w:r>
              <w:rPr>
                <w:rFonts w:ascii="Arial" w:cs="Arial" w:eastAsia="Arial" w:hAnsi="Arial"/>
                <w:sz w:val="10"/>
                <w:szCs w:val="10"/>
                <w:b w:val="1"/>
                <w:bCs w:val="1"/>
                <w:color w:val="auto"/>
                <w:w w:val="99"/>
              </w:rPr>
              <w:t>Retained</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center"/>
              <w:ind w:right="47"/>
              <w:spacing w:after="0"/>
              <w:rPr>
                <w:sz w:val="20"/>
                <w:szCs w:val="20"/>
                <w:color w:val="auto"/>
              </w:rPr>
            </w:pPr>
            <w:r>
              <w:rPr>
                <w:rFonts w:ascii="Arial" w:cs="Arial" w:eastAsia="Arial" w:hAnsi="Arial"/>
                <w:sz w:val="10"/>
                <w:szCs w:val="10"/>
                <w:b w:val="1"/>
                <w:bCs w:val="1"/>
                <w:color w:val="auto"/>
                <w:w w:val="96"/>
              </w:rPr>
              <w:t>Non-</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r>
      <w:tr>
        <w:trPr>
          <w:trHeight w:val="127"/>
        </w:trPr>
        <w:tc>
          <w:tcPr>
            <w:tcW w:w="3000" w:type="dxa"/>
            <w:vAlign w:val="bottom"/>
          </w:tcPr>
          <w:p>
            <w:pPr>
              <w:spacing w:after="0"/>
              <w:rPr>
                <w:sz w:val="11"/>
                <w:szCs w:val="11"/>
                <w:color w:val="auto"/>
              </w:rPr>
            </w:pPr>
          </w:p>
        </w:tc>
        <w:tc>
          <w:tcPr>
            <w:tcW w:w="1380" w:type="dxa"/>
            <w:vAlign w:val="bottom"/>
            <w:gridSpan w:val="5"/>
          </w:tcPr>
          <w:p>
            <w:pPr>
              <w:jc w:val="center"/>
              <w:ind w:right="54"/>
              <w:spacing w:after="0"/>
              <w:rPr>
                <w:sz w:val="20"/>
                <w:szCs w:val="20"/>
                <w:color w:val="auto"/>
              </w:rPr>
            </w:pPr>
            <w:r>
              <w:rPr>
                <w:rFonts w:ascii="Arial" w:cs="Arial" w:eastAsia="Arial" w:hAnsi="Arial"/>
                <w:sz w:val="10"/>
                <w:szCs w:val="10"/>
                <w:b w:val="1"/>
                <w:bCs w:val="1"/>
                <w:color w:val="auto"/>
                <w:w w:val="99"/>
              </w:rPr>
              <w:t>Class A Common Stock</w:t>
            </w:r>
          </w:p>
        </w:tc>
        <w:tc>
          <w:tcPr>
            <w:tcW w:w="1300" w:type="dxa"/>
            <w:vAlign w:val="bottom"/>
            <w:gridSpan w:val="4"/>
          </w:tcPr>
          <w:p>
            <w:pPr>
              <w:jc w:val="right"/>
              <w:ind w:right="46"/>
              <w:spacing w:after="0"/>
              <w:rPr>
                <w:sz w:val="20"/>
                <w:szCs w:val="20"/>
                <w:color w:val="auto"/>
              </w:rPr>
            </w:pPr>
            <w:r>
              <w:rPr>
                <w:rFonts w:ascii="Arial" w:cs="Arial" w:eastAsia="Arial" w:hAnsi="Arial"/>
                <w:sz w:val="10"/>
                <w:szCs w:val="10"/>
                <w:b w:val="1"/>
                <w:bCs w:val="1"/>
                <w:color w:val="auto"/>
              </w:rPr>
              <w:t>Class B Common Stock</w:t>
            </w:r>
          </w:p>
        </w:tc>
        <w:tc>
          <w:tcPr>
            <w:tcW w:w="80" w:type="dxa"/>
            <w:vAlign w:val="bottom"/>
          </w:tcPr>
          <w:p>
            <w:pPr>
              <w:spacing w:after="0"/>
              <w:rPr>
                <w:sz w:val="11"/>
                <w:szCs w:val="11"/>
                <w:color w:val="auto"/>
              </w:rPr>
            </w:pPr>
          </w:p>
        </w:tc>
        <w:tc>
          <w:tcPr>
            <w:tcW w:w="1300" w:type="dxa"/>
            <w:vAlign w:val="bottom"/>
            <w:gridSpan w:val="4"/>
          </w:tcPr>
          <w:p>
            <w:pPr>
              <w:ind w:left="100"/>
              <w:spacing w:after="0"/>
              <w:rPr>
                <w:sz w:val="20"/>
                <w:szCs w:val="20"/>
                <w:color w:val="auto"/>
              </w:rPr>
            </w:pPr>
            <w:r>
              <w:rPr>
                <w:rFonts w:ascii="Arial" w:cs="Arial" w:eastAsia="Arial" w:hAnsi="Arial"/>
                <w:sz w:val="10"/>
                <w:szCs w:val="10"/>
                <w:b w:val="1"/>
                <w:bCs w:val="1"/>
                <w:color w:val="auto"/>
              </w:rPr>
              <w:t>Class C Common Stock</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ind w:right="167"/>
              <w:spacing w:after="0"/>
              <w:rPr>
                <w:sz w:val="20"/>
                <w:szCs w:val="20"/>
                <w:color w:val="auto"/>
              </w:rPr>
            </w:pPr>
            <w:r>
              <w:rPr>
                <w:rFonts w:ascii="Arial" w:cs="Arial" w:eastAsia="Arial" w:hAnsi="Arial"/>
                <w:sz w:val="10"/>
                <w:szCs w:val="10"/>
                <w:b w:val="1"/>
                <w:bCs w:val="1"/>
                <w:color w:val="auto"/>
              </w:rPr>
              <w:t>Paid-In</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center"/>
              <w:ind w:right="67"/>
              <w:spacing w:after="0"/>
              <w:rPr>
                <w:sz w:val="20"/>
                <w:szCs w:val="20"/>
                <w:color w:val="auto"/>
              </w:rPr>
            </w:pPr>
            <w:r>
              <w:rPr>
                <w:rFonts w:ascii="Arial" w:cs="Arial" w:eastAsia="Arial" w:hAnsi="Arial"/>
                <w:sz w:val="10"/>
                <w:szCs w:val="10"/>
                <w:b w:val="1"/>
                <w:bCs w:val="1"/>
                <w:color w:val="auto"/>
                <w:w w:val="98"/>
              </w:rPr>
              <w:t>Earnings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center"/>
              <w:ind w:right="27"/>
              <w:spacing w:after="0"/>
              <w:rPr>
                <w:sz w:val="20"/>
                <w:szCs w:val="20"/>
                <w:color w:val="auto"/>
              </w:rPr>
            </w:pPr>
            <w:r>
              <w:rPr>
                <w:rFonts w:ascii="Arial" w:cs="Arial" w:eastAsia="Arial" w:hAnsi="Arial"/>
                <w:sz w:val="10"/>
                <w:szCs w:val="10"/>
                <w:b w:val="1"/>
                <w:bCs w:val="1"/>
                <w:color w:val="auto"/>
                <w:w w:val="97"/>
              </w:rPr>
              <w:t>Controlling</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15"/>
        </w:trPr>
        <w:tc>
          <w:tcPr>
            <w:tcW w:w="3000" w:type="dxa"/>
            <w:vAlign w:val="bottom"/>
          </w:tcPr>
          <w:p>
            <w:pPr>
              <w:ind w:left="2980"/>
              <w:spacing w:after="0"/>
              <w:rPr>
                <w:sz w:val="20"/>
                <w:szCs w:val="20"/>
                <w:color w:val="auto"/>
              </w:rPr>
            </w:pPr>
            <w:r>
              <w:rPr>
                <w:rFonts w:ascii="Arial" w:cs="Arial" w:eastAsia="Arial" w:hAnsi="Arial"/>
                <w:sz w:val="1"/>
                <w:szCs w:val="1"/>
                <w:color w:val="auto"/>
                <w:w w:val="4294942296"/>
              </w:rPr>
              <w:t>​</w:t>
            </w:r>
          </w:p>
        </w:tc>
        <w:tc>
          <w:tcPr>
            <w:tcW w:w="540" w:type="dxa"/>
            <w:vAlign w:val="bottom"/>
            <w:tcBorders>
              <w:top w:val="single" w:sz="8" w:color="auto"/>
            </w:tcBorders>
          </w:tcPr>
          <w:p>
            <w:pPr>
              <w:jc w:val="right"/>
              <w:ind w:right="46"/>
              <w:spacing w:after="0"/>
              <w:rPr>
                <w:sz w:val="20"/>
                <w:szCs w:val="20"/>
                <w:color w:val="auto"/>
              </w:rPr>
            </w:pPr>
            <w:r>
              <w:rPr>
                <w:rFonts w:ascii="Arial" w:cs="Arial" w:eastAsia="Arial" w:hAnsi="Arial"/>
                <w:sz w:val="10"/>
                <w:szCs w:val="10"/>
                <w:b w:val="1"/>
                <w:bCs w:val="1"/>
                <w:color w:val="auto"/>
              </w:rPr>
              <w:t>Shares</w:t>
            </w:r>
          </w:p>
        </w:tc>
        <w:tc>
          <w:tcPr>
            <w:tcW w:w="180" w:type="dxa"/>
            <w:vAlign w:val="bottom"/>
            <w:tcBorders>
              <w:top w:val="single" w:sz="8" w:color="auto"/>
            </w:tcBorders>
            <w:gridSpan w:val="2"/>
          </w:tcPr>
          <w:p>
            <w:pPr>
              <w:ind w:left="80"/>
              <w:spacing w:after="0"/>
              <w:rPr>
                <w:sz w:val="20"/>
                <w:szCs w:val="20"/>
                <w:color w:val="auto"/>
              </w:rPr>
            </w:pPr>
            <w:r>
              <w:rPr>
                <w:rFonts w:ascii="Arial" w:cs="Arial" w:eastAsia="Arial" w:hAnsi="Arial"/>
                <w:sz w:val="10"/>
                <w:szCs w:val="10"/>
                <w:color w:val="auto"/>
              </w:rPr>
              <w:t>​</w:t>
            </w:r>
          </w:p>
        </w:tc>
        <w:tc>
          <w:tcPr>
            <w:tcW w:w="580" w:type="dxa"/>
            <w:vAlign w:val="bottom"/>
            <w:tcBorders>
              <w:top w:val="single" w:sz="8" w:color="auto"/>
            </w:tcBorders>
          </w:tcPr>
          <w:p>
            <w:pPr>
              <w:jc w:val="right"/>
              <w:ind w:right="66"/>
              <w:spacing w:after="0"/>
              <w:rPr>
                <w:sz w:val="20"/>
                <w:szCs w:val="20"/>
                <w:color w:val="auto"/>
              </w:rPr>
            </w:pPr>
            <w:r>
              <w:rPr>
                <w:rFonts w:ascii="Arial" w:cs="Arial" w:eastAsia="Arial" w:hAnsi="Arial"/>
                <w:sz w:val="10"/>
                <w:szCs w:val="10"/>
                <w:b w:val="1"/>
                <w:bCs w:val="1"/>
                <w:color w:val="auto"/>
              </w:rPr>
              <w:t>Amounts</w:t>
            </w:r>
          </w:p>
        </w:tc>
        <w:tc>
          <w:tcPr>
            <w:tcW w:w="80" w:type="dxa"/>
            <w:vAlign w:val="bottom"/>
          </w:tcPr>
          <w:p>
            <w:pPr>
              <w:ind w:left="60"/>
              <w:spacing w:after="0"/>
              <w:rPr>
                <w:sz w:val="20"/>
                <w:szCs w:val="20"/>
                <w:color w:val="auto"/>
              </w:rPr>
            </w:pPr>
            <w:r>
              <w:rPr>
                <w:rFonts w:ascii="Arial" w:cs="Arial" w:eastAsia="Arial" w:hAnsi="Arial"/>
                <w:sz w:val="1"/>
                <w:szCs w:val="1"/>
                <w:color w:val="auto"/>
                <w:w w:val="4294942296"/>
              </w:rPr>
              <w:t>​</w:t>
            </w:r>
          </w:p>
        </w:tc>
        <w:tc>
          <w:tcPr>
            <w:tcW w:w="540" w:type="dxa"/>
            <w:vAlign w:val="bottom"/>
            <w:tcBorders>
              <w:top w:val="single" w:sz="8" w:color="auto"/>
            </w:tcBorders>
          </w:tcPr>
          <w:p>
            <w:pPr>
              <w:jc w:val="right"/>
              <w:ind w:right="46"/>
              <w:spacing w:after="0"/>
              <w:rPr>
                <w:sz w:val="20"/>
                <w:szCs w:val="20"/>
                <w:color w:val="auto"/>
              </w:rPr>
            </w:pPr>
            <w:r>
              <w:rPr>
                <w:rFonts w:ascii="Arial" w:cs="Arial" w:eastAsia="Arial" w:hAnsi="Arial"/>
                <w:sz w:val="10"/>
                <w:szCs w:val="10"/>
                <w:b w:val="1"/>
                <w:bCs w:val="1"/>
                <w:color w:val="auto"/>
              </w:rPr>
              <w:t>Shares</w:t>
            </w:r>
          </w:p>
        </w:tc>
        <w:tc>
          <w:tcPr>
            <w:tcW w:w="180" w:type="dxa"/>
            <w:vAlign w:val="bottom"/>
            <w:tcBorders>
              <w:top w:val="single" w:sz="8" w:color="auto"/>
            </w:tcBorders>
            <w:gridSpan w:val="2"/>
          </w:tcPr>
          <w:p>
            <w:pPr>
              <w:ind w:left="80"/>
              <w:spacing w:after="0"/>
              <w:rPr>
                <w:sz w:val="20"/>
                <w:szCs w:val="20"/>
                <w:color w:val="auto"/>
              </w:rPr>
            </w:pPr>
            <w:r>
              <w:rPr>
                <w:rFonts w:ascii="Arial" w:cs="Arial" w:eastAsia="Arial" w:hAnsi="Arial"/>
                <w:sz w:val="10"/>
                <w:szCs w:val="10"/>
                <w:color w:val="auto"/>
              </w:rPr>
              <w:t>​</w:t>
            </w:r>
          </w:p>
        </w:tc>
        <w:tc>
          <w:tcPr>
            <w:tcW w:w="580" w:type="dxa"/>
            <w:vAlign w:val="bottom"/>
            <w:tcBorders>
              <w:top w:val="single" w:sz="8" w:color="auto"/>
            </w:tcBorders>
          </w:tcPr>
          <w:p>
            <w:pPr>
              <w:jc w:val="right"/>
              <w:ind w:right="66"/>
              <w:spacing w:after="0"/>
              <w:rPr>
                <w:sz w:val="20"/>
                <w:szCs w:val="20"/>
                <w:color w:val="auto"/>
              </w:rPr>
            </w:pPr>
            <w:r>
              <w:rPr>
                <w:rFonts w:ascii="Arial" w:cs="Arial" w:eastAsia="Arial" w:hAnsi="Arial"/>
                <w:sz w:val="10"/>
                <w:szCs w:val="10"/>
                <w:b w:val="1"/>
                <w:bCs w:val="1"/>
                <w:color w:val="auto"/>
              </w:rPr>
              <w:t>Amounts</w:t>
            </w:r>
          </w:p>
        </w:tc>
        <w:tc>
          <w:tcPr>
            <w:tcW w:w="80" w:type="dxa"/>
            <w:vAlign w:val="bottom"/>
          </w:tcPr>
          <w:p>
            <w:pPr>
              <w:ind w:left="60"/>
              <w:spacing w:after="0"/>
              <w:rPr>
                <w:sz w:val="20"/>
                <w:szCs w:val="20"/>
                <w:color w:val="auto"/>
              </w:rPr>
            </w:pPr>
            <w:r>
              <w:rPr>
                <w:rFonts w:ascii="Arial" w:cs="Arial" w:eastAsia="Arial" w:hAnsi="Arial"/>
                <w:sz w:val="1"/>
                <w:szCs w:val="1"/>
                <w:color w:val="auto"/>
                <w:w w:val="4294942296"/>
              </w:rPr>
              <w:t>​</w:t>
            </w:r>
          </w:p>
        </w:tc>
        <w:tc>
          <w:tcPr>
            <w:tcW w:w="540" w:type="dxa"/>
            <w:vAlign w:val="bottom"/>
            <w:tcBorders>
              <w:top w:val="single" w:sz="8" w:color="auto"/>
            </w:tcBorders>
          </w:tcPr>
          <w:p>
            <w:pPr>
              <w:ind w:left="100"/>
              <w:spacing w:after="0"/>
              <w:rPr>
                <w:sz w:val="20"/>
                <w:szCs w:val="20"/>
                <w:color w:val="auto"/>
              </w:rPr>
            </w:pPr>
            <w:r>
              <w:rPr>
                <w:rFonts w:ascii="Arial" w:cs="Arial" w:eastAsia="Arial" w:hAnsi="Arial"/>
                <w:sz w:val="10"/>
                <w:szCs w:val="10"/>
                <w:b w:val="1"/>
                <w:bCs w:val="1"/>
                <w:color w:val="auto"/>
              </w:rPr>
              <w:t>Shares</w:t>
            </w:r>
          </w:p>
        </w:tc>
        <w:tc>
          <w:tcPr>
            <w:tcW w:w="180" w:type="dxa"/>
            <w:vAlign w:val="bottom"/>
            <w:tcBorders>
              <w:top w:val="single" w:sz="8" w:color="auto"/>
            </w:tcBorders>
            <w:gridSpan w:val="2"/>
          </w:tcPr>
          <w:p>
            <w:pPr>
              <w:ind w:left="60"/>
              <w:spacing w:after="0"/>
              <w:rPr>
                <w:sz w:val="20"/>
                <w:szCs w:val="20"/>
                <w:color w:val="auto"/>
              </w:rPr>
            </w:pPr>
            <w:r>
              <w:rPr>
                <w:rFonts w:ascii="Arial" w:cs="Arial" w:eastAsia="Arial" w:hAnsi="Arial"/>
                <w:sz w:val="10"/>
                <w:szCs w:val="10"/>
                <w:color w:val="auto"/>
              </w:rPr>
              <w:t>​</w:t>
            </w:r>
          </w:p>
        </w:tc>
        <w:tc>
          <w:tcPr>
            <w:tcW w:w="580" w:type="dxa"/>
            <w:vAlign w:val="bottom"/>
            <w:tcBorders>
              <w:top w:val="single" w:sz="8" w:color="auto"/>
            </w:tcBorders>
          </w:tcPr>
          <w:p>
            <w:pPr>
              <w:ind w:left="20"/>
              <w:spacing w:after="0"/>
              <w:rPr>
                <w:sz w:val="20"/>
                <w:szCs w:val="20"/>
                <w:color w:val="auto"/>
              </w:rPr>
            </w:pPr>
            <w:r>
              <w:rPr>
                <w:rFonts w:ascii="Arial" w:cs="Arial" w:eastAsia="Arial" w:hAnsi="Arial"/>
                <w:sz w:val="10"/>
                <w:szCs w:val="10"/>
                <w:b w:val="1"/>
                <w:bCs w:val="1"/>
                <w:color w:val="auto"/>
              </w:rPr>
              <w:t>Amounts</w:t>
            </w:r>
          </w:p>
        </w:tc>
        <w:tc>
          <w:tcPr>
            <w:tcW w:w="180" w:type="dxa"/>
            <w:vAlign w:val="bottom"/>
            <w:gridSpan w:val="2"/>
          </w:tcPr>
          <w:p>
            <w:pPr>
              <w:jc w:val="right"/>
              <w:ind w:right="51"/>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167"/>
              <w:spacing w:after="0"/>
              <w:rPr>
                <w:sz w:val="20"/>
                <w:szCs w:val="20"/>
                <w:color w:val="auto"/>
              </w:rPr>
            </w:pPr>
            <w:r>
              <w:rPr>
                <w:rFonts w:ascii="Arial" w:cs="Arial" w:eastAsia="Arial" w:hAnsi="Arial"/>
                <w:sz w:val="10"/>
                <w:szCs w:val="10"/>
                <w:b w:val="1"/>
                <w:bCs w:val="1"/>
                <w:color w:val="auto"/>
              </w:rPr>
              <w:t>Capital</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center"/>
              <w:ind w:right="67"/>
              <w:spacing w:after="0"/>
              <w:rPr>
                <w:sz w:val="20"/>
                <w:szCs w:val="20"/>
                <w:color w:val="auto"/>
              </w:rPr>
            </w:pPr>
            <w:r>
              <w:rPr>
                <w:rFonts w:ascii="Arial" w:cs="Arial" w:eastAsia="Arial" w:hAnsi="Arial"/>
                <w:sz w:val="10"/>
                <w:szCs w:val="10"/>
                <w:b w:val="1"/>
                <w:bCs w:val="1"/>
                <w:color w:val="auto"/>
              </w:rPr>
              <w:t>(Deficit)</w:t>
            </w:r>
          </w:p>
        </w:tc>
        <w:tc>
          <w:tcPr>
            <w:tcW w:w="160" w:type="dxa"/>
            <w:vAlign w:val="bottom"/>
            <w:gridSpan w:val="2"/>
          </w:tcPr>
          <w:p>
            <w:pPr>
              <w:jc w:val="right"/>
              <w:ind w:right="31"/>
              <w:spacing w:after="0"/>
              <w:rPr>
                <w:sz w:val="20"/>
                <w:szCs w:val="20"/>
                <w:color w:val="auto"/>
              </w:rPr>
            </w:pPr>
            <w:r>
              <w:rPr>
                <w:rFonts w:ascii="Arial" w:cs="Arial" w:eastAsia="Arial" w:hAnsi="Arial"/>
                <w:sz w:val="10"/>
                <w:szCs w:val="10"/>
                <w:color w:val="auto"/>
              </w:rPr>
              <w:t>​</w:t>
            </w:r>
          </w:p>
        </w:tc>
        <w:tc>
          <w:tcPr>
            <w:tcW w:w="680" w:type="dxa"/>
            <w:vAlign w:val="bottom"/>
          </w:tcPr>
          <w:p>
            <w:pPr>
              <w:jc w:val="center"/>
              <w:ind w:right="27"/>
              <w:spacing w:after="0"/>
              <w:rPr>
                <w:sz w:val="20"/>
                <w:szCs w:val="20"/>
                <w:color w:val="auto"/>
              </w:rPr>
            </w:pPr>
            <w:r>
              <w:rPr>
                <w:rFonts w:ascii="Arial" w:cs="Arial" w:eastAsia="Arial" w:hAnsi="Arial"/>
                <w:sz w:val="10"/>
                <w:szCs w:val="10"/>
                <w:b w:val="1"/>
                <w:bCs w:val="1"/>
                <w:color w:val="auto"/>
                <w:w w:val="99"/>
              </w:rPr>
              <w:t>Interest</w:t>
            </w:r>
          </w:p>
        </w:tc>
        <w:tc>
          <w:tcPr>
            <w:tcW w:w="260" w:type="dxa"/>
            <w:vAlign w:val="bottom"/>
            <w:gridSpan w:val="2"/>
          </w:tcPr>
          <w:p>
            <w:pPr>
              <w:jc w:val="right"/>
              <w:ind w:right="131"/>
              <w:spacing w:after="0"/>
              <w:rPr>
                <w:sz w:val="20"/>
                <w:szCs w:val="20"/>
                <w:color w:val="auto"/>
              </w:rPr>
            </w:pPr>
            <w:r>
              <w:rPr>
                <w:rFonts w:ascii="Arial" w:cs="Arial" w:eastAsia="Arial" w:hAnsi="Arial"/>
                <w:sz w:val="10"/>
                <w:szCs w:val="10"/>
                <w:color w:val="auto"/>
              </w:rPr>
              <w:t>​</w:t>
            </w:r>
          </w:p>
        </w:tc>
        <w:tc>
          <w:tcPr>
            <w:tcW w:w="600" w:type="dxa"/>
            <w:vAlign w:val="bottom"/>
          </w:tcPr>
          <w:p>
            <w:pPr>
              <w:jc w:val="right"/>
              <w:ind w:right="226"/>
              <w:spacing w:after="0"/>
              <w:rPr>
                <w:sz w:val="20"/>
                <w:szCs w:val="20"/>
                <w:color w:val="auto"/>
              </w:rPr>
            </w:pPr>
            <w:r>
              <w:rPr>
                <w:rFonts w:ascii="Arial" w:cs="Arial" w:eastAsia="Arial" w:hAnsi="Arial"/>
                <w:sz w:val="10"/>
                <w:szCs w:val="10"/>
                <w:b w:val="1"/>
                <w:bCs w:val="1"/>
                <w:color w:val="auto"/>
              </w:rPr>
              <w:t>Total</w:t>
            </w:r>
          </w:p>
        </w:tc>
      </w:tr>
      <w:tr>
        <w:trPr>
          <w:trHeight w:val="115"/>
        </w:trPr>
        <w:tc>
          <w:tcPr>
            <w:tcW w:w="300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1"/>
                <w:szCs w:val="11"/>
                <w:color w:val="auto"/>
              </w:rPr>
              <w:t>Balance at January 1, 2026</w:t>
            </w:r>
          </w:p>
        </w:tc>
        <w:tc>
          <w:tcPr>
            <w:tcW w:w="5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63,437</w:t>
            </w: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634</w:t>
            </w:r>
          </w:p>
        </w:tc>
        <w:tc>
          <w:tcPr>
            <w:tcW w:w="8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39,466</w:t>
            </w: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1"/>
                <w:szCs w:val="11"/>
                <w:color w:val="auto"/>
              </w:rPr>
              <w:t>$</w:t>
            </w:r>
          </w:p>
        </w:tc>
        <w:tc>
          <w:tcPr>
            <w:tcW w:w="5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w:t>
            </w:r>
          </w:p>
        </w:tc>
        <w:tc>
          <w:tcPr>
            <w:tcW w:w="8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ind w:left="400"/>
              <w:spacing w:after="0" w:line="115" w:lineRule="exact"/>
              <w:rPr>
                <w:sz w:val="20"/>
                <w:szCs w:val="20"/>
                <w:color w:val="auto"/>
              </w:rPr>
            </w:pPr>
            <w:r>
              <w:rPr>
                <w:rFonts w:ascii="Arial" w:cs="Arial" w:eastAsia="Arial" w:hAnsi="Arial"/>
                <w:sz w:val="11"/>
                <w:szCs w:val="11"/>
                <w:color w:val="auto"/>
              </w:rPr>
              <w:t>—</w:t>
            </w: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1"/>
                <w:szCs w:val="11"/>
                <w:color w:val="auto"/>
              </w:rPr>
              <w:t>$</w:t>
            </w:r>
          </w:p>
        </w:tc>
        <w:tc>
          <w:tcPr>
            <w:tcW w:w="580" w:type="dxa"/>
            <w:vAlign w:val="bottom"/>
            <w:tcBorders>
              <w:top w:val="single" w:sz="8" w:color="auto"/>
            </w:tcBorders>
            <w:shd w:val="clear" w:color="auto" w:fill="CCEEFF"/>
          </w:tcPr>
          <w:p>
            <w:pPr>
              <w:ind w:left="420"/>
              <w:spacing w:after="0" w:line="115" w:lineRule="exact"/>
              <w:rPr>
                <w:sz w:val="20"/>
                <w:szCs w:val="20"/>
                <w:color w:val="auto"/>
              </w:rPr>
            </w:pPr>
            <w:r>
              <w:rPr>
                <w:rFonts w:ascii="Arial" w:cs="Arial" w:eastAsia="Arial" w:hAnsi="Arial"/>
                <w:sz w:val="11"/>
                <w:szCs w:val="11"/>
                <w:color w:val="auto"/>
              </w:rPr>
              <w:t>—</w:t>
            </w: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216,944</w:t>
            </w: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jc w:val="right"/>
              <w:ind w:right="7"/>
              <w:spacing w:after="0" w:line="115" w:lineRule="exact"/>
              <w:rPr>
                <w:sz w:val="20"/>
                <w:szCs w:val="20"/>
                <w:color w:val="auto"/>
              </w:rPr>
            </w:pPr>
            <w:r>
              <w:rPr>
                <w:rFonts w:ascii="Arial" w:cs="Arial" w:eastAsia="Arial" w:hAnsi="Arial"/>
                <w:sz w:val="11"/>
                <w:szCs w:val="11"/>
                <w:color w:val="auto"/>
              </w:rPr>
              <w:t>11,008</w:t>
            </w: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143,209</w:t>
            </w:r>
          </w:p>
        </w:tc>
        <w:tc>
          <w:tcPr>
            <w:tcW w:w="8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371,799</w:t>
            </w:r>
          </w:p>
        </w:tc>
      </w:tr>
      <w:tr>
        <w:trPr>
          <w:trHeight w:val="135"/>
        </w:trPr>
        <w:tc>
          <w:tcPr>
            <w:tcW w:w="3000" w:type="dxa"/>
            <w:vAlign w:val="bottom"/>
          </w:tcPr>
          <w:p>
            <w:pPr>
              <w:ind w:left="100"/>
              <w:spacing w:after="0"/>
              <w:rPr>
                <w:sz w:val="20"/>
                <w:szCs w:val="20"/>
                <w:color w:val="auto"/>
              </w:rPr>
            </w:pPr>
            <w:r>
              <w:rPr>
                <w:rFonts w:ascii="Arial" w:cs="Arial" w:eastAsia="Arial" w:hAnsi="Arial"/>
                <w:sz w:val="11"/>
                <w:szCs w:val="11"/>
                <w:color w:val="auto"/>
              </w:rPr>
              <w:t>Stock-based compensation</w:t>
            </w: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ind w:right="114"/>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40" w:type="dxa"/>
            <w:vAlign w:val="bottom"/>
          </w:tcPr>
          <w:p>
            <w:pPr>
              <w:ind w:left="4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ind w:left="4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2,931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1,843</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4,774</w:t>
            </w:r>
          </w:p>
        </w:tc>
      </w:tr>
      <w:tr>
        <w:trPr>
          <w:trHeight w:val="122"/>
        </w:trPr>
        <w:tc>
          <w:tcPr>
            <w:tcW w:w="300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Vesting of restricted stock units</w:t>
            </w: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127</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ind w:left="40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ind w:left="42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311</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jc w:val="right"/>
              <w:ind w:right="7"/>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(312)</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r>
      <w:tr>
        <w:trPr>
          <w:trHeight w:val="108"/>
        </w:trPr>
        <w:tc>
          <w:tcPr>
            <w:tcW w:w="3000" w:type="dxa"/>
            <w:vAlign w:val="bottom"/>
          </w:tcPr>
          <w:p>
            <w:pPr>
              <w:ind w:left="100"/>
              <w:spacing w:after="0" w:line="109" w:lineRule="exact"/>
              <w:rPr>
                <w:sz w:val="20"/>
                <w:szCs w:val="20"/>
                <w:color w:val="auto"/>
              </w:rPr>
            </w:pPr>
            <w:r>
              <w:rPr>
                <w:rFonts w:ascii="Arial" w:cs="Arial" w:eastAsia="Arial" w:hAnsi="Arial"/>
                <w:sz w:val="11"/>
                <w:szCs w:val="11"/>
                <w:color w:val="auto"/>
              </w:rPr>
              <w:t>Repurchases of Class A common stock for withholding</w:t>
            </w: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r>
      <w:tr>
        <w:trPr>
          <w:trHeight w:val="135"/>
        </w:trPr>
        <w:tc>
          <w:tcPr>
            <w:tcW w:w="3000" w:type="dxa"/>
            <w:vAlign w:val="bottom"/>
          </w:tcPr>
          <w:p>
            <w:pPr>
              <w:ind w:left="100"/>
              <w:spacing w:after="0"/>
              <w:rPr>
                <w:sz w:val="20"/>
                <w:szCs w:val="20"/>
                <w:color w:val="auto"/>
              </w:rPr>
            </w:pPr>
            <w:r>
              <w:rPr>
                <w:rFonts w:ascii="Arial" w:cs="Arial" w:eastAsia="Arial" w:hAnsi="Arial"/>
                <w:sz w:val="11"/>
                <w:szCs w:val="11"/>
                <w:color w:val="auto"/>
              </w:rPr>
              <w:t>taxes on vested RSUs</w:t>
            </w:r>
          </w:p>
        </w:tc>
        <w:tc>
          <w:tcPr>
            <w:tcW w:w="540" w:type="dxa"/>
            <w:vAlign w:val="bottom"/>
          </w:tcPr>
          <w:p>
            <w:pPr>
              <w:jc w:val="right"/>
              <w:spacing w:after="0"/>
              <w:rPr>
                <w:sz w:val="20"/>
                <w:szCs w:val="20"/>
                <w:color w:val="auto"/>
              </w:rPr>
            </w:pPr>
            <w:r>
              <w:rPr>
                <w:rFonts w:ascii="Arial" w:cs="Arial" w:eastAsia="Arial" w:hAnsi="Arial"/>
                <w:sz w:val="11"/>
                <w:szCs w:val="11"/>
                <w:color w:val="auto"/>
              </w:rPr>
              <w:t>(44)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ind w:right="114"/>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40" w:type="dxa"/>
            <w:vAlign w:val="bottom"/>
          </w:tcPr>
          <w:p>
            <w:pPr>
              <w:ind w:left="4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ind w:left="4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(507)</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(507)</w:t>
            </w:r>
          </w:p>
        </w:tc>
      </w:tr>
      <w:tr>
        <w:trPr>
          <w:trHeight w:val="122"/>
        </w:trPr>
        <w:tc>
          <w:tcPr>
            <w:tcW w:w="300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Contributions from holders of LLC common units</w:t>
            </w: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14"/>
              <w:spacing w:after="0" w:line="122" w:lineRule="exact"/>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ind w:left="40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ind w:left="42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jc w:val="right"/>
              <w:ind w:right="7"/>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63</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63</w:t>
            </w:r>
          </w:p>
        </w:tc>
      </w:tr>
      <w:tr>
        <w:trPr>
          <w:trHeight w:val="122"/>
        </w:trPr>
        <w:tc>
          <w:tcPr>
            <w:tcW w:w="3000" w:type="dxa"/>
            <w:vAlign w:val="bottom"/>
          </w:tcPr>
          <w:p>
            <w:pPr>
              <w:ind w:left="100"/>
              <w:spacing w:after="0" w:line="122" w:lineRule="exact"/>
              <w:rPr>
                <w:sz w:val="20"/>
                <w:szCs w:val="20"/>
                <w:color w:val="auto"/>
              </w:rPr>
            </w:pPr>
            <w:r>
              <w:rPr>
                <w:rFonts w:ascii="Arial" w:cs="Arial" w:eastAsia="Arial" w:hAnsi="Arial"/>
                <w:sz w:val="11"/>
                <w:szCs w:val="11"/>
                <w:color w:val="auto"/>
              </w:rPr>
              <w:t>Non-controlling interest adjustment</w:t>
            </w: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right"/>
              <w:ind w:right="114"/>
              <w:spacing w:after="0" w:line="122" w:lineRule="exact"/>
              <w:rPr>
                <w:sz w:val="20"/>
                <w:szCs w:val="20"/>
                <w:color w:val="auto"/>
              </w:rPr>
            </w:pPr>
            <w:r>
              <w:rPr>
                <w:rFonts w:ascii="Arial" w:cs="Arial" w:eastAsia="Arial" w:hAnsi="Arial"/>
                <w:sz w:val="11"/>
                <w:szCs w:val="11"/>
                <w:color w:val="auto"/>
              </w:rPr>
              <w:t>—</w:t>
            </w: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40" w:type="dxa"/>
            <w:vAlign w:val="bottom"/>
          </w:tcPr>
          <w:p>
            <w:pPr>
              <w:ind w:left="40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ind w:left="42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29</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right"/>
              <w:ind w:right="7"/>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(29)</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300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Net loss</w:t>
            </w: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14"/>
              <w:spacing w:after="0" w:line="122" w:lineRule="exact"/>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ind w:left="40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ind w:left="42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(16,402)</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(10,259)</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(26,661)</w:t>
            </w:r>
          </w:p>
        </w:tc>
      </w:tr>
      <w:tr>
        <w:trPr>
          <w:trHeight w:val="115"/>
        </w:trPr>
        <w:tc>
          <w:tcPr>
            <w:tcW w:w="3000" w:type="dxa"/>
            <w:vAlign w:val="bottom"/>
          </w:tcPr>
          <w:p>
            <w:pPr>
              <w:spacing w:after="0" w:line="115" w:lineRule="exact"/>
              <w:rPr>
                <w:sz w:val="20"/>
                <w:szCs w:val="20"/>
                <w:color w:val="auto"/>
              </w:rPr>
            </w:pPr>
            <w:r>
              <w:rPr>
                <w:rFonts w:ascii="Arial" w:cs="Arial" w:eastAsia="Arial" w:hAnsi="Arial"/>
                <w:sz w:val="11"/>
                <w:szCs w:val="11"/>
                <w:color w:val="auto"/>
              </w:rPr>
              <w:t>Balance at March 31, 2026</w:t>
            </w:r>
          </w:p>
        </w:tc>
        <w:tc>
          <w:tcPr>
            <w:tcW w:w="54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color w:val="auto"/>
              </w:rPr>
              <w:t>63,520</w:t>
            </w:r>
          </w:p>
        </w:tc>
        <w:tc>
          <w:tcPr>
            <w:tcW w:w="100" w:type="dxa"/>
            <w:vAlign w:val="bottom"/>
          </w:tcPr>
          <w:p>
            <w:pPr>
              <w:spacing w:after="0"/>
              <w:rPr>
                <w:sz w:val="10"/>
                <w:szCs w:val="10"/>
                <w:color w:val="auto"/>
              </w:rPr>
            </w:pPr>
          </w:p>
        </w:tc>
        <w:tc>
          <w:tcPr>
            <w:tcW w:w="80" w:type="dxa"/>
            <w:vAlign w:val="bottom"/>
            <w:tcBorders>
              <w:top w:val="single" w:sz="8" w:color="auto"/>
            </w:tcBorders>
          </w:tcPr>
          <w:p>
            <w:pPr>
              <w:jc w:val="center"/>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color w:val="auto"/>
              </w:rPr>
              <w:t>635</w:t>
            </w:r>
          </w:p>
        </w:tc>
        <w:tc>
          <w:tcPr>
            <w:tcW w:w="80" w:type="dxa"/>
            <w:vAlign w:val="bottom"/>
          </w:tcPr>
          <w:p>
            <w:pPr>
              <w:spacing w:after="0"/>
              <w:rPr>
                <w:sz w:val="10"/>
                <w:szCs w:val="10"/>
                <w:color w:val="auto"/>
              </w:rPr>
            </w:pPr>
          </w:p>
        </w:tc>
        <w:tc>
          <w:tcPr>
            <w:tcW w:w="54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color w:val="auto"/>
              </w:rPr>
              <w:t>39,466</w:t>
            </w: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line="115" w:lineRule="exact"/>
              <w:rPr>
                <w:sz w:val="20"/>
                <w:szCs w:val="20"/>
                <w:color w:val="auto"/>
              </w:rPr>
            </w:pPr>
            <w:r>
              <w:rPr>
                <w:rFonts w:ascii="Arial" w:cs="Arial" w:eastAsia="Arial" w:hAnsi="Arial"/>
                <w:sz w:val="11"/>
                <w:szCs w:val="11"/>
                <w:color w:val="auto"/>
              </w:rPr>
              <w:t>$</w:t>
            </w:r>
          </w:p>
        </w:tc>
        <w:tc>
          <w:tcPr>
            <w:tcW w:w="58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color w:val="auto"/>
              </w:rPr>
              <w:t>4</w:t>
            </w:r>
          </w:p>
        </w:tc>
        <w:tc>
          <w:tcPr>
            <w:tcW w:w="80" w:type="dxa"/>
            <w:vAlign w:val="bottom"/>
          </w:tcPr>
          <w:p>
            <w:pPr>
              <w:spacing w:after="0"/>
              <w:rPr>
                <w:sz w:val="10"/>
                <w:szCs w:val="10"/>
                <w:color w:val="auto"/>
              </w:rPr>
            </w:pPr>
          </w:p>
        </w:tc>
        <w:tc>
          <w:tcPr>
            <w:tcW w:w="540" w:type="dxa"/>
            <w:vAlign w:val="bottom"/>
            <w:tcBorders>
              <w:top w:val="single" w:sz="8" w:color="auto"/>
            </w:tcBorders>
          </w:tcPr>
          <w:p>
            <w:pPr>
              <w:ind w:left="400"/>
              <w:spacing w:after="0" w:line="115"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line="115" w:lineRule="exact"/>
              <w:rPr>
                <w:sz w:val="20"/>
                <w:szCs w:val="20"/>
                <w:color w:val="auto"/>
              </w:rPr>
            </w:pPr>
            <w:r>
              <w:rPr>
                <w:rFonts w:ascii="Arial" w:cs="Arial" w:eastAsia="Arial" w:hAnsi="Arial"/>
                <w:sz w:val="11"/>
                <w:szCs w:val="11"/>
                <w:color w:val="auto"/>
              </w:rPr>
              <w:t>$</w:t>
            </w:r>
          </w:p>
        </w:tc>
        <w:tc>
          <w:tcPr>
            <w:tcW w:w="580" w:type="dxa"/>
            <w:vAlign w:val="bottom"/>
            <w:tcBorders>
              <w:top w:val="single" w:sz="8" w:color="auto"/>
            </w:tcBorders>
          </w:tcPr>
          <w:p>
            <w:pPr>
              <w:ind w:left="420"/>
              <w:spacing w:after="0" w:line="115"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color w:val="auto"/>
              </w:rPr>
              <w:t>219,708</w:t>
            </w:r>
          </w:p>
        </w:tc>
        <w:tc>
          <w:tcPr>
            <w:tcW w:w="80" w:type="dxa"/>
            <w:vAlign w:val="bottom"/>
          </w:tcPr>
          <w:p>
            <w:pPr>
              <w:spacing w:after="0"/>
              <w:rPr>
                <w:sz w:val="10"/>
                <w:szCs w:val="1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color w:val="auto"/>
              </w:rPr>
              <w:t>(5,394)</w:t>
            </w:r>
          </w:p>
        </w:tc>
        <w:tc>
          <w:tcPr>
            <w:tcW w:w="80" w:type="dxa"/>
            <w:vAlign w:val="bottom"/>
          </w:tcPr>
          <w:p>
            <w:pPr>
              <w:spacing w:after="0"/>
              <w:rPr>
                <w:sz w:val="10"/>
                <w:szCs w:val="10"/>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color w:val="auto"/>
              </w:rPr>
              <w:t>134,515</w:t>
            </w:r>
          </w:p>
        </w:tc>
        <w:tc>
          <w:tcPr>
            <w:tcW w:w="80" w:type="dxa"/>
            <w:vAlign w:val="bottom"/>
          </w:tcPr>
          <w:p>
            <w:pPr>
              <w:spacing w:after="0"/>
              <w:rPr>
                <w:sz w:val="10"/>
                <w:szCs w:val="10"/>
                <w:color w:val="auto"/>
              </w:rPr>
            </w:pPr>
          </w:p>
        </w:tc>
        <w:tc>
          <w:tcPr>
            <w:tcW w:w="180" w:type="dxa"/>
            <w:vAlign w:val="bottom"/>
            <w:tcBorders>
              <w:top w:val="single" w:sz="8" w:color="auto"/>
            </w:tcBorders>
          </w:tcPr>
          <w:p>
            <w:pPr>
              <w:jc w:val="right"/>
              <w:ind w:right="71"/>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color w:val="auto"/>
              </w:rPr>
              <w:t>349,468</w:t>
            </w:r>
          </w:p>
        </w:tc>
      </w:tr>
      <w:tr>
        <w:trPr>
          <w:trHeight w:val="135"/>
        </w:trPr>
        <w:tc>
          <w:tcPr>
            <w:tcW w:w="30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Stock-based compensation</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14"/>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ind w:left="4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4,078</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2,556</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6,634</w:t>
            </w:r>
          </w:p>
        </w:tc>
      </w:tr>
      <w:tr>
        <w:trPr>
          <w:trHeight w:val="121"/>
        </w:trPr>
        <w:tc>
          <w:tcPr>
            <w:tcW w:w="3000" w:type="dxa"/>
            <w:vAlign w:val="bottom"/>
          </w:tcPr>
          <w:p>
            <w:pPr>
              <w:ind w:left="100"/>
              <w:spacing w:after="0" w:line="122" w:lineRule="exact"/>
              <w:rPr>
                <w:sz w:val="20"/>
                <w:szCs w:val="20"/>
                <w:color w:val="auto"/>
              </w:rPr>
            </w:pPr>
            <w:r>
              <w:rPr>
                <w:rFonts w:ascii="Arial" w:cs="Arial" w:eastAsia="Arial" w:hAnsi="Arial"/>
                <w:sz w:val="11"/>
                <w:szCs w:val="11"/>
                <w:color w:val="auto"/>
              </w:rPr>
              <w:t>Vesting of restricted stock units</w:t>
            </w: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133</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1</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40" w:type="dxa"/>
            <w:vAlign w:val="bottom"/>
          </w:tcPr>
          <w:p>
            <w:pPr>
              <w:ind w:left="40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ind w:left="42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199</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right"/>
              <w:ind w:right="7"/>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(200)</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r>
      <w:tr>
        <w:trPr>
          <w:trHeight w:val="108"/>
        </w:trPr>
        <w:tc>
          <w:tcPr>
            <w:tcW w:w="3000" w:type="dxa"/>
            <w:vAlign w:val="bottom"/>
            <w:shd w:val="clear" w:color="auto" w:fill="CCEEFF"/>
          </w:tcPr>
          <w:p>
            <w:pPr>
              <w:ind w:left="100"/>
              <w:spacing w:after="0" w:line="109" w:lineRule="exact"/>
              <w:rPr>
                <w:sz w:val="20"/>
                <w:szCs w:val="20"/>
                <w:color w:val="auto"/>
              </w:rPr>
            </w:pPr>
            <w:r>
              <w:rPr>
                <w:rFonts w:ascii="Arial" w:cs="Arial" w:eastAsia="Arial" w:hAnsi="Arial"/>
                <w:sz w:val="11"/>
                <w:szCs w:val="11"/>
                <w:color w:val="auto"/>
              </w:rPr>
              <w:t>Repurchases of Class A common stock for withholding</w:t>
            </w: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r>
      <w:tr>
        <w:trPr>
          <w:trHeight w:val="135"/>
        </w:trPr>
        <w:tc>
          <w:tcPr>
            <w:tcW w:w="30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taxes on vested RSUs</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14"/>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ind w:left="4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(125)</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(125)</w:t>
            </w:r>
          </w:p>
        </w:tc>
      </w:tr>
      <w:tr>
        <w:trPr>
          <w:trHeight w:val="122"/>
        </w:trPr>
        <w:tc>
          <w:tcPr>
            <w:tcW w:w="3000" w:type="dxa"/>
            <w:vAlign w:val="bottom"/>
          </w:tcPr>
          <w:p>
            <w:pPr>
              <w:ind w:left="100"/>
              <w:spacing w:after="0" w:line="122" w:lineRule="exact"/>
              <w:rPr>
                <w:sz w:val="20"/>
                <w:szCs w:val="20"/>
                <w:color w:val="auto"/>
              </w:rPr>
            </w:pPr>
            <w:r>
              <w:rPr>
                <w:rFonts w:ascii="Arial" w:cs="Arial" w:eastAsia="Arial" w:hAnsi="Arial"/>
                <w:sz w:val="11"/>
                <w:szCs w:val="11"/>
                <w:color w:val="auto"/>
              </w:rPr>
              <w:t>Stock award to employee</w:t>
            </w: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320</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3</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40" w:type="dxa"/>
            <w:vAlign w:val="bottom"/>
          </w:tcPr>
          <w:p>
            <w:pPr>
              <w:ind w:left="40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ind w:left="42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589</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right"/>
              <w:ind w:right="7"/>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(592)</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r>
      <w:tr>
        <w:trPr>
          <w:trHeight w:val="108"/>
        </w:trPr>
        <w:tc>
          <w:tcPr>
            <w:tcW w:w="3000" w:type="dxa"/>
            <w:vAlign w:val="bottom"/>
            <w:shd w:val="clear" w:color="auto" w:fill="CCEEFF"/>
          </w:tcPr>
          <w:p>
            <w:pPr>
              <w:ind w:left="100"/>
              <w:spacing w:after="0" w:line="109" w:lineRule="exact"/>
              <w:rPr>
                <w:sz w:val="20"/>
                <w:szCs w:val="20"/>
                <w:color w:val="auto"/>
              </w:rPr>
            </w:pPr>
            <w:r>
              <w:rPr>
                <w:rFonts w:ascii="Arial" w:cs="Arial" w:eastAsia="Arial" w:hAnsi="Arial"/>
                <w:sz w:val="11"/>
                <w:szCs w:val="11"/>
                <w:color w:val="auto"/>
              </w:rPr>
              <w:t>Repurchases of Class A common stock for withholding</w:t>
            </w: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r>
      <w:tr>
        <w:trPr>
          <w:trHeight w:val="135"/>
        </w:trPr>
        <w:tc>
          <w:tcPr>
            <w:tcW w:w="30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taxes on stock award to employee</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(126)</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ind w:left="4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(884)</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(885)</w:t>
            </w:r>
          </w:p>
        </w:tc>
      </w:tr>
      <w:tr>
        <w:trPr>
          <w:trHeight w:val="122"/>
        </w:trPr>
        <w:tc>
          <w:tcPr>
            <w:tcW w:w="3000" w:type="dxa"/>
            <w:vAlign w:val="bottom"/>
          </w:tcPr>
          <w:p>
            <w:pPr>
              <w:ind w:left="100"/>
              <w:spacing w:after="0" w:line="122" w:lineRule="exact"/>
              <w:rPr>
                <w:sz w:val="20"/>
                <w:szCs w:val="20"/>
                <w:color w:val="auto"/>
              </w:rPr>
            </w:pPr>
            <w:r>
              <w:rPr>
                <w:rFonts w:ascii="Arial" w:cs="Arial" w:eastAsia="Arial" w:hAnsi="Arial"/>
                <w:sz w:val="11"/>
                <w:szCs w:val="11"/>
                <w:color w:val="auto"/>
              </w:rPr>
              <w:t>Distributions to holders of LLC common units</w:t>
            </w: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right"/>
              <w:ind w:right="114"/>
              <w:spacing w:after="0" w:line="122" w:lineRule="exact"/>
              <w:rPr>
                <w:sz w:val="20"/>
                <w:szCs w:val="20"/>
                <w:color w:val="auto"/>
              </w:rPr>
            </w:pPr>
            <w:r>
              <w:rPr>
                <w:rFonts w:ascii="Arial" w:cs="Arial" w:eastAsia="Arial" w:hAnsi="Arial"/>
                <w:sz w:val="11"/>
                <w:szCs w:val="11"/>
                <w:color w:val="auto"/>
              </w:rPr>
              <w:t>—</w:t>
            </w: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40" w:type="dxa"/>
            <w:vAlign w:val="bottom"/>
          </w:tcPr>
          <w:p>
            <w:pPr>
              <w:ind w:left="40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ind w:left="42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right"/>
              <w:ind w:right="7"/>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(1)</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(1)</w:t>
            </w:r>
          </w:p>
        </w:tc>
      </w:tr>
      <w:tr>
        <w:trPr>
          <w:trHeight w:val="122"/>
        </w:trPr>
        <w:tc>
          <w:tcPr>
            <w:tcW w:w="300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Non-controlling interest adjustment</w:t>
            </w: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14"/>
              <w:spacing w:after="0" w:line="122" w:lineRule="exact"/>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ind w:left="40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ind w:left="42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28</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jc w:val="right"/>
              <w:ind w:right="7"/>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(28)</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3000" w:type="dxa"/>
            <w:vAlign w:val="bottom"/>
          </w:tcPr>
          <w:p>
            <w:pPr>
              <w:ind w:left="100"/>
              <w:spacing w:after="0" w:line="122" w:lineRule="exact"/>
              <w:rPr>
                <w:sz w:val="20"/>
                <w:szCs w:val="20"/>
                <w:color w:val="auto"/>
              </w:rPr>
            </w:pPr>
            <w:r>
              <w:rPr>
                <w:rFonts w:ascii="Arial" w:cs="Arial" w:eastAsia="Arial" w:hAnsi="Arial"/>
                <w:sz w:val="11"/>
                <w:szCs w:val="11"/>
                <w:color w:val="auto"/>
              </w:rPr>
              <w:t>Net income</w:t>
            </w: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right"/>
              <w:ind w:right="114"/>
              <w:spacing w:after="0" w:line="122" w:lineRule="exact"/>
              <w:rPr>
                <w:sz w:val="20"/>
                <w:szCs w:val="20"/>
                <w:color w:val="auto"/>
              </w:rPr>
            </w:pPr>
            <w:r>
              <w:rPr>
                <w:rFonts w:ascii="Arial" w:cs="Arial" w:eastAsia="Arial" w:hAnsi="Arial"/>
                <w:sz w:val="11"/>
                <w:szCs w:val="11"/>
                <w:color w:val="auto"/>
              </w:rPr>
              <w:t>—</w:t>
            </w: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40" w:type="dxa"/>
            <w:vAlign w:val="bottom"/>
          </w:tcPr>
          <w:p>
            <w:pPr>
              <w:ind w:left="40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ind w:left="42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right"/>
              <w:ind w:right="7"/>
              <w:spacing w:after="0" w:line="122" w:lineRule="exact"/>
              <w:rPr>
                <w:sz w:val="20"/>
                <w:szCs w:val="20"/>
                <w:color w:val="auto"/>
              </w:rPr>
            </w:pPr>
            <w:r>
              <w:rPr>
                <w:rFonts w:ascii="Arial" w:cs="Arial" w:eastAsia="Arial" w:hAnsi="Arial"/>
                <w:sz w:val="11"/>
                <w:szCs w:val="11"/>
                <w:color w:val="auto"/>
              </w:rPr>
              <w:t>26,860</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16,853</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43,713</w:t>
            </w:r>
          </w:p>
        </w:tc>
      </w:tr>
      <w:tr>
        <w:trPr>
          <w:trHeight w:val="115"/>
        </w:trPr>
        <w:tc>
          <w:tcPr>
            <w:tcW w:w="300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1"/>
                <w:szCs w:val="11"/>
                <w:color w:val="auto"/>
              </w:rPr>
              <w:t>Balance at June 30, 2026</w:t>
            </w:r>
          </w:p>
        </w:tc>
        <w:tc>
          <w:tcPr>
            <w:tcW w:w="5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63,828</w:t>
            </w: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638</w:t>
            </w:r>
          </w:p>
        </w:tc>
        <w:tc>
          <w:tcPr>
            <w:tcW w:w="8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39,466</w:t>
            </w: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1"/>
                <w:szCs w:val="11"/>
                <w:color w:val="auto"/>
              </w:rPr>
              <w:t>$</w:t>
            </w:r>
          </w:p>
        </w:tc>
        <w:tc>
          <w:tcPr>
            <w:tcW w:w="5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w:t>
            </w:r>
          </w:p>
        </w:tc>
        <w:tc>
          <w:tcPr>
            <w:tcW w:w="8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ind w:left="400"/>
              <w:spacing w:after="0" w:line="115" w:lineRule="exact"/>
              <w:rPr>
                <w:sz w:val="20"/>
                <w:szCs w:val="20"/>
                <w:color w:val="auto"/>
              </w:rPr>
            </w:pPr>
            <w:r>
              <w:rPr>
                <w:rFonts w:ascii="Arial" w:cs="Arial" w:eastAsia="Arial" w:hAnsi="Arial"/>
                <w:sz w:val="11"/>
                <w:szCs w:val="11"/>
                <w:color w:val="auto"/>
              </w:rPr>
              <w:t>—</w:t>
            </w: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1"/>
                <w:szCs w:val="11"/>
                <w:color w:val="auto"/>
              </w:rPr>
              <w:t>$</w:t>
            </w:r>
          </w:p>
        </w:tc>
        <w:tc>
          <w:tcPr>
            <w:tcW w:w="580" w:type="dxa"/>
            <w:vAlign w:val="bottom"/>
            <w:tcBorders>
              <w:top w:val="single" w:sz="8" w:color="auto"/>
            </w:tcBorders>
            <w:shd w:val="clear" w:color="auto" w:fill="CCEEFF"/>
          </w:tcPr>
          <w:p>
            <w:pPr>
              <w:ind w:left="420"/>
              <w:spacing w:after="0" w:line="115" w:lineRule="exact"/>
              <w:rPr>
                <w:sz w:val="20"/>
                <w:szCs w:val="20"/>
                <w:color w:val="auto"/>
              </w:rPr>
            </w:pPr>
            <w:r>
              <w:rPr>
                <w:rFonts w:ascii="Arial" w:cs="Arial" w:eastAsia="Arial" w:hAnsi="Arial"/>
                <w:sz w:val="11"/>
                <w:szCs w:val="11"/>
                <w:color w:val="auto"/>
              </w:rPr>
              <w:t>—</w:t>
            </w: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223,593</w:t>
            </w: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jc w:val="right"/>
              <w:ind w:right="7"/>
              <w:spacing w:after="0" w:line="115" w:lineRule="exact"/>
              <w:rPr>
                <w:sz w:val="20"/>
                <w:szCs w:val="20"/>
                <w:color w:val="auto"/>
              </w:rPr>
            </w:pPr>
            <w:r>
              <w:rPr>
                <w:rFonts w:ascii="Arial" w:cs="Arial" w:eastAsia="Arial" w:hAnsi="Arial"/>
                <w:sz w:val="11"/>
                <w:szCs w:val="11"/>
                <w:color w:val="auto"/>
              </w:rPr>
              <w:t>21,466</w:t>
            </w: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153,103</w:t>
            </w:r>
          </w:p>
        </w:tc>
        <w:tc>
          <w:tcPr>
            <w:tcW w:w="8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398,804</w:t>
            </w:r>
          </w:p>
        </w:tc>
      </w:tr>
      <w:tr>
        <w:trPr>
          <w:trHeight w:val="135"/>
        </w:trPr>
        <w:tc>
          <w:tcPr>
            <w:tcW w:w="3000" w:type="dxa"/>
            <w:vAlign w:val="bottom"/>
          </w:tcPr>
          <w:p>
            <w:pPr>
              <w:ind w:left="100"/>
              <w:spacing w:after="0"/>
              <w:rPr>
                <w:sz w:val="20"/>
                <w:szCs w:val="20"/>
                <w:color w:val="auto"/>
              </w:rPr>
            </w:pPr>
            <w:r>
              <w:rPr>
                <w:rFonts w:ascii="Arial" w:cs="Arial" w:eastAsia="Arial" w:hAnsi="Arial"/>
                <w:sz w:val="11"/>
                <w:szCs w:val="11"/>
                <w:color w:val="auto"/>
              </w:rPr>
              <w:t>Stock-based compensation</w:t>
            </w: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ind w:right="114"/>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40" w:type="dxa"/>
            <w:vAlign w:val="bottom"/>
          </w:tcPr>
          <w:p>
            <w:pPr>
              <w:ind w:left="4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ind w:left="4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2,216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1,384</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3,600</w:t>
            </w:r>
          </w:p>
        </w:tc>
      </w:tr>
      <w:tr>
        <w:trPr>
          <w:trHeight w:val="121"/>
        </w:trPr>
        <w:tc>
          <w:tcPr>
            <w:tcW w:w="300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Vesting of restricted stock units</w:t>
            </w: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104</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ind w:left="40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ind w:left="42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200</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jc w:val="right"/>
              <w:ind w:right="7"/>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(201)</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r>
      <w:tr>
        <w:trPr>
          <w:trHeight w:val="108"/>
        </w:trPr>
        <w:tc>
          <w:tcPr>
            <w:tcW w:w="3000" w:type="dxa"/>
            <w:vAlign w:val="bottom"/>
          </w:tcPr>
          <w:p>
            <w:pPr>
              <w:ind w:left="100"/>
              <w:spacing w:after="0" w:line="109" w:lineRule="exact"/>
              <w:rPr>
                <w:sz w:val="20"/>
                <w:szCs w:val="20"/>
                <w:color w:val="auto"/>
              </w:rPr>
            </w:pPr>
            <w:r>
              <w:rPr>
                <w:rFonts w:ascii="Arial" w:cs="Arial" w:eastAsia="Arial" w:hAnsi="Arial"/>
                <w:sz w:val="11"/>
                <w:szCs w:val="11"/>
                <w:color w:val="auto"/>
              </w:rPr>
              <w:t>Repurchases of Class A common stock for withholding</w:t>
            </w: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r>
      <w:tr>
        <w:trPr>
          <w:trHeight w:val="135"/>
        </w:trPr>
        <w:tc>
          <w:tcPr>
            <w:tcW w:w="3000" w:type="dxa"/>
            <w:vAlign w:val="bottom"/>
          </w:tcPr>
          <w:p>
            <w:pPr>
              <w:ind w:left="100"/>
              <w:spacing w:after="0"/>
              <w:rPr>
                <w:sz w:val="20"/>
                <w:szCs w:val="20"/>
                <w:color w:val="auto"/>
              </w:rPr>
            </w:pPr>
            <w:r>
              <w:rPr>
                <w:rFonts w:ascii="Arial" w:cs="Arial" w:eastAsia="Arial" w:hAnsi="Arial"/>
                <w:sz w:val="11"/>
                <w:szCs w:val="11"/>
                <w:color w:val="auto"/>
              </w:rPr>
              <w:t>taxes on vested RSUs</w:t>
            </w:r>
          </w:p>
        </w:tc>
        <w:tc>
          <w:tcPr>
            <w:tcW w:w="540" w:type="dxa"/>
            <w:vAlign w:val="bottom"/>
          </w:tcPr>
          <w:p>
            <w:pPr>
              <w:jc w:val="right"/>
              <w:spacing w:after="0"/>
              <w:rPr>
                <w:sz w:val="20"/>
                <w:szCs w:val="20"/>
                <w:color w:val="auto"/>
              </w:rPr>
            </w:pPr>
            <w:r>
              <w:rPr>
                <w:rFonts w:ascii="Arial" w:cs="Arial" w:eastAsia="Arial" w:hAnsi="Arial"/>
                <w:sz w:val="11"/>
                <w:szCs w:val="11"/>
                <w:color w:val="auto"/>
              </w:rPr>
              <w:t>(42)</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ind w:right="114"/>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40" w:type="dxa"/>
            <w:vAlign w:val="bottom"/>
          </w:tcPr>
          <w:p>
            <w:pPr>
              <w:ind w:left="4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ind w:left="4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(271)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(271)</w:t>
            </w:r>
          </w:p>
        </w:tc>
      </w:tr>
      <w:tr>
        <w:trPr>
          <w:trHeight w:val="122"/>
        </w:trPr>
        <w:tc>
          <w:tcPr>
            <w:tcW w:w="300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Non-controlling interest adjustment</w:t>
            </w: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14"/>
              <w:spacing w:after="0" w:line="122" w:lineRule="exact"/>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ind w:left="40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ind w:left="42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(36)</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jc w:val="right"/>
              <w:ind w:right="7"/>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36</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3000" w:type="dxa"/>
            <w:vAlign w:val="bottom"/>
          </w:tcPr>
          <w:p>
            <w:pPr>
              <w:ind w:left="100"/>
              <w:spacing w:after="0" w:line="122" w:lineRule="exact"/>
              <w:rPr>
                <w:sz w:val="20"/>
                <w:szCs w:val="20"/>
                <w:color w:val="auto"/>
              </w:rPr>
            </w:pPr>
            <w:r>
              <w:rPr>
                <w:rFonts w:ascii="Arial" w:cs="Arial" w:eastAsia="Arial" w:hAnsi="Arial"/>
                <w:sz w:val="11"/>
                <w:szCs w:val="11"/>
                <w:color w:val="auto"/>
              </w:rPr>
              <w:t>Net loss</w:t>
            </w: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right"/>
              <w:ind w:right="114"/>
              <w:spacing w:after="0" w:line="122" w:lineRule="exact"/>
              <w:rPr>
                <w:sz w:val="20"/>
                <w:szCs w:val="20"/>
                <w:color w:val="auto"/>
              </w:rPr>
            </w:pPr>
            <w:r>
              <w:rPr>
                <w:rFonts w:ascii="Arial" w:cs="Arial" w:eastAsia="Arial" w:hAnsi="Arial"/>
                <w:sz w:val="11"/>
                <w:szCs w:val="11"/>
                <w:color w:val="auto"/>
              </w:rPr>
              <w:t>—</w:t>
            </w: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40" w:type="dxa"/>
            <w:vAlign w:val="bottom"/>
          </w:tcPr>
          <w:p>
            <w:pPr>
              <w:ind w:left="40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ind w:left="42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(197,019)</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(123,068)</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(320,087)</w:t>
            </w:r>
          </w:p>
        </w:tc>
      </w:tr>
      <w:tr>
        <w:trPr>
          <w:trHeight w:val="115"/>
        </w:trPr>
        <w:tc>
          <w:tcPr>
            <w:tcW w:w="3000" w:type="dxa"/>
            <w:vAlign w:val="bottom"/>
            <w:tcBorders>
              <w:top w:val="single" w:sz="8" w:color="CCEEFF"/>
              <w:bottom w:val="single" w:sz="8" w:color="CCEEFF"/>
            </w:tcBorders>
            <w:shd w:val="clear" w:color="auto" w:fill="CCEEFF"/>
          </w:tcPr>
          <w:p>
            <w:pPr>
              <w:spacing w:after="0" w:line="115" w:lineRule="exact"/>
              <w:rPr>
                <w:sz w:val="20"/>
                <w:szCs w:val="20"/>
                <w:color w:val="auto"/>
              </w:rPr>
            </w:pPr>
            <w:r>
              <w:rPr>
                <w:rFonts w:ascii="Arial" w:cs="Arial" w:eastAsia="Arial" w:hAnsi="Arial"/>
                <w:sz w:val="11"/>
                <w:szCs w:val="11"/>
                <w:color w:val="auto"/>
              </w:rPr>
              <w:t>Balance at September 30, 2026</w:t>
            </w:r>
          </w:p>
        </w:tc>
        <w:tc>
          <w:tcPr>
            <w:tcW w:w="54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63,890</w:t>
            </w: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639</w:t>
            </w: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54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39,466</w:t>
            </w: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spacing w:after="0" w:line="115" w:lineRule="exact"/>
              <w:rPr>
                <w:sz w:val="20"/>
                <w:szCs w:val="20"/>
                <w:color w:val="auto"/>
              </w:rPr>
            </w:pPr>
            <w:r>
              <w:rPr>
                <w:rFonts w:ascii="Arial" w:cs="Arial" w:eastAsia="Arial" w:hAnsi="Arial"/>
                <w:sz w:val="11"/>
                <w:szCs w:val="11"/>
                <w:color w:val="auto"/>
              </w:rPr>
              <w:t>$</w:t>
            </w:r>
          </w:p>
        </w:tc>
        <w:tc>
          <w:tcPr>
            <w:tcW w:w="5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w:t>
            </w: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540" w:type="dxa"/>
            <w:vAlign w:val="bottom"/>
            <w:tcBorders>
              <w:top w:val="single" w:sz="8" w:color="auto"/>
              <w:bottom w:val="single" w:sz="8" w:color="auto"/>
            </w:tcBorders>
            <w:shd w:val="clear" w:color="auto" w:fill="CCEEFF"/>
          </w:tcPr>
          <w:p>
            <w:pPr>
              <w:ind w:left="400"/>
              <w:spacing w:after="0" w:line="115" w:lineRule="exact"/>
              <w:rPr>
                <w:sz w:val="20"/>
                <w:szCs w:val="20"/>
                <w:color w:val="auto"/>
              </w:rPr>
            </w:pPr>
            <w:r>
              <w:rPr>
                <w:rFonts w:ascii="Arial" w:cs="Arial" w:eastAsia="Arial" w:hAnsi="Arial"/>
                <w:sz w:val="11"/>
                <w:szCs w:val="11"/>
                <w:color w:val="auto"/>
              </w:rPr>
              <w:t>—</w:t>
            </w: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spacing w:after="0" w:line="115" w:lineRule="exact"/>
              <w:rPr>
                <w:sz w:val="20"/>
                <w:szCs w:val="20"/>
                <w:color w:val="auto"/>
              </w:rPr>
            </w:pPr>
            <w:r>
              <w:rPr>
                <w:rFonts w:ascii="Arial" w:cs="Arial" w:eastAsia="Arial" w:hAnsi="Arial"/>
                <w:sz w:val="11"/>
                <w:szCs w:val="11"/>
                <w:color w:val="auto"/>
              </w:rPr>
              <w:t>$</w:t>
            </w:r>
          </w:p>
        </w:tc>
        <w:tc>
          <w:tcPr>
            <w:tcW w:w="580" w:type="dxa"/>
            <w:vAlign w:val="bottom"/>
            <w:tcBorders>
              <w:top w:val="single" w:sz="8" w:color="auto"/>
              <w:bottom w:val="single" w:sz="8" w:color="auto"/>
            </w:tcBorders>
            <w:shd w:val="clear" w:color="auto" w:fill="CCEEFF"/>
          </w:tcPr>
          <w:p>
            <w:pPr>
              <w:ind w:left="420"/>
              <w:spacing w:after="0" w:line="115" w:lineRule="exact"/>
              <w:rPr>
                <w:sz w:val="20"/>
                <w:szCs w:val="20"/>
                <w:color w:val="auto"/>
              </w:rPr>
            </w:pPr>
            <w:r>
              <w:rPr>
                <w:rFonts w:ascii="Arial" w:cs="Arial" w:eastAsia="Arial" w:hAnsi="Arial"/>
                <w:sz w:val="11"/>
                <w:szCs w:val="11"/>
                <w:color w:val="auto"/>
              </w:rPr>
              <w:t>—</w:t>
            </w: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225,702</w:t>
            </w: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(175,553)</w:t>
            </w: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31,254</w:t>
            </w: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18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82,046</w:t>
            </w:r>
          </w:p>
        </w:tc>
      </w:tr>
      <w:tr>
        <w:trPr>
          <w:trHeight w:val="20"/>
        </w:trPr>
        <w:tc>
          <w:tcPr>
            <w:tcW w:w="30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351790</wp:posOffset>
            </wp:positionV>
            <wp:extent cx="66351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35115" cy="17145"/>
                    </a:xfrm>
                    <a:prstGeom prst="rect">
                      <a:avLst/>
                    </a:prstGeom>
                    <a:noFill/>
                  </pic:spPr>
                </pic:pic>
              </a:graphicData>
            </a:graphic>
          </wp:anchor>
        </w:drawing>
      </w:r>
    </w:p>
    <w:p>
      <w:pPr>
        <w:sectPr>
          <w:pgSz w:w="11900" w:h="16838" w:orient="portrait"/>
          <w:cols w:equalWidth="0" w:num="1">
            <w:col w:w="10440"/>
          </w:cols>
          <w:pgMar w:left="720" w:top="512" w:right="739" w:bottom="1440" w:gutter="0" w:footer="0" w:header="0"/>
        </w:sectPr>
      </w:pPr>
    </w:p>
    <w:bookmarkStart w:id="8" w:name="page9"/>
    <w:bookmarkEnd w:id="8"/>
    <w:p>
      <w:pPr>
        <w:ind w:left="5"/>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5" w:type="dxa"/>
        <w:tblCellMar>
          <w:top w:w="0" w:type="dxa"/>
          <w:left w:w="0" w:type="dxa"/>
          <w:bottom w:w="0" w:type="dxa"/>
          <w:right w:w="0" w:type="dxa"/>
        </w:tblCellMar>
      </w:tblPr>
      <w:tr>
        <w:trPr>
          <w:trHeight w:val="135"/>
        </w:trPr>
        <w:tc>
          <w:tcPr>
            <w:tcW w:w="3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ind w:right="86"/>
              <w:spacing w:after="0"/>
              <w:rPr>
                <w:sz w:val="20"/>
                <w:szCs w:val="20"/>
                <w:color w:val="auto"/>
              </w:rPr>
            </w:pPr>
            <w:r>
              <w:rPr>
                <w:rFonts w:ascii="Arial" w:cs="Arial" w:eastAsia="Arial" w:hAnsi="Arial"/>
                <w:sz w:val="10"/>
                <w:szCs w:val="10"/>
                <w:b w:val="1"/>
                <w:bCs w:val="1"/>
                <w:color w:val="auto"/>
              </w:rPr>
              <w:t>Additional</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center"/>
              <w:ind w:right="46"/>
              <w:spacing w:after="0"/>
              <w:rPr>
                <w:sz w:val="20"/>
                <w:szCs w:val="20"/>
                <w:color w:val="auto"/>
              </w:rPr>
            </w:pPr>
            <w:r>
              <w:rPr>
                <w:rFonts w:ascii="Arial" w:cs="Arial" w:eastAsia="Arial" w:hAnsi="Arial"/>
                <w:sz w:val="10"/>
                <w:szCs w:val="10"/>
                <w:b w:val="1"/>
                <w:bCs w:val="1"/>
                <w:color w:val="auto"/>
                <w:w w:val="96"/>
              </w:rPr>
              <w:t>Non-</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27"/>
        </w:trPr>
        <w:tc>
          <w:tcPr>
            <w:tcW w:w="30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Arial" w:cs="Arial" w:eastAsia="Arial" w:hAnsi="Arial"/>
                <w:sz w:val="10"/>
                <w:szCs w:val="10"/>
                <w:b w:val="1"/>
                <w:bCs w:val="1"/>
                <w:color w:val="auto"/>
                <w:w w:val="99"/>
              </w:rPr>
              <w:t>Class A Common Stock</w:t>
            </w:r>
          </w:p>
        </w:tc>
        <w:tc>
          <w:tcPr>
            <w:tcW w:w="80" w:type="dxa"/>
            <w:vAlign w:val="bottom"/>
          </w:tcPr>
          <w:p>
            <w:pPr>
              <w:spacing w:after="0"/>
              <w:rPr>
                <w:sz w:val="11"/>
                <w:szCs w:val="11"/>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Arial" w:cs="Arial" w:eastAsia="Arial" w:hAnsi="Arial"/>
                <w:sz w:val="10"/>
                <w:szCs w:val="10"/>
                <w:b w:val="1"/>
                <w:bCs w:val="1"/>
                <w:color w:val="auto"/>
                <w:w w:val="97"/>
              </w:rPr>
              <w:t>Class B Common Stock</w:t>
            </w:r>
          </w:p>
        </w:tc>
        <w:tc>
          <w:tcPr>
            <w:tcW w:w="80" w:type="dxa"/>
            <w:vAlign w:val="bottom"/>
          </w:tcPr>
          <w:p>
            <w:pPr>
              <w:spacing w:after="0"/>
              <w:rPr>
                <w:sz w:val="11"/>
                <w:szCs w:val="11"/>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Arial" w:cs="Arial" w:eastAsia="Arial" w:hAnsi="Arial"/>
                <w:sz w:val="10"/>
                <w:szCs w:val="10"/>
                <w:b w:val="1"/>
                <w:bCs w:val="1"/>
                <w:color w:val="auto"/>
                <w:w w:val="97"/>
              </w:rPr>
              <w:t>Class C Common Stock</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ind w:right="166"/>
              <w:spacing w:after="0"/>
              <w:rPr>
                <w:sz w:val="20"/>
                <w:szCs w:val="20"/>
                <w:color w:val="auto"/>
              </w:rPr>
            </w:pPr>
            <w:r>
              <w:rPr>
                <w:rFonts w:ascii="Arial" w:cs="Arial" w:eastAsia="Arial" w:hAnsi="Arial"/>
                <w:sz w:val="10"/>
                <w:szCs w:val="10"/>
                <w:b w:val="1"/>
                <w:bCs w:val="1"/>
                <w:color w:val="auto"/>
              </w:rPr>
              <w:t>Paid-In</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ind w:right="126"/>
              <w:spacing w:after="0"/>
              <w:rPr>
                <w:sz w:val="20"/>
                <w:szCs w:val="20"/>
                <w:color w:val="auto"/>
              </w:rPr>
            </w:pPr>
            <w:r>
              <w:rPr>
                <w:rFonts w:ascii="Arial" w:cs="Arial" w:eastAsia="Arial" w:hAnsi="Arial"/>
                <w:sz w:val="10"/>
                <w:szCs w:val="10"/>
                <w:b w:val="1"/>
                <w:bCs w:val="1"/>
                <w:color w:val="auto"/>
              </w:rPr>
              <w:t>Retained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center"/>
              <w:ind w:right="26"/>
              <w:spacing w:after="0"/>
              <w:rPr>
                <w:sz w:val="20"/>
                <w:szCs w:val="20"/>
                <w:color w:val="auto"/>
              </w:rPr>
            </w:pPr>
            <w:r>
              <w:rPr>
                <w:rFonts w:ascii="Arial" w:cs="Arial" w:eastAsia="Arial" w:hAnsi="Arial"/>
                <w:sz w:val="10"/>
                <w:szCs w:val="10"/>
                <w:b w:val="1"/>
                <w:bCs w:val="1"/>
                <w:color w:val="auto"/>
                <w:w w:val="97"/>
              </w:rPr>
              <w:t>Controlling</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15"/>
        </w:trPr>
        <w:tc>
          <w:tcPr>
            <w:tcW w:w="3060" w:type="dxa"/>
            <w:vAlign w:val="bottom"/>
            <w:gridSpan w:val="2"/>
          </w:tcPr>
          <w:p>
            <w:pPr>
              <w:ind w:left="3000"/>
              <w:spacing w:after="0" w:line="115" w:lineRule="exact"/>
              <w:rPr>
                <w:sz w:val="20"/>
                <w:szCs w:val="20"/>
                <w:color w:val="auto"/>
              </w:rPr>
            </w:pPr>
            <w:r>
              <w:rPr>
                <w:rFonts w:ascii="Arial" w:cs="Arial" w:eastAsia="Arial" w:hAnsi="Arial"/>
                <w:sz w:val="12"/>
                <w:szCs w:val="12"/>
                <w:color w:val="auto"/>
              </w:rPr>
              <w:t>​</w:t>
            </w:r>
          </w:p>
        </w:tc>
        <w:tc>
          <w:tcPr>
            <w:tcW w:w="480" w:type="dxa"/>
            <w:vAlign w:val="bottom"/>
          </w:tcPr>
          <w:p>
            <w:pPr>
              <w:jc w:val="right"/>
              <w:ind w:right="46"/>
              <w:spacing w:after="0"/>
              <w:rPr>
                <w:sz w:val="20"/>
                <w:szCs w:val="20"/>
                <w:color w:val="auto"/>
              </w:rPr>
            </w:pPr>
            <w:r>
              <w:rPr>
                <w:rFonts w:ascii="Arial" w:cs="Arial" w:eastAsia="Arial" w:hAnsi="Arial"/>
                <w:sz w:val="10"/>
                <w:szCs w:val="10"/>
                <w:b w:val="1"/>
                <w:bCs w:val="1"/>
                <w:color w:val="auto"/>
              </w:rPr>
              <w:t>Shares</w:t>
            </w:r>
          </w:p>
        </w:tc>
        <w:tc>
          <w:tcPr>
            <w:tcW w:w="180" w:type="dxa"/>
            <w:vAlign w:val="bottom"/>
            <w:gridSpan w:val="2"/>
          </w:tcPr>
          <w:p>
            <w:pPr>
              <w:jc w:val="center"/>
              <w:spacing w:after="0"/>
              <w:rPr>
                <w:sz w:val="20"/>
                <w:szCs w:val="20"/>
                <w:color w:val="auto"/>
              </w:rPr>
            </w:pPr>
            <w:r>
              <w:rPr>
                <w:rFonts w:ascii="Arial" w:cs="Arial" w:eastAsia="Arial" w:hAnsi="Arial"/>
                <w:sz w:val="10"/>
                <w:szCs w:val="10"/>
                <w:color w:val="auto"/>
              </w:rPr>
              <w:t>​</w:t>
            </w:r>
          </w:p>
        </w:tc>
        <w:tc>
          <w:tcPr>
            <w:tcW w:w="580" w:type="dxa"/>
            <w:vAlign w:val="bottom"/>
          </w:tcPr>
          <w:p>
            <w:pPr>
              <w:jc w:val="right"/>
              <w:ind w:right="66"/>
              <w:spacing w:after="0"/>
              <w:rPr>
                <w:sz w:val="20"/>
                <w:szCs w:val="20"/>
                <w:color w:val="auto"/>
              </w:rPr>
            </w:pPr>
            <w:r>
              <w:rPr>
                <w:rFonts w:ascii="Arial" w:cs="Arial" w:eastAsia="Arial" w:hAnsi="Arial"/>
                <w:sz w:val="10"/>
                <w:szCs w:val="10"/>
                <w:b w:val="1"/>
                <w:bCs w:val="1"/>
                <w:color w:val="auto"/>
              </w:rPr>
              <w:t>Amounts</w:t>
            </w:r>
          </w:p>
        </w:tc>
        <w:tc>
          <w:tcPr>
            <w:tcW w:w="80" w:type="dxa"/>
            <w:vAlign w:val="bottom"/>
          </w:tcPr>
          <w:p>
            <w:pPr>
              <w:ind w:left="60"/>
              <w:spacing w:after="0"/>
              <w:rPr>
                <w:sz w:val="20"/>
                <w:szCs w:val="20"/>
                <w:color w:val="auto"/>
              </w:rPr>
            </w:pPr>
            <w:r>
              <w:rPr>
                <w:rFonts w:ascii="Arial" w:cs="Arial" w:eastAsia="Arial" w:hAnsi="Arial"/>
                <w:sz w:val="1"/>
                <w:szCs w:val="1"/>
                <w:color w:val="auto"/>
                <w:w w:val="4294942296"/>
              </w:rPr>
              <w:t>​</w:t>
            </w:r>
          </w:p>
        </w:tc>
        <w:tc>
          <w:tcPr>
            <w:tcW w:w="540" w:type="dxa"/>
            <w:vAlign w:val="bottom"/>
          </w:tcPr>
          <w:p>
            <w:pPr>
              <w:jc w:val="right"/>
              <w:ind w:right="46"/>
              <w:spacing w:after="0"/>
              <w:rPr>
                <w:sz w:val="20"/>
                <w:szCs w:val="20"/>
                <w:color w:val="auto"/>
              </w:rPr>
            </w:pPr>
            <w:r>
              <w:rPr>
                <w:rFonts w:ascii="Arial" w:cs="Arial" w:eastAsia="Arial" w:hAnsi="Arial"/>
                <w:sz w:val="10"/>
                <w:szCs w:val="10"/>
                <w:b w:val="1"/>
                <w:bCs w:val="1"/>
                <w:color w:val="auto"/>
              </w:rPr>
              <w:t>Shares</w:t>
            </w:r>
          </w:p>
        </w:tc>
        <w:tc>
          <w:tcPr>
            <w:tcW w:w="180" w:type="dxa"/>
            <w:vAlign w:val="bottom"/>
            <w:gridSpan w:val="2"/>
          </w:tcPr>
          <w:p>
            <w:pPr>
              <w:jc w:val="center"/>
              <w:spacing w:after="0"/>
              <w:rPr>
                <w:sz w:val="20"/>
                <w:szCs w:val="20"/>
                <w:color w:val="auto"/>
              </w:rPr>
            </w:pPr>
            <w:r>
              <w:rPr>
                <w:rFonts w:ascii="Arial" w:cs="Arial" w:eastAsia="Arial" w:hAnsi="Arial"/>
                <w:sz w:val="10"/>
                <w:szCs w:val="10"/>
                <w:color w:val="auto"/>
              </w:rPr>
              <w:t>​</w:t>
            </w:r>
          </w:p>
        </w:tc>
        <w:tc>
          <w:tcPr>
            <w:tcW w:w="580" w:type="dxa"/>
            <w:vAlign w:val="bottom"/>
          </w:tcPr>
          <w:p>
            <w:pPr>
              <w:jc w:val="right"/>
              <w:ind w:right="66"/>
              <w:spacing w:after="0"/>
              <w:rPr>
                <w:sz w:val="20"/>
                <w:szCs w:val="20"/>
                <w:color w:val="auto"/>
              </w:rPr>
            </w:pPr>
            <w:r>
              <w:rPr>
                <w:rFonts w:ascii="Arial" w:cs="Arial" w:eastAsia="Arial" w:hAnsi="Arial"/>
                <w:sz w:val="10"/>
                <w:szCs w:val="10"/>
                <w:b w:val="1"/>
                <w:bCs w:val="1"/>
                <w:color w:val="auto"/>
              </w:rPr>
              <w:t>Amounts</w:t>
            </w:r>
          </w:p>
        </w:tc>
        <w:tc>
          <w:tcPr>
            <w:tcW w:w="80" w:type="dxa"/>
            <w:vAlign w:val="bottom"/>
          </w:tcPr>
          <w:p>
            <w:pPr>
              <w:ind w:left="60"/>
              <w:spacing w:after="0"/>
              <w:rPr>
                <w:sz w:val="20"/>
                <w:szCs w:val="20"/>
                <w:color w:val="auto"/>
              </w:rPr>
            </w:pPr>
            <w:r>
              <w:rPr>
                <w:rFonts w:ascii="Arial" w:cs="Arial" w:eastAsia="Arial" w:hAnsi="Arial"/>
                <w:sz w:val="1"/>
                <w:szCs w:val="1"/>
                <w:color w:val="auto"/>
                <w:w w:val="4294942296"/>
              </w:rPr>
              <w:t>​</w:t>
            </w:r>
          </w:p>
        </w:tc>
        <w:tc>
          <w:tcPr>
            <w:tcW w:w="540" w:type="dxa"/>
            <w:vAlign w:val="bottom"/>
          </w:tcPr>
          <w:p>
            <w:pPr>
              <w:ind w:left="100"/>
              <w:spacing w:after="0"/>
              <w:rPr>
                <w:sz w:val="20"/>
                <w:szCs w:val="20"/>
                <w:color w:val="auto"/>
              </w:rPr>
            </w:pPr>
            <w:r>
              <w:rPr>
                <w:rFonts w:ascii="Arial" w:cs="Arial" w:eastAsia="Arial" w:hAnsi="Arial"/>
                <w:sz w:val="10"/>
                <w:szCs w:val="10"/>
                <w:b w:val="1"/>
                <w:bCs w:val="1"/>
                <w:color w:val="auto"/>
              </w:rPr>
              <w:t>Shares</w:t>
            </w:r>
          </w:p>
        </w:tc>
        <w:tc>
          <w:tcPr>
            <w:tcW w:w="180" w:type="dxa"/>
            <w:vAlign w:val="bottom"/>
            <w:gridSpan w:val="2"/>
          </w:tcPr>
          <w:p>
            <w:pPr>
              <w:jc w:val="center"/>
              <w:spacing w:after="0"/>
              <w:rPr>
                <w:sz w:val="20"/>
                <w:szCs w:val="20"/>
                <w:color w:val="auto"/>
              </w:rPr>
            </w:pPr>
            <w:r>
              <w:rPr>
                <w:rFonts w:ascii="Arial" w:cs="Arial" w:eastAsia="Arial" w:hAnsi="Arial"/>
                <w:sz w:val="10"/>
                <w:szCs w:val="10"/>
                <w:color w:val="auto"/>
              </w:rPr>
              <w:t>​</w:t>
            </w:r>
          </w:p>
        </w:tc>
        <w:tc>
          <w:tcPr>
            <w:tcW w:w="580" w:type="dxa"/>
            <w:vAlign w:val="bottom"/>
          </w:tcPr>
          <w:p>
            <w:pPr>
              <w:ind w:left="20"/>
              <w:spacing w:after="0"/>
              <w:rPr>
                <w:sz w:val="20"/>
                <w:szCs w:val="20"/>
                <w:color w:val="auto"/>
              </w:rPr>
            </w:pPr>
            <w:r>
              <w:rPr>
                <w:rFonts w:ascii="Arial" w:cs="Arial" w:eastAsia="Arial" w:hAnsi="Arial"/>
                <w:sz w:val="10"/>
                <w:szCs w:val="10"/>
                <w:b w:val="1"/>
                <w:bCs w:val="1"/>
                <w:color w:val="auto"/>
              </w:rPr>
              <w:t>Amounts</w:t>
            </w:r>
          </w:p>
        </w:tc>
        <w:tc>
          <w:tcPr>
            <w:tcW w:w="180" w:type="dxa"/>
            <w:vAlign w:val="bottom"/>
            <w:gridSpan w:val="2"/>
          </w:tcPr>
          <w:p>
            <w:pPr>
              <w:jc w:val="right"/>
              <w:ind w:right="51"/>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166"/>
              <w:spacing w:after="0"/>
              <w:rPr>
                <w:sz w:val="20"/>
                <w:szCs w:val="20"/>
                <w:color w:val="auto"/>
              </w:rPr>
            </w:pPr>
            <w:r>
              <w:rPr>
                <w:rFonts w:ascii="Arial" w:cs="Arial" w:eastAsia="Arial" w:hAnsi="Arial"/>
                <w:sz w:val="10"/>
                <w:szCs w:val="10"/>
                <w:b w:val="1"/>
                <w:bCs w:val="1"/>
                <w:color w:val="auto"/>
              </w:rPr>
              <w:t>Capital</w:t>
            </w:r>
          </w:p>
        </w:tc>
        <w:tc>
          <w:tcPr>
            <w:tcW w:w="180" w:type="dxa"/>
            <w:vAlign w:val="bottom"/>
            <w:gridSpan w:val="2"/>
          </w:tcPr>
          <w:p>
            <w:pPr>
              <w:jc w:val="right"/>
              <w:ind w:right="51"/>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126"/>
              <w:spacing w:after="0"/>
              <w:rPr>
                <w:sz w:val="20"/>
                <w:szCs w:val="20"/>
                <w:color w:val="auto"/>
              </w:rPr>
            </w:pPr>
            <w:r>
              <w:rPr>
                <w:rFonts w:ascii="Arial" w:cs="Arial" w:eastAsia="Arial" w:hAnsi="Arial"/>
                <w:sz w:val="10"/>
                <w:szCs w:val="10"/>
                <w:b w:val="1"/>
                <w:bCs w:val="1"/>
                <w:color w:val="auto"/>
              </w:rPr>
              <w:t>Earnings</w:t>
            </w:r>
          </w:p>
        </w:tc>
        <w:tc>
          <w:tcPr>
            <w:tcW w:w="160" w:type="dxa"/>
            <w:vAlign w:val="bottom"/>
            <w:gridSpan w:val="2"/>
          </w:tcPr>
          <w:p>
            <w:pPr>
              <w:jc w:val="right"/>
              <w:ind w:right="31"/>
              <w:spacing w:after="0"/>
              <w:rPr>
                <w:sz w:val="20"/>
                <w:szCs w:val="20"/>
                <w:color w:val="auto"/>
              </w:rPr>
            </w:pPr>
            <w:r>
              <w:rPr>
                <w:rFonts w:ascii="Arial" w:cs="Arial" w:eastAsia="Arial" w:hAnsi="Arial"/>
                <w:sz w:val="10"/>
                <w:szCs w:val="10"/>
                <w:color w:val="auto"/>
              </w:rPr>
              <w:t>​</w:t>
            </w:r>
          </w:p>
        </w:tc>
        <w:tc>
          <w:tcPr>
            <w:tcW w:w="680" w:type="dxa"/>
            <w:vAlign w:val="bottom"/>
          </w:tcPr>
          <w:p>
            <w:pPr>
              <w:jc w:val="center"/>
              <w:ind w:right="26"/>
              <w:spacing w:after="0"/>
              <w:rPr>
                <w:sz w:val="20"/>
                <w:szCs w:val="20"/>
                <w:color w:val="auto"/>
              </w:rPr>
            </w:pPr>
            <w:r>
              <w:rPr>
                <w:rFonts w:ascii="Arial" w:cs="Arial" w:eastAsia="Arial" w:hAnsi="Arial"/>
                <w:sz w:val="10"/>
                <w:szCs w:val="10"/>
                <w:b w:val="1"/>
                <w:bCs w:val="1"/>
                <w:color w:val="auto"/>
                <w:w w:val="99"/>
              </w:rPr>
              <w:t>Interest</w:t>
            </w:r>
          </w:p>
        </w:tc>
        <w:tc>
          <w:tcPr>
            <w:tcW w:w="260" w:type="dxa"/>
            <w:vAlign w:val="bottom"/>
            <w:gridSpan w:val="2"/>
          </w:tcPr>
          <w:p>
            <w:pPr>
              <w:ind w:left="60"/>
              <w:spacing w:after="0"/>
              <w:rPr>
                <w:sz w:val="20"/>
                <w:szCs w:val="20"/>
                <w:color w:val="auto"/>
              </w:rPr>
            </w:pPr>
            <w:r>
              <w:rPr>
                <w:rFonts w:ascii="Arial" w:cs="Arial" w:eastAsia="Arial" w:hAnsi="Arial"/>
                <w:sz w:val="10"/>
                <w:szCs w:val="10"/>
                <w:color w:val="auto"/>
              </w:rPr>
              <w:t>​</w:t>
            </w:r>
          </w:p>
        </w:tc>
        <w:tc>
          <w:tcPr>
            <w:tcW w:w="600" w:type="dxa"/>
            <w:vAlign w:val="bottom"/>
          </w:tcPr>
          <w:p>
            <w:pPr>
              <w:jc w:val="right"/>
              <w:ind w:right="226"/>
              <w:spacing w:after="0"/>
              <w:rPr>
                <w:sz w:val="20"/>
                <w:szCs w:val="20"/>
                <w:color w:val="auto"/>
              </w:rPr>
            </w:pPr>
            <w:r>
              <w:rPr>
                <w:rFonts w:ascii="Arial" w:cs="Arial" w:eastAsia="Arial" w:hAnsi="Arial"/>
                <w:sz w:val="10"/>
                <w:szCs w:val="10"/>
                <w:b w:val="1"/>
                <w:bCs w:val="1"/>
                <w:color w:val="auto"/>
              </w:rPr>
              <w:t>Total</w:t>
            </w:r>
          </w:p>
        </w:tc>
      </w:tr>
      <w:tr>
        <w:trPr>
          <w:trHeight w:val="115"/>
        </w:trPr>
        <w:tc>
          <w:tcPr>
            <w:tcW w:w="300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1"/>
                <w:szCs w:val="11"/>
                <w:color w:val="auto"/>
              </w:rPr>
              <w:t>Balance at January 1, 2025</w:t>
            </w:r>
          </w:p>
        </w:tc>
        <w:tc>
          <w:tcPr>
            <w:tcW w:w="6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62,502</w:t>
            </w: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625</w:t>
            </w:r>
          </w:p>
        </w:tc>
        <w:tc>
          <w:tcPr>
            <w:tcW w:w="8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39,466</w:t>
            </w: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center"/>
              <w:spacing w:after="0" w:line="115" w:lineRule="exact"/>
              <w:rPr>
                <w:sz w:val="20"/>
                <w:szCs w:val="20"/>
                <w:color w:val="auto"/>
              </w:rPr>
            </w:pPr>
            <w:r>
              <w:rPr>
                <w:rFonts w:ascii="Arial" w:cs="Arial" w:eastAsia="Arial" w:hAnsi="Arial"/>
                <w:sz w:val="11"/>
                <w:szCs w:val="11"/>
                <w:color w:val="auto"/>
                <w:w w:val="97"/>
              </w:rPr>
              <w:t>$</w:t>
            </w:r>
          </w:p>
        </w:tc>
        <w:tc>
          <w:tcPr>
            <w:tcW w:w="5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w:t>
            </w:r>
          </w:p>
        </w:tc>
        <w:tc>
          <w:tcPr>
            <w:tcW w:w="8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ind w:left="400"/>
              <w:spacing w:after="0" w:line="115" w:lineRule="exact"/>
              <w:rPr>
                <w:sz w:val="20"/>
                <w:szCs w:val="20"/>
                <w:color w:val="auto"/>
              </w:rPr>
            </w:pPr>
            <w:r>
              <w:rPr>
                <w:rFonts w:ascii="Arial" w:cs="Arial" w:eastAsia="Arial" w:hAnsi="Arial"/>
                <w:sz w:val="11"/>
                <w:szCs w:val="11"/>
                <w:color w:val="auto"/>
              </w:rPr>
              <w:t>—</w:t>
            </w: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center"/>
              <w:spacing w:after="0" w:line="115" w:lineRule="exact"/>
              <w:rPr>
                <w:sz w:val="20"/>
                <w:szCs w:val="20"/>
                <w:color w:val="auto"/>
              </w:rPr>
            </w:pPr>
            <w:r>
              <w:rPr>
                <w:rFonts w:ascii="Arial" w:cs="Arial" w:eastAsia="Arial" w:hAnsi="Arial"/>
                <w:sz w:val="11"/>
                <w:szCs w:val="11"/>
                <w:color w:val="auto"/>
                <w:w w:val="97"/>
              </w:rPr>
              <w:t>$</w:t>
            </w:r>
          </w:p>
        </w:tc>
        <w:tc>
          <w:tcPr>
            <w:tcW w:w="580" w:type="dxa"/>
            <w:vAlign w:val="bottom"/>
            <w:tcBorders>
              <w:top w:val="single" w:sz="8" w:color="auto"/>
            </w:tcBorders>
            <w:shd w:val="clear" w:color="auto" w:fill="CCEEFF"/>
          </w:tcPr>
          <w:p>
            <w:pPr>
              <w:ind w:left="420"/>
              <w:spacing w:after="0" w:line="115" w:lineRule="exact"/>
              <w:rPr>
                <w:sz w:val="20"/>
                <w:szCs w:val="20"/>
                <w:color w:val="auto"/>
              </w:rPr>
            </w:pPr>
            <w:r>
              <w:rPr>
                <w:rFonts w:ascii="Arial" w:cs="Arial" w:eastAsia="Arial" w:hAnsi="Arial"/>
                <w:sz w:val="11"/>
                <w:szCs w:val="11"/>
                <w:color w:val="auto"/>
              </w:rPr>
              <w:t>—</w:t>
            </w: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193,692</w:t>
            </w: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jc w:val="right"/>
              <w:ind w:right="6"/>
              <w:spacing w:after="0" w:line="115" w:lineRule="exact"/>
              <w:rPr>
                <w:sz w:val="20"/>
                <w:szCs w:val="20"/>
                <w:color w:val="auto"/>
              </w:rPr>
            </w:pPr>
            <w:r>
              <w:rPr>
                <w:rFonts w:ascii="Arial" w:cs="Arial" w:eastAsia="Arial" w:hAnsi="Arial"/>
                <w:sz w:val="11"/>
                <w:szCs w:val="11"/>
                <w:color w:val="auto"/>
              </w:rPr>
              <w:t>132,241</w:t>
            </w: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158,387</w:t>
            </w:r>
          </w:p>
        </w:tc>
        <w:tc>
          <w:tcPr>
            <w:tcW w:w="8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1"/>
                <w:szCs w:val="11"/>
                <w:color w:val="auto"/>
              </w:rPr>
              <w:t>$</w:t>
            </w:r>
          </w:p>
        </w:tc>
        <w:tc>
          <w:tcPr>
            <w:tcW w:w="60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484,949</w:t>
            </w:r>
          </w:p>
        </w:tc>
      </w:tr>
      <w:tr>
        <w:trPr>
          <w:trHeight w:val="122"/>
        </w:trPr>
        <w:tc>
          <w:tcPr>
            <w:tcW w:w="3060" w:type="dxa"/>
            <w:vAlign w:val="bottom"/>
            <w:gridSpan w:val="2"/>
          </w:tcPr>
          <w:p>
            <w:pPr>
              <w:ind w:left="100"/>
              <w:spacing w:after="0" w:line="122" w:lineRule="exact"/>
              <w:rPr>
                <w:sz w:val="20"/>
                <w:szCs w:val="20"/>
                <w:color w:val="auto"/>
              </w:rPr>
            </w:pPr>
            <w:r>
              <w:rPr>
                <w:rFonts w:ascii="Arial" w:cs="Arial" w:eastAsia="Arial" w:hAnsi="Arial"/>
                <w:sz w:val="11"/>
                <w:szCs w:val="11"/>
                <w:color w:val="auto"/>
              </w:rPr>
              <w:t>Stock-based compensation</w:t>
            </w: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right"/>
              <w:ind w:right="114"/>
              <w:spacing w:after="0" w:line="122" w:lineRule="exact"/>
              <w:rPr>
                <w:sz w:val="20"/>
                <w:szCs w:val="20"/>
                <w:color w:val="auto"/>
              </w:rPr>
            </w:pPr>
            <w:r>
              <w:rPr>
                <w:rFonts w:ascii="Arial" w:cs="Arial" w:eastAsia="Arial" w:hAnsi="Arial"/>
                <w:sz w:val="11"/>
                <w:szCs w:val="11"/>
                <w:color w:val="auto"/>
              </w:rPr>
              <w:t>—</w:t>
            </w: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40" w:type="dxa"/>
            <w:vAlign w:val="bottom"/>
          </w:tcPr>
          <w:p>
            <w:pPr>
              <w:ind w:left="40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ind w:left="42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4,438</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2,832</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7,270</w:t>
            </w:r>
          </w:p>
        </w:tc>
      </w:tr>
      <w:tr>
        <w:trPr>
          <w:trHeight w:val="121"/>
        </w:trPr>
        <w:tc>
          <w:tcPr>
            <w:tcW w:w="3060" w:type="dxa"/>
            <w:vAlign w:val="bottom"/>
            <w:gridSpan w:val="2"/>
            <w:shd w:val="clear" w:color="auto" w:fill="CCEEFF"/>
          </w:tcPr>
          <w:p>
            <w:pPr>
              <w:ind w:left="100"/>
              <w:spacing w:after="0" w:line="122" w:lineRule="exact"/>
              <w:rPr>
                <w:sz w:val="20"/>
                <w:szCs w:val="20"/>
                <w:color w:val="auto"/>
              </w:rPr>
            </w:pPr>
            <w:r>
              <w:rPr>
                <w:rFonts w:ascii="Arial" w:cs="Arial" w:eastAsia="Arial" w:hAnsi="Arial"/>
                <w:sz w:val="11"/>
                <w:szCs w:val="11"/>
                <w:color w:val="auto"/>
              </w:rPr>
              <w:t>Vesting of restricted stock units</w:t>
            </w: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109</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ind w:left="40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ind w:left="42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446</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(447)</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r>
      <w:tr>
        <w:trPr>
          <w:trHeight w:val="108"/>
        </w:trPr>
        <w:tc>
          <w:tcPr>
            <w:tcW w:w="3060" w:type="dxa"/>
            <w:vAlign w:val="bottom"/>
            <w:gridSpan w:val="2"/>
          </w:tcPr>
          <w:p>
            <w:pPr>
              <w:ind w:left="100"/>
              <w:spacing w:after="0" w:line="109" w:lineRule="exact"/>
              <w:rPr>
                <w:sz w:val="20"/>
                <w:szCs w:val="20"/>
                <w:color w:val="auto"/>
              </w:rPr>
            </w:pPr>
            <w:r>
              <w:rPr>
                <w:rFonts w:ascii="Arial" w:cs="Arial" w:eastAsia="Arial" w:hAnsi="Arial"/>
                <w:sz w:val="11"/>
                <w:szCs w:val="11"/>
                <w:color w:val="auto"/>
              </w:rPr>
              <w:t>Repurchases of Class A common stock for withholding</w:t>
            </w: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r>
      <w:tr>
        <w:trPr>
          <w:trHeight w:val="135"/>
        </w:trPr>
        <w:tc>
          <w:tcPr>
            <w:tcW w:w="3060" w:type="dxa"/>
            <w:vAlign w:val="bottom"/>
            <w:gridSpan w:val="2"/>
          </w:tcPr>
          <w:p>
            <w:pPr>
              <w:ind w:left="100"/>
              <w:spacing w:after="0"/>
              <w:rPr>
                <w:sz w:val="20"/>
                <w:szCs w:val="20"/>
                <w:color w:val="auto"/>
              </w:rPr>
            </w:pPr>
            <w:r>
              <w:rPr>
                <w:rFonts w:ascii="Arial" w:cs="Arial" w:eastAsia="Arial" w:hAnsi="Arial"/>
                <w:sz w:val="11"/>
                <w:szCs w:val="11"/>
                <w:color w:val="auto"/>
              </w:rPr>
              <w:t>taxes on vested RSUs</w:t>
            </w:r>
          </w:p>
        </w:tc>
        <w:tc>
          <w:tcPr>
            <w:tcW w:w="480" w:type="dxa"/>
            <w:vAlign w:val="bottom"/>
          </w:tcPr>
          <w:p>
            <w:pPr>
              <w:jc w:val="right"/>
              <w:spacing w:after="0"/>
              <w:rPr>
                <w:sz w:val="20"/>
                <w:szCs w:val="20"/>
                <w:color w:val="auto"/>
              </w:rPr>
            </w:pPr>
            <w:r>
              <w:rPr>
                <w:rFonts w:ascii="Arial" w:cs="Arial" w:eastAsia="Arial" w:hAnsi="Arial"/>
                <w:sz w:val="11"/>
                <w:szCs w:val="11"/>
                <w:color w:val="auto"/>
              </w:rPr>
              <w:t>(41)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ind w:right="114"/>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40" w:type="dxa"/>
            <w:vAlign w:val="bottom"/>
          </w:tcPr>
          <w:p>
            <w:pPr>
              <w:ind w:left="4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ind w:left="4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(871)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(871)</w:t>
            </w:r>
          </w:p>
        </w:tc>
      </w:tr>
      <w:tr>
        <w:trPr>
          <w:trHeight w:val="122"/>
        </w:trPr>
        <w:tc>
          <w:tcPr>
            <w:tcW w:w="3060" w:type="dxa"/>
            <w:vAlign w:val="bottom"/>
            <w:gridSpan w:val="2"/>
            <w:shd w:val="clear" w:color="auto" w:fill="CCEEFF"/>
          </w:tcPr>
          <w:p>
            <w:pPr>
              <w:ind w:left="100"/>
              <w:spacing w:after="0" w:line="122" w:lineRule="exact"/>
              <w:rPr>
                <w:sz w:val="20"/>
                <w:szCs w:val="20"/>
                <w:color w:val="auto"/>
              </w:rPr>
            </w:pPr>
            <w:r>
              <w:rPr>
                <w:rFonts w:ascii="Arial" w:cs="Arial" w:eastAsia="Arial" w:hAnsi="Arial"/>
                <w:sz w:val="11"/>
                <w:szCs w:val="11"/>
                <w:color w:val="auto"/>
              </w:rPr>
              <w:t>Distributions to holders of LLC common units</w:t>
            </w: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14"/>
              <w:spacing w:after="0" w:line="122" w:lineRule="exact"/>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ind w:left="40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ind w:left="42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(34)</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(34)</w:t>
            </w:r>
          </w:p>
        </w:tc>
      </w:tr>
      <w:tr>
        <w:trPr>
          <w:trHeight w:val="122"/>
        </w:trPr>
        <w:tc>
          <w:tcPr>
            <w:tcW w:w="3060" w:type="dxa"/>
            <w:vAlign w:val="bottom"/>
            <w:gridSpan w:val="2"/>
          </w:tcPr>
          <w:p>
            <w:pPr>
              <w:ind w:left="100"/>
              <w:spacing w:after="0" w:line="122" w:lineRule="exact"/>
              <w:rPr>
                <w:sz w:val="20"/>
                <w:szCs w:val="20"/>
                <w:color w:val="auto"/>
              </w:rPr>
            </w:pPr>
            <w:r>
              <w:rPr>
                <w:rFonts w:ascii="Arial" w:cs="Arial" w:eastAsia="Arial" w:hAnsi="Arial"/>
                <w:sz w:val="10"/>
                <w:szCs w:val="10"/>
                <w:color w:val="auto"/>
              </w:rPr>
              <w:t>Dividends</w:t>
            </w:r>
            <w:r>
              <w:rPr>
                <w:rFonts w:ascii="Arial" w:cs="Arial" w:eastAsia="Arial" w:hAnsi="Arial"/>
                <w:sz w:val="14"/>
                <w:szCs w:val="14"/>
                <w:color w:val="auto"/>
                <w:vertAlign w:val="superscript"/>
              </w:rPr>
              <w:t>(1)</w:t>
            </w: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right"/>
              <w:ind w:right="114"/>
              <w:spacing w:after="0" w:line="122" w:lineRule="exact"/>
              <w:rPr>
                <w:sz w:val="20"/>
                <w:szCs w:val="20"/>
                <w:color w:val="auto"/>
              </w:rPr>
            </w:pPr>
            <w:r>
              <w:rPr>
                <w:rFonts w:ascii="Arial" w:cs="Arial" w:eastAsia="Arial" w:hAnsi="Arial"/>
                <w:sz w:val="11"/>
                <w:szCs w:val="11"/>
                <w:color w:val="auto"/>
              </w:rPr>
              <w:t>—</w:t>
            </w: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40" w:type="dxa"/>
            <w:vAlign w:val="bottom"/>
          </w:tcPr>
          <w:p>
            <w:pPr>
              <w:ind w:left="40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ind w:left="42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(7,821)</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(7,821)</w:t>
            </w:r>
          </w:p>
        </w:tc>
      </w:tr>
      <w:tr>
        <w:trPr>
          <w:trHeight w:val="121"/>
        </w:trPr>
        <w:tc>
          <w:tcPr>
            <w:tcW w:w="3060" w:type="dxa"/>
            <w:vAlign w:val="bottom"/>
            <w:gridSpan w:val="2"/>
            <w:shd w:val="clear" w:color="auto" w:fill="CCEEFF"/>
          </w:tcPr>
          <w:p>
            <w:pPr>
              <w:ind w:left="100"/>
              <w:spacing w:after="0" w:line="122" w:lineRule="exact"/>
              <w:rPr>
                <w:sz w:val="20"/>
                <w:szCs w:val="20"/>
                <w:color w:val="auto"/>
              </w:rPr>
            </w:pPr>
            <w:r>
              <w:rPr>
                <w:rFonts w:ascii="Arial" w:cs="Arial" w:eastAsia="Arial" w:hAnsi="Arial"/>
                <w:sz w:val="11"/>
                <w:szCs w:val="11"/>
                <w:color w:val="auto"/>
              </w:rPr>
              <w:t>Non-controlling interest adjustment</w:t>
            </w: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14"/>
              <w:spacing w:after="0" w:line="122" w:lineRule="exact"/>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ind w:left="40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ind w:left="42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25</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(25)</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3060" w:type="dxa"/>
            <w:vAlign w:val="bottom"/>
            <w:gridSpan w:val="2"/>
          </w:tcPr>
          <w:p>
            <w:pPr>
              <w:ind w:left="100"/>
              <w:spacing w:after="0" w:line="122" w:lineRule="exact"/>
              <w:rPr>
                <w:sz w:val="20"/>
                <w:szCs w:val="20"/>
                <w:color w:val="auto"/>
              </w:rPr>
            </w:pPr>
            <w:r>
              <w:rPr>
                <w:rFonts w:ascii="Arial" w:cs="Arial" w:eastAsia="Arial" w:hAnsi="Arial"/>
                <w:sz w:val="11"/>
                <w:szCs w:val="11"/>
                <w:color w:val="auto"/>
              </w:rPr>
              <w:t>Net loss</w:t>
            </w: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right"/>
              <w:ind w:right="114"/>
              <w:spacing w:after="0" w:line="122" w:lineRule="exact"/>
              <w:rPr>
                <w:sz w:val="20"/>
                <w:szCs w:val="20"/>
                <w:color w:val="auto"/>
              </w:rPr>
            </w:pPr>
            <w:r>
              <w:rPr>
                <w:rFonts w:ascii="Arial" w:cs="Arial" w:eastAsia="Arial" w:hAnsi="Arial"/>
                <w:sz w:val="11"/>
                <w:szCs w:val="11"/>
                <w:color w:val="auto"/>
              </w:rPr>
              <w:t>—</w:t>
            </w: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40" w:type="dxa"/>
            <w:vAlign w:val="bottom"/>
          </w:tcPr>
          <w:p>
            <w:pPr>
              <w:ind w:left="40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ind w:left="42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(12,280)</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(12,402)</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(24,682)</w:t>
            </w:r>
          </w:p>
        </w:tc>
      </w:tr>
      <w:tr>
        <w:trPr>
          <w:trHeight w:val="115"/>
        </w:trPr>
        <w:tc>
          <w:tcPr>
            <w:tcW w:w="300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1"/>
                <w:szCs w:val="11"/>
                <w:color w:val="auto"/>
              </w:rPr>
              <w:t>Balance at March 31, 2025</w:t>
            </w:r>
          </w:p>
        </w:tc>
        <w:tc>
          <w:tcPr>
            <w:tcW w:w="6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62,570</w:t>
            </w: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626</w:t>
            </w:r>
          </w:p>
        </w:tc>
        <w:tc>
          <w:tcPr>
            <w:tcW w:w="8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39,466</w:t>
            </w: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center"/>
              <w:spacing w:after="0" w:line="115" w:lineRule="exact"/>
              <w:rPr>
                <w:sz w:val="20"/>
                <w:szCs w:val="20"/>
                <w:color w:val="auto"/>
              </w:rPr>
            </w:pPr>
            <w:r>
              <w:rPr>
                <w:rFonts w:ascii="Arial" w:cs="Arial" w:eastAsia="Arial" w:hAnsi="Arial"/>
                <w:sz w:val="11"/>
                <w:szCs w:val="11"/>
                <w:color w:val="auto"/>
                <w:w w:val="97"/>
              </w:rPr>
              <w:t>$</w:t>
            </w:r>
          </w:p>
        </w:tc>
        <w:tc>
          <w:tcPr>
            <w:tcW w:w="5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w:t>
            </w:r>
          </w:p>
        </w:tc>
        <w:tc>
          <w:tcPr>
            <w:tcW w:w="8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ind w:left="400"/>
              <w:spacing w:after="0" w:line="115" w:lineRule="exact"/>
              <w:rPr>
                <w:sz w:val="20"/>
                <w:szCs w:val="20"/>
                <w:color w:val="auto"/>
              </w:rPr>
            </w:pPr>
            <w:r>
              <w:rPr>
                <w:rFonts w:ascii="Arial" w:cs="Arial" w:eastAsia="Arial" w:hAnsi="Arial"/>
                <w:sz w:val="11"/>
                <w:szCs w:val="11"/>
                <w:color w:val="auto"/>
              </w:rPr>
              <w:t>—</w:t>
            </w: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center"/>
              <w:spacing w:after="0" w:line="115" w:lineRule="exact"/>
              <w:rPr>
                <w:sz w:val="20"/>
                <w:szCs w:val="20"/>
                <w:color w:val="auto"/>
              </w:rPr>
            </w:pPr>
            <w:r>
              <w:rPr>
                <w:rFonts w:ascii="Arial" w:cs="Arial" w:eastAsia="Arial" w:hAnsi="Arial"/>
                <w:sz w:val="11"/>
                <w:szCs w:val="11"/>
                <w:color w:val="auto"/>
                <w:w w:val="97"/>
              </w:rPr>
              <w:t>$</w:t>
            </w:r>
          </w:p>
        </w:tc>
        <w:tc>
          <w:tcPr>
            <w:tcW w:w="580" w:type="dxa"/>
            <w:vAlign w:val="bottom"/>
            <w:tcBorders>
              <w:top w:val="single" w:sz="8" w:color="auto"/>
            </w:tcBorders>
            <w:shd w:val="clear" w:color="auto" w:fill="CCEEFF"/>
          </w:tcPr>
          <w:p>
            <w:pPr>
              <w:ind w:left="420"/>
              <w:spacing w:after="0" w:line="115" w:lineRule="exact"/>
              <w:rPr>
                <w:sz w:val="20"/>
                <w:szCs w:val="20"/>
                <w:color w:val="auto"/>
              </w:rPr>
            </w:pPr>
            <w:r>
              <w:rPr>
                <w:rFonts w:ascii="Arial" w:cs="Arial" w:eastAsia="Arial" w:hAnsi="Arial"/>
                <w:sz w:val="11"/>
                <w:szCs w:val="11"/>
                <w:color w:val="auto"/>
              </w:rPr>
              <w:t>—</w:t>
            </w: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197,730</w:t>
            </w: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jc w:val="right"/>
              <w:ind w:right="6"/>
              <w:spacing w:after="0" w:line="115" w:lineRule="exact"/>
              <w:rPr>
                <w:sz w:val="20"/>
                <w:szCs w:val="20"/>
                <w:color w:val="auto"/>
              </w:rPr>
            </w:pPr>
            <w:r>
              <w:rPr>
                <w:rFonts w:ascii="Arial" w:cs="Arial" w:eastAsia="Arial" w:hAnsi="Arial"/>
                <w:sz w:val="11"/>
                <w:szCs w:val="11"/>
                <w:color w:val="auto"/>
              </w:rPr>
              <w:t>112,140</w:t>
            </w: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148,311</w:t>
            </w:r>
          </w:p>
        </w:tc>
        <w:tc>
          <w:tcPr>
            <w:tcW w:w="8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1"/>
                <w:szCs w:val="11"/>
                <w:color w:val="auto"/>
              </w:rPr>
              <w:t>$</w:t>
            </w:r>
          </w:p>
        </w:tc>
        <w:tc>
          <w:tcPr>
            <w:tcW w:w="60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458,811</w:t>
            </w:r>
          </w:p>
        </w:tc>
      </w:tr>
      <w:tr>
        <w:trPr>
          <w:trHeight w:val="122"/>
        </w:trPr>
        <w:tc>
          <w:tcPr>
            <w:tcW w:w="3060" w:type="dxa"/>
            <w:vAlign w:val="bottom"/>
            <w:gridSpan w:val="2"/>
          </w:tcPr>
          <w:p>
            <w:pPr>
              <w:ind w:left="100"/>
              <w:spacing w:after="0" w:line="122" w:lineRule="exact"/>
              <w:rPr>
                <w:sz w:val="20"/>
                <w:szCs w:val="20"/>
                <w:color w:val="auto"/>
              </w:rPr>
            </w:pPr>
            <w:r>
              <w:rPr>
                <w:rFonts w:ascii="Arial" w:cs="Arial" w:eastAsia="Arial" w:hAnsi="Arial"/>
                <w:sz w:val="11"/>
                <w:szCs w:val="11"/>
                <w:color w:val="auto"/>
              </w:rPr>
              <w:t>Stock-based compensation</w:t>
            </w: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right"/>
              <w:ind w:right="114"/>
              <w:spacing w:after="0" w:line="122" w:lineRule="exact"/>
              <w:rPr>
                <w:sz w:val="20"/>
                <w:szCs w:val="20"/>
                <w:color w:val="auto"/>
              </w:rPr>
            </w:pPr>
            <w:r>
              <w:rPr>
                <w:rFonts w:ascii="Arial" w:cs="Arial" w:eastAsia="Arial" w:hAnsi="Arial"/>
                <w:sz w:val="11"/>
                <w:szCs w:val="11"/>
                <w:color w:val="auto"/>
              </w:rPr>
              <w:t>—</w:t>
            </w: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40" w:type="dxa"/>
            <w:vAlign w:val="bottom"/>
          </w:tcPr>
          <w:p>
            <w:pPr>
              <w:ind w:left="40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ind w:left="42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5,158</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3,286</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8,444</w:t>
            </w:r>
          </w:p>
        </w:tc>
      </w:tr>
      <w:tr>
        <w:trPr>
          <w:trHeight w:val="122"/>
        </w:trPr>
        <w:tc>
          <w:tcPr>
            <w:tcW w:w="3060" w:type="dxa"/>
            <w:vAlign w:val="bottom"/>
            <w:gridSpan w:val="2"/>
            <w:shd w:val="clear" w:color="auto" w:fill="CCEEFF"/>
          </w:tcPr>
          <w:p>
            <w:pPr>
              <w:ind w:left="100"/>
              <w:spacing w:after="0" w:line="122" w:lineRule="exact"/>
              <w:rPr>
                <w:sz w:val="20"/>
                <w:szCs w:val="20"/>
                <w:color w:val="auto"/>
              </w:rPr>
            </w:pPr>
            <w:r>
              <w:rPr>
                <w:rFonts w:ascii="Arial" w:cs="Arial" w:eastAsia="Arial" w:hAnsi="Arial"/>
                <w:sz w:val="11"/>
                <w:szCs w:val="11"/>
                <w:color w:val="auto"/>
              </w:rPr>
              <w:t>Vesting of restricted stock units</w:t>
            </w: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98</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14"/>
              <w:spacing w:after="0" w:line="122" w:lineRule="exact"/>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ind w:left="40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ind w:left="42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226</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(226)</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r>
      <w:tr>
        <w:trPr>
          <w:trHeight w:val="108"/>
        </w:trPr>
        <w:tc>
          <w:tcPr>
            <w:tcW w:w="3060" w:type="dxa"/>
            <w:vAlign w:val="bottom"/>
            <w:gridSpan w:val="2"/>
          </w:tcPr>
          <w:p>
            <w:pPr>
              <w:ind w:left="100"/>
              <w:spacing w:after="0" w:line="109" w:lineRule="exact"/>
              <w:rPr>
                <w:sz w:val="20"/>
                <w:szCs w:val="20"/>
                <w:color w:val="auto"/>
              </w:rPr>
            </w:pPr>
            <w:r>
              <w:rPr>
                <w:rFonts w:ascii="Arial" w:cs="Arial" w:eastAsia="Arial" w:hAnsi="Arial"/>
                <w:sz w:val="11"/>
                <w:szCs w:val="11"/>
                <w:color w:val="auto"/>
              </w:rPr>
              <w:t>Repurchases of Class A common stock for withholding</w:t>
            </w: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r>
      <w:tr>
        <w:trPr>
          <w:trHeight w:val="135"/>
        </w:trPr>
        <w:tc>
          <w:tcPr>
            <w:tcW w:w="3060" w:type="dxa"/>
            <w:vAlign w:val="bottom"/>
            <w:gridSpan w:val="2"/>
          </w:tcPr>
          <w:p>
            <w:pPr>
              <w:ind w:left="100"/>
              <w:spacing w:after="0"/>
              <w:rPr>
                <w:sz w:val="20"/>
                <w:szCs w:val="20"/>
                <w:color w:val="auto"/>
              </w:rPr>
            </w:pPr>
            <w:r>
              <w:rPr>
                <w:rFonts w:ascii="Arial" w:cs="Arial" w:eastAsia="Arial" w:hAnsi="Arial"/>
                <w:sz w:val="11"/>
                <w:szCs w:val="11"/>
                <w:color w:val="auto"/>
              </w:rPr>
              <w:t>taxes on vested RSUs</w:t>
            </w:r>
          </w:p>
        </w:tc>
        <w:tc>
          <w:tcPr>
            <w:tcW w:w="480" w:type="dxa"/>
            <w:vAlign w:val="bottom"/>
          </w:tcPr>
          <w:p>
            <w:pPr>
              <w:jc w:val="right"/>
              <w:spacing w:after="0"/>
              <w:rPr>
                <w:sz w:val="20"/>
                <w:szCs w:val="20"/>
                <w:color w:val="auto"/>
              </w:rPr>
            </w:pPr>
            <w:r>
              <w:rPr>
                <w:rFonts w:ascii="Arial" w:cs="Arial" w:eastAsia="Arial" w:hAnsi="Arial"/>
                <w:sz w:val="11"/>
                <w:szCs w:val="11"/>
                <w:color w:val="auto"/>
              </w:rPr>
              <w:t>(19)</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ind w:right="114"/>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40" w:type="dxa"/>
            <w:vAlign w:val="bottom"/>
          </w:tcPr>
          <w:p>
            <w:pPr>
              <w:ind w:left="4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ind w:left="4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(304)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(304)</w:t>
            </w:r>
          </w:p>
        </w:tc>
      </w:tr>
      <w:tr>
        <w:trPr>
          <w:trHeight w:val="122"/>
        </w:trPr>
        <w:tc>
          <w:tcPr>
            <w:tcW w:w="3060" w:type="dxa"/>
            <w:vAlign w:val="bottom"/>
            <w:gridSpan w:val="2"/>
            <w:shd w:val="clear" w:color="auto" w:fill="CCEEFF"/>
          </w:tcPr>
          <w:p>
            <w:pPr>
              <w:ind w:left="100"/>
              <w:spacing w:after="0" w:line="122" w:lineRule="exact"/>
              <w:rPr>
                <w:sz w:val="20"/>
                <w:szCs w:val="20"/>
                <w:color w:val="auto"/>
              </w:rPr>
            </w:pPr>
            <w:r>
              <w:rPr>
                <w:rFonts w:ascii="Arial" w:cs="Arial" w:eastAsia="Arial" w:hAnsi="Arial"/>
                <w:sz w:val="11"/>
                <w:szCs w:val="11"/>
                <w:color w:val="auto"/>
              </w:rPr>
              <w:t>Distributions to holders of LLC common units</w:t>
            </w: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14"/>
              <w:spacing w:after="0" w:line="122" w:lineRule="exact"/>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ind w:left="40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ind w:left="42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(64)</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(64)</w:t>
            </w:r>
          </w:p>
        </w:tc>
      </w:tr>
      <w:tr>
        <w:trPr>
          <w:trHeight w:val="122"/>
        </w:trPr>
        <w:tc>
          <w:tcPr>
            <w:tcW w:w="3060" w:type="dxa"/>
            <w:vAlign w:val="bottom"/>
            <w:gridSpan w:val="2"/>
          </w:tcPr>
          <w:p>
            <w:pPr>
              <w:ind w:left="100"/>
              <w:spacing w:after="0" w:line="122" w:lineRule="exact"/>
              <w:rPr>
                <w:sz w:val="20"/>
                <w:szCs w:val="20"/>
                <w:color w:val="auto"/>
              </w:rPr>
            </w:pPr>
            <w:r>
              <w:rPr>
                <w:rFonts w:ascii="Arial" w:cs="Arial" w:eastAsia="Arial" w:hAnsi="Arial"/>
                <w:sz w:val="10"/>
                <w:szCs w:val="10"/>
                <w:color w:val="auto"/>
              </w:rPr>
              <w:t>Dividends</w:t>
            </w:r>
            <w:r>
              <w:rPr>
                <w:rFonts w:ascii="Arial" w:cs="Arial" w:eastAsia="Arial" w:hAnsi="Arial"/>
                <w:sz w:val="14"/>
                <w:szCs w:val="14"/>
                <w:color w:val="auto"/>
                <w:vertAlign w:val="superscript"/>
              </w:rPr>
              <w:t>(1)</w:t>
            </w: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right"/>
              <w:ind w:right="114"/>
              <w:spacing w:after="0" w:line="122" w:lineRule="exact"/>
              <w:rPr>
                <w:sz w:val="20"/>
                <w:szCs w:val="20"/>
                <w:color w:val="auto"/>
              </w:rPr>
            </w:pPr>
            <w:r>
              <w:rPr>
                <w:rFonts w:ascii="Arial" w:cs="Arial" w:eastAsia="Arial" w:hAnsi="Arial"/>
                <w:sz w:val="11"/>
                <w:szCs w:val="11"/>
                <w:color w:val="auto"/>
              </w:rPr>
              <w:t>—</w:t>
            </w: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40" w:type="dxa"/>
            <w:vAlign w:val="bottom"/>
          </w:tcPr>
          <w:p>
            <w:pPr>
              <w:ind w:left="40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ind w:left="42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(7,831)</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(7,831)</w:t>
            </w:r>
          </w:p>
        </w:tc>
      </w:tr>
      <w:tr>
        <w:trPr>
          <w:trHeight w:val="122"/>
        </w:trPr>
        <w:tc>
          <w:tcPr>
            <w:tcW w:w="3060" w:type="dxa"/>
            <w:vAlign w:val="bottom"/>
            <w:gridSpan w:val="2"/>
            <w:shd w:val="clear" w:color="auto" w:fill="CCEEFF"/>
          </w:tcPr>
          <w:p>
            <w:pPr>
              <w:ind w:left="100"/>
              <w:spacing w:after="0" w:line="122" w:lineRule="exact"/>
              <w:rPr>
                <w:sz w:val="20"/>
                <w:szCs w:val="20"/>
                <w:color w:val="auto"/>
              </w:rPr>
            </w:pPr>
            <w:r>
              <w:rPr>
                <w:rFonts w:ascii="Arial" w:cs="Arial" w:eastAsia="Arial" w:hAnsi="Arial"/>
                <w:sz w:val="11"/>
                <w:szCs w:val="11"/>
                <w:color w:val="auto"/>
              </w:rPr>
              <w:t>Non-controlling interest adjustment</w:t>
            </w: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14"/>
              <w:spacing w:after="0" w:line="122" w:lineRule="exact"/>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ind w:left="40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ind w:left="42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2,573</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(2,573)</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r>
      <w:tr>
        <w:trPr>
          <w:trHeight w:val="121"/>
        </w:trPr>
        <w:tc>
          <w:tcPr>
            <w:tcW w:w="3060" w:type="dxa"/>
            <w:vAlign w:val="bottom"/>
            <w:gridSpan w:val="2"/>
          </w:tcPr>
          <w:p>
            <w:pPr>
              <w:ind w:left="100"/>
              <w:spacing w:after="0" w:line="122" w:lineRule="exact"/>
              <w:rPr>
                <w:sz w:val="20"/>
                <w:szCs w:val="20"/>
                <w:color w:val="auto"/>
              </w:rPr>
            </w:pPr>
            <w:r>
              <w:rPr>
                <w:rFonts w:ascii="Arial" w:cs="Arial" w:eastAsia="Arial" w:hAnsi="Arial"/>
                <w:sz w:val="11"/>
                <w:szCs w:val="11"/>
                <w:color w:val="auto"/>
              </w:rPr>
              <w:t>Net income</w:t>
            </w: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right"/>
              <w:ind w:right="114"/>
              <w:spacing w:after="0" w:line="122" w:lineRule="exact"/>
              <w:rPr>
                <w:sz w:val="20"/>
                <w:szCs w:val="20"/>
                <w:color w:val="auto"/>
              </w:rPr>
            </w:pPr>
            <w:r>
              <w:rPr>
                <w:rFonts w:ascii="Arial" w:cs="Arial" w:eastAsia="Arial" w:hAnsi="Arial"/>
                <w:sz w:val="11"/>
                <w:szCs w:val="11"/>
                <w:color w:val="auto"/>
              </w:rPr>
              <w:t>—</w:t>
            </w: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40" w:type="dxa"/>
            <w:vAlign w:val="bottom"/>
          </w:tcPr>
          <w:p>
            <w:pPr>
              <w:ind w:left="40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ind w:left="42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right"/>
              <w:ind w:right="6"/>
              <w:spacing w:after="0" w:line="122" w:lineRule="exact"/>
              <w:rPr>
                <w:sz w:val="20"/>
                <w:szCs w:val="20"/>
                <w:color w:val="auto"/>
              </w:rPr>
            </w:pPr>
            <w:r>
              <w:rPr>
                <w:rFonts w:ascii="Arial" w:cs="Arial" w:eastAsia="Arial" w:hAnsi="Arial"/>
                <w:sz w:val="11"/>
                <w:szCs w:val="11"/>
                <w:color w:val="auto"/>
              </w:rPr>
              <w:t>30,216</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27,307</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57,523</w:t>
            </w:r>
          </w:p>
        </w:tc>
      </w:tr>
      <w:tr>
        <w:trPr>
          <w:trHeight w:val="115"/>
        </w:trPr>
        <w:tc>
          <w:tcPr>
            <w:tcW w:w="300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1"/>
                <w:szCs w:val="11"/>
                <w:color w:val="auto"/>
              </w:rPr>
              <w:t>Balance at June 30, 2025</w:t>
            </w:r>
          </w:p>
        </w:tc>
        <w:tc>
          <w:tcPr>
            <w:tcW w:w="6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62,649</w:t>
            </w: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626</w:t>
            </w:r>
          </w:p>
        </w:tc>
        <w:tc>
          <w:tcPr>
            <w:tcW w:w="8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39,466</w:t>
            </w: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center"/>
              <w:spacing w:after="0" w:line="115" w:lineRule="exact"/>
              <w:rPr>
                <w:sz w:val="20"/>
                <w:szCs w:val="20"/>
                <w:color w:val="auto"/>
              </w:rPr>
            </w:pPr>
            <w:r>
              <w:rPr>
                <w:rFonts w:ascii="Arial" w:cs="Arial" w:eastAsia="Arial" w:hAnsi="Arial"/>
                <w:sz w:val="11"/>
                <w:szCs w:val="11"/>
                <w:color w:val="auto"/>
                <w:w w:val="97"/>
              </w:rPr>
              <w:t>$</w:t>
            </w:r>
          </w:p>
        </w:tc>
        <w:tc>
          <w:tcPr>
            <w:tcW w:w="5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w:t>
            </w:r>
          </w:p>
        </w:tc>
        <w:tc>
          <w:tcPr>
            <w:tcW w:w="8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ind w:left="400"/>
              <w:spacing w:after="0" w:line="115" w:lineRule="exact"/>
              <w:rPr>
                <w:sz w:val="20"/>
                <w:szCs w:val="20"/>
                <w:color w:val="auto"/>
              </w:rPr>
            </w:pPr>
            <w:r>
              <w:rPr>
                <w:rFonts w:ascii="Arial" w:cs="Arial" w:eastAsia="Arial" w:hAnsi="Arial"/>
                <w:sz w:val="11"/>
                <w:szCs w:val="11"/>
                <w:color w:val="auto"/>
              </w:rPr>
              <w:t>—</w:t>
            </w: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center"/>
              <w:spacing w:after="0" w:line="115" w:lineRule="exact"/>
              <w:rPr>
                <w:sz w:val="20"/>
                <w:szCs w:val="20"/>
                <w:color w:val="auto"/>
              </w:rPr>
            </w:pPr>
            <w:r>
              <w:rPr>
                <w:rFonts w:ascii="Arial" w:cs="Arial" w:eastAsia="Arial" w:hAnsi="Arial"/>
                <w:sz w:val="11"/>
                <w:szCs w:val="11"/>
                <w:color w:val="auto"/>
                <w:w w:val="97"/>
              </w:rPr>
              <w:t>$</w:t>
            </w:r>
          </w:p>
        </w:tc>
        <w:tc>
          <w:tcPr>
            <w:tcW w:w="580" w:type="dxa"/>
            <w:vAlign w:val="bottom"/>
            <w:tcBorders>
              <w:top w:val="single" w:sz="8" w:color="auto"/>
            </w:tcBorders>
            <w:shd w:val="clear" w:color="auto" w:fill="CCEEFF"/>
          </w:tcPr>
          <w:p>
            <w:pPr>
              <w:ind w:left="420"/>
              <w:spacing w:after="0" w:line="115" w:lineRule="exact"/>
              <w:rPr>
                <w:sz w:val="20"/>
                <w:szCs w:val="20"/>
                <w:color w:val="auto"/>
              </w:rPr>
            </w:pPr>
            <w:r>
              <w:rPr>
                <w:rFonts w:ascii="Arial" w:cs="Arial" w:eastAsia="Arial" w:hAnsi="Arial"/>
                <w:sz w:val="11"/>
                <w:szCs w:val="11"/>
                <w:color w:val="auto"/>
              </w:rPr>
              <w:t>—</w:t>
            </w: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205,383</w:t>
            </w: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jc w:val="right"/>
              <w:ind w:right="6"/>
              <w:spacing w:after="0" w:line="115" w:lineRule="exact"/>
              <w:rPr>
                <w:sz w:val="20"/>
                <w:szCs w:val="20"/>
                <w:color w:val="auto"/>
              </w:rPr>
            </w:pPr>
            <w:r>
              <w:rPr>
                <w:rFonts w:ascii="Arial" w:cs="Arial" w:eastAsia="Arial" w:hAnsi="Arial"/>
                <w:sz w:val="11"/>
                <w:szCs w:val="11"/>
                <w:color w:val="auto"/>
              </w:rPr>
              <w:t>134,525</w:t>
            </w: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176,041</w:t>
            </w:r>
          </w:p>
        </w:tc>
        <w:tc>
          <w:tcPr>
            <w:tcW w:w="8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1"/>
                <w:szCs w:val="11"/>
                <w:color w:val="auto"/>
              </w:rPr>
              <w:t>$</w:t>
            </w:r>
          </w:p>
        </w:tc>
        <w:tc>
          <w:tcPr>
            <w:tcW w:w="60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516,579</w:t>
            </w:r>
          </w:p>
        </w:tc>
      </w:tr>
      <w:tr>
        <w:trPr>
          <w:trHeight w:val="122"/>
        </w:trPr>
        <w:tc>
          <w:tcPr>
            <w:tcW w:w="3060" w:type="dxa"/>
            <w:vAlign w:val="bottom"/>
            <w:gridSpan w:val="2"/>
          </w:tcPr>
          <w:p>
            <w:pPr>
              <w:ind w:left="100"/>
              <w:spacing w:after="0" w:line="122" w:lineRule="exact"/>
              <w:rPr>
                <w:sz w:val="20"/>
                <w:szCs w:val="20"/>
                <w:color w:val="auto"/>
              </w:rPr>
            </w:pPr>
            <w:r>
              <w:rPr>
                <w:rFonts w:ascii="Arial" w:cs="Arial" w:eastAsia="Arial" w:hAnsi="Arial"/>
                <w:sz w:val="11"/>
                <w:szCs w:val="11"/>
                <w:color w:val="auto"/>
              </w:rPr>
              <w:t>Stock-based compensation</w:t>
            </w: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right"/>
              <w:ind w:right="114"/>
              <w:spacing w:after="0" w:line="122" w:lineRule="exact"/>
              <w:rPr>
                <w:sz w:val="20"/>
                <w:szCs w:val="20"/>
                <w:color w:val="auto"/>
              </w:rPr>
            </w:pPr>
            <w:r>
              <w:rPr>
                <w:rFonts w:ascii="Arial" w:cs="Arial" w:eastAsia="Arial" w:hAnsi="Arial"/>
                <w:sz w:val="11"/>
                <w:szCs w:val="11"/>
                <w:color w:val="auto"/>
              </w:rPr>
              <w:t>—</w:t>
            </w: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40" w:type="dxa"/>
            <w:vAlign w:val="bottom"/>
          </w:tcPr>
          <w:p>
            <w:pPr>
              <w:ind w:left="40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ind w:left="42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4,738</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3,013</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7,751</w:t>
            </w:r>
          </w:p>
        </w:tc>
      </w:tr>
      <w:tr>
        <w:trPr>
          <w:trHeight w:val="122"/>
        </w:trPr>
        <w:tc>
          <w:tcPr>
            <w:tcW w:w="3060" w:type="dxa"/>
            <w:vAlign w:val="bottom"/>
            <w:gridSpan w:val="2"/>
            <w:shd w:val="clear" w:color="auto" w:fill="CCEEFF"/>
          </w:tcPr>
          <w:p>
            <w:pPr>
              <w:ind w:left="100"/>
              <w:spacing w:after="0" w:line="122" w:lineRule="exact"/>
              <w:rPr>
                <w:sz w:val="20"/>
                <w:szCs w:val="20"/>
                <w:color w:val="auto"/>
              </w:rPr>
            </w:pPr>
            <w:r>
              <w:rPr>
                <w:rFonts w:ascii="Arial" w:cs="Arial" w:eastAsia="Arial" w:hAnsi="Arial"/>
                <w:sz w:val="11"/>
                <w:szCs w:val="11"/>
                <w:color w:val="auto"/>
              </w:rPr>
              <w:t>Vesting of restricted stock units</w:t>
            </w: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272</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ind w:left="40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ind w:left="42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973</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(976)</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r>
      <w:tr>
        <w:trPr>
          <w:trHeight w:val="108"/>
        </w:trPr>
        <w:tc>
          <w:tcPr>
            <w:tcW w:w="3060" w:type="dxa"/>
            <w:vAlign w:val="bottom"/>
            <w:gridSpan w:val="2"/>
          </w:tcPr>
          <w:p>
            <w:pPr>
              <w:ind w:left="100"/>
              <w:spacing w:after="0" w:line="109" w:lineRule="exact"/>
              <w:rPr>
                <w:sz w:val="20"/>
                <w:szCs w:val="20"/>
                <w:color w:val="auto"/>
              </w:rPr>
            </w:pPr>
            <w:r>
              <w:rPr>
                <w:rFonts w:ascii="Arial" w:cs="Arial" w:eastAsia="Arial" w:hAnsi="Arial"/>
                <w:sz w:val="11"/>
                <w:szCs w:val="11"/>
                <w:color w:val="auto"/>
              </w:rPr>
              <w:t>Repurchases of Class A common stock for withholding</w:t>
            </w: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r>
      <w:tr>
        <w:trPr>
          <w:trHeight w:val="135"/>
        </w:trPr>
        <w:tc>
          <w:tcPr>
            <w:tcW w:w="3060" w:type="dxa"/>
            <w:vAlign w:val="bottom"/>
            <w:gridSpan w:val="2"/>
          </w:tcPr>
          <w:p>
            <w:pPr>
              <w:ind w:left="100"/>
              <w:spacing w:after="0"/>
              <w:rPr>
                <w:sz w:val="20"/>
                <w:szCs w:val="20"/>
                <w:color w:val="auto"/>
              </w:rPr>
            </w:pPr>
            <w:r>
              <w:rPr>
                <w:rFonts w:ascii="Arial" w:cs="Arial" w:eastAsia="Arial" w:hAnsi="Arial"/>
                <w:sz w:val="11"/>
                <w:szCs w:val="11"/>
                <w:color w:val="auto"/>
              </w:rPr>
              <w:t>taxes on vested RSUs</w:t>
            </w:r>
          </w:p>
        </w:tc>
        <w:tc>
          <w:tcPr>
            <w:tcW w:w="480" w:type="dxa"/>
            <w:vAlign w:val="bottom"/>
          </w:tcPr>
          <w:p>
            <w:pPr>
              <w:jc w:val="right"/>
              <w:spacing w:after="0"/>
              <w:rPr>
                <w:sz w:val="20"/>
                <w:szCs w:val="20"/>
                <w:color w:val="auto"/>
              </w:rPr>
            </w:pPr>
            <w:r>
              <w:rPr>
                <w:rFonts w:ascii="Arial" w:cs="Arial" w:eastAsia="Arial" w:hAnsi="Arial"/>
                <w:sz w:val="11"/>
                <w:szCs w:val="11"/>
                <w:color w:val="auto"/>
              </w:rPr>
              <w:t>(102)</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40" w:type="dxa"/>
            <w:vAlign w:val="bottom"/>
          </w:tcPr>
          <w:p>
            <w:pPr>
              <w:ind w:left="4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ind w:left="4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(1,764)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(1,765)</w:t>
            </w:r>
          </w:p>
        </w:tc>
      </w:tr>
      <w:tr>
        <w:trPr>
          <w:trHeight w:val="121"/>
        </w:trPr>
        <w:tc>
          <w:tcPr>
            <w:tcW w:w="3060" w:type="dxa"/>
            <w:vAlign w:val="bottom"/>
            <w:gridSpan w:val="2"/>
            <w:shd w:val="clear" w:color="auto" w:fill="CCEEFF"/>
          </w:tcPr>
          <w:p>
            <w:pPr>
              <w:ind w:left="100"/>
              <w:spacing w:after="0" w:line="122" w:lineRule="exact"/>
              <w:rPr>
                <w:sz w:val="20"/>
                <w:szCs w:val="20"/>
                <w:color w:val="auto"/>
              </w:rPr>
            </w:pPr>
            <w:r>
              <w:rPr>
                <w:rFonts w:ascii="Arial" w:cs="Arial" w:eastAsia="Arial" w:hAnsi="Arial"/>
                <w:sz w:val="11"/>
                <w:szCs w:val="11"/>
                <w:color w:val="auto"/>
              </w:rPr>
              <w:t>Distributions to holders of LLC common units</w:t>
            </w: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14"/>
              <w:spacing w:after="0" w:line="122" w:lineRule="exact"/>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ind w:left="40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ind w:left="42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(2,388)</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(2,388)</w:t>
            </w:r>
          </w:p>
        </w:tc>
      </w:tr>
      <w:tr>
        <w:trPr>
          <w:trHeight w:val="122"/>
        </w:trPr>
        <w:tc>
          <w:tcPr>
            <w:tcW w:w="3060" w:type="dxa"/>
            <w:vAlign w:val="bottom"/>
            <w:gridSpan w:val="2"/>
          </w:tcPr>
          <w:p>
            <w:pPr>
              <w:ind w:left="100"/>
              <w:spacing w:after="0" w:line="122" w:lineRule="exact"/>
              <w:rPr>
                <w:sz w:val="20"/>
                <w:szCs w:val="20"/>
                <w:color w:val="auto"/>
              </w:rPr>
            </w:pPr>
            <w:r>
              <w:rPr>
                <w:rFonts w:ascii="Arial" w:cs="Arial" w:eastAsia="Arial" w:hAnsi="Arial"/>
                <w:sz w:val="10"/>
                <w:szCs w:val="10"/>
                <w:color w:val="auto"/>
              </w:rPr>
              <w:t>Dividends</w:t>
            </w:r>
            <w:r>
              <w:rPr>
                <w:rFonts w:ascii="Arial" w:cs="Arial" w:eastAsia="Arial" w:hAnsi="Arial"/>
                <w:sz w:val="14"/>
                <w:szCs w:val="14"/>
                <w:color w:val="auto"/>
                <w:vertAlign w:val="superscript"/>
              </w:rPr>
              <w:t>(1)</w:t>
            </w: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right"/>
              <w:ind w:right="114"/>
              <w:spacing w:after="0" w:line="122" w:lineRule="exact"/>
              <w:rPr>
                <w:sz w:val="20"/>
                <w:szCs w:val="20"/>
                <w:color w:val="auto"/>
              </w:rPr>
            </w:pPr>
            <w:r>
              <w:rPr>
                <w:rFonts w:ascii="Arial" w:cs="Arial" w:eastAsia="Arial" w:hAnsi="Arial"/>
                <w:sz w:val="11"/>
                <w:szCs w:val="11"/>
                <w:color w:val="auto"/>
              </w:rPr>
              <w:t>—</w:t>
            </w: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40" w:type="dxa"/>
            <w:vAlign w:val="bottom"/>
          </w:tcPr>
          <w:p>
            <w:pPr>
              <w:ind w:left="40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ind w:left="42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(7,852)</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(7,852)</w:t>
            </w:r>
          </w:p>
        </w:tc>
      </w:tr>
      <w:tr>
        <w:trPr>
          <w:trHeight w:val="122"/>
        </w:trPr>
        <w:tc>
          <w:tcPr>
            <w:tcW w:w="3060" w:type="dxa"/>
            <w:vAlign w:val="bottom"/>
            <w:gridSpan w:val="2"/>
            <w:shd w:val="clear" w:color="auto" w:fill="CCEEFF"/>
          </w:tcPr>
          <w:p>
            <w:pPr>
              <w:ind w:left="100"/>
              <w:spacing w:after="0" w:line="122" w:lineRule="exact"/>
              <w:rPr>
                <w:sz w:val="20"/>
                <w:szCs w:val="20"/>
                <w:color w:val="auto"/>
              </w:rPr>
            </w:pPr>
            <w:r>
              <w:rPr>
                <w:rFonts w:ascii="Arial" w:cs="Arial" w:eastAsia="Arial" w:hAnsi="Arial"/>
                <w:sz w:val="11"/>
                <w:szCs w:val="11"/>
                <w:color w:val="auto"/>
              </w:rPr>
              <w:t>Non-controlling interest adjustment</w:t>
            </w: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14"/>
              <w:spacing w:after="0" w:line="122" w:lineRule="exact"/>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ind w:left="40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ind w:left="42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19</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(19)</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3060" w:type="dxa"/>
            <w:vAlign w:val="bottom"/>
            <w:gridSpan w:val="2"/>
          </w:tcPr>
          <w:p>
            <w:pPr>
              <w:ind w:left="100"/>
              <w:spacing w:after="0" w:line="122" w:lineRule="exact"/>
              <w:rPr>
                <w:sz w:val="20"/>
                <w:szCs w:val="20"/>
                <w:color w:val="auto"/>
              </w:rPr>
            </w:pPr>
            <w:r>
              <w:rPr>
                <w:rFonts w:ascii="Arial" w:cs="Arial" w:eastAsia="Arial" w:hAnsi="Arial"/>
                <w:sz w:val="11"/>
                <w:szCs w:val="11"/>
                <w:color w:val="auto"/>
              </w:rPr>
              <w:t>Net loss</w:t>
            </w: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right"/>
              <w:ind w:right="114"/>
              <w:spacing w:after="0" w:line="122" w:lineRule="exact"/>
              <w:rPr>
                <w:sz w:val="20"/>
                <w:szCs w:val="20"/>
                <w:color w:val="auto"/>
              </w:rPr>
            </w:pPr>
            <w:r>
              <w:rPr>
                <w:rFonts w:ascii="Arial" w:cs="Arial" w:eastAsia="Arial" w:hAnsi="Arial"/>
                <w:sz w:val="11"/>
                <w:szCs w:val="11"/>
                <w:color w:val="auto"/>
              </w:rPr>
              <w:t>—</w:t>
            </w: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40" w:type="dxa"/>
            <w:vAlign w:val="bottom"/>
          </w:tcPr>
          <w:p>
            <w:pPr>
              <w:ind w:left="40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ind w:left="42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(40,438)</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11,087</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(29,351)</w:t>
            </w:r>
          </w:p>
        </w:tc>
      </w:tr>
      <w:tr>
        <w:trPr>
          <w:trHeight w:val="115"/>
        </w:trPr>
        <w:tc>
          <w:tcPr>
            <w:tcW w:w="3000" w:type="dxa"/>
            <w:vAlign w:val="bottom"/>
            <w:tcBorders>
              <w:top w:val="single" w:sz="8" w:color="CCEEFF"/>
              <w:bottom w:val="single" w:sz="8" w:color="CCEEFF"/>
            </w:tcBorders>
            <w:shd w:val="clear" w:color="auto" w:fill="CCEEFF"/>
          </w:tcPr>
          <w:p>
            <w:pPr>
              <w:spacing w:after="0" w:line="115" w:lineRule="exact"/>
              <w:rPr>
                <w:sz w:val="20"/>
                <w:szCs w:val="20"/>
                <w:color w:val="auto"/>
              </w:rPr>
            </w:pPr>
            <w:r>
              <w:rPr>
                <w:rFonts w:ascii="Arial" w:cs="Arial" w:eastAsia="Arial" w:hAnsi="Arial"/>
                <w:sz w:val="11"/>
                <w:szCs w:val="11"/>
                <w:color w:val="auto"/>
              </w:rPr>
              <w:t>Balance at September 30, 2025</w:t>
            </w:r>
          </w:p>
        </w:tc>
        <w:tc>
          <w:tcPr>
            <w:tcW w:w="60" w:type="dxa"/>
            <w:vAlign w:val="bottom"/>
            <w:tcBorders>
              <w:top w:val="single" w:sz="8" w:color="auto"/>
              <w:bottom w:val="single" w:sz="8" w:color="auto"/>
            </w:tcBorders>
            <w:shd w:val="clear" w:color="auto" w:fill="CCEEFF"/>
          </w:tcPr>
          <w:p>
            <w:pPr>
              <w:spacing w:after="0"/>
              <w:rPr>
                <w:sz w:val="10"/>
                <w:szCs w:val="10"/>
                <w:color w:val="auto"/>
              </w:rPr>
            </w:pPr>
          </w:p>
        </w:tc>
        <w:tc>
          <w:tcPr>
            <w:tcW w:w="4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62,819</w:t>
            </w: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628</w:t>
            </w: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54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39,466</w:t>
            </w: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jc w:val="center"/>
              <w:spacing w:after="0" w:line="115" w:lineRule="exact"/>
              <w:rPr>
                <w:sz w:val="20"/>
                <w:szCs w:val="20"/>
                <w:color w:val="auto"/>
              </w:rPr>
            </w:pPr>
            <w:r>
              <w:rPr>
                <w:rFonts w:ascii="Arial" w:cs="Arial" w:eastAsia="Arial" w:hAnsi="Arial"/>
                <w:sz w:val="11"/>
                <w:szCs w:val="11"/>
                <w:color w:val="auto"/>
                <w:w w:val="97"/>
              </w:rPr>
              <w:t>$</w:t>
            </w:r>
          </w:p>
        </w:tc>
        <w:tc>
          <w:tcPr>
            <w:tcW w:w="5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w:t>
            </w: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540" w:type="dxa"/>
            <w:vAlign w:val="bottom"/>
            <w:tcBorders>
              <w:top w:val="single" w:sz="8" w:color="auto"/>
              <w:bottom w:val="single" w:sz="8" w:color="auto"/>
            </w:tcBorders>
            <w:shd w:val="clear" w:color="auto" w:fill="CCEEFF"/>
          </w:tcPr>
          <w:p>
            <w:pPr>
              <w:ind w:left="400"/>
              <w:spacing w:after="0" w:line="115" w:lineRule="exact"/>
              <w:rPr>
                <w:sz w:val="20"/>
                <w:szCs w:val="20"/>
                <w:color w:val="auto"/>
              </w:rPr>
            </w:pPr>
            <w:r>
              <w:rPr>
                <w:rFonts w:ascii="Arial" w:cs="Arial" w:eastAsia="Arial" w:hAnsi="Arial"/>
                <w:sz w:val="11"/>
                <w:szCs w:val="11"/>
                <w:color w:val="auto"/>
              </w:rPr>
              <w:t>—</w:t>
            </w: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jc w:val="center"/>
              <w:spacing w:after="0" w:line="115" w:lineRule="exact"/>
              <w:rPr>
                <w:sz w:val="20"/>
                <w:szCs w:val="20"/>
                <w:color w:val="auto"/>
              </w:rPr>
            </w:pPr>
            <w:r>
              <w:rPr>
                <w:rFonts w:ascii="Arial" w:cs="Arial" w:eastAsia="Arial" w:hAnsi="Arial"/>
                <w:sz w:val="11"/>
                <w:szCs w:val="11"/>
                <w:color w:val="auto"/>
                <w:w w:val="97"/>
              </w:rPr>
              <w:t>$</w:t>
            </w:r>
          </w:p>
        </w:tc>
        <w:tc>
          <w:tcPr>
            <w:tcW w:w="580" w:type="dxa"/>
            <w:vAlign w:val="bottom"/>
            <w:tcBorders>
              <w:top w:val="single" w:sz="8" w:color="auto"/>
              <w:bottom w:val="single" w:sz="8" w:color="auto"/>
            </w:tcBorders>
            <w:shd w:val="clear" w:color="auto" w:fill="CCEEFF"/>
          </w:tcPr>
          <w:p>
            <w:pPr>
              <w:ind w:left="420"/>
              <w:spacing w:after="0" w:line="115" w:lineRule="exact"/>
              <w:rPr>
                <w:sz w:val="20"/>
                <w:szCs w:val="20"/>
                <w:color w:val="auto"/>
              </w:rPr>
            </w:pPr>
            <w:r>
              <w:rPr>
                <w:rFonts w:ascii="Arial" w:cs="Arial" w:eastAsia="Arial" w:hAnsi="Arial"/>
                <w:sz w:val="11"/>
                <w:szCs w:val="11"/>
                <w:color w:val="auto"/>
              </w:rPr>
              <w:t>—</w:t>
            </w: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209,349</w:t>
            </w: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shd w:val="clear" w:color="auto" w:fill="CCEEFF"/>
          </w:tcPr>
          <w:p>
            <w:pPr>
              <w:jc w:val="right"/>
              <w:ind w:right="6"/>
              <w:spacing w:after="0" w:line="115" w:lineRule="exact"/>
              <w:rPr>
                <w:sz w:val="20"/>
                <w:szCs w:val="20"/>
                <w:color w:val="auto"/>
              </w:rPr>
            </w:pPr>
            <w:r>
              <w:rPr>
                <w:rFonts w:ascii="Arial" w:cs="Arial" w:eastAsia="Arial" w:hAnsi="Arial"/>
                <w:sz w:val="11"/>
                <w:szCs w:val="11"/>
                <w:color w:val="auto"/>
              </w:rPr>
              <w:t>86,235</w:t>
            </w: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186,758</w:t>
            </w: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180" w:type="dxa"/>
            <w:vAlign w:val="bottom"/>
            <w:tcBorders>
              <w:top w:val="single" w:sz="8" w:color="auto"/>
              <w:bottom w:val="single" w:sz="8" w:color="auto"/>
            </w:tcBorders>
            <w:shd w:val="clear" w:color="auto" w:fill="CCEEFF"/>
          </w:tcPr>
          <w:p>
            <w:pPr>
              <w:spacing w:after="0" w:line="115" w:lineRule="exact"/>
              <w:rPr>
                <w:sz w:val="20"/>
                <w:szCs w:val="20"/>
                <w:color w:val="auto"/>
              </w:rPr>
            </w:pPr>
            <w:r>
              <w:rPr>
                <w:rFonts w:ascii="Arial" w:cs="Arial" w:eastAsia="Arial" w:hAnsi="Arial"/>
                <w:sz w:val="11"/>
                <w:szCs w:val="11"/>
                <w:color w:val="auto"/>
              </w:rPr>
              <w:t>$</w:t>
            </w:r>
          </w:p>
        </w:tc>
        <w:tc>
          <w:tcPr>
            <w:tcW w:w="6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482,974</w:t>
            </w:r>
          </w:p>
        </w:tc>
      </w:tr>
      <w:tr>
        <w:trPr>
          <w:trHeight w:val="20"/>
        </w:trPr>
        <w:tc>
          <w:tcPr>
            <w:tcW w:w="30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325" w:right="100" w:hanging="325"/>
        <w:spacing w:after="0" w:line="204" w:lineRule="auto"/>
        <w:tabs>
          <w:tab w:leader="none" w:pos="325" w:val="left"/>
        </w:tabs>
        <w:numPr>
          <w:ilvl w:val="0"/>
          <w:numId w:val="6"/>
        </w:numPr>
        <w:rPr>
          <w:rFonts w:ascii="Arial" w:cs="Arial" w:eastAsia="Arial" w:hAnsi="Arial"/>
          <w:sz w:val="22"/>
          <w:szCs w:val="22"/>
          <w:color w:val="auto"/>
          <w:vertAlign w:val="superscript"/>
        </w:rPr>
      </w:pPr>
      <w:r>
        <w:rPr>
          <w:rFonts w:ascii="Arial" w:cs="Arial" w:eastAsia="Arial" w:hAnsi="Arial"/>
          <w:sz w:val="14"/>
          <w:szCs w:val="14"/>
          <w:color w:val="auto"/>
        </w:rPr>
        <w:t>The Company declared dividends per share of Class A common stock of $0.125 for each of the three months ended March 31, 2025, June 30, 2025 and September 30, 2025.</w:t>
      </w:r>
    </w:p>
    <w:p>
      <w:pPr>
        <w:spacing w:after="0" w:line="127" w:lineRule="exact"/>
        <w:rPr>
          <w:sz w:val="20"/>
          <w:szCs w:val="20"/>
          <w:color w:val="auto"/>
        </w:rPr>
      </w:pPr>
    </w:p>
    <w:p>
      <w:pPr>
        <w:ind w:left="5"/>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351790</wp:posOffset>
            </wp:positionV>
            <wp:extent cx="66351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35115" cy="17145"/>
                    </a:xfrm>
                    <a:prstGeom prst="rect">
                      <a:avLst/>
                    </a:prstGeom>
                    <a:noFill/>
                  </pic:spPr>
                </pic:pic>
              </a:graphicData>
            </a:graphic>
          </wp:anchor>
        </w:drawing>
      </w:r>
    </w:p>
    <w:p>
      <w:pPr>
        <w:sectPr>
          <w:pgSz w:w="11900" w:h="16838" w:orient="portrait"/>
          <w:cols w:equalWidth="0" w:num="1">
            <w:col w:w="10445"/>
          </w:cols>
          <w:pgMar w:left="715" w:top="512" w:right="739" w:bottom="1440" w:gutter="0" w:footer="0" w:header="0"/>
        </w:sectPr>
      </w:pPr>
    </w:p>
    <w:bookmarkStart w:id="9" w:name="page10"/>
    <w:bookmarkEnd w:id="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Camping World Holdings, Inc. and Subsidiaries</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 Condensed Consolidated Statements of Cash Flows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60" w:type="dxa"/>
            <w:vAlign w:val="bottom"/>
            <w:vMerge w:val="restart"/>
          </w:tcPr>
          <w:p>
            <w:pPr>
              <w:ind w:left="56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8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jc w:val="right"/>
              <w:ind w:right="451"/>
              <w:spacing w:after="0" w:line="155" w:lineRule="exact"/>
              <w:rPr>
                <w:sz w:val="20"/>
                <w:szCs w:val="20"/>
                <w:color w:val="auto"/>
              </w:rPr>
            </w:pPr>
            <w:r>
              <w:rPr>
                <w:rFonts w:ascii="Arial" w:cs="Arial" w:eastAsia="Arial" w:hAnsi="Arial"/>
                <w:sz w:val="14"/>
                <w:szCs w:val="14"/>
                <w:b w:val="1"/>
                <w:bCs w:val="1"/>
                <w:color w:val="auto"/>
              </w:rPr>
              <w:t>2026</w:t>
            </w:r>
          </w:p>
        </w:tc>
        <w:tc>
          <w:tcPr>
            <w:tcW w:w="580" w:type="dxa"/>
            <w:vAlign w:val="bottom"/>
            <w:gridSpan w:val="2"/>
          </w:tcPr>
          <w:p>
            <w:pPr>
              <w:jc w:val="right"/>
              <w:ind w:right="307"/>
              <w:spacing w:after="0" w:line="155"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411"/>
              <w:spacing w:after="0" w:line="155" w:lineRule="exact"/>
              <w:rPr>
                <w:sz w:val="20"/>
                <w:szCs w:val="20"/>
                <w:color w:val="auto"/>
              </w:rPr>
            </w:pPr>
            <w:r>
              <w:rPr>
                <w:rFonts w:ascii="Arial" w:cs="Arial" w:eastAsia="Arial" w:hAnsi="Arial"/>
                <w:sz w:val="14"/>
                <w:szCs w:val="14"/>
                <w:b w:val="1"/>
                <w:bCs w:val="1"/>
                <w:color w:val="auto"/>
              </w:rPr>
              <w:t>2025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60" w:type="dxa"/>
            <w:vAlign w:val="bottom"/>
            <w:tcBorders>
              <w:top w:val="single" w:sz="8" w:color="CCEEFF"/>
              <w:left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tcPr>
          <w:p>
            <w:pPr>
              <w:spacing w:after="0" w:line="202" w:lineRule="exact"/>
              <w:rPr>
                <w:sz w:val="20"/>
                <w:szCs w:val="20"/>
                <w:color w:val="auto"/>
              </w:rPr>
            </w:pPr>
            <w:r>
              <w:rPr>
                <w:rFonts w:ascii="Arial" w:cs="Arial" w:eastAsia="Arial" w:hAnsi="Arial"/>
                <w:sz w:val="18"/>
                <w:szCs w:val="18"/>
                <w:color w:val="auto"/>
              </w:rPr>
              <w:t>Net (loss) income</w:t>
            </w:r>
          </w:p>
        </w:tc>
        <w:tc>
          <w:tcPr>
            <w:tcW w:w="28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(303,035)</w:t>
            </w:r>
          </w:p>
        </w:tc>
        <w:tc>
          <w:tcPr>
            <w:tcW w:w="580" w:type="dxa"/>
            <w:vAlign w:val="bottom"/>
            <w:gridSpan w:val="2"/>
          </w:tcPr>
          <w:p>
            <w:pPr>
              <w:jc w:val="right"/>
              <w:ind w:right="167"/>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3,490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860" w:type="dxa"/>
            <w:vAlign w:val="bottom"/>
            <w:tcBorders>
              <w:lef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5"/>
                <w:szCs w:val="15"/>
                <w:color w:val="auto"/>
              </w:rPr>
            </w:pPr>
          </w:p>
        </w:tc>
        <w:tc>
          <w:tcPr>
            <w:tcW w:w="5860" w:type="dxa"/>
            <w:vAlign w:val="bottom"/>
          </w:tcPr>
          <w:p>
            <w:pPr>
              <w:spacing w:after="0" w:line="183" w:lineRule="exact"/>
              <w:rPr>
                <w:sz w:val="20"/>
                <w:szCs w:val="20"/>
                <w:color w:val="auto"/>
              </w:rPr>
            </w:pPr>
            <w:r>
              <w:rPr>
                <w:rFonts w:ascii="Arial" w:cs="Arial" w:eastAsia="Arial" w:hAnsi="Arial"/>
                <w:sz w:val="18"/>
                <w:szCs w:val="18"/>
                <w:color w:val="auto"/>
              </w:rPr>
              <w:t>Adjustments to reconcile net (loss) income to net cash provided by</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5880" w:type="dxa"/>
            <w:vAlign w:val="bottom"/>
            <w:gridSpan w:val="2"/>
          </w:tcPr>
          <w:p>
            <w:pPr>
              <w:spacing w:after="0"/>
              <w:rPr>
                <w:sz w:val="20"/>
                <w:szCs w:val="20"/>
                <w:color w:val="auto"/>
              </w:rPr>
            </w:pPr>
            <w:r>
              <w:rPr>
                <w:rFonts w:ascii="Arial" w:cs="Arial" w:eastAsia="Arial" w:hAnsi="Arial"/>
                <w:sz w:val="18"/>
                <w:szCs w:val="18"/>
                <w:color w:val="auto"/>
              </w:rPr>
              <w:t>operating activities:</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tcBorders>
              <w:left w:val="single" w:sz="8" w:color="CCEEFF"/>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Depreciation and amortization</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74,319</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71,617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tcPr>
          <w:p>
            <w:pPr>
              <w:ind w:left="200"/>
              <w:spacing w:after="0" w:line="202" w:lineRule="exact"/>
              <w:rPr>
                <w:sz w:val="20"/>
                <w:szCs w:val="20"/>
                <w:color w:val="auto"/>
              </w:rPr>
            </w:pPr>
            <w:r>
              <w:rPr>
                <w:rFonts w:ascii="Arial" w:cs="Arial" w:eastAsia="Arial" w:hAnsi="Arial"/>
                <w:sz w:val="18"/>
                <w:szCs w:val="18"/>
                <w:color w:val="auto"/>
              </w:rPr>
              <w:t>Stock-based compensation</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12,758</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23,464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tcBorders>
              <w:left w:val="single" w:sz="8" w:color="CCEEFF"/>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Loss (gain) on lease termination and/or remeasurement</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tcPr>
          <w:p>
            <w:pPr>
              <w:ind w:left="200"/>
              <w:spacing w:after="0" w:line="202" w:lineRule="exact"/>
              <w:rPr>
                <w:sz w:val="20"/>
                <w:szCs w:val="20"/>
                <w:color w:val="auto"/>
              </w:rPr>
            </w:pPr>
            <w:r>
              <w:rPr>
                <w:rFonts w:ascii="Arial" w:cs="Arial" w:eastAsia="Arial" w:hAnsi="Arial"/>
                <w:sz w:val="18"/>
                <w:szCs w:val="18"/>
                <w:color w:val="auto"/>
              </w:rPr>
              <w:t>Loss on debt restructure</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329</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tcBorders>
              <w:left w:val="single" w:sz="8" w:color="CCEEFF"/>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Goodwill impairment</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286,748</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tcPr>
          <w:p>
            <w:pPr>
              <w:ind w:left="200"/>
              <w:spacing w:after="0" w:line="202" w:lineRule="exact"/>
              <w:rPr>
                <w:sz w:val="20"/>
                <w:szCs w:val="20"/>
                <w:color w:val="auto"/>
              </w:rPr>
            </w:pPr>
            <w:r>
              <w:rPr>
                <w:rFonts w:ascii="Arial" w:cs="Arial" w:eastAsia="Arial" w:hAnsi="Arial"/>
                <w:sz w:val="18"/>
                <w:szCs w:val="18"/>
                <w:color w:val="auto"/>
              </w:rPr>
              <w:t>Long-lived asset impairment</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19,767</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1,237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tcBorders>
              <w:left w:val="single" w:sz="8" w:color="CCEEFF"/>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Gain on sale or disposal of assets</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(1,912)</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tcPr>
          <w:p>
            <w:pPr>
              <w:ind w:left="200"/>
              <w:spacing w:after="0" w:line="202" w:lineRule="exact"/>
              <w:rPr>
                <w:sz w:val="20"/>
                <w:szCs w:val="20"/>
                <w:color w:val="auto"/>
              </w:rPr>
            </w:pPr>
            <w:r>
              <w:rPr>
                <w:rFonts w:ascii="Arial" w:cs="Arial" w:eastAsia="Arial" w:hAnsi="Arial"/>
                <w:sz w:val="18"/>
                <w:szCs w:val="18"/>
                <w:color w:val="auto"/>
              </w:rPr>
              <w:t>Provision for credit losses</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1,085</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1,796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tcBorders>
              <w:left w:val="single" w:sz="8" w:color="CCEEFF"/>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Noncash lease expense</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46,091</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44,566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tcPr>
          <w:p>
            <w:pPr>
              <w:ind w:left="200"/>
              <w:spacing w:after="0" w:line="202" w:lineRule="exact"/>
              <w:rPr>
                <w:sz w:val="20"/>
                <w:szCs w:val="20"/>
                <w:color w:val="auto"/>
              </w:rPr>
            </w:pPr>
            <w:r>
              <w:rPr>
                <w:rFonts w:ascii="Arial" w:cs="Arial" w:eastAsia="Arial" w:hAnsi="Arial"/>
                <w:sz w:val="18"/>
                <w:szCs w:val="18"/>
                <w:color w:val="auto"/>
              </w:rPr>
              <w:t>Accretion of original debt issuance discount</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2,071</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1,934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tcBorders>
              <w:left w:val="single" w:sz="8" w:color="CCEEFF"/>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Noncash interest</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2,718</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3,208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tcPr>
          <w:p>
            <w:pPr>
              <w:ind w:left="200"/>
              <w:spacing w:after="0" w:line="202" w:lineRule="exact"/>
              <w:rPr>
                <w:sz w:val="20"/>
                <w:szCs w:val="20"/>
                <w:color w:val="auto"/>
              </w:rPr>
            </w:pPr>
            <w:r>
              <w:rPr>
                <w:rFonts w:ascii="Arial" w:cs="Arial" w:eastAsia="Arial" w:hAnsi="Arial"/>
                <w:sz w:val="18"/>
                <w:szCs w:val="18"/>
                <w:color w:val="auto"/>
              </w:rPr>
              <w:t>Deferred income taxes</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213,645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tcBorders>
              <w:left w:val="single" w:sz="8" w:color="CCEEFF"/>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Tax Receivable Agreement liability adjustment</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(149,172)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60" w:type="dxa"/>
            <w:vAlign w:val="bottom"/>
          </w:tcPr>
          <w:p>
            <w:pPr>
              <w:ind w:left="200"/>
              <w:spacing w:after="0" w:line="202" w:lineRule="exact"/>
              <w:rPr>
                <w:sz w:val="20"/>
                <w:szCs w:val="20"/>
                <w:color w:val="auto"/>
              </w:rPr>
            </w:pPr>
            <w:r>
              <w:rPr>
                <w:rFonts w:ascii="Arial" w:cs="Arial" w:eastAsia="Arial" w:hAnsi="Arial"/>
                <w:sz w:val="18"/>
                <w:szCs w:val="18"/>
                <w:color w:val="auto"/>
              </w:rPr>
              <w:t>Change in assets and liabilities, net of acquisitions:</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tcBorders>
              <w:left w:val="single" w:sz="8" w:color="CCEEFF"/>
            </w:tcBorders>
            <w:shd w:val="clear" w:color="auto" w:fill="CCEEFF"/>
          </w:tcPr>
          <w:p>
            <w:pPr>
              <w:ind w:left="300"/>
              <w:spacing w:after="0" w:line="202" w:lineRule="exact"/>
              <w:rPr>
                <w:sz w:val="20"/>
                <w:szCs w:val="20"/>
                <w:color w:val="auto"/>
              </w:rPr>
            </w:pPr>
            <w:r>
              <w:rPr>
                <w:rFonts w:ascii="Arial" w:cs="Arial" w:eastAsia="Arial" w:hAnsi="Arial"/>
                <w:sz w:val="18"/>
                <w:szCs w:val="18"/>
                <w:color w:val="auto"/>
              </w:rPr>
              <w:t>Receivables and contracts in transit</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(47,960)</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(57,016)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tcPr>
          <w:p>
            <w:pPr>
              <w:ind w:left="300"/>
              <w:spacing w:after="0" w:line="202" w:lineRule="exact"/>
              <w:rPr>
                <w:sz w:val="20"/>
                <w:szCs w:val="20"/>
                <w:color w:val="auto"/>
              </w:rPr>
            </w:pPr>
            <w:r>
              <w:rPr>
                <w:rFonts w:ascii="Arial" w:cs="Arial" w:eastAsia="Arial" w:hAnsi="Arial"/>
                <w:sz w:val="18"/>
                <w:szCs w:val="18"/>
                <w:color w:val="auto"/>
              </w:rPr>
              <w:t>Inventories</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346,922</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(136,973)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tcBorders>
              <w:left w:val="single" w:sz="8" w:color="CCEEFF"/>
            </w:tcBorders>
            <w:shd w:val="clear" w:color="auto" w:fill="CCEEFF"/>
          </w:tcPr>
          <w:p>
            <w:pPr>
              <w:ind w:left="300"/>
              <w:spacing w:after="0" w:line="202" w:lineRule="exact"/>
              <w:rPr>
                <w:sz w:val="20"/>
                <w:szCs w:val="20"/>
                <w:color w:val="auto"/>
              </w:rPr>
            </w:pPr>
            <w:r>
              <w:rPr>
                <w:rFonts w:ascii="Arial" w:cs="Arial" w:eastAsia="Arial" w:hAnsi="Arial"/>
                <w:sz w:val="18"/>
                <w:szCs w:val="18"/>
                <w:color w:val="auto"/>
              </w:rPr>
              <w:t>Prepaid expenses and other assets</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6,745</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tcPr>
          <w:p>
            <w:pPr>
              <w:ind w:left="300"/>
              <w:spacing w:after="0" w:line="202" w:lineRule="exact"/>
              <w:rPr>
                <w:sz w:val="20"/>
                <w:szCs w:val="20"/>
                <w:color w:val="auto"/>
              </w:rPr>
            </w:pPr>
            <w:r>
              <w:rPr>
                <w:rFonts w:ascii="Arial" w:cs="Arial" w:eastAsia="Arial" w:hAnsi="Arial"/>
                <w:sz w:val="18"/>
                <w:szCs w:val="18"/>
                <w:color w:val="auto"/>
              </w:rPr>
              <w:t>Accounts payable and other accrued expenses</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86,553</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119,078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tcBorders>
              <w:left w:val="single" w:sz="8" w:color="CCEEFF"/>
            </w:tcBorders>
            <w:shd w:val="clear" w:color="auto" w:fill="CCEEFF"/>
          </w:tcPr>
          <w:p>
            <w:pPr>
              <w:ind w:left="300"/>
              <w:spacing w:after="0" w:line="202" w:lineRule="exact"/>
              <w:rPr>
                <w:sz w:val="20"/>
                <w:szCs w:val="20"/>
                <w:color w:val="auto"/>
              </w:rPr>
            </w:pPr>
            <w:r>
              <w:rPr>
                <w:rFonts w:ascii="Arial" w:cs="Arial" w:eastAsia="Arial" w:hAnsi="Arial"/>
                <w:sz w:val="18"/>
                <w:szCs w:val="18"/>
                <w:color w:val="auto"/>
              </w:rPr>
              <w:t>Payment pursuant to Tax Receivable Agreement</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(1,416)</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tcPr>
          <w:p>
            <w:pPr>
              <w:ind w:left="300"/>
              <w:spacing w:after="0" w:line="202" w:lineRule="exact"/>
              <w:rPr>
                <w:sz w:val="20"/>
                <w:szCs w:val="20"/>
                <w:color w:val="auto"/>
              </w:rPr>
            </w:pPr>
            <w:r>
              <w:rPr>
                <w:rFonts w:ascii="Arial" w:cs="Arial" w:eastAsia="Arial" w:hAnsi="Arial"/>
                <w:sz w:val="18"/>
                <w:szCs w:val="18"/>
                <w:color w:val="auto"/>
              </w:rPr>
              <w:t>Deferred revenues</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(7,882)</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4,371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tcBorders>
              <w:left w:val="single" w:sz="8" w:color="CCEEFF"/>
            </w:tcBorders>
            <w:shd w:val="clear" w:color="auto" w:fill="CCEEFF"/>
          </w:tcPr>
          <w:p>
            <w:pPr>
              <w:ind w:left="300"/>
              <w:spacing w:after="0" w:line="202" w:lineRule="exact"/>
              <w:rPr>
                <w:sz w:val="20"/>
                <w:szCs w:val="20"/>
                <w:color w:val="auto"/>
              </w:rPr>
            </w:pPr>
            <w:r>
              <w:rPr>
                <w:rFonts w:ascii="Arial" w:cs="Arial" w:eastAsia="Arial" w:hAnsi="Arial"/>
                <w:sz w:val="18"/>
                <w:szCs w:val="18"/>
                <w:color w:val="auto"/>
              </w:rPr>
              <w:t>Operating lease liabilities</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(48,304)</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(47,409)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tcBorders>
              <w:bottom w:val="single" w:sz="8" w:color="CCEEFF"/>
            </w:tcBorders>
          </w:tcPr>
          <w:p>
            <w:pPr>
              <w:ind w:left="300"/>
              <w:spacing w:after="0" w:line="202" w:lineRule="exact"/>
              <w:rPr>
                <w:sz w:val="20"/>
                <w:szCs w:val="20"/>
                <w:color w:val="auto"/>
              </w:rPr>
            </w:pPr>
            <w:r>
              <w:rPr>
                <w:rFonts w:ascii="Arial" w:cs="Arial" w:eastAsia="Arial" w:hAnsi="Arial"/>
                <w:sz w:val="18"/>
                <w:szCs w:val="18"/>
                <w:color w:val="auto"/>
              </w:rPr>
              <w:t>Other, net</w:t>
            </w:r>
          </w:p>
        </w:tc>
        <w:tc>
          <w:tcPr>
            <w:tcW w:w="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12,409</w:t>
            </w:r>
          </w:p>
        </w:tc>
        <w:tc>
          <w:tcPr>
            <w:tcW w:w="2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(1,329)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60" w:type="dxa"/>
            <w:vAlign w:val="bottom"/>
            <w:tcBorders>
              <w:left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cash provided by operating activities</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488,008</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95,236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860" w:type="dxa"/>
            <w:vAlign w:val="bottom"/>
            <w:tcBorders>
              <w:left w:val="single" w:sz="8" w:color="CCEEFF"/>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Investing activities</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tcPr>
          <w:p>
            <w:pPr>
              <w:spacing w:after="0" w:line="202" w:lineRule="exact"/>
              <w:rPr>
                <w:sz w:val="20"/>
                <w:szCs w:val="20"/>
                <w:color w:val="auto"/>
              </w:rPr>
            </w:pPr>
            <w:r>
              <w:rPr>
                <w:rFonts w:ascii="Arial" w:cs="Arial" w:eastAsia="Arial" w:hAnsi="Arial"/>
                <w:sz w:val="18"/>
                <w:szCs w:val="18"/>
                <w:color w:val="auto"/>
              </w:rPr>
              <w:t>Purchases of property and equipment</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(90,213)</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(84,130)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tcBorders>
              <w:left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Proceeds from sale or disposal of property and equipment</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351</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3,650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tcPr>
          <w:p>
            <w:pPr>
              <w:spacing w:after="0" w:line="202" w:lineRule="exact"/>
              <w:rPr>
                <w:sz w:val="20"/>
                <w:szCs w:val="20"/>
                <w:color w:val="auto"/>
              </w:rPr>
            </w:pPr>
            <w:r>
              <w:rPr>
                <w:rFonts w:ascii="Arial" w:cs="Arial" w:eastAsia="Arial" w:hAnsi="Arial"/>
                <w:sz w:val="18"/>
                <w:szCs w:val="18"/>
                <w:color w:val="auto"/>
              </w:rPr>
              <w:t>Purchases of real property</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(1,889)</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(122,842)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tcBorders>
              <w:left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Proceeds from the sale or disposal of real property</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68,022</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53,769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tcPr>
          <w:p>
            <w:pPr>
              <w:spacing w:after="0" w:line="202" w:lineRule="exact"/>
              <w:rPr>
                <w:sz w:val="20"/>
                <w:szCs w:val="20"/>
                <w:color w:val="auto"/>
              </w:rPr>
            </w:pPr>
            <w:r>
              <w:rPr>
                <w:rFonts w:ascii="Arial" w:cs="Arial" w:eastAsia="Arial" w:hAnsi="Arial"/>
                <w:sz w:val="18"/>
                <w:szCs w:val="18"/>
                <w:color w:val="auto"/>
              </w:rPr>
              <w:t>Purchases of businesses, net of cash acquired</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(7,054)</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(81,203)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tcBorders>
              <w:left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Purchases of other investments</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(7,665)</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(6,668)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tcPr>
          <w:p>
            <w:pPr>
              <w:spacing w:after="0" w:line="202" w:lineRule="exact"/>
              <w:rPr>
                <w:sz w:val="20"/>
                <w:szCs w:val="20"/>
                <w:color w:val="auto"/>
              </w:rPr>
            </w:pPr>
            <w:r>
              <w:rPr>
                <w:rFonts w:ascii="Arial" w:cs="Arial" w:eastAsia="Arial" w:hAnsi="Arial"/>
                <w:sz w:val="18"/>
                <w:szCs w:val="18"/>
                <w:color w:val="auto"/>
              </w:rPr>
              <w:t>Proceeds from other investments</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5,733</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326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tcBorders>
              <w:left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Proceeds from divestiture of business</w:t>
            </w:r>
          </w:p>
        </w:tc>
        <w:tc>
          <w:tcPr>
            <w:tcW w:w="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11,027</w:t>
            </w:r>
          </w:p>
        </w:tc>
        <w:tc>
          <w:tcPr>
            <w:tcW w:w="4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6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(32,715)</w:t>
            </w:r>
          </w:p>
        </w:tc>
        <w:tc>
          <w:tcPr>
            <w:tcW w:w="260" w:type="dxa"/>
            <w:vAlign w:val="bottom"/>
          </w:tcPr>
          <w:p>
            <w:pPr>
              <w:spacing w:after="0"/>
              <w:rPr>
                <w:sz w:val="20"/>
                <w:szCs w:val="20"/>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(226,071)</w:t>
            </w:r>
          </w:p>
        </w:tc>
        <w:tc>
          <w:tcPr>
            <w:tcW w:w="0" w:type="dxa"/>
            <w:vAlign w:val="bottom"/>
          </w:tcPr>
          <w:p>
            <w:pPr>
              <w:spacing w:after="0"/>
              <w:rPr>
                <w:sz w:val="1"/>
                <w:szCs w:val="1"/>
                <w:color w:val="auto"/>
              </w:rPr>
            </w:pPr>
          </w:p>
        </w:tc>
      </w:tr>
      <w:tr>
        <w:trPr>
          <w:trHeight w:val="832"/>
        </w:trPr>
        <w:tc>
          <w:tcPr>
            <w:tcW w:w="5880" w:type="dxa"/>
            <w:vAlign w:val="bottom"/>
            <w:gridSpan w:val="2"/>
          </w:tcPr>
          <w:p>
            <w:pPr>
              <w:jc w:val="right"/>
              <w:ind w:right="1251"/>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3"/>
        </w:trPr>
        <w:tc>
          <w:tcPr>
            <w:tcW w:w="20" w:type="dxa"/>
            <w:vAlign w:val="bottom"/>
          </w:tcPr>
          <w:p>
            <w:pPr>
              <w:spacing w:after="0"/>
              <w:rPr>
                <w:sz w:val="24"/>
                <w:szCs w:val="24"/>
                <w:color w:val="auto"/>
              </w:rPr>
            </w:pPr>
          </w:p>
        </w:tc>
        <w:tc>
          <w:tcPr>
            <w:tcW w:w="58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2" w:right="1440" w:bottom="1440" w:gutter="0" w:footer="0" w:header="0"/>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Camping World Holdings, Inc.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Condensed Consolidated Statements of Cash Flows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 Thousands)</w:t>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2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760" w:type="dxa"/>
            <w:vAlign w:val="bottom"/>
          </w:tcPr>
          <w:p>
            <w:pPr>
              <w:spacing w:after="0"/>
              <w:rPr>
                <w:sz w:val="13"/>
                <w:szCs w:val="13"/>
                <w:color w:val="auto"/>
              </w:rPr>
            </w:pPr>
          </w:p>
        </w:tc>
        <w:tc>
          <w:tcPr>
            <w:tcW w:w="900" w:type="dxa"/>
            <w:vAlign w:val="bottom"/>
            <w:gridSpan w:val="3"/>
          </w:tcPr>
          <w:p>
            <w:pPr>
              <w:ind w:left="620"/>
              <w:spacing w:after="0" w:line="155"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291"/>
              <w:spacing w:after="0" w:line="155" w:lineRule="exact"/>
              <w:rPr>
                <w:sz w:val="20"/>
                <w:szCs w:val="20"/>
                <w:color w:val="auto"/>
              </w:rPr>
            </w:pPr>
            <w:r>
              <w:rPr>
                <w:rFonts w:ascii="Arial" w:cs="Arial" w:eastAsia="Arial" w:hAnsi="Arial"/>
                <w:sz w:val="14"/>
                <w:szCs w:val="14"/>
                <w:b w:val="1"/>
                <w:bCs w:val="1"/>
                <w:color w:val="auto"/>
              </w:rPr>
              <w:t>2026</w:t>
            </w:r>
          </w:p>
        </w:tc>
        <w:tc>
          <w:tcPr>
            <w:tcW w:w="480" w:type="dxa"/>
            <w:vAlign w:val="bottom"/>
            <w:gridSpan w:val="2"/>
          </w:tcPr>
          <w:p>
            <w:pPr>
              <w:jc w:val="right"/>
              <w:ind w:right="207"/>
              <w:spacing w:after="0" w:line="155"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311"/>
              <w:spacing w:after="0" w:line="155" w:lineRule="exact"/>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7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Financing activities</w:t>
            </w: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Pr>
          <w:p>
            <w:pPr>
              <w:spacing w:after="0" w:line="202" w:lineRule="exact"/>
              <w:rPr>
                <w:sz w:val="20"/>
                <w:szCs w:val="20"/>
                <w:color w:val="auto"/>
              </w:rPr>
            </w:pPr>
            <w:r>
              <w:rPr>
                <w:rFonts w:ascii="Arial" w:cs="Arial" w:eastAsia="Arial" w:hAnsi="Arial"/>
                <w:sz w:val="18"/>
                <w:szCs w:val="18"/>
                <w:color w:val="auto"/>
              </w:rPr>
              <w:t>Proceeds from long-term debt</w:t>
            </w:r>
          </w:p>
        </w:tc>
        <w:tc>
          <w:tcPr>
            <w:tcW w:w="900" w:type="dxa"/>
            <w:vAlign w:val="bottom"/>
            <w:gridSpan w:val="3"/>
          </w:tcPr>
          <w:p>
            <w:pPr>
              <w:ind w:left="70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132,787</w:t>
            </w:r>
          </w:p>
        </w:tc>
        <w:tc>
          <w:tcPr>
            <w:tcW w:w="480" w:type="dxa"/>
            <w:vAlign w:val="bottom"/>
            <w:gridSpan w:val="2"/>
          </w:tcPr>
          <w:p>
            <w:pPr>
              <w:jc w:val="right"/>
              <w:ind w:right="87"/>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Payments on long-term debt</w:t>
            </w: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(183,883)</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(38,223)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Pr>
          <w:p>
            <w:pPr>
              <w:spacing w:after="0" w:line="202" w:lineRule="exact"/>
              <w:rPr>
                <w:sz w:val="20"/>
                <w:szCs w:val="20"/>
                <w:color w:val="auto"/>
              </w:rPr>
            </w:pPr>
            <w:r>
              <w:rPr>
                <w:rFonts w:ascii="Arial" w:cs="Arial" w:eastAsia="Arial" w:hAnsi="Arial"/>
                <w:sz w:val="18"/>
                <w:szCs w:val="18"/>
                <w:color w:val="auto"/>
              </w:rPr>
              <w:t>Net (payments) proceeds on notes payable – floor plan, net</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(347,050)</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226,342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Payments on finance leases</w:t>
            </w: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(5,708)</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Pr>
          <w:p>
            <w:pPr>
              <w:spacing w:after="0" w:line="202" w:lineRule="exact"/>
              <w:rPr>
                <w:sz w:val="20"/>
                <w:szCs w:val="20"/>
                <w:color w:val="auto"/>
              </w:rPr>
            </w:pPr>
            <w:r>
              <w:rPr>
                <w:rFonts w:ascii="Arial" w:cs="Arial" w:eastAsia="Arial" w:hAnsi="Arial"/>
                <w:sz w:val="18"/>
                <w:szCs w:val="18"/>
                <w:color w:val="auto"/>
              </w:rPr>
              <w:t>Payments on sale-leaseback arrangement</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(157)</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Payment of debt issuance costs</w:t>
            </w: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(843)</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Pr>
          <w:p>
            <w:pPr>
              <w:spacing w:after="0" w:line="202" w:lineRule="exact"/>
              <w:rPr>
                <w:sz w:val="20"/>
                <w:szCs w:val="20"/>
                <w:color w:val="auto"/>
              </w:rPr>
            </w:pPr>
            <w:r>
              <w:rPr>
                <w:rFonts w:ascii="Arial" w:cs="Arial" w:eastAsia="Arial" w:hAnsi="Arial"/>
                <w:sz w:val="18"/>
                <w:szCs w:val="18"/>
                <w:color w:val="auto"/>
              </w:rPr>
              <w:t>Payments of stock offering costs</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Dividends on Class A common stock</w:t>
            </w: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(23,504)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Pr>
          <w:p>
            <w:pPr>
              <w:spacing w:after="0" w:line="202" w:lineRule="exact"/>
              <w:rPr>
                <w:sz w:val="20"/>
                <w:szCs w:val="20"/>
                <w:color w:val="auto"/>
              </w:rPr>
            </w:pPr>
            <w:r>
              <w:rPr>
                <w:rFonts w:ascii="Arial" w:cs="Arial" w:eastAsia="Arial" w:hAnsi="Arial"/>
                <w:sz w:val="18"/>
                <w:szCs w:val="18"/>
                <w:color w:val="auto"/>
              </w:rPr>
              <w:t>RSU shares withheld for tax</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(903)</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(2,940)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 award shares withheld for tax</w:t>
            </w: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(885)</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Contributions from (distributions to) holders of LLC common units</w:t>
            </w:r>
          </w:p>
        </w:tc>
        <w:tc>
          <w:tcPr>
            <w:tcW w:w="7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62</w:t>
            </w:r>
          </w:p>
        </w:tc>
        <w:tc>
          <w:tcPr>
            <w:tcW w:w="2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(2,486)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cash (used in) provided by financing activities</w:t>
            </w: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(406,580)</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152,926</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Increase in cash and cash equivalents</w:t>
            </w: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48,713</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22,091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Cash and cash equivalents at beginning of the period</w:t>
            </w:r>
          </w:p>
        </w:tc>
        <w:tc>
          <w:tcPr>
            <w:tcW w:w="7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215,043</w:t>
            </w:r>
          </w:p>
        </w:tc>
        <w:tc>
          <w:tcPr>
            <w:tcW w:w="2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208,422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and cash equivalents at end of the period</w:t>
            </w:r>
          </w:p>
        </w:tc>
        <w:tc>
          <w:tcPr>
            <w:tcW w:w="7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263,756</w:t>
            </w:r>
          </w:p>
        </w:tc>
        <w:tc>
          <w:tcPr>
            <w:tcW w:w="2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230,513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1" w:name="page12"/>
    <w:bookmarkEnd w:id="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Camping World Holdings, Inc.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2026</w:t>
      </w:r>
    </w:p>
    <w:p>
      <w:pPr>
        <w:spacing w:after="0" w:line="198" w:lineRule="exact"/>
        <w:rPr>
          <w:sz w:val="20"/>
          <w:szCs w:val="20"/>
          <w:color w:val="auto"/>
        </w:rPr>
      </w:pPr>
    </w:p>
    <w:p>
      <w:pPr>
        <w:ind w:left="60" w:right="4379" w:hanging="10"/>
        <w:spacing w:after="0" w:line="513" w:lineRule="auto"/>
        <w:tabs>
          <w:tab w:leader="none" w:pos="260"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Summary of Significant Accounting Policies Principles of Consolidation and Basis of Presentation</w:t>
      </w:r>
    </w:p>
    <w:p>
      <w:pPr>
        <w:spacing w:after="0" w:line="1"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The condensed consolidated financial statements include the accounts of Camping World Holdings, Inc. and its subsidiaries, and are presented in accordance with accounting principles generally accepted in the United States (“GAAP”) for interim financial information and pursuant to the rules and regulations of the SEC. Accordingly, these interim financial statements do not include all of the information and footnotes required by GAAP for complete financial statements. In the opinion of management, all adjustments (consisting of normal recurring adjustments) necessary for a fair statement of the results of operations, financial position and cash flows for the periods presented have been reflected. All intercompany accounts and transactions of the Company and its subsidiaries have been eliminated in consolidation.</w:t>
      </w:r>
    </w:p>
    <w:p>
      <w:pPr>
        <w:spacing w:after="0" w:line="180"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The condensed consolidated financial statements as of and for the three and nine months ended September 30, 2026 and 2025 are unaudited. The condensed consolidated balance sheet as of December 31, 2025 has been derived from the audited financial statements at that date but does not include all of the disclosures required by GAAP. These interim condensed consolidated financial statements should be read in conjunction with the Company’s Annual Report on Form 10-K for the year ended December 31, 2025 filed with the SEC on February 27, 2026 (“Annual Report”). Operating results for interim periods are not necessarily indicative of the results that may be expected for the full year.</w:t>
      </w:r>
    </w:p>
    <w:p>
      <w:pPr>
        <w:spacing w:after="0" w:line="185"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CWH has sole voting power in and control of the management of CWGS, LLC. As of September 30, 2026, December 31, 2025, and September 30, 2025, CWH owned 61.6%, 61.4%, and 61.2%, respectively, of CWGS, LLC. Accordingly, the Company consolidates the financial results of CWGS, LLC and reports a non-controlling interest in its condensed consolidated financial statements.</w:t>
      </w:r>
    </w:p>
    <w:p>
      <w:pPr>
        <w:spacing w:after="0" w:line="174"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 Company does not have any material components of other comprehensive income recorded within its condensed consolidated financial statements, and, therefore, does not separately present a statement of comprehensive income in its condensed consolidated financial statements.</w:t>
      </w:r>
    </w:p>
    <w:p>
      <w:pPr>
        <w:spacing w:after="0" w:line="25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Seasonality</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The Company has experienced, and expects to continue to experience, variability in revenue, net income, and cash flows as a result of annual seasonality in its business. Because RVs are used primarily by vacationers and campers, demand for services, protection plans, products, and resources generally declines during the winter season, while sales and profits are generally highest during the spring and summer months. In addition, unusually severe weather conditions in some geographic areas may impact demand.</w:t>
      </w:r>
    </w:p>
    <w:p>
      <w:pPr>
        <w:spacing w:after="0" w:line="68"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The Company generates a disproportionately higher amount of its annual revenue in its second and third fiscal quarters, which include the spring and summer months. The Company incurs additional expenses in the second and third fiscal quarters due to higher sales volumes, increased staffing in its store locations and program costs. If, for any reason, the Company miscalculates the demand for its products or its product mix during the second and third fiscal quarters, its sales in these quarters could decline, resulting in higher labor costs as a percentage of gross profit, lower margins and excess inventory, which could cause the Company’s annual results of operations to suffer and its stock price to decline.</w:t>
      </w:r>
    </w:p>
    <w:p>
      <w:pPr>
        <w:spacing w:after="0" w:line="77"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Additionally, selling, general, and administrative (“SG&amp;A”) expenses as a percentage of gross profit tend to be higher in the first and fourth quarters due to the seasonality of the Company’s business.</w:t>
      </w:r>
    </w:p>
    <w:p>
      <w:pPr>
        <w:spacing w:after="0" w:line="46"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Due to the Company’s seasonality, the possible adverse impact from other risks associated with its business, including atypical weather, consumer spending levels, changes in the costs of the Company’s products including the impact of tariffs, and general business conditions, is potentially greater if any such risks occur during the Company’s peak sales seasons.</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Current Expected Credit Losses</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The allowance for credit losses is based on management’s assessment of the collectability of its customer accounts. The Company regularly reviews the composition of the accounts receivable aging, historical bad debts, changes in payment patterns, customer creditworthiness, current economic trends, and reasonable and supportable forecasts about the future. Relevant risk characteristics include customer size and historical loss patterns. As of January 1, 2026, the Company elected the practical expedient to assume that conditions as of the balance sheet date will remain unchanged for an asset’s remaining life when estimating credit losses on current accounts receivable and current contract assets arising from transactions under Accounting Standards Codification (“ASC”) 606.</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12"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In July 2025, the Financial Accounting Standards Board (“FASB”) issued Accounting Standards Update (“ASU”) 2025-05, Financial Instruments — Credit Losses (Topic 326): Measurement of Credit Losses for Accounts Receivable and Contract Assets. This ASU provides a practical expedient for all entities and a related accounting policy election for entities other than public business entities for the calculation of current expected credit losses on current accounts receivable and current contract assets. The practical expedient allows all entities to assume that conditions as of the balance sheet date will remain unchanged for an asset’s remaining life when estimating credit losses on current accounts receivable and current contract assets arising from transactions under ASC 606. The standard is effective for fiscal years beginning after December 15, 2025 and interim periods within those annual reporting periods, with early adoption permitted. The adoption of this ASU on January 1, 2026 resulted in the disclosure of the election of the practical expedient and did not otherwise have a material impact on the Company’s condensed consolidated financial statements.</w:t>
      </w:r>
    </w:p>
    <w:p>
      <w:pPr>
        <w:spacing w:after="0" w:line="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12"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In November 2024, the FASB issued ASU 2024-03, Income Statement — Reporting Comprehensive Income — Expense Disaggregation Disclosures (Subtopic 220-40): Disaggregation of Income Statement Expenses. This ASU requires that at each interim and annual reporting period entities present a new tabular disclosure in the notes to the financial statements, presenting disaggregation of the amounts of purchases of inventory, employee compensation, depreciation, intangible asset amortization and depletion. Furthermore, the ASU requires entities to include certain amounts that are already required to be disclosed under GAAP in the same disclosure as other disaggregation requirements and disclose a qualitative description of the amounts remaining in relevant expense captions that are not separately disaggregated quantitatively. Additionally, entities are required to disclose the total amount of selling expenses and, in an annual reporting period, an entity’s definition of selling expenses. The standard is effective for fiscal years beginning after December 15, 2026 and interim periods within fiscal years beginning after December 15, 2027, with early adoption permitted. The Company is currently evaluating the impact that the adoption of the provisions of the ASU will have on its condensed consolidated financial statements.</w:t>
      </w:r>
    </w:p>
    <w:p>
      <w:pPr>
        <w:spacing w:after="0" w:line="72"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In September 2025, the FASB issued ASU 2025-06, Intangibles — Goodwill and Other — Internal-Use Software (Subtopic 350-40): Targeted Improvements to the Accounting for Internal-Use Software. This ASU removes all references to software development stages throughout Subtopic 350-40. Instead, an entity is required to start capitalizing software costs when both of the following occur: (1) management has authorized and committed to funding the software project, and (2) it is probable that the project will be completed and the software will be used to perform the function intended (referred to as the “probable-to-complete recognition threshold”). In evaluating the probable-to-complete threshold, an entity is required to consider whether there is significant uncertainty associated with the development activities of the software, as described by the standard. This ASU specifies that the disclosures in Subtopic 360-10, Property, Plant, and Equipment—Overall, are required for all capitalized internal -use software costs, regardless of how those costs are presented in the financial statements. The standard is effective for fiscal years beginning after December 15, 2027 and interim periods within those annual reporting periods, with early adoption permitted. The Company is currently evaluating the impact that the adoption of the provisions of the ASU will have on its condensed consolidated financial statements.</w:t>
      </w:r>
    </w:p>
    <w:p>
      <w:pPr>
        <w:spacing w:after="0" w:line="81" w:lineRule="exact"/>
        <w:rPr>
          <w:sz w:val="20"/>
          <w:szCs w:val="20"/>
          <w:color w:val="auto"/>
        </w:rPr>
      </w:pPr>
    </w:p>
    <w:p>
      <w:pPr>
        <w:jc w:val="both"/>
        <w:ind w:left="60" w:right="79" w:firstLine="648"/>
        <w:spacing w:after="0" w:line="253" w:lineRule="auto"/>
        <w:rPr>
          <w:sz w:val="20"/>
          <w:szCs w:val="20"/>
          <w:color w:val="auto"/>
        </w:rPr>
      </w:pPr>
      <w:r>
        <w:rPr>
          <w:rFonts w:ascii="Arial" w:cs="Arial" w:eastAsia="Arial" w:hAnsi="Arial"/>
          <w:sz w:val="18"/>
          <w:szCs w:val="18"/>
          <w:color w:val="auto"/>
        </w:rPr>
        <w:t>In December 2025, the FASB issued ASU 2025-11, Interim Reporting (Topic 270): Narrow-Scope Improvements. The amendments in this ASU clarify interim disclosure requirements and the applicability of Topic 270. The objective of the update is to provide clarity about current interim requirements and also includes</w:t>
      </w:r>
    </w:p>
    <w:p>
      <w:pPr>
        <w:sectPr>
          <w:pgSz w:w="11900" w:h="16838" w:orient="portrait"/>
          <w:cols w:equalWidth="0" w:num="1">
            <w:col w:w="9019"/>
          </w:cols>
          <w:pgMar w:left="1440" w:top="512" w:right="1440" w:bottom="1440" w:gutter="0" w:footer="0" w:header="0"/>
        </w:sect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13" w:name="page14"/>
    <w:bookmarkEnd w:id="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44" w:lineRule="auto"/>
        <w:rPr>
          <w:sz w:val="20"/>
          <w:szCs w:val="20"/>
          <w:color w:val="auto"/>
        </w:rPr>
      </w:pPr>
      <w:r>
        <w:rPr>
          <w:rFonts w:ascii="Arial" w:cs="Arial" w:eastAsia="Arial" w:hAnsi="Arial"/>
          <w:sz w:val="18"/>
          <w:szCs w:val="18"/>
          <w:color w:val="auto"/>
        </w:rPr>
        <w:t>a disclosure principle that requires entities to disclose events since the end of the last annual reporting period that have a material impact on the entity. The standard is effective for interim periods within annual reporting periods beginning after December 15, 2027, with early adoption permitted. The Company is currently evaluating the impact that the adoption of the provisions of the ASU will have on its condensed consolidated financial statements.</w:t>
      </w:r>
    </w:p>
    <w:p>
      <w:pPr>
        <w:spacing w:after="0" w:line="68"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In December 2025, the FASB issued ASU 2025-12, Codification Improvements. This ASU represents changes to the ASC that (1) clarify, (2) correct errors, or (3) make minor improvements. The ASU is intended to make the ASC easier to understand and apply. The standard is effective for fiscal years beginning after December 15, 2026 and interim periods within those annual reporting periods, with early adoption permitted. The Company is currently evaluating the impact that the adoption of the provisions of the ASU will have on its condensed consolidated financial statements.</w:t>
      </w:r>
    </w:p>
    <w:p>
      <w:pPr>
        <w:spacing w:after="0" w:line="71"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In May 2026, the FASB issued ASU 2026-02, Environmental Credits and Environmental Credit Obligations (Topic 818). This ASU introduces a comprehensive model that establishes recognition, measurement, presentation, and disclosure requirements for (1) environmental credits and, when applicable, (2) compliance obligations that may be settled by using environmental credits. The standard is effective for fiscal years beginning after December 15, 2027 and interim periods within those annual reporting periods, with early adoption permitted. The Company does not expect the impact of the adoption of the provisions of the ASU will be material to its condensed consolidated financial statements.</w:t>
      </w:r>
    </w:p>
    <w:p>
      <w:pPr>
        <w:spacing w:after="0" w:line="306" w:lineRule="exact"/>
        <w:rPr>
          <w:sz w:val="20"/>
          <w:szCs w:val="20"/>
          <w:color w:val="auto"/>
        </w:rPr>
      </w:pPr>
    </w:p>
    <w:p>
      <w:pPr>
        <w:ind w:left="60" w:right="7579" w:hanging="10"/>
        <w:spacing w:after="0" w:line="513" w:lineRule="auto"/>
        <w:tabs>
          <w:tab w:leader="none" w:pos="260"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Revenue Contract Assets</w:t>
      </w:r>
    </w:p>
    <w:p>
      <w:pPr>
        <w:spacing w:after="0" w:line="1"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As of September 30, 2026, December 31, 2025, and September 30, 2025, contract assets of $10.3 million, $10.7 million and $11.1 million, respectively, relating to RV service revenues, were included in accounts receivable in the accompanying condensed consolidated balance sheets.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Deferred Revenues</w:t>
      </w:r>
    </w:p>
    <w:p>
      <w:pPr>
        <w:spacing w:after="0" w:line="212"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The Company records deferred revenues when cash payments are received or due in advance of the Company’s performance, net of estimated refunds that are presented separately as a component of accrued liabilities. For the nine months ended September 30, 2026, the Company estimates approximately $75.6 million of revenues recognized were included in the deferred revenue balance at the beginning of the period. These estimates consider factors including, but not limited to, average service term, cash received for the period, cancellations, contract extensions, and upgrades.</w:t>
      </w:r>
    </w:p>
    <w:p>
      <w:pPr>
        <w:spacing w:after="0" w:line="71"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As of September 30, 2026, the Company had unsatisfied performance obligations primarily relating to plans for its roadside assistance, Good Sam Club memberships, Good Sam Club loyalty program, Coast to Coast memberships, the annual campground guide, and magazine publication revenue streams. The total unsatisfied performance obligations for these revenue streams as of September 30, 2026 and the periods during which the Company expects to recognize the amounts as revenue are presented as follows:</w:t>
      </w:r>
    </w:p>
    <w:p>
      <w:pPr>
        <w:spacing w:after="0" w:line="9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7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56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1840" w:type="dxa"/>
            <w:vAlign w:val="bottom"/>
            <w:gridSpan w:val="2"/>
          </w:tcPr>
          <w:p>
            <w:pPr>
              <w:ind w:left="22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1"/>
        </w:trPr>
        <w:tc>
          <w:tcPr>
            <w:tcW w:w="720" w:type="dxa"/>
            <w:vAlign w:val="bottom"/>
          </w:tcPr>
          <w:p>
            <w:pPr>
              <w:spacing w:after="0"/>
              <w:rPr>
                <w:sz w:val="14"/>
                <w:szCs w:val="14"/>
                <w:color w:val="auto"/>
              </w:rPr>
            </w:pPr>
          </w:p>
        </w:tc>
        <w:tc>
          <w:tcPr>
            <w:tcW w:w="2340" w:type="dxa"/>
            <w:vAlign w:val="bottom"/>
          </w:tcPr>
          <w:p>
            <w:pPr>
              <w:spacing w:after="0"/>
              <w:rPr>
                <w:sz w:val="20"/>
                <w:szCs w:val="20"/>
                <w:color w:val="auto"/>
              </w:rPr>
            </w:pPr>
            <w:r>
              <w:rPr>
                <w:rFonts w:ascii="Arial" w:cs="Arial" w:eastAsia="Arial" w:hAnsi="Arial"/>
                <w:sz w:val="14"/>
                <w:szCs w:val="14"/>
                <w:color w:val="auto"/>
              </w:rPr>
              <w:t>($ in thousands)</w:t>
            </w:r>
          </w:p>
        </w:tc>
        <w:tc>
          <w:tcPr>
            <w:tcW w:w="3460" w:type="dxa"/>
            <w:vAlign w:val="bottom"/>
          </w:tcPr>
          <w:p>
            <w:pPr>
              <w:spacing w:after="0"/>
              <w:rPr>
                <w:sz w:val="14"/>
                <w:szCs w:val="14"/>
                <w:color w:val="auto"/>
              </w:rPr>
            </w:pPr>
          </w:p>
        </w:tc>
        <w:tc>
          <w:tcPr>
            <w:tcW w:w="2400" w:type="dxa"/>
            <w:vAlign w:val="bottom"/>
            <w:gridSpan w:val="4"/>
          </w:tcPr>
          <w:p>
            <w:pPr>
              <w:ind w:left="8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September 30, 2026</w:t>
            </w: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23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2026</w:t>
            </w:r>
          </w:p>
        </w:tc>
        <w:tc>
          <w:tcPr>
            <w:tcW w:w="34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33,787</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0" w:type="dxa"/>
            <w:vAlign w:val="bottom"/>
          </w:tcPr>
          <w:p>
            <w:pPr>
              <w:spacing w:after="0"/>
              <w:rPr>
                <w:sz w:val="17"/>
                <w:szCs w:val="17"/>
                <w:color w:val="auto"/>
              </w:rPr>
            </w:pPr>
          </w:p>
        </w:tc>
        <w:tc>
          <w:tcPr>
            <w:tcW w:w="2340" w:type="dxa"/>
            <w:vAlign w:val="bottom"/>
          </w:tcPr>
          <w:p>
            <w:pPr>
              <w:spacing w:after="0" w:line="202" w:lineRule="exact"/>
              <w:rPr>
                <w:sz w:val="20"/>
                <w:szCs w:val="20"/>
                <w:color w:val="auto"/>
              </w:rPr>
            </w:pPr>
            <w:r>
              <w:rPr>
                <w:rFonts w:ascii="Arial" w:cs="Arial" w:eastAsia="Arial" w:hAnsi="Arial"/>
                <w:sz w:val="18"/>
                <w:szCs w:val="18"/>
                <w:color w:val="auto"/>
              </w:rPr>
              <w:t>2027</w:t>
            </w:r>
          </w:p>
        </w:tc>
        <w:tc>
          <w:tcPr>
            <w:tcW w:w="3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62,324</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0" w:type="dxa"/>
            <w:vAlign w:val="bottom"/>
          </w:tcPr>
          <w:p>
            <w:pPr>
              <w:spacing w:after="0"/>
              <w:rPr>
                <w:sz w:val="17"/>
                <w:szCs w:val="17"/>
                <w:color w:val="auto"/>
              </w:rPr>
            </w:pPr>
          </w:p>
        </w:tc>
        <w:tc>
          <w:tcPr>
            <w:tcW w:w="2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2028</w:t>
            </w:r>
          </w:p>
        </w:tc>
        <w:tc>
          <w:tcPr>
            <w:tcW w:w="3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20,491</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0" w:type="dxa"/>
            <w:vAlign w:val="bottom"/>
          </w:tcPr>
          <w:p>
            <w:pPr>
              <w:spacing w:after="0"/>
              <w:rPr>
                <w:sz w:val="17"/>
                <w:szCs w:val="17"/>
                <w:color w:val="auto"/>
              </w:rPr>
            </w:pPr>
          </w:p>
        </w:tc>
        <w:tc>
          <w:tcPr>
            <w:tcW w:w="2340" w:type="dxa"/>
            <w:vAlign w:val="bottom"/>
          </w:tcPr>
          <w:p>
            <w:pPr>
              <w:spacing w:after="0" w:line="202" w:lineRule="exact"/>
              <w:rPr>
                <w:sz w:val="20"/>
                <w:szCs w:val="20"/>
                <w:color w:val="auto"/>
              </w:rPr>
            </w:pPr>
            <w:r>
              <w:rPr>
                <w:rFonts w:ascii="Arial" w:cs="Arial" w:eastAsia="Arial" w:hAnsi="Arial"/>
                <w:sz w:val="18"/>
                <w:szCs w:val="18"/>
                <w:color w:val="auto"/>
              </w:rPr>
              <w:t>2029</w:t>
            </w:r>
          </w:p>
        </w:tc>
        <w:tc>
          <w:tcPr>
            <w:tcW w:w="3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11,374</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0" w:type="dxa"/>
            <w:vAlign w:val="bottom"/>
          </w:tcPr>
          <w:p>
            <w:pPr>
              <w:spacing w:after="0"/>
              <w:rPr>
                <w:sz w:val="17"/>
                <w:szCs w:val="17"/>
                <w:color w:val="auto"/>
              </w:rPr>
            </w:pPr>
          </w:p>
        </w:tc>
        <w:tc>
          <w:tcPr>
            <w:tcW w:w="2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2030</w:t>
            </w:r>
          </w:p>
        </w:tc>
        <w:tc>
          <w:tcPr>
            <w:tcW w:w="3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6,474</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0" w:type="dxa"/>
            <w:vAlign w:val="bottom"/>
          </w:tcPr>
          <w:p>
            <w:pPr>
              <w:spacing w:after="0"/>
              <w:rPr>
                <w:sz w:val="17"/>
                <w:szCs w:val="17"/>
                <w:color w:val="auto"/>
              </w:rPr>
            </w:pPr>
          </w:p>
        </w:tc>
        <w:tc>
          <w:tcPr>
            <w:tcW w:w="23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Thereafter</w:t>
            </w:r>
          </w:p>
        </w:tc>
        <w:tc>
          <w:tcPr>
            <w:tcW w:w="346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4,897</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2340" w:type="dxa"/>
            <w:vAlign w:val="bottom"/>
            <w:tcBorders>
              <w:bottom w:val="single" w:sz="8" w:color="CCEEFF"/>
            </w:tcBorders>
            <w:shd w:val="clear" w:color="auto" w:fill="CCEEFF"/>
          </w:tcPr>
          <w:p>
            <w:pPr>
              <w:spacing w:after="0"/>
              <w:rPr>
                <w:sz w:val="17"/>
                <w:szCs w:val="17"/>
                <w:color w:val="auto"/>
              </w:rPr>
            </w:pPr>
          </w:p>
        </w:tc>
        <w:tc>
          <w:tcPr>
            <w:tcW w:w="34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139,347</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460" w:type="dxa"/>
            <w:vAlign w:val="bottom"/>
            <w:vMerge w:val="restart"/>
          </w:tcPr>
          <w:p>
            <w:pPr>
              <w:jc w:val="right"/>
              <w:ind w:right="1870"/>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5"/>
        </w:trPr>
        <w:tc>
          <w:tcPr>
            <w:tcW w:w="7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34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3"/>
        </w:trPr>
        <w:tc>
          <w:tcPr>
            <w:tcW w:w="7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2" w:right="1440" w:bottom="1440" w:gutter="0" w:footer="0" w:header="0"/>
        </w:sectPr>
      </w:pPr>
    </w:p>
    <w:bookmarkStart w:id="14" w:name="page15"/>
    <w:bookmarkEnd w:id="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Accounts Receivable</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480" w:type="dxa"/>
            <w:vAlign w:val="bottom"/>
          </w:tcPr>
          <w:p>
            <w:pPr>
              <w:spacing w:after="0"/>
              <w:rPr>
                <w:sz w:val="14"/>
                <w:szCs w:val="14"/>
                <w:color w:val="auto"/>
              </w:rPr>
            </w:pPr>
          </w:p>
        </w:tc>
        <w:tc>
          <w:tcPr>
            <w:tcW w:w="1200" w:type="dxa"/>
            <w:vAlign w:val="bottom"/>
            <w:gridSpan w:val="4"/>
          </w:tcPr>
          <w:p>
            <w:pPr>
              <w:ind w:left="1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September 30,</w:t>
            </w:r>
          </w:p>
        </w:tc>
        <w:tc>
          <w:tcPr>
            <w:tcW w:w="2220" w:type="dxa"/>
            <w:vAlign w:val="bottom"/>
            <w:gridSpan w:val="6"/>
          </w:tcPr>
          <w:p>
            <w:pPr>
              <w:jc w:val="right"/>
              <w:spacing w:after="0"/>
              <w:rPr>
                <w:sz w:val="20"/>
                <w:szCs w:val="20"/>
                <w:color w:val="auto"/>
              </w:rPr>
            </w:pPr>
            <w:r>
              <w:rPr>
                <w:rFonts w:ascii="Arial" w:cs="Arial" w:eastAsia="Arial" w:hAnsi="Arial"/>
                <w:sz w:val="14"/>
                <w:szCs w:val="14"/>
                <w:b w:val="1"/>
                <w:bCs w:val="1"/>
                <w:color w:val="auto"/>
              </w:rPr>
              <w:t>​​​December 31, ​​​September 30,</w:t>
            </w:r>
          </w:p>
        </w:tc>
      </w:tr>
      <w:tr>
        <w:trPr>
          <w:trHeight w:val="171"/>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in thousands)</w:t>
            </w: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2026</w:t>
            </w: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2025</w:t>
            </w:r>
          </w:p>
        </w:tc>
        <w:tc>
          <w:tcPr>
            <w:tcW w:w="1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2025</w:t>
            </w:r>
          </w:p>
        </w:tc>
      </w:tr>
      <w:tr>
        <w:trPr>
          <w:trHeight w:val="196"/>
        </w:trPr>
        <w:tc>
          <w:tcPr>
            <w:tcW w:w="54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Good Sam Services and Plans</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15,125</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15,313</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16,519</w:t>
            </w:r>
          </w:p>
        </w:tc>
      </w:tr>
      <w:tr>
        <w:trPr>
          <w:trHeight w:val="203"/>
        </w:trPr>
        <w:tc>
          <w:tcPr>
            <w:tcW w:w="5480" w:type="dxa"/>
            <w:vAlign w:val="bottom"/>
          </w:tcPr>
          <w:p>
            <w:pPr>
              <w:ind w:left="20"/>
              <w:spacing w:after="0" w:line="202" w:lineRule="exact"/>
              <w:rPr>
                <w:sz w:val="20"/>
                <w:szCs w:val="20"/>
                <w:color w:val="auto"/>
              </w:rPr>
            </w:pPr>
            <w:r>
              <w:rPr>
                <w:rFonts w:ascii="Arial" w:cs="Arial" w:eastAsia="Arial" w:hAnsi="Arial"/>
                <w:sz w:val="18"/>
                <w:szCs w:val="18"/>
                <w:color w:val="auto"/>
              </w:rPr>
              <w:t>RV and Outdoor Retail</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54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New and used vehicles</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4,176</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2,868</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3,856</w:t>
            </w:r>
          </w:p>
        </w:tc>
      </w:tr>
      <w:tr>
        <w:trPr>
          <w:trHeight w:val="203"/>
        </w:trPr>
        <w:tc>
          <w:tcPr>
            <w:tcW w:w="5480" w:type="dxa"/>
            <w:vAlign w:val="bottom"/>
          </w:tcPr>
          <w:p>
            <w:pPr>
              <w:ind w:left="220"/>
              <w:spacing w:after="0" w:line="202" w:lineRule="exact"/>
              <w:rPr>
                <w:sz w:val="20"/>
                <w:szCs w:val="20"/>
                <w:color w:val="auto"/>
              </w:rPr>
            </w:pPr>
            <w:r>
              <w:rPr>
                <w:rFonts w:ascii="Arial" w:cs="Arial" w:eastAsia="Arial" w:hAnsi="Arial"/>
                <w:sz w:val="18"/>
                <w:szCs w:val="18"/>
                <w:color w:val="auto"/>
              </w:rPr>
              <w:t>Parts, service and other</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38,888</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30,750</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30,502</w:t>
            </w:r>
          </w:p>
        </w:tc>
      </w:tr>
      <w:tr>
        <w:trPr>
          <w:trHeight w:val="203"/>
        </w:trPr>
        <w:tc>
          <w:tcPr>
            <w:tcW w:w="54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Trade accounts receivable</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39,512</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40,906</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37,232</w:t>
            </w:r>
          </w:p>
        </w:tc>
      </w:tr>
      <w:tr>
        <w:trPr>
          <w:trHeight w:val="203"/>
        </w:trPr>
        <w:tc>
          <w:tcPr>
            <w:tcW w:w="5480" w:type="dxa"/>
            <w:vAlign w:val="bottom"/>
          </w:tcPr>
          <w:p>
            <w:pPr>
              <w:ind w:left="220"/>
              <w:spacing w:after="0" w:line="202" w:lineRule="exact"/>
              <w:rPr>
                <w:sz w:val="20"/>
                <w:szCs w:val="20"/>
                <w:color w:val="auto"/>
              </w:rPr>
            </w:pPr>
            <w:r>
              <w:rPr>
                <w:rFonts w:ascii="Arial" w:cs="Arial" w:eastAsia="Arial" w:hAnsi="Arial"/>
                <w:sz w:val="18"/>
                <w:szCs w:val="18"/>
                <w:color w:val="auto"/>
              </w:rPr>
              <w:t>Due from manufacturers</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32,688</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25,209</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18,636</w:t>
            </w:r>
          </w:p>
        </w:tc>
      </w:tr>
      <w:tr>
        <w:trPr>
          <w:trHeight w:val="203"/>
        </w:trPr>
        <w:tc>
          <w:tcPr>
            <w:tcW w:w="54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Escrow receivable from sale of real property</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45,249</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5480" w:type="dxa"/>
            <w:vAlign w:val="bottom"/>
            <w:tcBorders>
              <w:bottom w:val="single" w:sz="8" w:color="CCEEFF"/>
            </w:tcBorders>
          </w:tcPr>
          <w:p>
            <w:pPr>
              <w:ind w:left="220"/>
              <w:spacing w:after="0" w:line="202" w:lineRule="exact"/>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20,021</w:t>
            </w: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13,625</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19,451</w:t>
            </w:r>
          </w:p>
        </w:tc>
      </w:tr>
      <w:tr>
        <w:trPr>
          <w:trHeight w:val="196"/>
        </w:trPr>
        <w:tc>
          <w:tcPr>
            <w:tcW w:w="5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150,410</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173,920</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126,196</w:t>
            </w:r>
          </w:p>
        </w:tc>
      </w:tr>
      <w:tr>
        <w:trPr>
          <w:trHeight w:val="203"/>
        </w:trPr>
        <w:tc>
          <w:tcPr>
            <w:tcW w:w="5480" w:type="dxa"/>
            <w:vAlign w:val="bottom"/>
          </w:tcPr>
          <w:p>
            <w:pPr>
              <w:ind w:left="20"/>
              <w:spacing w:after="0" w:line="202" w:lineRule="exact"/>
              <w:rPr>
                <w:sz w:val="20"/>
                <w:szCs w:val="20"/>
                <w:color w:val="auto"/>
              </w:rPr>
            </w:pPr>
            <w:r>
              <w:rPr>
                <w:rFonts w:ascii="Arial" w:cs="Arial" w:eastAsia="Arial" w:hAnsi="Arial"/>
                <w:sz w:val="18"/>
                <w:szCs w:val="18"/>
                <w:color w:val="auto"/>
              </w:rPr>
              <w:t>Allowance for credit losses</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(4,112)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(3,422)</w:t>
            </w: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(3,839)</w:t>
            </w:r>
          </w:p>
        </w:tc>
      </w:tr>
      <w:tr>
        <w:trPr>
          <w:trHeight w:val="196"/>
        </w:trPr>
        <w:tc>
          <w:tcPr>
            <w:tcW w:w="54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146,298</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170,498</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122,357</w:t>
            </w:r>
          </w:p>
        </w:tc>
      </w:tr>
      <w:tr>
        <w:trPr>
          <w:trHeight w:val="20"/>
        </w:trPr>
        <w:tc>
          <w:tcPr>
            <w:tcW w:w="5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On December 31, 2025, the Company closed on the $45.2 million sale of real property; however, net proceeds of $15.1 million and the principal payments of $30.1 million on the related Real Estate Facilities (see Note 8 — Long-Term Debt) were not distributed through escrow until January 2, 2026.</w:t>
      </w:r>
    </w:p>
    <w:p>
      <w:pPr>
        <w:spacing w:after="0" w:line="2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w:t>
      </w:r>
      <w:r>
        <w:rPr>
          <w:rFonts w:ascii="Arial" w:cs="Arial" w:eastAsia="Arial" w:hAnsi="Arial"/>
          <w:sz w:val="18"/>
          <w:szCs w:val="18"/>
          <w:b w:val="1"/>
          <w:bCs w:val="1"/>
          <w:color w:val="auto"/>
        </w:rPr>
        <w:t>. Inventories and Floor Plan Payables</w:t>
      </w:r>
    </w:p>
    <w:p>
      <w:pPr>
        <w:spacing w:after="0" w:line="22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Inventories consisted of the following:</w:t>
      </w:r>
    </w:p>
    <w:p>
      <w:pPr>
        <w:spacing w:after="0" w:line="127"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4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jc w:val="right"/>
              <w:ind w:right="155"/>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jc w:val="right"/>
              <w:ind w:right="155"/>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jc w:val="right"/>
              <w:ind w:right="155"/>
              <w:spacing w:after="0"/>
              <w:rPr>
                <w:sz w:val="20"/>
                <w:szCs w:val="20"/>
                <w:color w:val="auto"/>
              </w:rPr>
            </w:pPr>
            <w:r>
              <w:rPr>
                <w:rFonts w:ascii="Arial" w:cs="Arial" w:eastAsia="Arial" w:hAnsi="Arial"/>
                <w:sz w:val="14"/>
                <w:szCs w:val="14"/>
                <w:b w:val="1"/>
                <w:bCs w:val="1"/>
                <w:color w:val="auto"/>
              </w:rPr>
              <w:t>September 30,</w:t>
            </w:r>
          </w:p>
        </w:tc>
      </w:tr>
      <w:tr>
        <w:trPr>
          <w:trHeight w:val="171"/>
        </w:trPr>
        <w:tc>
          <w:tcPr>
            <w:tcW w:w="4120" w:type="dxa"/>
            <w:vAlign w:val="bottom"/>
          </w:tcPr>
          <w:p>
            <w:pPr>
              <w:spacing w:after="0"/>
              <w:rPr>
                <w:sz w:val="20"/>
                <w:szCs w:val="20"/>
                <w:color w:val="auto"/>
              </w:rPr>
            </w:pPr>
            <w:r>
              <w:rPr>
                <w:rFonts w:ascii="Arial" w:cs="Arial" w:eastAsia="Arial" w:hAnsi="Arial"/>
                <w:sz w:val="14"/>
                <w:szCs w:val="14"/>
                <w:color w:val="auto"/>
              </w:rPr>
              <w:t>($ in thousands)</w:t>
            </w:r>
          </w:p>
        </w:tc>
        <w:tc>
          <w:tcPr>
            <w:tcW w:w="340" w:type="dxa"/>
            <w:vAlign w:val="bottom"/>
            <w:gridSpan w:val="2"/>
          </w:tcPr>
          <w:p>
            <w:pPr>
              <w:jc w:val="right"/>
              <w:ind w:right="41"/>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455"/>
              <w:spacing w:after="0"/>
              <w:rPr>
                <w:sz w:val="20"/>
                <w:szCs w:val="20"/>
                <w:color w:val="auto"/>
              </w:rPr>
            </w:pPr>
            <w:r>
              <w:rPr>
                <w:rFonts w:ascii="Arial" w:cs="Arial" w:eastAsia="Arial" w:hAnsi="Arial"/>
                <w:sz w:val="14"/>
                <w:szCs w:val="14"/>
                <w:b w:val="1"/>
                <w:bCs w:val="1"/>
                <w:color w:val="auto"/>
              </w:rPr>
              <w:t>2026</w:t>
            </w:r>
          </w:p>
        </w:tc>
        <w:tc>
          <w:tcPr>
            <w:tcW w:w="340" w:type="dxa"/>
            <w:vAlign w:val="bottom"/>
            <w:gridSpan w:val="2"/>
          </w:tcPr>
          <w:p>
            <w:pPr>
              <w:jc w:val="right"/>
              <w:ind w:right="61"/>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55"/>
              <w:spacing w:after="0"/>
              <w:rPr>
                <w:sz w:val="20"/>
                <w:szCs w:val="20"/>
                <w:color w:val="auto"/>
              </w:rPr>
            </w:pPr>
            <w:r>
              <w:rPr>
                <w:rFonts w:ascii="Arial" w:cs="Arial" w:eastAsia="Arial" w:hAnsi="Arial"/>
                <w:sz w:val="14"/>
                <w:szCs w:val="14"/>
                <w:b w:val="1"/>
                <w:bCs w:val="1"/>
                <w:color w:val="auto"/>
              </w:rPr>
              <w:t>2025</w:t>
            </w:r>
          </w:p>
        </w:tc>
        <w:tc>
          <w:tcPr>
            <w:tcW w:w="340" w:type="dxa"/>
            <w:vAlign w:val="bottom"/>
            <w:gridSpan w:val="2"/>
          </w:tcPr>
          <w:p>
            <w:pPr>
              <w:jc w:val="right"/>
              <w:ind w:right="50"/>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455"/>
              <w:spacing w:after="0"/>
              <w:rPr>
                <w:sz w:val="20"/>
                <w:szCs w:val="20"/>
                <w:color w:val="auto"/>
              </w:rPr>
            </w:pPr>
            <w:r>
              <w:rPr>
                <w:rFonts w:ascii="Arial" w:cs="Arial" w:eastAsia="Arial" w:hAnsi="Arial"/>
                <w:sz w:val="14"/>
                <w:szCs w:val="14"/>
                <w:b w:val="1"/>
                <w:bCs w:val="1"/>
                <w:color w:val="auto"/>
              </w:rPr>
              <w:t>2025</w:t>
            </w:r>
          </w:p>
        </w:tc>
      </w:tr>
      <w:tr>
        <w:trPr>
          <w:trHeight w:val="209"/>
        </w:trPr>
        <w:tc>
          <w:tcPr>
            <w:tcW w:w="4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Good Sam services and plans</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line="209" w:lineRule="exact"/>
              <w:rPr>
                <w:sz w:val="20"/>
                <w:szCs w:val="20"/>
                <w:color w:val="auto"/>
              </w:rPr>
            </w:pPr>
            <w:r>
              <w:rPr>
                <w:rFonts w:ascii="Arial" w:cs="Arial" w:eastAsia="Arial" w:hAnsi="Arial"/>
                <w:sz w:val="20"/>
                <w:szCs w:val="20"/>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line="209" w:lineRule="exact"/>
              <w:rPr>
                <w:sz w:val="20"/>
                <w:szCs w:val="20"/>
                <w:color w:val="auto"/>
              </w:rPr>
            </w:pPr>
            <w:r>
              <w:rPr>
                <w:rFonts w:ascii="Arial" w:cs="Arial" w:eastAsia="Arial" w:hAnsi="Arial"/>
                <w:sz w:val="20"/>
                <w:szCs w:val="20"/>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New RVs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1,171,969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1,421,435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1,258,539</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Used RVs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447,734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530,861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595,055</w:t>
            </w:r>
          </w:p>
        </w:tc>
      </w:tr>
      <w:tr>
        <w:trPr>
          <w:trHeight w:val="216"/>
        </w:trPr>
        <w:tc>
          <w:tcPr>
            <w:tcW w:w="4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Products, parts, accessories and other</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148,886</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159,255</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172,520</w:t>
            </w:r>
          </w:p>
        </w:tc>
      </w:tr>
      <w:tr>
        <w:trPr>
          <w:trHeight w:val="209"/>
        </w:trPr>
        <w:tc>
          <w:tcPr>
            <w:tcW w:w="4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line="209" w:lineRule="exact"/>
              <w:rPr>
                <w:sz w:val="20"/>
                <w:szCs w:val="20"/>
                <w:color w:val="auto"/>
              </w:rPr>
            </w:pPr>
            <w:r>
              <w:rPr>
                <w:rFonts w:ascii="Arial" w:cs="Arial" w:eastAsia="Arial" w:hAnsi="Arial"/>
                <w:sz w:val="20"/>
                <w:szCs w:val="20"/>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1,768,811</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line="209" w:lineRule="exact"/>
              <w:rPr>
                <w:sz w:val="20"/>
                <w:szCs w:val="20"/>
                <w:color w:val="auto"/>
              </w:rPr>
            </w:pPr>
            <w:r>
              <w:rPr>
                <w:rFonts w:ascii="Arial" w:cs="Arial" w:eastAsia="Arial" w:hAnsi="Arial"/>
                <w:sz w:val="20"/>
                <w:szCs w:val="20"/>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2,111,900</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2,026,392</w:t>
            </w:r>
          </w:p>
        </w:tc>
      </w:tr>
      <w:tr>
        <w:trPr>
          <w:trHeight w:val="20"/>
        </w:trPr>
        <w:tc>
          <w:tcPr>
            <w:tcW w:w="4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86"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Substantially all of the Company’s new RV inventory and certain of its used RV inventory, included in the RV and Outdoor Retail segment, is financed by a floor plan credit agreement (“Floor Plan Facility”) with a syndication of banks (“Floor Plan Lenders”).</w:t>
      </w:r>
    </w:p>
    <w:p>
      <w:pPr>
        <w:spacing w:after="0" w:line="169"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In February 2025, FreedomRoads, LLC entered into an amendment to the Floor Plan Facility, which (a) increased the commitment for floor plan borrowings by $ 300.0 million to $ 2.15 billion, (b) increased the commitment for the letter of credit facility by $ 15.0 million to $45.0 million, and (c) extended the maturity date from September 30, 2026 to the earlier of, if applicable, (i) February 18, 2030 or (ii) March 5, 2028, if the Company’s Term Loan Facility (as defined and discussed in Note 8 — Long-Term Debt) has not been repaid, refinanced, or defeased, or had its maturity extended to a date at least 180 days after February 18, 2030.</w:t>
      </w:r>
    </w:p>
    <w:p>
      <w:pPr>
        <w:spacing w:after="0" w:line="179"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As of September 30, 2026, December 31, 2025, and September 30, 2025, the applicable interest rate for the floor plan notes payable under the Floor Plan Facility was 5.70%, 5.89%, and 6.29%, respectively.</w:t>
      </w:r>
    </w:p>
    <w:p>
      <w:pPr>
        <w:spacing w:after="0" w:line="154"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There was no balance outstanding for the revolving line of credit under the Floor Plan Facility as of September 30, 2026, December 31, 2025 and September 30, 2025. Additionally, under the Floor Plan Facility, the revolving line of credit borrowings are subject to a borrowing base calculation, which did not limit the borrowing capacity as of September 30, 2026, December 31, 2025, and September 30, 2025.</w:t>
      </w:r>
    </w:p>
    <w:p>
      <w:pPr>
        <w:spacing w:after="0" w:line="174" w:lineRule="exact"/>
        <w:rPr>
          <w:sz w:val="20"/>
          <w:szCs w:val="20"/>
          <w:color w:val="auto"/>
        </w:rPr>
      </w:pPr>
    </w:p>
    <w:p>
      <w:pPr>
        <w:jc w:val="both"/>
        <w:ind w:left="60" w:right="79" w:firstLine="648"/>
        <w:spacing w:after="0" w:line="247" w:lineRule="auto"/>
        <w:rPr>
          <w:sz w:val="20"/>
          <w:szCs w:val="20"/>
          <w:color w:val="auto"/>
        </w:rPr>
      </w:pPr>
      <w:r>
        <w:rPr>
          <w:rFonts w:ascii="Arial" w:cs="Arial" w:eastAsia="Arial" w:hAnsi="Arial"/>
          <w:sz w:val="18"/>
          <w:szCs w:val="18"/>
          <w:color w:val="auto"/>
        </w:rPr>
        <w:t>Management has determined that the credit agreement governing the Floor Plan Facility includes subjective acceleration clauses, which could impact debt classification. Management believes that no events have occurred as of September 30, 2026 that would trigger a subjective acceleration clause. Additionally, the credit agreement governing the Floor Plan Facility contains certain financial covenants. FreedomRoads, LLC</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15" w:name="page16"/>
    <w:bookmarkEnd w:id="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was in compliance with all financial debt covenants as of September 30, 2026, December 31, 2025, and September 30, 2025.</w:t>
      </w:r>
    </w:p>
    <w:p>
      <w:pPr>
        <w:spacing w:after="0" w:line="154"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In October 2026, FreedomRoads, LLC entered into an amendment to the Floor Plan Facility that amended the definition of “Permitted Holders,” which is used in determining whether a change of control has occurred under the Floor Plan Facility. The amendment did not change the commitments, interest rates, maturity date, borrowing base or financial covenants of the Floor Plan Facility.</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details the outstanding amounts and available borrowings under the Floor Plan</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Facility:</w:t>
      </w:r>
    </w:p>
    <w:p>
      <w:pPr>
        <w:spacing w:after="0" w:line="217"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4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080" w:type="dxa"/>
            <w:vAlign w:val="bottom"/>
            <w:gridSpan w:val="2"/>
          </w:tcPr>
          <w:p>
            <w:pPr>
              <w:jc w:val="right"/>
              <w:ind w:right="11"/>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rPr>
              <w:t>September 30,</w:t>
            </w:r>
          </w:p>
        </w:tc>
      </w:tr>
      <w:tr>
        <w:trPr>
          <w:trHeight w:val="171"/>
        </w:trPr>
        <w:tc>
          <w:tcPr>
            <w:tcW w:w="4980" w:type="dxa"/>
            <w:vAlign w:val="bottom"/>
          </w:tcPr>
          <w:p>
            <w:pPr>
              <w:spacing w:after="0"/>
              <w:rPr>
                <w:sz w:val="20"/>
                <w:szCs w:val="20"/>
                <w:color w:val="auto"/>
              </w:rPr>
            </w:pPr>
            <w:r>
              <w:rPr>
                <w:rFonts w:ascii="Arial" w:cs="Arial" w:eastAsia="Arial" w:hAnsi="Arial"/>
                <w:sz w:val="14"/>
                <w:szCs w:val="14"/>
                <w:color w:val="auto"/>
              </w:rPr>
              <w:t>($ in thousands)</w:t>
            </w:r>
          </w:p>
        </w:tc>
        <w:tc>
          <w:tcPr>
            <w:tcW w:w="340" w:type="dxa"/>
            <w:vAlign w:val="bottom"/>
            <w:gridSpan w:val="2"/>
          </w:tcPr>
          <w:p>
            <w:pPr>
              <w:jc w:val="right"/>
              <w:ind w:right="75"/>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311"/>
              <w:spacing w:after="0"/>
              <w:rPr>
                <w:sz w:val="20"/>
                <w:szCs w:val="20"/>
                <w:color w:val="auto"/>
              </w:rPr>
            </w:pPr>
            <w:r>
              <w:rPr>
                <w:rFonts w:ascii="Arial" w:cs="Arial" w:eastAsia="Arial" w:hAnsi="Arial"/>
                <w:sz w:val="14"/>
                <w:szCs w:val="14"/>
                <w:b w:val="1"/>
                <w:bCs w:val="1"/>
                <w:color w:val="auto"/>
              </w:rPr>
              <w:t>2026</w:t>
            </w:r>
          </w:p>
        </w:tc>
        <w:tc>
          <w:tcPr>
            <w:tcW w:w="340" w:type="dxa"/>
            <w:vAlign w:val="bottom"/>
            <w:gridSpan w:val="2"/>
          </w:tcPr>
          <w:p>
            <w:pPr>
              <w:jc w:val="right"/>
              <w:ind w:right="67"/>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91"/>
              <w:spacing w:after="0"/>
              <w:rPr>
                <w:sz w:val="20"/>
                <w:szCs w:val="20"/>
                <w:color w:val="auto"/>
              </w:rPr>
            </w:pPr>
            <w:r>
              <w:rPr>
                <w:rFonts w:ascii="Arial" w:cs="Arial" w:eastAsia="Arial" w:hAnsi="Arial"/>
                <w:sz w:val="14"/>
                <w:szCs w:val="14"/>
                <w:b w:val="1"/>
                <w:bCs w:val="1"/>
                <w:color w:val="auto"/>
              </w:rPr>
              <w:t>2025</w:t>
            </w:r>
          </w:p>
        </w:tc>
        <w:tc>
          <w:tcPr>
            <w:tcW w:w="360" w:type="dxa"/>
            <w:vAlign w:val="bottom"/>
            <w:gridSpan w:val="3"/>
          </w:tcPr>
          <w:p>
            <w:pPr>
              <w:jc w:val="right"/>
              <w:ind w:right="87"/>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311"/>
              <w:spacing w:after="0"/>
              <w:rPr>
                <w:sz w:val="20"/>
                <w:szCs w:val="20"/>
                <w:color w:val="auto"/>
              </w:rPr>
            </w:pPr>
            <w:r>
              <w:rPr>
                <w:rFonts w:ascii="Arial" w:cs="Arial" w:eastAsia="Arial" w:hAnsi="Arial"/>
                <w:sz w:val="14"/>
                <w:szCs w:val="14"/>
                <w:b w:val="1"/>
                <w:bCs w:val="1"/>
                <w:color w:val="auto"/>
              </w:rPr>
              <w:t>2025</w:t>
            </w:r>
          </w:p>
        </w:tc>
      </w:tr>
      <w:tr>
        <w:trPr>
          <w:trHeight w:val="196"/>
        </w:trPr>
        <w:tc>
          <w:tcPr>
            <w:tcW w:w="49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Floor Plan Facility</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r>
      <w:tr>
        <w:trPr>
          <w:trHeight w:val="203"/>
        </w:trPr>
        <w:tc>
          <w:tcPr>
            <w:tcW w:w="4980" w:type="dxa"/>
            <w:vAlign w:val="bottom"/>
          </w:tcPr>
          <w:p>
            <w:pPr>
              <w:ind w:left="220"/>
              <w:spacing w:after="0" w:line="202" w:lineRule="exact"/>
              <w:rPr>
                <w:sz w:val="20"/>
                <w:szCs w:val="20"/>
                <w:color w:val="auto"/>
              </w:rPr>
            </w:pPr>
            <w:r>
              <w:rPr>
                <w:rFonts w:ascii="Arial" w:cs="Arial" w:eastAsia="Arial" w:hAnsi="Arial"/>
                <w:sz w:val="18"/>
                <w:szCs w:val="18"/>
                <w:color w:val="auto"/>
              </w:rPr>
              <w:t>Notes payable - floor plan:</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98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Total commitment</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2,150,000</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2,150,000</w:t>
            </w:r>
          </w:p>
        </w:tc>
        <w:tc>
          <w:tcPr>
            <w:tcW w:w="3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2,150,000</w:t>
            </w:r>
          </w:p>
        </w:tc>
      </w:tr>
      <w:tr>
        <w:trPr>
          <w:trHeight w:val="203"/>
        </w:trPr>
        <w:tc>
          <w:tcPr>
            <w:tcW w:w="4980" w:type="dxa"/>
            <w:vAlign w:val="bottom"/>
          </w:tcPr>
          <w:p>
            <w:pPr>
              <w:ind w:left="320"/>
              <w:spacing w:after="0" w:line="202" w:lineRule="exact"/>
              <w:rPr>
                <w:sz w:val="20"/>
                <w:szCs w:val="20"/>
                <w:color w:val="auto"/>
              </w:rPr>
            </w:pPr>
            <w:r>
              <w:rPr>
                <w:rFonts w:ascii="Arial" w:cs="Arial" w:eastAsia="Arial" w:hAnsi="Arial"/>
                <w:sz w:val="18"/>
                <w:szCs w:val="18"/>
                <w:color w:val="auto"/>
              </w:rPr>
              <w:t>Less: borrowings, net of FLAIR offset account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(1,254,357)</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(1,603,645)</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(1,361,019)</w:t>
            </w:r>
          </w:p>
        </w:tc>
      </w:tr>
      <w:tr>
        <w:trPr>
          <w:trHeight w:val="203"/>
        </w:trPr>
        <w:tc>
          <w:tcPr>
            <w:tcW w:w="4980" w:type="dxa"/>
            <w:vAlign w:val="bottom"/>
            <w:shd w:val="clear" w:color="auto" w:fill="CCEEFF"/>
          </w:tcPr>
          <w:p>
            <w:pPr>
              <w:ind w:left="320"/>
              <w:spacing w:after="0" w:line="202" w:lineRule="exact"/>
              <w:rPr>
                <w:sz w:val="20"/>
                <w:szCs w:val="20"/>
                <w:color w:val="auto"/>
              </w:rPr>
            </w:pPr>
            <w:r>
              <w:rPr>
                <w:rFonts w:ascii="Arial" w:cs="Arial" w:eastAsia="Arial" w:hAnsi="Arial"/>
                <w:sz w:val="16"/>
                <w:szCs w:val="16"/>
                <w:color w:val="auto"/>
              </w:rPr>
              <w:t>Less: FLAIR offset account</w:t>
            </w:r>
            <w:r>
              <w:rPr>
                <w:rFonts w:ascii="Arial" w:cs="Arial" w:eastAsia="Arial" w:hAnsi="Arial"/>
                <w:sz w:val="23"/>
                <w:szCs w:val="23"/>
                <w:color w:val="auto"/>
                <w:vertAlign w:val="superscript"/>
              </w:rPr>
              <w:t>(1)</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(25,117)</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(277)</w:t>
            </w:r>
          </w:p>
        </w:tc>
      </w:tr>
      <w:tr>
        <w:trPr>
          <w:trHeight w:val="196"/>
        </w:trPr>
        <w:tc>
          <w:tcPr>
            <w:tcW w:w="4980" w:type="dxa"/>
            <w:vAlign w:val="bottom"/>
          </w:tcPr>
          <w:p>
            <w:pPr>
              <w:ind w:left="420"/>
              <w:spacing w:after="0" w:line="196" w:lineRule="exact"/>
              <w:rPr>
                <w:sz w:val="20"/>
                <w:szCs w:val="20"/>
                <w:color w:val="auto"/>
              </w:rPr>
            </w:pPr>
            <w:r>
              <w:rPr>
                <w:rFonts w:ascii="Arial" w:cs="Arial" w:eastAsia="Arial" w:hAnsi="Arial"/>
                <w:sz w:val="18"/>
                <w:szCs w:val="18"/>
                <w:color w:val="auto"/>
              </w:rPr>
              <w:t>Additional borrowing capacity</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895,641</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521,238</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788,704</w:t>
            </w:r>
          </w:p>
        </w:tc>
      </w:tr>
      <w:tr>
        <w:trPr>
          <w:trHeight w:val="203"/>
        </w:trPr>
        <w:tc>
          <w:tcPr>
            <w:tcW w:w="4980" w:type="dxa"/>
            <w:vAlign w:val="bottom"/>
            <w:shd w:val="clear" w:color="auto" w:fill="CCEEFF"/>
          </w:tcPr>
          <w:p>
            <w:pPr>
              <w:ind w:left="420"/>
              <w:spacing w:after="0" w:line="202" w:lineRule="exact"/>
              <w:rPr>
                <w:sz w:val="20"/>
                <w:szCs w:val="20"/>
                <w:color w:val="auto"/>
              </w:rPr>
            </w:pPr>
            <w:r>
              <w:rPr>
                <w:rFonts w:ascii="Arial" w:cs="Arial" w:eastAsia="Arial" w:hAnsi="Arial"/>
                <w:sz w:val="16"/>
                <w:szCs w:val="16"/>
                <w:color w:val="auto"/>
              </w:rPr>
              <w:t>Less: short-term payable for sold inventory</w:t>
            </w:r>
            <w:r>
              <w:rPr>
                <w:rFonts w:ascii="Arial" w:cs="Arial" w:eastAsia="Arial" w:hAnsi="Arial"/>
                <w:sz w:val="23"/>
                <w:szCs w:val="23"/>
                <w:color w:val="auto"/>
                <w:vertAlign w:val="superscript"/>
              </w:rPr>
              <w:t>(2)</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(38,219)</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(35,981)</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(60,188)</w:t>
            </w:r>
          </w:p>
        </w:tc>
      </w:tr>
      <w:tr>
        <w:trPr>
          <w:trHeight w:val="203"/>
        </w:trPr>
        <w:tc>
          <w:tcPr>
            <w:tcW w:w="4980" w:type="dxa"/>
            <w:vAlign w:val="bottom"/>
            <w:tcBorders>
              <w:bottom w:val="single" w:sz="8" w:color="CCEEFF"/>
            </w:tcBorders>
          </w:tcPr>
          <w:p>
            <w:pPr>
              <w:ind w:left="420"/>
              <w:spacing w:after="0" w:line="202" w:lineRule="exact"/>
              <w:rPr>
                <w:sz w:val="20"/>
                <w:szCs w:val="20"/>
                <w:color w:val="auto"/>
              </w:rPr>
            </w:pPr>
            <w:r>
              <w:rPr>
                <w:rFonts w:ascii="Arial" w:cs="Arial" w:eastAsia="Arial" w:hAnsi="Arial"/>
                <w:sz w:val="16"/>
                <w:szCs w:val="16"/>
                <w:color w:val="auto"/>
              </w:rPr>
              <w:t>Less: purchase commitments</w:t>
            </w:r>
            <w:r>
              <w:rPr>
                <w:rFonts w:ascii="Arial" w:cs="Arial" w:eastAsia="Arial" w:hAnsi="Arial"/>
                <w:sz w:val="23"/>
                <w:szCs w:val="23"/>
                <w:color w:val="auto"/>
                <w:vertAlign w:val="superscript"/>
              </w:rPr>
              <w:t>(3)</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(34,266)</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(26,841)</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(43,471)</w:t>
            </w:r>
          </w:p>
        </w:tc>
      </w:tr>
      <w:tr>
        <w:trPr>
          <w:trHeight w:val="196"/>
        </w:trPr>
        <w:tc>
          <w:tcPr>
            <w:tcW w:w="4980" w:type="dxa"/>
            <w:vAlign w:val="bottom"/>
            <w:tcBorders>
              <w:bottom w:val="single" w:sz="8" w:color="CCEEFF"/>
            </w:tcBorders>
            <w:shd w:val="clear" w:color="auto" w:fill="CCEEFF"/>
          </w:tcPr>
          <w:p>
            <w:pPr>
              <w:ind w:left="540"/>
              <w:spacing w:after="0" w:line="196" w:lineRule="exact"/>
              <w:rPr>
                <w:sz w:val="20"/>
                <w:szCs w:val="20"/>
                <w:color w:val="auto"/>
              </w:rPr>
            </w:pPr>
            <w:r>
              <w:rPr>
                <w:rFonts w:ascii="Arial" w:cs="Arial" w:eastAsia="Arial" w:hAnsi="Arial"/>
                <w:sz w:val="18"/>
                <w:szCs w:val="18"/>
                <w:color w:val="auto"/>
              </w:rPr>
              <w:t>Unencumbered borrowing capacity</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823,156</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458,416</w:t>
            </w:r>
          </w:p>
        </w:tc>
        <w:tc>
          <w:tcPr>
            <w:tcW w:w="240" w:type="dxa"/>
            <w:vAlign w:val="bottom"/>
            <w:tcBorders>
              <w:bottom w:val="single" w:sz="8" w:color="CCEEFF"/>
            </w:tcBorders>
            <w:gridSpan w:val="2"/>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685,045</w:t>
            </w:r>
          </w:p>
        </w:tc>
      </w:tr>
      <w:tr>
        <w:trPr>
          <w:trHeight w:val="20"/>
        </w:trPr>
        <w:tc>
          <w:tcPr>
            <w:tcW w:w="4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3"/>
        </w:trPr>
        <w:tc>
          <w:tcPr>
            <w:tcW w:w="4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02"/>
        </w:trPr>
        <w:tc>
          <w:tcPr>
            <w:tcW w:w="49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Revolving line of credit:</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70,000</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70,000</w:t>
            </w:r>
          </w:p>
        </w:tc>
        <w:tc>
          <w:tcPr>
            <w:tcW w:w="3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70,000</w:t>
            </w:r>
          </w:p>
        </w:tc>
      </w:tr>
      <w:tr>
        <w:trPr>
          <w:trHeight w:val="203"/>
        </w:trPr>
        <w:tc>
          <w:tcPr>
            <w:tcW w:w="4980" w:type="dxa"/>
            <w:vAlign w:val="bottom"/>
            <w:tcBorders>
              <w:bottom w:val="single" w:sz="8" w:color="CCEEFF"/>
            </w:tcBorders>
          </w:tcPr>
          <w:p>
            <w:pPr>
              <w:ind w:left="320"/>
              <w:spacing w:after="0" w:line="202" w:lineRule="exact"/>
              <w:rPr>
                <w:sz w:val="20"/>
                <w:szCs w:val="20"/>
                <w:color w:val="auto"/>
              </w:rPr>
            </w:pPr>
            <w:r>
              <w:rPr>
                <w:rFonts w:ascii="Arial" w:cs="Arial" w:eastAsia="Arial" w:hAnsi="Arial"/>
                <w:sz w:val="18"/>
                <w:szCs w:val="18"/>
                <w:color w:val="auto"/>
              </w:rPr>
              <w:t>Less: borrowings</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4980" w:type="dxa"/>
            <w:vAlign w:val="bottom"/>
            <w:tcBorders>
              <w:bottom w:val="single" w:sz="8" w:color="CCEEFF"/>
            </w:tcBorders>
            <w:shd w:val="clear" w:color="auto" w:fill="CCEEFF"/>
          </w:tcPr>
          <w:p>
            <w:pPr>
              <w:ind w:left="420"/>
              <w:spacing w:after="0" w:line="196" w:lineRule="exact"/>
              <w:rPr>
                <w:sz w:val="20"/>
                <w:szCs w:val="20"/>
                <w:color w:val="auto"/>
              </w:rPr>
            </w:pPr>
            <w:r>
              <w:rPr>
                <w:rFonts w:ascii="Arial" w:cs="Arial" w:eastAsia="Arial" w:hAnsi="Arial"/>
                <w:sz w:val="18"/>
                <w:szCs w:val="18"/>
                <w:color w:val="auto"/>
              </w:rPr>
              <w:t>Additional borrowing capacity</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70,000</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70,000</w:t>
            </w:r>
          </w:p>
        </w:tc>
        <w:tc>
          <w:tcPr>
            <w:tcW w:w="240" w:type="dxa"/>
            <w:vAlign w:val="bottom"/>
            <w:tcBorders>
              <w:bottom w:val="single" w:sz="8" w:color="CCEEFF"/>
            </w:tcBorders>
            <w:gridSpan w:val="2"/>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70,000</w:t>
            </w:r>
          </w:p>
        </w:tc>
      </w:tr>
      <w:tr>
        <w:trPr>
          <w:trHeight w:val="20"/>
        </w:trPr>
        <w:tc>
          <w:tcPr>
            <w:tcW w:w="4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3"/>
        </w:trPr>
        <w:tc>
          <w:tcPr>
            <w:tcW w:w="4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02"/>
        </w:trPr>
        <w:tc>
          <w:tcPr>
            <w:tcW w:w="49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Letters of credit:</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03"/>
        </w:trPr>
        <w:tc>
          <w:tcPr>
            <w:tcW w:w="4980" w:type="dxa"/>
            <w:vAlign w:val="bottom"/>
          </w:tcPr>
          <w:p>
            <w:pPr>
              <w:ind w:left="320"/>
              <w:spacing w:after="0" w:line="202" w:lineRule="exact"/>
              <w:rPr>
                <w:sz w:val="20"/>
                <w:szCs w:val="20"/>
                <w:color w:val="auto"/>
              </w:rPr>
            </w:pPr>
            <w:r>
              <w:rPr>
                <w:rFonts w:ascii="Arial" w:cs="Arial" w:eastAsia="Arial" w:hAnsi="Arial"/>
                <w:sz w:val="18"/>
                <w:szCs w:val="18"/>
                <w:color w:val="auto"/>
              </w:rPr>
              <w:t>Total commitment</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45,000</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45,000</w:t>
            </w:r>
          </w:p>
        </w:tc>
        <w:tc>
          <w:tcPr>
            <w:tcW w:w="3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45,000</w:t>
            </w:r>
          </w:p>
        </w:tc>
      </w:tr>
      <w:tr>
        <w:trPr>
          <w:trHeight w:val="203"/>
        </w:trPr>
        <w:tc>
          <w:tcPr>
            <w:tcW w:w="498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Less: outstanding letters of credit</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(15,414)</w:t>
            </w:r>
          </w:p>
        </w:tc>
        <w:tc>
          <w:tcPr>
            <w:tcW w:w="2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(15,414)</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(14,300)</w:t>
            </w:r>
          </w:p>
        </w:tc>
      </w:tr>
      <w:tr>
        <w:trPr>
          <w:trHeight w:val="196"/>
        </w:trPr>
        <w:tc>
          <w:tcPr>
            <w:tcW w:w="4980" w:type="dxa"/>
            <w:vAlign w:val="bottom"/>
          </w:tcPr>
          <w:p>
            <w:pPr>
              <w:ind w:left="420"/>
              <w:spacing w:after="0" w:line="196" w:lineRule="exact"/>
              <w:rPr>
                <w:sz w:val="20"/>
                <w:szCs w:val="20"/>
                <w:color w:val="auto"/>
              </w:rPr>
            </w:pPr>
            <w:r>
              <w:rPr>
                <w:rFonts w:ascii="Arial" w:cs="Arial" w:eastAsia="Arial" w:hAnsi="Arial"/>
                <w:sz w:val="18"/>
                <w:szCs w:val="18"/>
                <w:color w:val="auto"/>
              </w:rPr>
              <w:t>Additional letters of credit capacity</w:t>
            </w:r>
          </w:p>
        </w:tc>
        <w:tc>
          <w:tcPr>
            <w:tcW w:w="200" w:type="dxa"/>
            <w:vAlign w:val="bottom"/>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29,586</w:t>
            </w:r>
          </w:p>
        </w:tc>
        <w:tc>
          <w:tcPr>
            <w:tcW w:w="2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29,586</w:t>
            </w:r>
          </w:p>
        </w:tc>
        <w:tc>
          <w:tcPr>
            <w:tcW w:w="240" w:type="dxa"/>
            <w:vAlign w:val="bottom"/>
            <w:gridSpan w:val="2"/>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30,700</w:t>
            </w:r>
          </w:p>
        </w:tc>
      </w:tr>
      <w:tr>
        <w:trPr>
          <w:trHeight w:val="20"/>
        </w:trPr>
        <w:tc>
          <w:tcPr>
            <w:tcW w:w="4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jc w:val="both"/>
        <w:ind w:left="380" w:right="79" w:hanging="330"/>
        <w:spacing w:after="0" w:line="263" w:lineRule="auto"/>
        <w:tabs>
          <w:tab w:leader="none" w:pos="380" w:val="left"/>
        </w:tabs>
        <w:numPr>
          <w:ilvl w:val="0"/>
          <w:numId w:val="9"/>
        </w:numPr>
        <w:rPr>
          <w:rFonts w:ascii="Arial" w:cs="Arial" w:eastAsia="Arial" w:hAnsi="Arial"/>
          <w:sz w:val="13"/>
          <w:szCs w:val="13"/>
          <w:color w:val="auto"/>
        </w:rPr>
      </w:pPr>
      <w:r>
        <w:rPr>
          <w:rFonts w:ascii="Arial" w:cs="Arial" w:eastAsia="Arial" w:hAnsi="Arial"/>
          <w:sz w:val="14"/>
          <w:szCs w:val="14"/>
          <w:color w:val="auto"/>
        </w:rPr>
        <w:t>Flooring line aggregate interest reduction (“FLAIR”) offset account that allows the Company to transfer cash to the Floor Plan Lenders as an offset to the payables under the Floor Plan Facility. The FLAIR offset account does not reduce the outstanding amount of loans under the Floor Plan Facility for purposes of determining the unencumbered borrowing capacity under the Floor Plan Facility.</w:t>
      </w:r>
    </w:p>
    <w:p>
      <w:pPr>
        <w:spacing w:after="0" w:line="10" w:lineRule="exact"/>
        <w:rPr>
          <w:rFonts w:ascii="Arial" w:cs="Arial" w:eastAsia="Arial" w:hAnsi="Arial"/>
          <w:sz w:val="13"/>
          <w:szCs w:val="13"/>
          <w:color w:val="auto"/>
        </w:rPr>
      </w:pPr>
    </w:p>
    <w:p>
      <w:pPr>
        <w:jc w:val="both"/>
        <w:ind w:left="380" w:right="79" w:hanging="330"/>
        <w:spacing w:after="0" w:line="256" w:lineRule="auto"/>
        <w:tabs>
          <w:tab w:leader="none" w:pos="380" w:val="left"/>
        </w:tabs>
        <w:numPr>
          <w:ilvl w:val="0"/>
          <w:numId w:val="9"/>
        </w:numPr>
        <w:rPr>
          <w:rFonts w:ascii="Arial" w:cs="Arial" w:eastAsia="Arial" w:hAnsi="Arial"/>
          <w:sz w:val="13"/>
          <w:szCs w:val="13"/>
          <w:color w:val="auto"/>
        </w:rPr>
      </w:pPr>
      <w:r>
        <w:rPr>
          <w:rFonts w:ascii="Arial" w:cs="Arial" w:eastAsia="Arial" w:hAnsi="Arial"/>
          <w:sz w:val="14"/>
          <w:szCs w:val="14"/>
          <w:color w:val="auto"/>
        </w:rPr>
        <w:t>The short-term payable represents the amount due for sold inventory. A payment for any floor plan units sold is due within three to ten business days of sale. Due to the short-term nature of these payables, the Company reclassifies the amounts from notes payable — floor plan, net to accounts payable in the condensed consolidated balance sheets. Changes in the vehicle floor plan payable are reported as cash flows from financing activities in the condensed consolidated statements of cash flows.</w:t>
      </w:r>
    </w:p>
    <w:p>
      <w:pPr>
        <w:spacing w:after="0" w:line="15" w:lineRule="exact"/>
        <w:rPr>
          <w:rFonts w:ascii="Arial" w:cs="Arial" w:eastAsia="Arial" w:hAnsi="Arial"/>
          <w:sz w:val="13"/>
          <w:szCs w:val="13"/>
          <w:color w:val="auto"/>
        </w:rPr>
      </w:pPr>
    </w:p>
    <w:p>
      <w:pPr>
        <w:ind w:left="380" w:right="79" w:hanging="330"/>
        <w:spacing w:after="0" w:line="285" w:lineRule="auto"/>
        <w:tabs>
          <w:tab w:leader="none" w:pos="380" w:val="left"/>
        </w:tabs>
        <w:numPr>
          <w:ilvl w:val="0"/>
          <w:numId w:val="9"/>
        </w:numPr>
        <w:rPr>
          <w:rFonts w:ascii="Arial" w:cs="Arial" w:eastAsia="Arial" w:hAnsi="Arial"/>
          <w:sz w:val="13"/>
          <w:szCs w:val="13"/>
          <w:color w:val="auto"/>
        </w:rPr>
      </w:pPr>
      <w:r>
        <w:rPr>
          <w:rFonts w:ascii="Arial" w:cs="Arial" w:eastAsia="Arial" w:hAnsi="Arial"/>
          <w:sz w:val="14"/>
          <w:szCs w:val="14"/>
          <w:color w:val="auto"/>
        </w:rPr>
        <w:t>Purchase commitments represent vehicles approved for floor plan financing where the inventory has not yet been received by the Company from the supplier and no floor plan borrowing is outstanding.</w:t>
      </w:r>
    </w:p>
    <w:p>
      <w:pPr>
        <w:spacing w:after="0" w:line="29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Long-Lived Asset Impairment</w:t>
      </w:r>
    </w:p>
    <w:p>
      <w:pPr>
        <w:spacing w:after="0" w:line="212"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During the three and nine months ended September 30, 2026 and 2025, the Company had indicators of impairment of the long-lived assets for certain locations. Such indicators primarily included decreases in market rental rates or decreases in the market value of real property for closed locations, and the Company’s review of location performance in the normal course of business. As a result of updating certain assumptions in the long-lived asset impairment analysis for these locations, the Company determined that the fair values of certain long-lived assets were below their respective carrying values and were impaired.</w:t>
      </w:r>
    </w:p>
    <w:p>
      <w:pPr>
        <w:spacing w:after="0" w:line="71"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The long-lived asset impairment charges were calculated as the amount that the carrying value of these locations exceeded the estimated fair value, except that individual assets cannot be impaired below their individual fair values when that fair value can be determined without undue cost and effort. Estimated fair value is typically based on estimated discounted future cash flows, while property appraisals or market rent analyses are utilized for determining the fair value of certain assets related to properties and leases.</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16" w:name="page17"/>
    <w:bookmarkEnd w:id="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The following table details long-lived asset impairment charges by type of long-lived asset, all of which relate to the RV and Outdoor Retail segment:</w:t>
      </w:r>
    </w:p>
    <w:p>
      <w:pPr>
        <w:spacing w:after="0" w:line="73"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4320" w:type="dxa"/>
            <w:vAlign w:val="bottom"/>
            <w:vMerge w:val="restart"/>
          </w:tcPr>
          <w:p>
            <w:pPr>
              <w:spacing w:after="0"/>
              <w:rPr>
                <w:sz w:val="20"/>
                <w:szCs w:val="20"/>
                <w:color w:val="auto"/>
              </w:rPr>
            </w:pPr>
            <w:r>
              <w:rPr>
                <w:rFonts w:ascii="Arial" w:cs="Arial" w:eastAsia="Arial" w:hAnsi="Arial"/>
                <w:sz w:val="14"/>
                <w:szCs w:val="14"/>
                <w:color w:val="auto"/>
              </w:rPr>
              <w:t>($ in thousands)</w:t>
            </w:r>
          </w:p>
        </w:tc>
        <w:tc>
          <w:tcPr>
            <w:tcW w:w="2280" w:type="dxa"/>
            <w:vAlign w:val="bottom"/>
            <w:gridSpan w:val="7"/>
          </w:tcPr>
          <w:p>
            <w:pPr>
              <w:ind w:left="100"/>
              <w:spacing w:after="0"/>
              <w:rPr>
                <w:sz w:val="20"/>
                <w:szCs w:val="20"/>
                <w:color w:val="auto"/>
              </w:rPr>
            </w:pPr>
            <w:r>
              <w:rPr>
                <w:rFonts w:ascii="Arial" w:cs="Arial" w:eastAsia="Arial" w:hAnsi="Arial"/>
                <w:sz w:val="13"/>
                <w:szCs w:val="13"/>
                <w:b w:val="1"/>
                <w:bCs w:val="1"/>
                <w:color w:val="auto"/>
                <w:w w:val="97"/>
              </w:rPr>
              <w:t>Three Months Ended September 30,</w:t>
            </w:r>
          </w:p>
        </w:tc>
        <w:tc>
          <w:tcPr>
            <w:tcW w:w="1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w:t>
            </w:r>
          </w:p>
        </w:tc>
        <w:tc>
          <w:tcPr>
            <w:tcW w:w="2160" w:type="dxa"/>
            <w:vAlign w:val="bottom"/>
            <w:gridSpan w:val="5"/>
          </w:tcPr>
          <w:p>
            <w:pPr>
              <w:jc w:val="right"/>
              <w:spacing w:after="0"/>
              <w:rPr>
                <w:sz w:val="20"/>
                <w:szCs w:val="20"/>
                <w:color w:val="auto"/>
              </w:rPr>
            </w:pPr>
            <w:r>
              <w:rPr>
                <w:rFonts w:ascii="Arial" w:cs="Arial" w:eastAsia="Arial" w:hAnsi="Arial"/>
                <w:sz w:val="13"/>
                <w:szCs w:val="13"/>
                <w:b w:val="1"/>
                <w:bCs w:val="1"/>
                <w:color w:val="auto"/>
                <w:w w:val="98"/>
              </w:rPr>
              <w:t>Nine Months Ended September 30,</w:t>
            </w:r>
          </w:p>
        </w:tc>
        <w:tc>
          <w:tcPr>
            <w:tcW w:w="0" w:type="dxa"/>
            <w:vAlign w:val="bottom"/>
          </w:tcPr>
          <w:p>
            <w:pPr>
              <w:spacing w:after="0"/>
              <w:rPr>
                <w:sz w:val="1"/>
                <w:szCs w:val="1"/>
                <w:color w:val="auto"/>
              </w:rPr>
            </w:pPr>
          </w:p>
        </w:tc>
      </w:tr>
      <w:tr>
        <w:trPr>
          <w:trHeight w:val="142"/>
        </w:trPr>
        <w:tc>
          <w:tcPr>
            <w:tcW w:w="43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75"/>
              <w:spacing w:after="0" w:line="142" w:lineRule="exact"/>
              <w:rPr>
                <w:sz w:val="20"/>
                <w:szCs w:val="20"/>
                <w:color w:val="auto"/>
              </w:rPr>
            </w:pPr>
            <w:r>
              <w:rPr>
                <w:rFonts w:ascii="Arial" w:cs="Arial" w:eastAsia="Arial" w:hAnsi="Arial"/>
                <w:sz w:val="13"/>
                <w:szCs w:val="13"/>
                <w:b w:val="1"/>
                <w:bCs w:val="1"/>
                <w:color w:val="auto"/>
              </w:rPr>
              <w:t>2026</w:t>
            </w:r>
          </w:p>
        </w:tc>
        <w:tc>
          <w:tcPr>
            <w:tcW w:w="40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3"/>
                <w:szCs w:val="13"/>
                <w:b w:val="1"/>
                <w:bCs w:val="1"/>
                <w:color w:val="auto"/>
              </w:rPr>
              <w:t>​​​</w:t>
            </w:r>
          </w:p>
        </w:tc>
        <w:tc>
          <w:tcPr>
            <w:tcW w:w="760" w:type="dxa"/>
            <w:vAlign w:val="bottom"/>
            <w:tcBorders>
              <w:top w:val="single" w:sz="8" w:color="auto"/>
            </w:tcBorders>
          </w:tcPr>
          <w:p>
            <w:pPr>
              <w:jc w:val="right"/>
              <w:ind w:right="275"/>
              <w:spacing w:after="0" w:line="142" w:lineRule="exact"/>
              <w:rPr>
                <w:sz w:val="20"/>
                <w:szCs w:val="20"/>
                <w:color w:val="auto"/>
              </w:rPr>
            </w:pPr>
            <w:r>
              <w:rPr>
                <w:rFonts w:ascii="Arial" w:cs="Arial" w:eastAsia="Arial" w:hAnsi="Arial"/>
                <w:sz w:val="13"/>
                <w:szCs w:val="13"/>
                <w:b w:val="1"/>
                <w:bCs w:val="1"/>
                <w:color w:val="auto"/>
              </w:rPr>
              <w:t>2025</w:t>
            </w:r>
          </w:p>
        </w:tc>
        <w:tc>
          <w:tcPr>
            <w:tcW w:w="4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75"/>
              <w:spacing w:after="0" w:line="142" w:lineRule="exact"/>
              <w:rPr>
                <w:sz w:val="20"/>
                <w:szCs w:val="20"/>
                <w:color w:val="auto"/>
              </w:rPr>
            </w:pPr>
            <w:r>
              <w:rPr>
                <w:rFonts w:ascii="Arial" w:cs="Arial" w:eastAsia="Arial" w:hAnsi="Arial"/>
                <w:sz w:val="13"/>
                <w:szCs w:val="13"/>
                <w:b w:val="1"/>
                <w:bCs w:val="1"/>
                <w:color w:val="auto"/>
              </w:rPr>
              <w:t>2026</w:t>
            </w:r>
          </w:p>
        </w:tc>
        <w:tc>
          <w:tcPr>
            <w:tcW w:w="420" w:type="dxa"/>
            <w:vAlign w:val="bottom"/>
            <w:tcBorders>
              <w:top w:val="single" w:sz="8" w:color="auto"/>
            </w:tcBorders>
            <w:gridSpan w:val="2"/>
          </w:tcPr>
          <w:p>
            <w:pPr>
              <w:jc w:val="right"/>
              <w:ind w:right="130"/>
              <w:spacing w:after="0" w:line="142" w:lineRule="exact"/>
              <w:rPr>
                <w:sz w:val="20"/>
                <w:szCs w:val="20"/>
                <w:color w:val="auto"/>
              </w:rPr>
            </w:pPr>
            <w:r>
              <w:rPr>
                <w:rFonts w:ascii="Arial" w:cs="Arial" w:eastAsia="Arial" w:hAnsi="Arial"/>
                <w:sz w:val="13"/>
                <w:szCs w:val="13"/>
                <w:b w:val="1"/>
                <w:bCs w:val="1"/>
                <w:color w:val="auto"/>
              </w:rPr>
              <w:t>​​​</w:t>
            </w:r>
          </w:p>
        </w:tc>
        <w:tc>
          <w:tcPr>
            <w:tcW w:w="760" w:type="dxa"/>
            <w:vAlign w:val="bottom"/>
            <w:tcBorders>
              <w:top w:val="single" w:sz="8" w:color="auto"/>
            </w:tcBorders>
          </w:tcPr>
          <w:p>
            <w:pPr>
              <w:jc w:val="right"/>
              <w:ind w:right="275"/>
              <w:spacing w:after="0" w:line="142" w:lineRule="exact"/>
              <w:rPr>
                <w:sz w:val="20"/>
                <w:szCs w:val="20"/>
                <w:color w:val="auto"/>
              </w:rPr>
            </w:pPr>
            <w:r>
              <w:rPr>
                <w:rFonts w:ascii="Arial" w:cs="Arial" w:eastAsia="Arial" w:hAnsi="Arial"/>
                <w:sz w:val="13"/>
                <w:szCs w:val="13"/>
                <w:b w:val="1"/>
                <w:bCs w:val="1"/>
                <w:color w:val="auto"/>
              </w:rPr>
              <w:t>2025</w:t>
            </w:r>
          </w:p>
        </w:tc>
        <w:tc>
          <w:tcPr>
            <w:tcW w:w="0" w:type="dxa"/>
            <w:vAlign w:val="bottom"/>
          </w:tcPr>
          <w:p>
            <w:pPr>
              <w:spacing w:after="0"/>
              <w:rPr>
                <w:sz w:val="1"/>
                <w:szCs w:val="1"/>
                <w:color w:val="auto"/>
              </w:rPr>
            </w:pPr>
          </w:p>
        </w:tc>
      </w:tr>
      <w:tr>
        <w:trPr>
          <w:trHeight w:val="168"/>
        </w:trPr>
        <w:tc>
          <w:tcPr>
            <w:tcW w:w="4320" w:type="dxa"/>
            <w:vAlign w:val="bottom"/>
            <w:tcBorders>
              <w:top w:val="single" w:sz="8" w:color="auto"/>
            </w:tcBorders>
            <w:shd w:val="clear" w:color="auto" w:fill="CCEEFF"/>
          </w:tcPr>
          <w:p>
            <w:pPr>
              <w:spacing w:after="0" w:line="168" w:lineRule="exact"/>
              <w:rPr>
                <w:sz w:val="20"/>
                <w:szCs w:val="20"/>
                <w:color w:val="auto"/>
              </w:rPr>
            </w:pPr>
            <w:r>
              <w:rPr>
                <w:rFonts w:ascii="Arial" w:cs="Arial" w:eastAsia="Arial" w:hAnsi="Arial"/>
                <w:sz w:val="16"/>
                <w:szCs w:val="16"/>
                <w:color w:val="auto"/>
              </w:rPr>
              <w:t>Long-lived asset impairment charges by type of long-lived</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rPr>
              <w:t>asset: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tcPr>
          <w:p>
            <w:pPr>
              <w:ind w:left="120"/>
              <w:spacing w:after="0"/>
              <w:rPr>
                <w:sz w:val="20"/>
                <w:szCs w:val="20"/>
                <w:color w:val="auto"/>
              </w:rPr>
            </w:pPr>
            <w:r>
              <w:rPr>
                <w:rFonts w:ascii="Arial" w:cs="Arial" w:eastAsia="Arial" w:hAnsi="Arial"/>
                <w:sz w:val="16"/>
                <w:szCs w:val="16"/>
                <w:color w:val="auto"/>
              </w:rPr>
              <w:t>Leasehold improvements</w:t>
            </w:r>
          </w:p>
        </w:tc>
        <w:tc>
          <w:tcPr>
            <w:tcW w:w="3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1,380</w:t>
            </w:r>
          </w:p>
        </w:tc>
        <w:tc>
          <w:tcPr>
            <w:tcW w:w="40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44"/>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1,815</w:t>
            </w:r>
          </w:p>
        </w:tc>
        <w:tc>
          <w:tcPr>
            <w:tcW w:w="42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Operating lease right of use assets</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2,108</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617</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8,500</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03"/>
        </w:trPr>
        <w:tc>
          <w:tcPr>
            <w:tcW w:w="4320" w:type="dxa"/>
            <w:vAlign w:val="bottom"/>
          </w:tcPr>
          <w:p>
            <w:pPr>
              <w:ind w:left="120"/>
              <w:spacing w:after="0"/>
              <w:rPr>
                <w:sz w:val="20"/>
                <w:szCs w:val="20"/>
                <w:color w:val="auto"/>
              </w:rPr>
            </w:pPr>
            <w:r>
              <w:rPr>
                <w:rFonts w:ascii="Arial" w:cs="Arial" w:eastAsia="Arial" w:hAnsi="Arial"/>
                <w:sz w:val="16"/>
                <w:szCs w:val="16"/>
                <w:color w:val="auto"/>
              </w:rPr>
              <w:t>Building and improvements</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3,180</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9,452</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196"/>
        </w:trPr>
        <w:tc>
          <w:tcPr>
            <w:tcW w:w="43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long-lived asset impairment charges</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6,668</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617</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44"/>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19,767</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1,237</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Assets Held for Sale and Business Divestitures</w:t>
      </w:r>
    </w:p>
    <w:p>
      <w:pPr>
        <w:spacing w:after="0" w:line="212"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As of September 30, 2026, December 31, 2025, and September 30, 2025, two, one, and six RV and Outdoor Retail segment properties, respectively, met the criteria to be classified as held for sale. Additionally, on June 30, 2025, the Company closed on the sale of certain assets of one RV dealership. The approximately $10.3 million fair value of consideration received from the divestiture was comprised of $4.4 million of cash consideration and $5.9 million paid directly to the Floor Plan Lenders for new vehicles included in the Company’s floor plan. Included in the $4.4 million of cash consideration was $1.0 million for a deposit related to a future purchase of real estate. The divested net assets were comprised primarily of approximately $6.1 million of inventories, net; $0.1 million of property and equipment, net; and $3.4 million of goodwill allocated from the RV and Outdoor Retail segment based on the relative fair value of the dealership. This divestiture transaction resulted in a loss of $0.3 million and was included in (gain) loss on sale or disposal of assets in the condensed consolidated statements of operations for the nine months ended September 30, 2025. In addition to receiving a return for the assets, the sale allowed the Company to avoid significant brand-specific capital improvements which would have been required to support the dealership on an ongoing basis.</w:t>
      </w:r>
    </w:p>
    <w:p>
      <w:pPr>
        <w:spacing w:after="0" w:line="16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presents the components of assets held for sale:</w:t>
      </w:r>
    </w:p>
    <w:p>
      <w:pPr>
        <w:spacing w:after="0" w:line="140" w:lineRule="exact"/>
        <w:rPr>
          <w:sz w:val="20"/>
          <w:szCs w:val="20"/>
          <w:color w:val="auto"/>
        </w:rPr>
      </w:pPr>
    </w:p>
    <w:tbl>
      <w:tblPr>
        <w:tblLayout w:type="fixed"/>
        <w:tblInd w:w="500" w:type="dxa"/>
        <w:tblCellMar>
          <w:top w:w="0" w:type="dxa"/>
          <w:left w:w="0" w:type="dxa"/>
          <w:bottom w:w="0" w:type="dxa"/>
          <w:right w:w="0" w:type="dxa"/>
        </w:tblCellMar>
      </w:tblPr>
      <w:tr>
        <w:trPr>
          <w:trHeight w:val="196"/>
        </w:trPr>
        <w:tc>
          <w:tcPr>
            <w:tcW w:w="4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7"/>
                <w:szCs w:val="17"/>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w:t>
            </w:r>
          </w:p>
        </w:tc>
      </w:tr>
      <w:tr>
        <w:trPr>
          <w:trHeight w:val="204"/>
        </w:trPr>
        <w:tc>
          <w:tcPr>
            <w:tcW w:w="4400" w:type="dxa"/>
            <w:vAlign w:val="bottom"/>
          </w:tcPr>
          <w:p>
            <w:pPr>
              <w:spacing w:after="0"/>
              <w:rPr>
                <w:sz w:val="20"/>
                <w:szCs w:val="20"/>
                <w:color w:val="auto"/>
              </w:rPr>
            </w:pPr>
            <w:r>
              <w:rPr>
                <w:rFonts w:ascii="Arial" w:cs="Arial" w:eastAsia="Arial" w:hAnsi="Arial"/>
                <w:sz w:val="14"/>
                <w:szCs w:val="14"/>
                <w:color w:val="auto"/>
              </w:rPr>
              <w:t>($ in thousands)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ind w:right="276"/>
              <w:spacing w:after="0"/>
              <w:rPr>
                <w:sz w:val="20"/>
                <w:szCs w:val="20"/>
                <w:color w:val="auto"/>
              </w:rPr>
            </w:pPr>
            <w:r>
              <w:rPr>
                <w:rFonts w:ascii="Arial" w:cs="Arial" w:eastAsia="Arial" w:hAnsi="Arial"/>
                <w:sz w:val="14"/>
                <w:szCs w:val="14"/>
                <w:b w:val="1"/>
                <w:bCs w:val="1"/>
                <w:color w:val="auto"/>
              </w:rPr>
              <w:t>2026</w:t>
            </w:r>
          </w:p>
        </w:tc>
        <w:tc>
          <w:tcPr>
            <w:tcW w:w="380" w:type="dxa"/>
            <w:vAlign w:val="bottom"/>
            <w:gridSpan w:val="2"/>
          </w:tcPr>
          <w:p>
            <w:pPr>
              <w:jc w:val="right"/>
              <w:ind w:right="119"/>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296"/>
              <w:spacing w:after="0"/>
              <w:rPr>
                <w:sz w:val="20"/>
                <w:szCs w:val="20"/>
                <w:color w:val="auto"/>
              </w:rPr>
            </w:pPr>
            <w:r>
              <w:rPr>
                <w:rFonts w:ascii="Arial" w:cs="Arial" w:eastAsia="Arial" w:hAnsi="Arial"/>
                <w:sz w:val="14"/>
                <w:szCs w:val="14"/>
                <w:b w:val="1"/>
                <w:bCs w:val="1"/>
                <w:color w:val="auto"/>
              </w:rPr>
              <w:t>2025</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296"/>
              <w:spacing w:after="0"/>
              <w:rPr>
                <w:sz w:val="20"/>
                <w:szCs w:val="20"/>
                <w:color w:val="auto"/>
              </w:rPr>
            </w:pPr>
            <w:r>
              <w:rPr>
                <w:rFonts w:ascii="Arial" w:cs="Arial" w:eastAsia="Arial" w:hAnsi="Arial"/>
                <w:sz w:val="14"/>
                <w:szCs w:val="14"/>
                <w:b w:val="1"/>
                <w:bCs w:val="1"/>
                <w:color w:val="auto"/>
              </w:rPr>
              <w:t>2025</w:t>
            </w:r>
          </w:p>
        </w:tc>
      </w:tr>
      <w:tr>
        <w:trPr>
          <w:trHeight w:val="196"/>
        </w:trPr>
        <w:tc>
          <w:tcPr>
            <w:tcW w:w="44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Assets held for sale:</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r>
      <w:tr>
        <w:trPr>
          <w:trHeight w:val="203"/>
        </w:trPr>
        <w:tc>
          <w:tcPr>
            <w:tcW w:w="4400" w:type="dxa"/>
            <w:vAlign w:val="bottom"/>
          </w:tcPr>
          <w:p>
            <w:pPr>
              <w:ind w:left="100"/>
              <w:spacing w:after="0" w:line="202" w:lineRule="exact"/>
              <w:rPr>
                <w:sz w:val="20"/>
                <w:szCs w:val="20"/>
                <w:color w:val="auto"/>
              </w:rPr>
            </w:pPr>
            <w:r>
              <w:rPr>
                <w:rFonts w:ascii="Arial" w:cs="Arial" w:eastAsia="Arial" w:hAnsi="Arial"/>
                <w:sz w:val="18"/>
                <w:szCs w:val="18"/>
                <w:color w:val="auto"/>
              </w:rPr>
              <w:t>Property and equipment, net</w:t>
            </w:r>
          </w:p>
        </w:tc>
        <w:tc>
          <w:tcPr>
            <w:tcW w:w="340" w:type="dxa"/>
            <w:vAlign w:val="bottom"/>
            <w:gridSpan w:val="2"/>
          </w:tcPr>
          <w:p>
            <w:pPr>
              <w:jc w:val="right"/>
              <w:ind w:right="39"/>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1,488</w:t>
            </w:r>
          </w:p>
        </w:tc>
        <w:tc>
          <w:tcPr>
            <w:tcW w:w="380" w:type="dxa"/>
            <w:vAlign w:val="bottom"/>
            <w:gridSpan w:val="2"/>
          </w:tcPr>
          <w:p>
            <w:pPr>
              <w:jc w:val="right"/>
              <w:ind w:right="39"/>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175</w:t>
            </w:r>
          </w:p>
        </w:tc>
        <w:tc>
          <w:tcPr>
            <w:tcW w:w="4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38,431</w:t>
            </w:r>
          </w:p>
        </w:tc>
      </w:tr>
      <w:tr>
        <w:trPr>
          <w:trHeight w:val="196"/>
        </w:trPr>
        <w:tc>
          <w:tcPr>
            <w:tcW w:w="44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39"/>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1,488</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39"/>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175</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38,431</w:t>
            </w:r>
          </w:p>
        </w:tc>
      </w:tr>
      <w:tr>
        <w:trPr>
          <w:trHeight w:val="20"/>
        </w:trPr>
        <w:tc>
          <w:tcPr>
            <w:tcW w:w="4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7" w:name="page18"/>
    <w:bookmarkEnd w:id="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099" w:hanging="10"/>
        <w:spacing w:after="0" w:line="485" w:lineRule="auto"/>
        <w:tabs>
          <w:tab w:leader="none" w:pos="2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 Goodwill</w:t>
      </w:r>
    </w:p>
    <w:p>
      <w:pPr>
        <w:ind w:left="60" w:right="59" w:firstLine="648"/>
        <w:spacing w:after="0" w:line="271" w:lineRule="auto"/>
        <w:rPr>
          <w:sz w:val="20"/>
          <w:szCs w:val="20"/>
          <w:color w:val="auto"/>
        </w:rPr>
      </w:pPr>
      <w:r>
        <w:rPr>
          <w:rFonts w:ascii="Arial" w:cs="Arial" w:eastAsia="Arial" w:hAnsi="Arial"/>
          <w:sz w:val="18"/>
          <w:szCs w:val="18"/>
          <w:color w:val="auto"/>
        </w:rPr>
        <w:t>The following table presents a summary of changes in the Company’s goodwill by segment for the nine months ended September 30, 2026 and 2025 and the year ended December 31, 2025:</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ind w:right="41"/>
              <w:spacing w:after="0"/>
              <w:rPr>
                <w:sz w:val="20"/>
                <w:szCs w:val="20"/>
                <w:color w:val="auto"/>
              </w:rPr>
            </w:pPr>
            <w:r>
              <w:rPr>
                <w:rFonts w:ascii="Arial" w:cs="Arial" w:eastAsia="Arial" w:hAnsi="Arial"/>
                <w:sz w:val="14"/>
                <w:szCs w:val="14"/>
                <w:b w:val="1"/>
                <w:bCs w:val="1"/>
                <w:color w:val="auto"/>
              </w:rPr>
              <w:t>Good Sam</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2"/>
        </w:trPr>
        <w:tc>
          <w:tcPr>
            <w:tcW w:w="5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ind w:right="41"/>
              <w:spacing w:after="0"/>
              <w:rPr>
                <w:sz w:val="20"/>
                <w:szCs w:val="20"/>
                <w:color w:val="auto"/>
              </w:rPr>
            </w:pPr>
            <w:r>
              <w:rPr>
                <w:rFonts w:ascii="Arial" w:cs="Arial" w:eastAsia="Arial" w:hAnsi="Arial"/>
                <w:sz w:val="14"/>
                <w:szCs w:val="14"/>
                <w:b w:val="1"/>
                <w:bCs w:val="1"/>
                <w:color w:val="auto"/>
              </w:rPr>
              <w:t>Services and</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ind w:right="220"/>
              <w:spacing w:after="0"/>
              <w:rPr>
                <w:sz w:val="20"/>
                <w:szCs w:val="20"/>
                <w:color w:val="auto"/>
              </w:rPr>
            </w:pPr>
            <w:r>
              <w:rPr>
                <w:rFonts w:ascii="Arial" w:cs="Arial" w:eastAsia="Arial" w:hAnsi="Arial"/>
                <w:sz w:val="14"/>
                <w:szCs w:val="14"/>
                <w:b w:val="1"/>
                <w:bCs w:val="1"/>
                <w:color w:val="auto"/>
              </w:rPr>
              <w:t>RV and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1"/>
        </w:trPr>
        <w:tc>
          <w:tcPr>
            <w:tcW w:w="5160" w:type="dxa"/>
            <w:vAlign w:val="bottom"/>
          </w:tcPr>
          <w:p>
            <w:pPr>
              <w:spacing w:after="0"/>
              <w:rPr>
                <w:sz w:val="20"/>
                <w:szCs w:val="20"/>
                <w:color w:val="auto"/>
              </w:rPr>
            </w:pPr>
            <w:r>
              <w:rPr>
                <w:rFonts w:ascii="Arial" w:cs="Arial" w:eastAsia="Arial" w:hAnsi="Arial"/>
                <w:sz w:val="14"/>
                <w:szCs w:val="14"/>
                <w:color w:val="auto"/>
              </w:rPr>
              <w:t>($ in thousands)</w:t>
            </w:r>
          </w:p>
        </w:tc>
        <w:tc>
          <w:tcPr>
            <w:tcW w:w="280" w:type="dxa"/>
            <w:vAlign w:val="bottom"/>
            <w:gridSpan w:val="2"/>
          </w:tcPr>
          <w:p>
            <w:pPr>
              <w:jc w:val="right"/>
              <w:ind w:right="24"/>
              <w:spacing w:after="0"/>
              <w:rPr>
                <w:sz w:val="20"/>
                <w:szCs w:val="20"/>
                <w:color w:val="auto"/>
              </w:rPr>
            </w:pPr>
            <w:r>
              <w:rPr>
                <w:rFonts w:ascii="Arial" w:cs="Arial" w:eastAsia="Arial" w:hAnsi="Arial"/>
                <w:sz w:val="14"/>
                <w:szCs w:val="14"/>
                <w:color w:val="auto"/>
              </w:rPr>
              <w:t>​​​</w:t>
            </w:r>
          </w:p>
        </w:tc>
        <w:tc>
          <w:tcPr>
            <w:tcW w:w="1000" w:type="dxa"/>
            <w:vAlign w:val="bottom"/>
          </w:tcPr>
          <w:p>
            <w:pPr>
              <w:jc w:val="center"/>
              <w:ind w:right="41"/>
              <w:spacing w:after="0"/>
              <w:rPr>
                <w:sz w:val="20"/>
                <w:szCs w:val="20"/>
                <w:color w:val="auto"/>
              </w:rPr>
            </w:pPr>
            <w:r>
              <w:rPr>
                <w:rFonts w:ascii="Arial" w:cs="Arial" w:eastAsia="Arial" w:hAnsi="Arial"/>
                <w:sz w:val="14"/>
                <w:szCs w:val="14"/>
                <w:b w:val="1"/>
                <w:bCs w:val="1"/>
                <w:color w:val="auto"/>
              </w:rPr>
              <w:t>Plans</w:t>
            </w:r>
          </w:p>
        </w:tc>
        <w:tc>
          <w:tcPr>
            <w:tcW w:w="1280" w:type="dxa"/>
            <w:vAlign w:val="bottom"/>
            <w:gridSpan w:val="3"/>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Outdoor Retail</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0"/>
              <w:spacing w:after="0"/>
              <w:rPr>
                <w:sz w:val="20"/>
                <w:szCs w:val="20"/>
                <w:color w:val="auto"/>
              </w:rPr>
            </w:pPr>
            <w:r>
              <w:rPr>
                <w:rFonts w:ascii="Arial" w:cs="Arial" w:eastAsia="Arial" w:hAnsi="Arial"/>
                <w:sz w:val="14"/>
                <w:szCs w:val="14"/>
                <w:b w:val="1"/>
                <w:bCs w:val="1"/>
                <w:color w:val="auto"/>
                <w:w w:val="99"/>
              </w:rPr>
              <w:t>Consolidated</w:t>
            </w:r>
          </w:p>
        </w:tc>
      </w:tr>
      <w:tr>
        <w:trPr>
          <w:trHeight w:val="183"/>
        </w:trPr>
        <w:tc>
          <w:tcPr>
            <w:tcW w:w="516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Balance at December 31, 2024 (excluding impairment charges)</w:t>
            </w: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72,679</w:t>
            </w:r>
          </w:p>
        </w:tc>
        <w:tc>
          <w:tcPr>
            <w:tcW w:w="1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903,181</w:t>
            </w: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975,860</w:t>
            </w:r>
          </w:p>
        </w:tc>
      </w:tr>
      <w:tr>
        <w:trPr>
          <w:trHeight w:val="189"/>
        </w:trPr>
        <w:tc>
          <w:tcPr>
            <w:tcW w:w="51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Accumulated impairment charges</w:t>
            </w:r>
          </w:p>
        </w:tc>
        <w:tc>
          <w:tcPr>
            <w:tcW w:w="1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(46,884)</w:t>
            </w:r>
          </w:p>
        </w:tc>
        <w:tc>
          <w:tcPr>
            <w:tcW w:w="1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(194,953)</w:t>
            </w:r>
          </w:p>
        </w:tc>
        <w:tc>
          <w:tcPr>
            <w:tcW w:w="1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(241,837)</w:t>
            </w:r>
          </w:p>
        </w:tc>
      </w:tr>
      <w:tr>
        <w:trPr>
          <w:trHeight w:val="183"/>
        </w:trPr>
        <w:tc>
          <w:tcPr>
            <w:tcW w:w="516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Balance at December 31, 2024</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25,795</w:t>
            </w: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708,228</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734,023</w:t>
            </w:r>
          </w:p>
        </w:tc>
      </w:tr>
      <w:tr>
        <w:trPr>
          <w:trHeight w:val="189"/>
        </w:trPr>
        <w:tc>
          <w:tcPr>
            <w:tcW w:w="5160" w:type="dxa"/>
            <w:vAlign w:val="bottom"/>
          </w:tcPr>
          <w:p>
            <w:pPr>
              <w:spacing w:after="0"/>
              <w:rPr>
                <w:sz w:val="20"/>
                <w:szCs w:val="20"/>
                <w:color w:val="auto"/>
              </w:rPr>
            </w:pPr>
            <w:r>
              <w:rPr>
                <w:rFonts w:ascii="Arial" w:cs="Arial" w:eastAsia="Arial" w:hAnsi="Arial"/>
                <w:sz w:val="16"/>
                <w:szCs w:val="16"/>
                <w:color w:val="auto"/>
              </w:rPr>
              <w:t>Acquisitions</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18,341</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18,341</w:t>
            </w:r>
          </w:p>
        </w:tc>
      </w:tr>
      <w:tr>
        <w:trPr>
          <w:trHeight w:val="189"/>
        </w:trPr>
        <w:tc>
          <w:tcPr>
            <w:tcW w:w="5160" w:type="dxa"/>
            <w:vAlign w:val="bottom"/>
            <w:shd w:val="clear" w:color="auto" w:fill="CCEEFF"/>
          </w:tcPr>
          <w:p>
            <w:pPr>
              <w:spacing w:after="0" w:line="189" w:lineRule="exact"/>
              <w:rPr>
                <w:sz w:val="20"/>
                <w:szCs w:val="20"/>
                <w:color w:val="auto"/>
              </w:rPr>
            </w:pPr>
            <w:r>
              <w:rPr>
                <w:rFonts w:ascii="Arial" w:cs="Arial" w:eastAsia="Arial" w:hAnsi="Arial"/>
                <w:sz w:val="14"/>
                <w:szCs w:val="14"/>
                <w:color w:val="auto"/>
              </w:rPr>
              <w:t>Divestiture</w:t>
            </w:r>
            <w:r>
              <w:rPr>
                <w:rFonts w:ascii="Arial" w:cs="Arial" w:eastAsia="Arial" w:hAnsi="Arial"/>
                <w:sz w:val="21"/>
                <w:szCs w:val="21"/>
                <w:color w:val="auto"/>
                <w:vertAlign w:val="superscript"/>
              </w:rPr>
              <w:t>(1)</w:t>
            </w:r>
          </w:p>
        </w:tc>
        <w:tc>
          <w:tcPr>
            <w:tcW w:w="1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(3,413)</w:t>
            </w:r>
          </w:p>
        </w:tc>
        <w:tc>
          <w:tcPr>
            <w:tcW w:w="1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(3,413)</w:t>
            </w:r>
          </w:p>
        </w:tc>
      </w:tr>
      <w:tr>
        <w:trPr>
          <w:trHeight w:val="183"/>
        </w:trPr>
        <w:tc>
          <w:tcPr>
            <w:tcW w:w="5160" w:type="dxa"/>
            <w:vAlign w:val="bottom"/>
          </w:tcPr>
          <w:p>
            <w:pPr>
              <w:spacing w:after="0" w:line="183" w:lineRule="exact"/>
              <w:rPr>
                <w:sz w:val="20"/>
                <w:szCs w:val="20"/>
                <w:color w:val="auto"/>
              </w:rPr>
            </w:pPr>
            <w:r>
              <w:rPr>
                <w:rFonts w:ascii="Arial" w:cs="Arial" w:eastAsia="Arial" w:hAnsi="Arial"/>
                <w:sz w:val="16"/>
                <w:szCs w:val="16"/>
                <w:color w:val="auto"/>
              </w:rPr>
              <w:t>Balance at September 30, 2025</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line="183" w:lineRule="exact"/>
              <w:rPr>
                <w:sz w:val="20"/>
                <w:szCs w:val="20"/>
                <w:color w:val="auto"/>
              </w:rPr>
            </w:pPr>
            <w:r>
              <w:rPr>
                <w:rFonts w:ascii="Arial" w:cs="Arial" w:eastAsia="Arial" w:hAnsi="Arial"/>
                <w:sz w:val="16"/>
                <w:szCs w:val="16"/>
                <w:color w:val="auto"/>
              </w:rPr>
              <w:t>25,795</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spacing w:after="0" w:line="183" w:lineRule="exact"/>
              <w:rPr>
                <w:sz w:val="20"/>
                <w:szCs w:val="20"/>
                <w:color w:val="auto"/>
              </w:rPr>
            </w:pPr>
            <w:r>
              <w:rPr>
                <w:rFonts w:ascii="Arial" w:cs="Arial" w:eastAsia="Arial" w:hAnsi="Arial"/>
                <w:sz w:val="16"/>
                <w:szCs w:val="16"/>
                <w:color w:val="auto"/>
              </w:rPr>
              <w:t>723,156</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line="183" w:lineRule="exact"/>
              <w:rPr>
                <w:sz w:val="20"/>
                <w:szCs w:val="20"/>
                <w:color w:val="auto"/>
              </w:rPr>
            </w:pPr>
            <w:r>
              <w:rPr>
                <w:rFonts w:ascii="Arial" w:cs="Arial" w:eastAsia="Arial" w:hAnsi="Arial"/>
                <w:sz w:val="16"/>
                <w:szCs w:val="16"/>
                <w:color w:val="auto"/>
              </w:rPr>
              <w:t>748,951</w:t>
            </w:r>
          </w:p>
        </w:tc>
      </w:tr>
      <w:tr>
        <w:trPr>
          <w:trHeight w:val="189"/>
        </w:trPr>
        <w:tc>
          <w:tcPr>
            <w:tcW w:w="5160" w:type="dxa"/>
            <w:vAlign w:val="bottom"/>
            <w:shd w:val="clear" w:color="auto" w:fill="CCEEFF"/>
          </w:tcPr>
          <w:p>
            <w:pPr>
              <w:spacing w:after="0"/>
              <w:rPr>
                <w:sz w:val="20"/>
                <w:szCs w:val="20"/>
                <w:color w:val="auto"/>
              </w:rPr>
            </w:pPr>
            <w:r>
              <w:rPr>
                <w:rFonts w:ascii="Arial" w:cs="Arial" w:eastAsia="Arial" w:hAnsi="Arial"/>
                <w:sz w:val="16"/>
                <w:szCs w:val="16"/>
                <w:color w:val="auto"/>
              </w:rPr>
              <w:t>Acquisitions</w:t>
            </w:r>
          </w:p>
        </w:tc>
        <w:tc>
          <w:tcPr>
            <w:tcW w:w="1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370</w:t>
            </w:r>
          </w:p>
        </w:tc>
        <w:tc>
          <w:tcPr>
            <w:tcW w:w="1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370</w:t>
            </w:r>
          </w:p>
        </w:tc>
      </w:tr>
      <w:tr>
        <w:trPr>
          <w:trHeight w:val="183"/>
        </w:trPr>
        <w:tc>
          <w:tcPr>
            <w:tcW w:w="5160" w:type="dxa"/>
            <w:vAlign w:val="bottom"/>
          </w:tcPr>
          <w:p>
            <w:pPr>
              <w:spacing w:after="0" w:line="183" w:lineRule="exact"/>
              <w:rPr>
                <w:sz w:val="20"/>
                <w:szCs w:val="20"/>
                <w:color w:val="auto"/>
              </w:rPr>
            </w:pPr>
            <w:r>
              <w:rPr>
                <w:rFonts w:ascii="Arial" w:cs="Arial" w:eastAsia="Arial" w:hAnsi="Arial"/>
                <w:sz w:val="16"/>
                <w:szCs w:val="16"/>
                <w:color w:val="auto"/>
              </w:rPr>
              <w:t>Balance at December 31, 2025</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line="183" w:lineRule="exact"/>
              <w:rPr>
                <w:sz w:val="20"/>
                <w:szCs w:val="20"/>
                <w:color w:val="auto"/>
              </w:rPr>
            </w:pPr>
            <w:r>
              <w:rPr>
                <w:rFonts w:ascii="Arial" w:cs="Arial" w:eastAsia="Arial" w:hAnsi="Arial"/>
                <w:sz w:val="16"/>
                <w:szCs w:val="16"/>
                <w:color w:val="auto"/>
              </w:rPr>
              <w:t>25,795</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spacing w:after="0" w:line="183" w:lineRule="exact"/>
              <w:rPr>
                <w:sz w:val="20"/>
                <w:szCs w:val="20"/>
                <w:color w:val="auto"/>
              </w:rPr>
            </w:pPr>
            <w:r>
              <w:rPr>
                <w:rFonts w:ascii="Arial" w:cs="Arial" w:eastAsia="Arial" w:hAnsi="Arial"/>
                <w:sz w:val="16"/>
                <w:szCs w:val="16"/>
                <w:color w:val="auto"/>
              </w:rPr>
              <w:t>723,526</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line="183" w:lineRule="exact"/>
              <w:rPr>
                <w:sz w:val="20"/>
                <w:szCs w:val="20"/>
                <w:color w:val="auto"/>
              </w:rPr>
            </w:pPr>
            <w:r>
              <w:rPr>
                <w:rFonts w:ascii="Arial" w:cs="Arial" w:eastAsia="Arial" w:hAnsi="Arial"/>
                <w:sz w:val="16"/>
                <w:szCs w:val="16"/>
                <w:color w:val="auto"/>
              </w:rPr>
              <w:t>749,321</w:t>
            </w:r>
          </w:p>
        </w:tc>
      </w:tr>
      <w:tr>
        <w:trPr>
          <w:trHeight w:val="189"/>
        </w:trPr>
        <w:tc>
          <w:tcPr>
            <w:tcW w:w="5160" w:type="dxa"/>
            <w:vAlign w:val="bottom"/>
            <w:shd w:val="clear" w:color="auto" w:fill="CCEEFF"/>
          </w:tcPr>
          <w:p>
            <w:pPr>
              <w:spacing w:after="0"/>
              <w:rPr>
                <w:sz w:val="20"/>
                <w:szCs w:val="20"/>
                <w:color w:val="auto"/>
              </w:rPr>
            </w:pPr>
            <w:r>
              <w:rPr>
                <w:rFonts w:ascii="Arial" w:cs="Arial" w:eastAsia="Arial" w:hAnsi="Arial"/>
                <w:sz w:val="16"/>
                <w:szCs w:val="16"/>
                <w:color w:val="auto"/>
              </w:rPr>
              <w:t>Acquisitions</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2,342</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2,342</w:t>
            </w:r>
          </w:p>
        </w:tc>
      </w:tr>
      <w:tr>
        <w:trPr>
          <w:trHeight w:val="189"/>
        </w:trPr>
        <w:tc>
          <w:tcPr>
            <w:tcW w:w="51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Impairment charge</w:t>
            </w:r>
          </w:p>
        </w:tc>
        <w:tc>
          <w:tcPr>
            <w:tcW w:w="1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(286,748)</w:t>
            </w:r>
          </w:p>
        </w:tc>
        <w:tc>
          <w:tcPr>
            <w:tcW w:w="1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(286,748)</w:t>
            </w:r>
          </w:p>
        </w:tc>
      </w:tr>
      <w:tr>
        <w:trPr>
          <w:trHeight w:val="183"/>
        </w:trPr>
        <w:tc>
          <w:tcPr>
            <w:tcW w:w="5160" w:type="dxa"/>
            <w:vAlign w:val="bottom"/>
            <w:tcBorders>
              <w:bottom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Balance at September 30, 2026</w:t>
            </w:r>
          </w:p>
        </w:tc>
        <w:tc>
          <w:tcPr>
            <w:tcW w:w="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25,795</w:t>
            </w:r>
          </w:p>
        </w:tc>
        <w:tc>
          <w:tcPr>
            <w:tcW w:w="1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439,120</w:t>
            </w:r>
          </w:p>
        </w:tc>
        <w:tc>
          <w:tcPr>
            <w:tcW w:w="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464,915</w:t>
            </w:r>
          </w:p>
        </w:tc>
      </w:tr>
      <w:tr>
        <w:trPr>
          <w:trHeight w:val="20"/>
        </w:trPr>
        <w:tc>
          <w:tcPr>
            <w:tcW w:w="5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380" w:hanging="330"/>
        <w:spacing w:after="0"/>
        <w:tabs>
          <w:tab w:leader="none" w:pos="380" w:val="left"/>
        </w:tabs>
        <w:numPr>
          <w:ilvl w:val="0"/>
          <w:numId w:val="11"/>
        </w:numPr>
        <w:rPr>
          <w:rFonts w:ascii="Arial" w:cs="Arial" w:eastAsia="Arial" w:hAnsi="Arial"/>
          <w:sz w:val="13"/>
          <w:szCs w:val="13"/>
          <w:color w:val="auto"/>
        </w:rPr>
      </w:pPr>
      <w:r>
        <w:rPr>
          <w:rFonts w:ascii="Arial" w:cs="Arial" w:eastAsia="Arial" w:hAnsi="Arial"/>
          <w:sz w:val="14"/>
          <w:szCs w:val="14"/>
          <w:color w:val="auto"/>
        </w:rPr>
        <w:t>In June 2025, the Company closed on the sale of a dealership (see Note 6 — Assets Held for Sale and Business Divestitures).</w:t>
      </w:r>
    </w:p>
    <w:p>
      <w:pPr>
        <w:spacing w:after="0" w:line="153"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At September 30, 2026, the Company performed a qualitative impairment assessment to determine if it was more likely than not that the fair value of the RV and Outdoor Retail reporting unit was less than its carrying value by evaluating relevant events and circumstances. During the three months ended September 30, 2026, the Company’s financial performance was below the forecasts utilized in the most recent interim goodwill impairment test as of June 30, 2026 (“Q2 26 Interim Goodwill Test”), driven by continued pressure on new RV industry demand and promotional pricing pressure in core travel trailer offerings. After considering this performance, the sustained decline in the Company’s share price, and other factors, the Company concluded that it was more likely than not that the fair value of the RV and Outdoor Retail reporting unit was less than its carrying value as of September 30, 2026. Macroeconomic factors impacting the industry in the third quarter of 2026 included further increases in consumer interest rates, elevated diesel fuel prices, and further declines in consumer sentiment, all of which exceeded the assumptions underlying the Q2 26 Interim Goodwill Test. As a result, the Company performed a quantitative goodwill impairment test as of September 30, 2026 (“Q3 26 Interim Goodwill Test”). Before performing the Q3 26 Interim Goodwill Test, the Company evaluated the reporting unit’s long-lived assets for recoverability and recorded the impairment charges described in Note 5 — Long-Lived Asset Impairment.</w:t>
      </w:r>
    </w:p>
    <w:p>
      <w:pPr>
        <w:spacing w:after="0" w:line="80"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The Q3 26 Interim Goodwill Test concluded that the carrying value of the RV and Outdoor Retail reporting unit exceeded its estimated fair value. As a result, the Company recorded a goodwill impairment charge of $286.7 million for the three and nine months ended September 30, 2026. An insignificant amount of the impairment charge related to income tax deductible goodwill at the reporting unit level. Following the impairment, the carrying value of the RV and Outdoor Retail reporting unit equals its estimated fair value, and the reporting unit’s remaining goodwill was $439.1 million as of September 30, 2026.</w:t>
      </w:r>
    </w:p>
    <w:p>
      <w:pPr>
        <w:spacing w:after="0" w:line="71"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The Company estimated the fair value of this reporting unit using a combination of the guideline public company method under the market approach and the discounted cash flow analysis method under the income approach. Of the key assumptions to the determination of fair value for the RV and Outdoor Retail reporting unit, (i) revenue and EBITDA projections, (ii) discount rate, and (iii) market multiples of comparable public companies are subject to the most uncertainty. Since the reporting unit’s fair value equals its carrying value following the impairment, any further adverse change in these assumptions could result in additional goodwill impairment in future periods.</w:t>
      </w:r>
    </w:p>
    <w:p>
      <w:pPr>
        <w:spacing w:after="0" w:line="77" w:lineRule="exact"/>
        <w:rPr>
          <w:sz w:val="20"/>
          <w:szCs w:val="20"/>
          <w:color w:val="auto"/>
        </w:rPr>
      </w:pPr>
    </w:p>
    <w:p>
      <w:pPr>
        <w:jc w:val="both"/>
        <w:ind w:left="60" w:right="79" w:firstLine="648"/>
        <w:spacing w:after="0" w:line="253" w:lineRule="auto"/>
        <w:rPr>
          <w:sz w:val="20"/>
          <w:szCs w:val="20"/>
          <w:color w:val="auto"/>
        </w:rPr>
      </w:pPr>
      <w:r>
        <w:rPr>
          <w:rFonts w:ascii="Arial" w:cs="Arial" w:eastAsia="Arial" w:hAnsi="Arial"/>
          <w:sz w:val="18"/>
          <w:szCs w:val="18"/>
          <w:color w:val="auto"/>
        </w:rPr>
        <w:t>The Company’s interim goodwill impairment test as of March 31, 2026 and the Q2 26 Interim Goodwill Test concluded that the fair value of the RV and Outdoor Retail reporting unit exceeded its carrying value by 10% and 7%, respectively, and no goodwill impairment was recorded in those periods.</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18" w:name="page19"/>
    <w:bookmarkEnd w:id="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Intangible Assets</w:t>
      </w:r>
    </w:p>
    <w:p>
      <w:pPr>
        <w:spacing w:after="0" w:line="10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Finite-lived intangible assets and related accumulated amortization consisted of the following:</w:t>
      </w:r>
    </w:p>
    <w:p>
      <w:pPr>
        <w:spacing w:after="0" w:line="127" w:lineRule="exact"/>
        <w:rPr>
          <w:sz w:val="20"/>
          <w:szCs w:val="20"/>
          <w:color w:val="auto"/>
        </w:rPr>
      </w:pPr>
    </w:p>
    <w:tbl>
      <w:tblPr>
        <w:tblLayout w:type="fixed"/>
        <w:tblInd w:w="320" w:type="dxa"/>
        <w:tblCellMar>
          <w:top w:w="0" w:type="dxa"/>
          <w:left w:w="0" w:type="dxa"/>
          <w:bottom w:w="0" w:type="dxa"/>
          <w:right w:w="0" w:type="dxa"/>
        </w:tblCellMar>
      </w:tblPr>
      <w:tr>
        <w:trPr>
          <w:trHeight w:val="171"/>
        </w:trPr>
        <w:tc>
          <w:tcPr>
            <w:tcW w:w="5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7"/>
          </w:tcPr>
          <w:p>
            <w:pPr>
              <w:jc w:val="right"/>
              <w:ind w:right="30"/>
              <w:spacing w:after="0"/>
              <w:rPr>
                <w:sz w:val="20"/>
                <w:szCs w:val="20"/>
                <w:color w:val="auto"/>
              </w:rPr>
            </w:pPr>
            <w:r>
              <w:rPr>
                <w:rFonts w:ascii="Arial" w:cs="Arial" w:eastAsia="Arial" w:hAnsi="Arial"/>
                <w:sz w:val="14"/>
                <w:szCs w:val="14"/>
                <w:b w:val="1"/>
                <w:bCs w:val="1"/>
                <w:color w:val="auto"/>
              </w:rPr>
              <w:t>September 30, 2026</w:t>
            </w:r>
          </w:p>
        </w:tc>
        <w:tc>
          <w:tcPr>
            <w:tcW w:w="580" w:type="dxa"/>
            <w:vAlign w:val="bottom"/>
            <w:tcBorders>
              <w:bottom w:val="single" w:sz="8" w:color="auto"/>
            </w:tcBorders>
          </w:tcPr>
          <w:p>
            <w:pPr>
              <w:spacing w:after="0"/>
              <w:rPr>
                <w:sz w:val="14"/>
                <w:szCs w:val="14"/>
                <w:color w:val="auto"/>
              </w:rPr>
            </w:pPr>
          </w:p>
        </w:tc>
      </w:tr>
      <w:tr>
        <w:trPr>
          <w:trHeight w:val="146"/>
        </w:trPr>
        <w:tc>
          <w:tcPr>
            <w:tcW w:w="5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rPr>
              <w:t>Carrying</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71"/>
        </w:trPr>
        <w:tc>
          <w:tcPr>
            <w:tcW w:w="5420" w:type="dxa"/>
            <w:vAlign w:val="bottom"/>
          </w:tcPr>
          <w:p>
            <w:pPr>
              <w:spacing w:after="0"/>
              <w:rPr>
                <w:sz w:val="20"/>
                <w:szCs w:val="20"/>
                <w:color w:val="auto"/>
              </w:rPr>
            </w:pPr>
            <w:r>
              <w:rPr>
                <w:rFonts w:ascii="Arial" w:cs="Arial" w:eastAsia="Arial" w:hAnsi="Arial"/>
                <w:sz w:val="14"/>
                <w:szCs w:val="14"/>
                <w:color w:val="auto"/>
              </w:rPr>
              <w:t>($ in thousands)</w:t>
            </w:r>
          </w:p>
        </w:tc>
        <w:tc>
          <w:tcPr>
            <w:tcW w:w="30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rPr>
              <w:t>Value</w:t>
            </w:r>
          </w:p>
        </w:tc>
        <w:tc>
          <w:tcPr>
            <w:tcW w:w="60" w:type="dxa"/>
            <w:vAlign w:val="bottom"/>
          </w:tcPr>
          <w:p>
            <w:pPr>
              <w:spacing w:after="0"/>
              <w:rPr>
                <w:sz w:val="14"/>
                <w:szCs w:val="14"/>
                <w:color w:val="auto"/>
              </w:rPr>
            </w:pPr>
          </w:p>
        </w:tc>
        <w:tc>
          <w:tcPr>
            <w:tcW w:w="1100" w:type="dxa"/>
            <w:vAlign w:val="bottom"/>
            <w:gridSpan w:val="4"/>
          </w:tcPr>
          <w:p>
            <w:pPr>
              <w:jc w:val="right"/>
              <w:ind w:right="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Amortization</w:t>
            </w:r>
          </w:p>
        </w:tc>
        <w:tc>
          <w:tcPr>
            <w:tcW w:w="320" w:type="dxa"/>
            <w:vAlign w:val="bottom"/>
            <w:gridSpan w:val="2"/>
          </w:tcPr>
          <w:p>
            <w:pPr>
              <w:jc w:val="right"/>
              <w:ind w:right="70"/>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172"/>
              <w:spacing w:after="0"/>
              <w:rPr>
                <w:sz w:val="20"/>
                <w:szCs w:val="20"/>
                <w:color w:val="auto"/>
              </w:rPr>
            </w:pPr>
            <w:r>
              <w:rPr>
                <w:rFonts w:ascii="Arial" w:cs="Arial" w:eastAsia="Arial" w:hAnsi="Arial"/>
                <w:sz w:val="14"/>
                <w:szCs w:val="14"/>
                <w:b w:val="1"/>
                <w:bCs w:val="1"/>
                <w:color w:val="auto"/>
              </w:rPr>
              <w:t>Net</w:t>
            </w:r>
          </w:p>
        </w:tc>
      </w:tr>
      <w:tr>
        <w:trPr>
          <w:trHeight w:val="196"/>
        </w:trPr>
        <w:tc>
          <w:tcPr>
            <w:tcW w:w="54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Good Sam Services and Plans:</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r>
      <w:tr>
        <w:trPr>
          <w:trHeight w:val="203"/>
        </w:trPr>
        <w:tc>
          <w:tcPr>
            <w:tcW w:w="5420" w:type="dxa"/>
            <w:vAlign w:val="bottom"/>
          </w:tcPr>
          <w:p>
            <w:pPr>
              <w:ind w:left="220"/>
              <w:spacing w:after="0" w:line="202" w:lineRule="exact"/>
              <w:rPr>
                <w:sz w:val="20"/>
                <w:szCs w:val="20"/>
                <w:color w:val="auto"/>
              </w:rPr>
            </w:pPr>
            <w:r>
              <w:rPr>
                <w:rFonts w:ascii="Arial" w:cs="Arial" w:eastAsia="Arial" w:hAnsi="Arial"/>
                <w:sz w:val="18"/>
                <w:szCs w:val="18"/>
                <w:color w:val="auto"/>
              </w:rPr>
              <w:t>Membership, customer lists and other</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9,194</w:t>
            </w:r>
          </w:p>
        </w:tc>
        <w:tc>
          <w:tcPr>
            <w:tcW w:w="38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(9,158)</w:t>
            </w:r>
          </w:p>
        </w:tc>
        <w:tc>
          <w:tcPr>
            <w:tcW w:w="32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36</w:t>
            </w:r>
          </w:p>
        </w:tc>
      </w:tr>
      <w:tr>
        <w:trPr>
          <w:trHeight w:val="203"/>
        </w:trPr>
        <w:tc>
          <w:tcPr>
            <w:tcW w:w="54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Trademarks and trade names</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2,132</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(628)</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1,504</w:t>
            </w:r>
          </w:p>
        </w:tc>
      </w:tr>
      <w:tr>
        <w:trPr>
          <w:trHeight w:val="203"/>
        </w:trPr>
        <w:tc>
          <w:tcPr>
            <w:tcW w:w="5420" w:type="dxa"/>
            <w:vAlign w:val="bottom"/>
          </w:tcPr>
          <w:p>
            <w:pPr>
              <w:ind w:left="220"/>
              <w:spacing w:after="0" w:line="202" w:lineRule="exact"/>
              <w:rPr>
                <w:sz w:val="20"/>
                <w:szCs w:val="20"/>
                <w:color w:val="auto"/>
              </w:rPr>
            </w:pPr>
            <w:r>
              <w:rPr>
                <w:rFonts w:ascii="Arial" w:cs="Arial" w:eastAsia="Arial" w:hAnsi="Arial"/>
                <w:sz w:val="18"/>
                <w:szCs w:val="18"/>
                <w:color w:val="auto"/>
              </w:rPr>
              <w:t>Websites and developed technology</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3,649</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(2,586)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1,063</w:t>
            </w:r>
          </w:p>
        </w:tc>
      </w:tr>
      <w:tr>
        <w:trPr>
          <w:trHeight w:val="203"/>
        </w:trPr>
        <w:tc>
          <w:tcPr>
            <w:tcW w:w="5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RV and Outdoor Retail:</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r>
      <w:tr>
        <w:trPr>
          <w:trHeight w:val="203"/>
        </w:trPr>
        <w:tc>
          <w:tcPr>
            <w:tcW w:w="5420" w:type="dxa"/>
            <w:vAlign w:val="bottom"/>
          </w:tcPr>
          <w:p>
            <w:pPr>
              <w:ind w:left="220"/>
              <w:spacing w:after="0" w:line="202" w:lineRule="exact"/>
              <w:rPr>
                <w:sz w:val="20"/>
                <w:szCs w:val="20"/>
                <w:color w:val="auto"/>
              </w:rPr>
            </w:pPr>
            <w:r>
              <w:rPr>
                <w:rFonts w:ascii="Arial" w:cs="Arial" w:eastAsia="Arial" w:hAnsi="Arial"/>
                <w:sz w:val="18"/>
                <w:szCs w:val="18"/>
                <w:color w:val="auto"/>
              </w:rPr>
              <w:t>Customer lists, domain names and other</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4,114</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(3,413)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701</w:t>
            </w:r>
          </w:p>
        </w:tc>
      </w:tr>
      <w:tr>
        <w:trPr>
          <w:trHeight w:val="203"/>
        </w:trPr>
        <w:tc>
          <w:tcPr>
            <w:tcW w:w="54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Supplier lists and agreements</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9,500</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(2,152)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7,348</w:t>
            </w:r>
          </w:p>
        </w:tc>
      </w:tr>
      <w:tr>
        <w:trPr>
          <w:trHeight w:val="203"/>
        </w:trPr>
        <w:tc>
          <w:tcPr>
            <w:tcW w:w="5420" w:type="dxa"/>
            <w:vAlign w:val="bottom"/>
          </w:tcPr>
          <w:p>
            <w:pPr>
              <w:ind w:left="220"/>
              <w:spacing w:after="0" w:line="202" w:lineRule="exact"/>
              <w:rPr>
                <w:sz w:val="20"/>
                <w:szCs w:val="20"/>
                <w:color w:val="auto"/>
              </w:rPr>
            </w:pPr>
            <w:r>
              <w:rPr>
                <w:rFonts w:ascii="Arial" w:cs="Arial" w:eastAsia="Arial" w:hAnsi="Arial"/>
                <w:sz w:val="18"/>
                <w:szCs w:val="18"/>
                <w:color w:val="auto"/>
              </w:rPr>
              <w:t>Trademarks and trade names</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26,526</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(24,350)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2,176</w:t>
            </w:r>
          </w:p>
        </w:tc>
      </w:tr>
      <w:tr>
        <w:trPr>
          <w:trHeight w:val="203"/>
        </w:trPr>
        <w:tc>
          <w:tcPr>
            <w:tcW w:w="54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Websites and developed technology</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6,151</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(5,796)</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355</w:t>
            </w:r>
          </w:p>
        </w:tc>
      </w:tr>
      <w:tr>
        <w:trPr>
          <w:trHeight w:val="196"/>
        </w:trPr>
        <w:tc>
          <w:tcPr>
            <w:tcW w:w="5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99"/>
              </w:rPr>
              <w:t>$ 61,266</w:t>
            </w:r>
          </w:p>
        </w:tc>
        <w:tc>
          <w:tcPr>
            <w:tcW w:w="60" w:type="dxa"/>
            <w:vAlign w:val="bottom"/>
            <w:tcBorders>
              <w:top w:val="single" w:sz="8" w:color="auto"/>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(48,083)</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$ 13,183</w:t>
            </w:r>
          </w:p>
        </w:tc>
      </w:tr>
      <w:tr>
        <w:trPr>
          <w:trHeight w:val="20"/>
        </w:trPr>
        <w:tc>
          <w:tcPr>
            <w:tcW w:w="5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345"/>
        </w:trPr>
        <w:tc>
          <w:tcPr>
            <w:tcW w:w="5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7"/>
          </w:tcPr>
          <w:p>
            <w:pPr>
              <w:jc w:val="right"/>
              <w:ind w:right="70"/>
              <w:spacing w:after="0"/>
              <w:rPr>
                <w:sz w:val="20"/>
                <w:szCs w:val="20"/>
                <w:color w:val="auto"/>
              </w:rPr>
            </w:pPr>
            <w:r>
              <w:rPr>
                <w:rFonts w:ascii="Arial" w:cs="Arial" w:eastAsia="Arial" w:hAnsi="Arial"/>
                <w:sz w:val="14"/>
                <w:szCs w:val="14"/>
                <w:b w:val="1"/>
                <w:bCs w:val="1"/>
                <w:color w:val="auto"/>
              </w:rPr>
              <w:t>December 31, 2025</w:t>
            </w:r>
          </w:p>
        </w:tc>
        <w:tc>
          <w:tcPr>
            <w:tcW w:w="580" w:type="dxa"/>
            <w:vAlign w:val="bottom"/>
            <w:tcBorders>
              <w:bottom w:val="single" w:sz="8" w:color="auto"/>
            </w:tcBorders>
          </w:tcPr>
          <w:p>
            <w:pPr>
              <w:spacing w:after="0"/>
              <w:rPr>
                <w:sz w:val="24"/>
                <w:szCs w:val="24"/>
                <w:color w:val="auto"/>
              </w:rPr>
            </w:pPr>
          </w:p>
        </w:tc>
      </w:tr>
      <w:tr>
        <w:trPr>
          <w:trHeight w:val="146"/>
        </w:trPr>
        <w:tc>
          <w:tcPr>
            <w:tcW w:w="5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rPr>
              <w:t>Carrying</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71"/>
        </w:trPr>
        <w:tc>
          <w:tcPr>
            <w:tcW w:w="5420" w:type="dxa"/>
            <w:vAlign w:val="bottom"/>
          </w:tcPr>
          <w:p>
            <w:pPr>
              <w:spacing w:after="0"/>
              <w:rPr>
                <w:sz w:val="20"/>
                <w:szCs w:val="20"/>
                <w:color w:val="auto"/>
              </w:rPr>
            </w:pPr>
            <w:r>
              <w:rPr>
                <w:rFonts w:ascii="Arial" w:cs="Arial" w:eastAsia="Arial" w:hAnsi="Arial"/>
                <w:sz w:val="14"/>
                <w:szCs w:val="14"/>
                <w:color w:val="auto"/>
              </w:rPr>
              <w:t>($ in thousands)</w:t>
            </w:r>
          </w:p>
        </w:tc>
        <w:tc>
          <w:tcPr>
            <w:tcW w:w="30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rPr>
              <w:t>Value</w:t>
            </w:r>
          </w:p>
        </w:tc>
        <w:tc>
          <w:tcPr>
            <w:tcW w:w="60" w:type="dxa"/>
            <w:vAlign w:val="bottom"/>
          </w:tcPr>
          <w:p>
            <w:pPr>
              <w:spacing w:after="0"/>
              <w:rPr>
                <w:sz w:val="14"/>
                <w:szCs w:val="14"/>
                <w:color w:val="auto"/>
              </w:rPr>
            </w:pPr>
          </w:p>
        </w:tc>
        <w:tc>
          <w:tcPr>
            <w:tcW w:w="1100" w:type="dxa"/>
            <w:vAlign w:val="bottom"/>
            <w:gridSpan w:val="4"/>
          </w:tcPr>
          <w:p>
            <w:pPr>
              <w:jc w:val="right"/>
              <w:ind w:right="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Amortization</w:t>
            </w:r>
          </w:p>
        </w:tc>
        <w:tc>
          <w:tcPr>
            <w:tcW w:w="320" w:type="dxa"/>
            <w:vAlign w:val="bottom"/>
            <w:gridSpan w:val="2"/>
          </w:tcPr>
          <w:p>
            <w:pPr>
              <w:jc w:val="right"/>
              <w:ind w:right="70"/>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172"/>
              <w:spacing w:after="0"/>
              <w:rPr>
                <w:sz w:val="20"/>
                <w:szCs w:val="20"/>
                <w:color w:val="auto"/>
              </w:rPr>
            </w:pPr>
            <w:r>
              <w:rPr>
                <w:rFonts w:ascii="Arial" w:cs="Arial" w:eastAsia="Arial" w:hAnsi="Arial"/>
                <w:sz w:val="14"/>
                <w:szCs w:val="14"/>
                <w:b w:val="1"/>
                <w:bCs w:val="1"/>
                <w:color w:val="auto"/>
              </w:rPr>
              <w:t>Net</w:t>
            </w:r>
          </w:p>
        </w:tc>
      </w:tr>
      <w:tr>
        <w:trPr>
          <w:trHeight w:val="196"/>
        </w:trPr>
        <w:tc>
          <w:tcPr>
            <w:tcW w:w="54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Good Sam Services and Plans:</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r>
      <w:tr>
        <w:trPr>
          <w:trHeight w:val="203"/>
        </w:trPr>
        <w:tc>
          <w:tcPr>
            <w:tcW w:w="5420" w:type="dxa"/>
            <w:vAlign w:val="bottom"/>
          </w:tcPr>
          <w:p>
            <w:pPr>
              <w:ind w:left="220"/>
              <w:spacing w:after="0" w:line="202" w:lineRule="exact"/>
              <w:rPr>
                <w:sz w:val="20"/>
                <w:szCs w:val="20"/>
                <w:color w:val="auto"/>
              </w:rPr>
            </w:pPr>
            <w:r>
              <w:rPr>
                <w:rFonts w:ascii="Arial" w:cs="Arial" w:eastAsia="Arial" w:hAnsi="Arial"/>
                <w:sz w:val="18"/>
                <w:szCs w:val="18"/>
                <w:color w:val="auto"/>
              </w:rPr>
              <w:t>Membership, customer lists and other</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9,194</w:t>
            </w:r>
          </w:p>
        </w:tc>
        <w:tc>
          <w:tcPr>
            <w:tcW w:w="38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(9,140)</w:t>
            </w:r>
          </w:p>
        </w:tc>
        <w:tc>
          <w:tcPr>
            <w:tcW w:w="32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54</w:t>
            </w:r>
          </w:p>
        </w:tc>
      </w:tr>
      <w:tr>
        <w:trPr>
          <w:trHeight w:val="203"/>
        </w:trPr>
        <w:tc>
          <w:tcPr>
            <w:tcW w:w="54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Trademarks and trade names</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2,132</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(521)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1,611</w:t>
            </w:r>
          </w:p>
        </w:tc>
      </w:tr>
      <w:tr>
        <w:trPr>
          <w:trHeight w:val="203"/>
        </w:trPr>
        <w:tc>
          <w:tcPr>
            <w:tcW w:w="5420" w:type="dxa"/>
            <w:vAlign w:val="bottom"/>
          </w:tcPr>
          <w:p>
            <w:pPr>
              <w:ind w:left="220"/>
              <w:spacing w:after="0" w:line="202" w:lineRule="exact"/>
              <w:rPr>
                <w:sz w:val="20"/>
                <w:szCs w:val="20"/>
                <w:color w:val="auto"/>
              </w:rPr>
            </w:pPr>
            <w:r>
              <w:rPr>
                <w:rFonts w:ascii="Arial" w:cs="Arial" w:eastAsia="Arial" w:hAnsi="Arial"/>
                <w:sz w:val="18"/>
                <w:szCs w:val="18"/>
                <w:color w:val="auto"/>
              </w:rPr>
              <w:t>Websites and developed technology</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3,650</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(2,169)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1,481</w:t>
            </w:r>
          </w:p>
        </w:tc>
      </w:tr>
      <w:tr>
        <w:trPr>
          <w:trHeight w:val="203"/>
        </w:trPr>
        <w:tc>
          <w:tcPr>
            <w:tcW w:w="5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RV and Outdoor Retail:</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r>
      <w:tr>
        <w:trPr>
          <w:trHeight w:val="203"/>
        </w:trPr>
        <w:tc>
          <w:tcPr>
            <w:tcW w:w="5420" w:type="dxa"/>
            <w:vAlign w:val="bottom"/>
          </w:tcPr>
          <w:p>
            <w:pPr>
              <w:ind w:left="220"/>
              <w:spacing w:after="0" w:line="202" w:lineRule="exact"/>
              <w:rPr>
                <w:sz w:val="20"/>
                <w:szCs w:val="20"/>
                <w:color w:val="auto"/>
              </w:rPr>
            </w:pPr>
            <w:r>
              <w:rPr>
                <w:rFonts w:ascii="Arial" w:cs="Arial" w:eastAsia="Arial" w:hAnsi="Arial"/>
                <w:sz w:val="18"/>
                <w:szCs w:val="18"/>
                <w:color w:val="auto"/>
              </w:rPr>
              <w:t>Customer lists, domain names and other</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4,154</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(3,152)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1,002</w:t>
            </w:r>
          </w:p>
        </w:tc>
      </w:tr>
      <w:tr>
        <w:trPr>
          <w:trHeight w:val="203"/>
        </w:trPr>
        <w:tc>
          <w:tcPr>
            <w:tcW w:w="54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Supplier lists and agreements</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9,500</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(1,484)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8,016</w:t>
            </w:r>
          </w:p>
        </w:tc>
      </w:tr>
      <w:tr>
        <w:trPr>
          <w:trHeight w:val="203"/>
        </w:trPr>
        <w:tc>
          <w:tcPr>
            <w:tcW w:w="5420" w:type="dxa"/>
            <w:vAlign w:val="bottom"/>
          </w:tcPr>
          <w:p>
            <w:pPr>
              <w:ind w:left="220"/>
              <w:spacing w:after="0" w:line="202" w:lineRule="exact"/>
              <w:rPr>
                <w:sz w:val="20"/>
                <w:szCs w:val="20"/>
                <w:color w:val="auto"/>
              </w:rPr>
            </w:pPr>
            <w:r>
              <w:rPr>
                <w:rFonts w:ascii="Arial" w:cs="Arial" w:eastAsia="Arial" w:hAnsi="Arial"/>
                <w:sz w:val="18"/>
                <w:szCs w:val="18"/>
                <w:color w:val="auto"/>
              </w:rPr>
              <w:t>Trademarks and trade names</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26,526</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(23,345)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3,181</w:t>
            </w:r>
          </w:p>
        </w:tc>
      </w:tr>
      <w:tr>
        <w:trPr>
          <w:trHeight w:val="203"/>
        </w:trPr>
        <w:tc>
          <w:tcPr>
            <w:tcW w:w="54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Websites and developed technology</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6,151</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(5,672)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479</w:t>
            </w:r>
          </w:p>
        </w:tc>
      </w:tr>
      <w:tr>
        <w:trPr>
          <w:trHeight w:val="196"/>
        </w:trPr>
        <w:tc>
          <w:tcPr>
            <w:tcW w:w="5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99"/>
              </w:rPr>
              <w:t>$ 61,307</w:t>
            </w:r>
          </w:p>
        </w:tc>
        <w:tc>
          <w:tcPr>
            <w:tcW w:w="60" w:type="dxa"/>
            <w:vAlign w:val="bottom"/>
            <w:tcBorders>
              <w:top w:val="single" w:sz="8" w:color="auto"/>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(45,483)</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$ 15,824</w:t>
            </w:r>
          </w:p>
        </w:tc>
      </w:tr>
      <w:tr>
        <w:trPr>
          <w:trHeight w:val="20"/>
        </w:trPr>
        <w:tc>
          <w:tcPr>
            <w:tcW w:w="5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345"/>
        </w:trPr>
        <w:tc>
          <w:tcPr>
            <w:tcW w:w="5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7"/>
          </w:tcPr>
          <w:p>
            <w:pPr>
              <w:jc w:val="right"/>
              <w:ind w:right="30"/>
              <w:spacing w:after="0"/>
              <w:rPr>
                <w:sz w:val="20"/>
                <w:szCs w:val="20"/>
                <w:color w:val="auto"/>
              </w:rPr>
            </w:pPr>
            <w:r>
              <w:rPr>
                <w:rFonts w:ascii="Arial" w:cs="Arial" w:eastAsia="Arial" w:hAnsi="Arial"/>
                <w:sz w:val="14"/>
                <w:szCs w:val="14"/>
                <w:b w:val="1"/>
                <w:bCs w:val="1"/>
                <w:color w:val="auto"/>
              </w:rPr>
              <w:t>September 30, 2025</w:t>
            </w:r>
          </w:p>
        </w:tc>
        <w:tc>
          <w:tcPr>
            <w:tcW w:w="580" w:type="dxa"/>
            <w:vAlign w:val="bottom"/>
            <w:tcBorders>
              <w:bottom w:val="single" w:sz="8" w:color="auto"/>
            </w:tcBorders>
          </w:tcPr>
          <w:p>
            <w:pPr>
              <w:spacing w:after="0"/>
              <w:rPr>
                <w:sz w:val="24"/>
                <w:szCs w:val="24"/>
                <w:color w:val="auto"/>
              </w:rPr>
            </w:pPr>
          </w:p>
        </w:tc>
      </w:tr>
      <w:tr>
        <w:trPr>
          <w:trHeight w:val="146"/>
        </w:trPr>
        <w:tc>
          <w:tcPr>
            <w:tcW w:w="5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rPr>
              <w:t>Carrying</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71"/>
        </w:trPr>
        <w:tc>
          <w:tcPr>
            <w:tcW w:w="5420" w:type="dxa"/>
            <w:vAlign w:val="bottom"/>
          </w:tcPr>
          <w:p>
            <w:pPr>
              <w:spacing w:after="0"/>
              <w:rPr>
                <w:sz w:val="20"/>
                <w:szCs w:val="20"/>
                <w:color w:val="auto"/>
              </w:rPr>
            </w:pPr>
            <w:r>
              <w:rPr>
                <w:rFonts w:ascii="Arial" w:cs="Arial" w:eastAsia="Arial" w:hAnsi="Arial"/>
                <w:sz w:val="14"/>
                <w:szCs w:val="14"/>
                <w:color w:val="auto"/>
              </w:rPr>
              <w:t>($ in thousands)</w:t>
            </w:r>
          </w:p>
        </w:tc>
        <w:tc>
          <w:tcPr>
            <w:tcW w:w="30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rPr>
              <w:t>Value</w:t>
            </w:r>
          </w:p>
        </w:tc>
        <w:tc>
          <w:tcPr>
            <w:tcW w:w="60" w:type="dxa"/>
            <w:vAlign w:val="bottom"/>
          </w:tcPr>
          <w:p>
            <w:pPr>
              <w:spacing w:after="0"/>
              <w:rPr>
                <w:sz w:val="14"/>
                <w:szCs w:val="14"/>
                <w:color w:val="auto"/>
              </w:rPr>
            </w:pPr>
          </w:p>
        </w:tc>
        <w:tc>
          <w:tcPr>
            <w:tcW w:w="1100" w:type="dxa"/>
            <w:vAlign w:val="bottom"/>
            <w:gridSpan w:val="4"/>
          </w:tcPr>
          <w:p>
            <w:pPr>
              <w:jc w:val="right"/>
              <w:ind w:right="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Amortization</w:t>
            </w:r>
          </w:p>
        </w:tc>
        <w:tc>
          <w:tcPr>
            <w:tcW w:w="320" w:type="dxa"/>
            <w:vAlign w:val="bottom"/>
            <w:gridSpan w:val="2"/>
          </w:tcPr>
          <w:p>
            <w:pPr>
              <w:jc w:val="right"/>
              <w:ind w:right="70"/>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172"/>
              <w:spacing w:after="0"/>
              <w:rPr>
                <w:sz w:val="20"/>
                <w:szCs w:val="20"/>
                <w:color w:val="auto"/>
              </w:rPr>
            </w:pPr>
            <w:r>
              <w:rPr>
                <w:rFonts w:ascii="Arial" w:cs="Arial" w:eastAsia="Arial" w:hAnsi="Arial"/>
                <w:sz w:val="14"/>
                <w:szCs w:val="14"/>
                <w:b w:val="1"/>
                <w:bCs w:val="1"/>
                <w:color w:val="auto"/>
              </w:rPr>
              <w:t>Net</w:t>
            </w:r>
          </w:p>
        </w:tc>
      </w:tr>
      <w:tr>
        <w:trPr>
          <w:trHeight w:val="196"/>
        </w:trPr>
        <w:tc>
          <w:tcPr>
            <w:tcW w:w="54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Good Sam Services and Plans:</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r>
      <w:tr>
        <w:trPr>
          <w:trHeight w:val="203"/>
        </w:trPr>
        <w:tc>
          <w:tcPr>
            <w:tcW w:w="5420" w:type="dxa"/>
            <w:vAlign w:val="bottom"/>
          </w:tcPr>
          <w:p>
            <w:pPr>
              <w:ind w:left="220"/>
              <w:spacing w:after="0" w:line="202" w:lineRule="exact"/>
              <w:rPr>
                <w:sz w:val="20"/>
                <w:szCs w:val="20"/>
                <w:color w:val="auto"/>
              </w:rPr>
            </w:pPr>
            <w:r>
              <w:rPr>
                <w:rFonts w:ascii="Arial" w:cs="Arial" w:eastAsia="Arial" w:hAnsi="Arial"/>
                <w:sz w:val="18"/>
                <w:szCs w:val="18"/>
                <w:color w:val="auto"/>
              </w:rPr>
              <w:t>Membership, customer lists and other</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9,194</w:t>
            </w:r>
          </w:p>
        </w:tc>
        <w:tc>
          <w:tcPr>
            <w:tcW w:w="38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(9,133)</w:t>
            </w:r>
          </w:p>
        </w:tc>
        <w:tc>
          <w:tcPr>
            <w:tcW w:w="32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61</w:t>
            </w:r>
          </w:p>
        </w:tc>
      </w:tr>
      <w:tr>
        <w:trPr>
          <w:trHeight w:val="203"/>
        </w:trPr>
        <w:tc>
          <w:tcPr>
            <w:tcW w:w="54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Trademarks and trade names</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2,132</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(486)</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1,646</w:t>
            </w:r>
          </w:p>
        </w:tc>
      </w:tr>
      <w:tr>
        <w:trPr>
          <w:trHeight w:val="203"/>
        </w:trPr>
        <w:tc>
          <w:tcPr>
            <w:tcW w:w="5420" w:type="dxa"/>
            <w:vAlign w:val="bottom"/>
          </w:tcPr>
          <w:p>
            <w:pPr>
              <w:ind w:left="220"/>
              <w:spacing w:after="0" w:line="202" w:lineRule="exact"/>
              <w:rPr>
                <w:sz w:val="20"/>
                <w:szCs w:val="20"/>
                <w:color w:val="auto"/>
              </w:rPr>
            </w:pPr>
            <w:r>
              <w:rPr>
                <w:rFonts w:ascii="Arial" w:cs="Arial" w:eastAsia="Arial" w:hAnsi="Arial"/>
                <w:sz w:val="18"/>
                <w:szCs w:val="18"/>
                <w:color w:val="auto"/>
              </w:rPr>
              <w:t>Websites and developed technology</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3,650</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(2,031)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1,619</w:t>
            </w:r>
          </w:p>
        </w:tc>
      </w:tr>
      <w:tr>
        <w:trPr>
          <w:trHeight w:val="203"/>
        </w:trPr>
        <w:tc>
          <w:tcPr>
            <w:tcW w:w="5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RV and Outdoor Retail:</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r>
      <w:tr>
        <w:trPr>
          <w:trHeight w:val="203"/>
        </w:trPr>
        <w:tc>
          <w:tcPr>
            <w:tcW w:w="5420" w:type="dxa"/>
            <w:vAlign w:val="bottom"/>
          </w:tcPr>
          <w:p>
            <w:pPr>
              <w:ind w:left="220"/>
              <w:spacing w:after="0" w:line="202" w:lineRule="exact"/>
              <w:rPr>
                <w:sz w:val="20"/>
                <w:szCs w:val="20"/>
                <w:color w:val="auto"/>
              </w:rPr>
            </w:pPr>
            <w:r>
              <w:rPr>
                <w:rFonts w:ascii="Arial" w:cs="Arial" w:eastAsia="Arial" w:hAnsi="Arial"/>
                <w:sz w:val="18"/>
                <w:szCs w:val="18"/>
                <w:color w:val="auto"/>
              </w:rPr>
              <w:t>Customer lists, domain names and other</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4,154</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(3,052)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1,102</w:t>
            </w:r>
          </w:p>
        </w:tc>
      </w:tr>
      <w:tr>
        <w:trPr>
          <w:trHeight w:val="203"/>
        </w:trPr>
        <w:tc>
          <w:tcPr>
            <w:tcW w:w="54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Supplier lists and agreements</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9,500</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(1,262)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8,238</w:t>
            </w:r>
          </w:p>
        </w:tc>
      </w:tr>
      <w:tr>
        <w:trPr>
          <w:trHeight w:val="203"/>
        </w:trPr>
        <w:tc>
          <w:tcPr>
            <w:tcW w:w="5420" w:type="dxa"/>
            <w:vAlign w:val="bottom"/>
          </w:tcPr>
          <w:p>
            <w:pPr>
              <w:ind w:left="220"/>
              <w:spacing w:after="0" w:line="202" w:lineRule="exact"/>
              <w:rPr>
                <w:sz w:val="20"/>
                <w:szCs w:val="20"/>
                <w:color w:val="auto"/>
              </w:rPr>
            </w:pPr>
            <w:r>
              <w:rPr>
                <w:rFonts w:ascii="Arial" w:cs="Arial" w:eastAsia="Arial" w:hAnsi="Arial"/>
                <w:sz w:val="18"/>
                <w:szCs w:val="18"/>
                <w:color w:val="auto"/>
              </w:rPr>
              <w:t>Trademarks and trade names</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26,526</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(23,010)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3,516</w:t>
            </w:r>
          </w:p>
        </w:tc>
      </w:tr>
      <w:tr>
        <w:trPr>
          <w:trHeight w:val="203"/>
        </w:trPr>
        <w:tc>
          <w:tcPr>
            <w:tcW w:w="54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Websites and developed technology</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6,151</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(5,630)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521</w:t>
            </w:r>
          </w:p>
        </w:tc>
      </w:tr>
      <w:tr>
        <w:trPr>
          <w:trHeight w:val="196"/>
        </w:trPr>
        <w:tc>
          <w:tcPr>
            <w:tcW w:w="5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99"/>
              </w:rPr>
              <w:t>$ 61,307</w:t>
            </w:r>
          </w:p>
        </w:tc>
        <w:tc>
          <w:tcPr>
            <w:tcW w:w="60" w:type="dxa"/>
            <w:vAlign w:val="bottom"/>
            <w:tcBorders>
              <w:top w:val="single" w:sz="8" w:color="auto"/>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(44,604)</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$ 16,703</w:t>
            </w:r>
          </w:p>
        </w:tc>
      </w:tr>
      <w:tr>
        <w:trPr>
          <w:trHeight w:val="20"/>
        </w:trPr>
        <w:tc>
          <w:tcPr>
            <w:tcW w:w="5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Long-Term Debt</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Outstanding long-term debt consisted of the following:</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right"/>
              <w:ind w:right="175"/>
              <w:spacing w:after="0"/>
              <w:rPr>
                <w:sz w:val="20"/>
                <w:szCs w:val="20"/>
                <w:color w:val="auto"/>
              </w:rPr>
            </w:pPr>
            <w:r>
              <w:rPr>
                <w:rFonts w:ascii="Arial" w:cs="Arial" w:eastAsia="Arial" w:hAnsi="Arial"/>
                <w:sz w:val="14"/>
                <w:szCs w:val="14"/>
                <w:b w:val="1"/>
                <w:bCs w:val="1"/>
                <w:color w:val="auto"/>
              </w:rPr>
              <w:t>September 30,</w:t>
            </w:r>
          </w:p>
        </w:tc>
      </w:tr>
      <w:tr>
        <w:trPr>
          <w:trHeight w:val="171"/>
        </w:trPr>
        <w:tc>
          <w:tcPr>
            <w:tcW w:w="3620" w:type="dxa"/>
            <w:vAlign w:val="bottom"/>
          </w:tcPr>
          <w:p>
            <w:pPr>
              <w:ind w:left="20"/>
              <w:spacing w:after="0"/>
              <w:rPr>
                <w:sz w:val="20"/>
                <w:szCs w:val="20"/>
                <w:color w:val="auto"/>
              </w:rPr>
            </w:pPr>
            <w:r>
              <w:rPr>
                <w:rFonts w:ascii="Arial" w:cs="Arial" w:eastAsia="Arial" w:hAnsi="Arial"/>
                <w:sz w:val="14"/>
                <w:szCs w:val="14"/>
                <w:color w:val="auto"/>
              </w:rPr>
              <w:t>($ in thousands)</w:t>
            </w:r>
          </w:p>
        </w:tc>
        <w:tc>
          <w:tcPr>
            <w:tcW w:w="460" w:type="dxa"/>
            <w:vAlign w:val="bottom"/>
            <w:gridSpan w:val="2"/>
          </w:tcPr>
          <w:p>
            <w:pPr>
              <w:jc w:val="right"/>
              <w:ind w:right="170"/>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495"/>
              <w:spacing w:after="0"/>
              <w:rPr>
                <w:sz w:val="20"/>
                <w:szCs w:val="20"/>
                <w:color w:val="auto"/>
              </w:rPr>
            </w:pPr>
            <w:r>
              <w:rPr>
                <w:rFonts w:ascii="Arial" w:cs="Arial" w:eastAsia="Arial" w:hAnsi="Arial"/>
                <w:sz w:val="14"/>
                <w:szCs w:val="14"/>
                <w:b w:val="1"/>
                <w:bCs w:val="1"/>
                <w:color w:val="auto"/>
              </w:rPr>
              <w:t>2026</w:t>
            </w:r>
          </w:p>
        </w:tc>
        <w:tc>
          <w:tcPr>
            <w:tcW w:w="80" w:type="dxa"/>
            <w:vAlign w:val="bottom"/>
          </w:tcPr>
          <w:p>
            <w:pPr>
              <w:spacing w:after="0"/>
              <w:rPr>
                <w:sz w:val="14"/>
                <w:szCs w:val="14"/>
                <w:color w:val="auto"/>
              </w:rPr>
            </w:pPr>
          </w:p>
        </w:tc>
        <w:tc>
          <w:tcPr>
            <w:tcW w:w="380" w:type="dxa"/>
            <w:vAlign w:val="bottom"/>
            <w:gridSpan w:val="2"/>
          </w:tcPr>
          <w:p>
            <w:pPr>
              <w:jc w:val="right"/>
              <w:ind w:right="110"/>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495"/>
              <w:spacing w:after="0"/>
              <w:rPr>
                <w:sz w:val="20"/>
                <w:szCs w:val="20"/>
                <w:color w:val="auto"/>
              </w:rPr>
            </w:pPr>
            <w:r>
              <w:rPr>
                <w:rFonts w:ascii="Arial" w:cs="Arial" w:eastAsia="Arial" w:hAnsi="Arial"/>
                <w:sz w:val="14"/>
                <w:szCs w:val="14"/>
                <w:b w:val="1"/>
                <w:bCs w:val="1"/>
                <w:color w:val="auto"/>
              </w:rPr>
              <w:t>2025</w:t>
            </w:r>
          </w:p>
        </w:tc>
        <w:tc>
          <w:tcPr>
            <w:tcW w:w="60" w:type="dxa"/>
            <w:vAlign w:val="bottom"/>
          </w:tcPr>
          <w:p>
            <w:pPr>
              <w:spacing w:after="0"/>
              <w:rPr>
                <w:sz w:val="14"/>
                <w:szCs w:val="14"/>
                <w:color w:val="auto"/>
              </w:rPr>
            </w:pPr>
          </w:p>
        </w:tc>
        <w:tc>
          <w:tcPr>
            <w:tcW w:w="380" w:type="dxa"/>
            <w:vAlign w:val="bottom"/>
            <w:gridSpan w:val="2"/>
          </w:tcPr>
          <w:p>
            <w:pPr>
              <w:jc w:val="right"/>
              <w:ind w:right="9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495"/>
              <w:spacing w:after="0"/>
              <w:rPr>
                <w:sz w:val="20"/>
                <w:szCs w:val="20"/>
                <w:color w:val="auto"/>
              </w:rPr>
            </w:pPr>
            <w:r>
              <w:rPr>
                <w:rFonts w:ascii="Arial" w:cs="Arial" w:eastAsia="Arial" w:hAnsi="Arial"/>
                <w:sz w:val="14"/>
                <w:szCs w:val="14"/>
                <w:b w:val="1"/>
                <w:bCs w:val="1"/>
                <w:color w:val="auto"/>
              </w:rPr>
              <w:t>2025</w:t>
            </w:r>
          </w:p>
        </w:tc>
      </w:tr>
      <w:tr>
        <w:trPr>
          <w:trHeight w:val="196"/>
        </w:trPr>
        <w:tc>
          <w:tcPr>
            <w:tcW w:w="3620" w:type="dxa"/>
            <w:vAlign w:val="bottom"/>
            <w:tcBorders>
              <w:top w:val="single" w:sz="8" w:color="auto"/>
            </w:tcBorders>
            <w:shd w:val="clear" w:color="auto" w:fill="CCEEFF"/>
          </w:tcPr>
          <w:p>
            <w:pPr>
              <w:ind w:left="20"/>
              <w:spacing w:after="0" w:line="195" w:lineRule="exact"/>
              <w:rPr>
                <w:sz w:val="20"/>
                <w:szCs w:val="20"/>
                <w:color w:val="auto"/>
              </w:rPr>
            </w:pPr>
            <w:r>
              <w:rPr>
                <w:rFonts w:ascii="Arial" w:cs="Arial" w:eastAsia="Arial" w:hAnsi="Arial"/>
                <w:sz w:val="16"/>
                <w:szCs w:val="16"/>
                <w:color w:val="auto"/>
              </w:rPr>
              <w:t xml:space="preserve">Term Loan Facility </w:t>
            </w:r>
            <w:r>
              <w:rPr>
                <w:rFonts w:ascii="Arial" w:cs="Arial" w:eastAsia="Arial" w:hAnsi="Arial"/>
                <w:sz w:val="22"/>
                <w:szCs w:val="22"/>
                <w:color w:val="auto"/>
                <w:vertAlign w:val="superscript"/>
              </w:rPr>
              <w:t>(1)</w:t>
            </w: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1,284,057</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1,308,832</w:t>
            </w: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1,311,362</w:t>
            </w:r>
          </w:p>
        </w:tc>
      </w:tr>
      <w:tr>
        <w:trPr>
          <w:trHeight w:val="203"/>
        </w:trPr>
        <w:tc>
          <w:tcPr>
            <w:tcW w:w="3620" w:type="dxa"/>
            <w:vAlign w:val="bottom"/>
          </w:tcPr>
          <w:p>
            <w:pPr>
              <w:ind w:left="20"/>
              <w:spacing w:after="0" w:line="202" w:lineRule="exact"/>
              <w:rPr>
                <w:sz w:val="20"/>
                <w:szCs w:val="20"/>
                <w:color w:val="auto"/>
              </w:rPr>
            </w:pPr>
            <w:r>
              <w:rPr>
                <w:rFonts w:ascii="Arial" w:cs="Arial" w:eastAsia="Arial" w:hAnsi="Arial"/>
                <w:sz w:val="16"/>
                <w:szCs w:val="16"/>
                <w:color w:val="auto"/>
              </w:rPr>
              <w:t xml:space="preserve">Real Estate Facilities </w:t>
            </w:r>
            <w:r>
              <w:rPr>
                <w:rFonts w:ascii="Arial" w:cs="Arial" w:eastAsia="Arial" w:hAnsi="Arial"/>
                <w:sz w:val="23"/>
                <w:szCs w:val="23"/>
                <w:color w:val="auto"/>
                <w:vertAlign w:val="superscript"/>
              </w:rPr>
              <w:t>(2)</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132,029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155,137</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163,018</w:t>
            </w:r>
          </w:p>
        </w:tc>
      </w:tr>
      <w:tr>
        <w:trPr>
          <w:trHeight w:val="203"/>
        </w:trPr>
        <w:tc>
          <w:tcPr>
            <w:tcW w:w="36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Other Long-Term Debt</w:t>
            </w:r>
          </w:p>
        </w:tc>
        <w:tc>
          <w:tcPr>
            <w:tcW w:w="3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7,328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7,588</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7,676</w:t>
            </w:r>
          </w:p>
        </w:tc>
      </w:tr>
      <w:tr>
        <w:trPr>
          <w:trHeight w:val="196"/>
        </w:trPr>
        <w:tc>
          <w:tcPr>
            <w:tcW w:w="3620" w:type="dxa"/>
            <w:vAlign w:val="bottom"/>
          </w:tcPr>
          <w:p>
            <w:pPr>
              <w:ind w:left="20"/>
              <w:spacing w:after="0" w:line="196" w:lineRule="exact"/>
              <w:rPr>
                <w:sz w:val="20"/>
                <w:szCs w:val="20"/>
                <w:color w:val="auto"/>
              </w:rPr>
            </w:pPr>
            <w:r>
              <w:rPr>
                <w:rFonts w:ascii="Arial" w:cs="Arial" w:eastAsia="Arial" w:hAnsi="Arial"/>
                <w:sz w:val="18"/>
                <w:szCs w:val="18"/>
                <w:color w:val="auto"/>
              </w:rPr>
              <w:t>Subtotal</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1,423,414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1,471,557</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1,482,056</w:t>
            </w:r>
          </w:p>
        </w:tc>
      </w:tr>
      <w:tr>
        <w:trPr>
          <w:trHeight w:val="203"/>
        </w:trPr>
        <w:tc>
          <w:tcPr>
            <w:tcW w:w="36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Less: current portion</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(23,868)</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(57,939)</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(22,749)</w:t>
            </w:r>
          </w:p>
        </w:tc>
      </w:tr>
      <w:tr>
        <w:trPr>
          <w:trHeight w:val="196"/>
        </w:trPr>
        <w:tc>
          <w:tcPr>
            <w:tcW w:w="3620" w:type="dxa"/>
            <w:vAlign w:val="bottom"/>
          </w:tcPr>
          <w:p>
            <w:pPr>
              <w:ind w:left="20"/>
              <w:spacing w:after="0" w:line="196" w:lineRule="exact"/>
              <w:rPr>
                <w:sz w:val="20"/>
                <w:szCs w:val="20"/>
                <w:color w:val="auto"/>
              </w:rPr>
            </w:pPr>
            <w:r>
              <w:rPr>
                <w:rFonts w:ascii="Arial" w:cs="Arial" w:eastAsia="Arial" w:hAnsi="Arial"/>
                <w:sz w:val="18"/>
                <w:szCs w:val="18"/>
                <w:color w:val="auto"/>
              </w:rPr>
              <w:t>Total</w:t>
            </w:r>
          </w:p>
        </w:tc>
        <w:tc>
          <w:tcPr>
            <w:tcW w:w="3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1,399,546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1,413,618</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1,459,307</w:t>
            </w:r>
          </w:p>
        </w:tc>
      </w:tr>
      <w:tr>
        <w:trPr>
          <w:trHeight w:val="20"/>
        </w:trPr>
        <w:tc>
          <w:tcPr>
            <w:tcW w:w="3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2" w:right="1440" w:bottom="1440" w:gutter="0" w:footer="0" w:header="0"/>
        </w:sect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19" w:name="page20"/>
    <w:bookmarkEnd w:id="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left="380" w:right="79" w:hanging="330"/>
        <w:spacing w:after="0" w:line="214" w:lineRule="auto"/>
        <w:tabs>
          <w:tab w:leader="none" w:pos="380" w:val="left"/>
        </w:tabs>
        <w:numPr>
          <w:ilvl w:val="0"/>
          <w:numId w:val="12"/>
        </w:numPr>
        <w:rPr>
          <w:rFonts w:ascii="Arial" w:cs="Arial" w:eastAsia="Arial" w:hAnsi="Arial"/>
          <w:sz w:val="22"/>
          <w:szCs w:val="22"/>
          <w:color w:val="auto"/>
          <w:vertAlign w:val="superscript"/>
        </w:rPr>
      </w:pPr>
      <w:r>
        <w:rPr>
          <w:rFonts w:ascii="Arial" w:cs="Arial" w:eastAsia="Arial" w:hAnsi="Arial"/>
          <w:sz w:val="14"/>
          <w:szCs w:val="14"/>
          <w:color w:val="auto"/>
        </w:rPr>
        <w:t>Net of $4.9 million, $7.0 million, and $7.7 million of original issue discount as of September 30, 2026, December 31, 2025, and September 30, 2025, respectively, and $1.7 million, $2.6 million, and $2.9 million of finance costs as of September 30, 2026, December 31, 2025, and September 30, 2025, respectively.</w:t>
      </w:r>
    </w:p>
    <w:p>
      <w:pPr>
        <w:spacing w:after="0" w:line="81" w:lineRule="exact"/>
        <w:rPr>
          <w:rFonts w:ascii="Arial" w:cs="Arial" w:eastAsia="Arial" w:hAnsi="Arial"/>
          <w:sz w:val="22"/>
          <w:szCs w:val="22"/>
          <w:color w:val="auto"/>
          <w:vertAlign w:val="superscript"/>
        </w:rPr>
      </w:pPr>
    </w:p>
    <w:p>
      <w:pPr>
        <w:ind w:left="380" w:right="79" w:hanging="330"/>
        <w:spacing w:after="0" w:line="204" w:lineRule="auto"/>
        <w:tabs>
          <w:tab w:leader="none" w:pos="380" w:val="left"/>
        </w:tabs>
        <w:numPr>
          <w:ilvl w:val="0"/>
          <w:numId w:val="12"/>
        </w:numPr>
        <w:rPr>
          <w:rFonts w:ascii="Arial" w:cs="Arial" w:eastAsia="Arial" w:hAnsi="Arial"/>
          <w:sz w:val="22"/>
          <w:szCs w:val="22"/>
          <w:color w:val="auto"/>
          <w:vertAlign w:val="superscript"/>
        </w:rPr>
      </w:pPr>
      <w:r>
        <w:rPr>
          <w:rFonts w:ascii="Arial" w:cs="Arial" w:eastAsia="Arial" w:hAnsi="Arial"/>
          <w:sz w:val="14"/>
          <w:szCs w:val="14"/>
          <w:color w:val="auto"/>
        </w:rPr>
        <w:t>Net of $2.0 million, $2.0 million, and $2.2 million of finance costs as of September 30, 2026, December 31, 2025, and September 30, 2025, respectively.</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Senior Secured Credit Facilities</w:t>
      </w:r>
    </w:p>
    <w:p>
      <w:pPr>
        <w:spacing w:after="0" w:line="210"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As of September 30, 2026, December 31, 2025, and September 30, 2025, CWGS Group, LLC (the “Borrower”), a wholly-owned subsidiary of CWGS, LLC, was party to a credit agreement (the “Credit Agreement”) for a term loan facility (the “Term Loan Facility”) and a revolving credit facility (the “Revolving Credit Facility” and collectively the “Senior Secured Credit Facilities”).</w:t>
      </w:r>
    </w:p>
    <w:p>
      <w:pPr>
        <w:spacing w:after="0" w:line="174"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The following table details the outstanding amounts and available borrowings under the Senior Secured Credit Facilities:</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3"/>
          </w:tcPr>
          <w:p>
            <w:pPr>
              <w:ind w:left="10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22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4580" w:type="dxa"/>
            <w:vAlign w:val="bottom"/>
          </w:tcPr>
          <w:p>
            <w:pPr>
              <w:ind w:left="20"/>
              <w:spacing w:after="0"/>
              <w:rPr>
                <w:sz w:val="20"/>
                <w:szCs w:val="20"/>
                <w:color w:val="auto"/>
              </w:rPr>
            </w:pPr>
            <w:r>
              <w:rPr>
                <w:rFonts w:ascii="Arial" w:cs="Arial" w:eastAsia="Arial" w:hAnsi="Arial"/>
                <w:sz w:val="14"/>
                <w:szCs w:val="14"/>
                <w:color w:val="auto"/>
              </w:rPr>
              <w:t>($ in thousands)</w:t>
            </w:r>
          </w:p>
        </w:tc>
        <w:tc>
          <w:tcPr>
            <w:tcW w:w="460" w:type="dxa"/>
            <w:vAlign w:val="bottom"/>
            <w:gridSpan w:val="2"/>
          </w:tcPr>
          <w:p>
            <w:pPr>
              <w:jc w:val="right"/>
              <w:ind w:right="176"/>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352"/>
              <w:spacing w:after="0"/>
              <w:rPr>
                <w:sz w:val="20"/>
                <w:szCs w:val="20"/>
                <w:color w:val="auto"/>
              </w:rPr>
            </w:pPr>
            <w:r>
              <w:rPr>
                <w:rFonts w:ascii="Arial" w:cs="Arial" w:eastAsia="Arial" w:hAnsi="Arial"/>
                <w:sz w:val="14"/>
                <w:szCs w:val="14"/>
                <w:b w:val="1"/>
                <w:bCs w:val="1"/>
                <w:color w:val="auto"/>
              </w:rPr>
              <w:t>2026</w:t>
            </w:r>
          </w:p>
        </w:tc>
        <w:tc>
          <w:tcPr>
            <w:tcW w:w="40" w:type="dxa"/>
            <w:vAlign w:val="bottom"/>
          </w:tcPr>
          <w:p>
            <w:pPr>
              <w:spacing w:after="0"/>
              <w:rPr>
                <w:sz w:val="14"/>
                <w:szCs w:val="14"/>
                <w:color w:val="auto"/>
              </w:rPr>
            </w:pPr>
          </w:p>
        </w:tc>
        <w:tc>
          <w:tcPr>
            <w:tcW w:w="300" w:type="dxa"/>
            <w:vAlign w:val="bottom"/>
            <w:gridSpan w:val="2"/>
          </w:tcPr>
          <w:p>
            <w:pPr>
              <w:jc w:val="right"/>
              <w:ind w:right="5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373"/>
              <w:spacing w:after="0"/>
              <w:rPr>
                <w:sz w:val="20"/>
                <w:szCs w:val="20"/>
                <w:color w:val="auto"/>
              </w:rPr>
            </w:pPr>
            <w:r>
              <w:rPr>
                <w:rFonts w:ascii="Arial" w:cs="Arial" w:eastAsia="Arial" w:hAnsi="Arial"/>
                <w:sz w:val="14"/>
                <w:szCs w:val="14"/>
                <w:b w:val="1"/>
                <w:bCs w:val="1"/>
                <w:color w:val="auto"/>
              </w:rPr>
              <w:t>2025</w:t>
            </w:r>
          </w:p>
        </w:tc>
        <w:tc>
          <w:tcPr>
            <w:tcW w:w="40" w:type="dxa"/>
            <w:vAlign w:val="bottom"/>
          </w:tcPr>
          <w:p>
            <w:pPr>
              <w:spacing w:after="0"/>
              <w:rPr>
                <w:sz w:val="14"/>
                <w:szCs w:val="14"/>
                <w:color w:val="auto"/>
              </w:rPr>
            </w:pPr>
          </w:p>
        </w:tc>
        <w:tc>
          <w:tcPr>
            <w:tcW w:w="420" w:type="dxa"/>
            <w:vAlign w:val="bottom"/>
            <w:gridSpan w:val="2"/>
          </w:tcPr>
          <w:p>
            <w:pPr>
              <w:jc w:val="right"/>
              <w:ind w:right="176"/>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352"/>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96"/>
        </w:trPr>
        <w:tc>
          <w:tcPr>
            <w:tcW w:w="458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Senior Secured Credit Facilities:</w:t>
            </w: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80" w:type="dxa"/>
            <w:vAlign w:val="bottom"/>
          </w:tcPr>
          <w:p>
            <w:pPr>
              <w:ind w:left="120"/>
              <w:spacing w:after="0" w:line="202" w:lineRule="exact"/>
              <w:rPr>
                <w:sz w:val="20"/>
                <w:szCs w:val="20"/>
                <w:color w:val="auto"/>
              </w:rPr>
            </w:pPr>
            <w:r>
              <w:rPr>
                <w:rFonts w:ascii="Arial" w:cs="Arial" w:eastAsia="Arial" w:hAnsi="Arial"/>
                <w:sz w:val="18"/>
                <w:szCs w:val="18"/>
                <w:color w:val="auto"/>
              </w:rPr>
              <w:t>Term Loan Facility:</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Principal amount of borrowings</w:t>
            </w:r>
          </w:p>
        </w:tc>
        <w:tc>
          <w:tcPr>
            <w:tcW w:w="460" w:type="dxa"/>
            <w:vAlign w:val="bottom"/>
            <w:gridSpan w:val="2"/>
            <w:shd w:val="clear" w:color="auto" w:fill="CCEEFF"/>
          </w:tcPr>
          <w:p>
            <w:pPr>
              <w:jc w:val="right"/>
              <w:ind w:right="36"/>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1,400,000</w:t>
            </w:r>
          </w:p>
        </w:tc>
        <w:tc>
          <w:tcPr>
            <w:tcW w:w="4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1,400,000</w:t>
            </w:r>
          </w:p>
        </w:tc>
        <w:tc>
          <w:tcPr>
            <w:tcW w:w="4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36"/>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1,400,000</w:t>
            </w:r>
          </w:p>
        </w:tc>
        <w:tc>
          <w:tcPr>
            <w:tcW w:w="0" w:type="dxa"/>
            <w:vAlign w:val="bottom"/>
          </w:tcPr>
          <w:p>
            <w:pPr>
              <w:spacing w:after="0"/>
              <w:rPr>
                <w:sz w:val="1"/>
                <w:szCs w:val="1"/>
                <w:color w:val="auto"/>
              </w:rPr>
            </w:pPr>
          </w:p>
        </w:tc>
      </w:tr>
      <w:tr>
        <w:trPr>
          <w:trHeight w:val="202"/>
        </w:trPr>
        <w:tc>
          <w:tcPr>
            <w:tcW w:w="4580" w:type="dxa"/>
            <w:vAlign w:val="bottom"/>
          </w:tcPr>
          <w:p>
            <w:pPr>
              <w:ind w:left="220"/>
              <w:spacing w:after="0" w:line="202" w:lineRule="exact"/>
              <w:rPr>
                <w:sz w:val="20"/>
                <w:szCs w:val="20"/>
                <w:color w:val="auto"/>
              </w:rPr>
            </w:pPr>
            <w:r>
              <w:rPr>
                <w:rFonts w:ascii="Arial" w:cs="Arial" w:eastAsia="Arial" w:hAnsi="Arial"/>
                <w:sz w:val="18"/>
                <w:szCs w:val="18"/>
                <w:color w:val="auto"/>
              </w:rPr>
              <w:t>Less: cumulative principal payments</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(109,275)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(81,564)</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(78,060)</w:t>
            </w:r>
          </w:p>
        </w:tc>
        <w:tc>
          <w:tcPr>
            <w:tcW w:w="0" w:type="dxa"/>
            <w:vAlign w:val="bottom"/>
          </w:tcPr>
          <w:p>
            <w:pPr>
              <w:spacing w:after="0"/>
              <w:rPr>
                <w:sz w:val="1"/>
                <w:szCs w:val="1"/>
                <w:color w:val="auto"/>
              </w:rPr>
            </w:pPr>
          </w:p>
        </w:tc>
      </w:tr>
      <w:tr>
        <w:trPr>
          <w:trHeight w:val="203"/>
        </w:trPr>
        <w:tc>
          <w:tcPr>
            <w:tcW w:w="45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Less: unamortized original issue discount</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(4,921)</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(6,993)</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(7,665)</w:t>
            </w:r>
          </w:p>
        </w:tc>
        <w:tc>
          <w:tcPr>
            <w:tcW w:w="0" w:type="dxa"/>
            <w:vAlign w:val="bottom"/>
          </w:tcPr>
          <w:p>
            <w:pPr>
              <w:spacing w:after="0"/>
              <w:rPr>
                <w:sz w:val="1"/>
                <w:szCs w:val="1"/>
                <w:color w:val="auto"/>
              </w:rPr>
            </w:pPr>
          </w:p>
        </w:tc>
      </w:tr>
      <w:tr>
        <w:trPr>
          <w:trHeight w:val="203"/>
        </w:trPr>
        <w:tc>
          <w:tcPr>
            <w:tcW w:w="4580" w:type="dxa"/>
            <w:vAlign w:val="bottom"/>
          </w:tcPr>
          <w:p>
            <w:pPr>
              <w:ind w:left="220"/>
              <w:spacing w:after="0" w:line="202" w:lineRule="exact"/>
              <w:rPr>
                <w:sz w:val="20"/>
                <w:szCs w:val="20"/>
                <w:color w:val="auto"/>
              </w:rPr>
            </w:pPr>
            <w:r>
              <w:rPr>
                <w:rFonts w:ascii="Arial" w:cs="Arial" w:eastAsia="Arial" w:hAnsi="Arial"/>
                <w:sz w:val="18"/>
                <w:szCs w:val="18"/>
                <w:color w:val="auto"/>
              </w:rPr>
              <w:t>Less: unamortized finance costs</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(1,747)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(2,611)</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(2,913)</w:t>
            </w:r>
          </w:p>
        </w:tc>
        <w:tc>
          <w:tcPr>
            <w:tcW w:w="0" w:type="dxa"/>
            <w:vAlign w:val="bottom"/>
          </w:tcPr>
          <w:p>
            <w:pPr>
              <w:spacing w:after="0"/>
              <w:rPr>
                <w:sz w:val="1"/>
                <w:szCs w:val="1"/>
                <w:color w:val="auto"/>
              </w:rPr>
            </w:pPr>
          </w:p>
        </w:tc>
      </w:tr>
      <w:tr>
        <w:trPr>
          <w:trHeight w:val="196"/>
        </w:trPr>
        <w:tc>
          <w:tcPr>
            <w:tcW w:w="45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1,284,057</w:t>
            </w: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1,308,832</w:t>
            </w: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1,311,362</w:t>
            </w:r>
          </w:p>
        </w:tc>
        <w:tc>
          <w:tcPr>
            <w:tcW w:w="0" w:type="dxa"/>
            <w:vAlign w:val="bottom"/>
          </w:tcPr>
          <w:p>
            <w:pPr>
              <w:spacing w:after="0"/>
              <w:rPr>
                <w:sz w:val="1"/>
                <w:szCs w:val="1"/>
                <w:color w:val="auto"/>
              </w:rPr>
            </w:pPr>
          </w:p>
        </w:tc>
      </w:tr>
      <w:tr>
        <w:trPr>
          <w:trHeight w:val="203"/>
        </w:trPr>
        <w:tc>
          <w:tcPr>
            <w:tcW w:w="4580" w:type="dxa"/>
            <w:vAlign w:val="bottom"/>
          </w:tcPr>
          <w:p>
            <w:pPr>
              <w:ind w:left="220"/>
              <w:spacing w:after="0" w:line="202" w:lineRule="exact"/>
              <w:rPr>
                <w:sz w:val="20"/>
                <w:szCs w:val="20"/>
                <w:color w:val="auto"/>
              </w:rPr>
            </w:pPr>
            <w:r>
              <w:rPr>
                <w:rFonts w:ascii="Arial" w:cs="Arial" w:eastAsia="Arial" w:hAnsi="Arial"/>
                <w:sz w:val="18"/>
                <w:szCs w:val="18"/>
                <w:color w:val="auto"/>
              </w:rPr>
              <w:t>Less: current portion</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(14,015)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(14,015)</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(14,015)</w:t>
            </w:r>
          </w:p>
        </w:tc>
        <w:tc>
          <w:tcPr>
            <w:tcW w:w="0" w:type="dxa"/>
            <w:vAlign w:val="bottom"/>
          </w:tcPr>
          <w:p>
            <w:pPr>
              <w:spacing w:after="0"/>
              <w:rPr>
                <w:sz w:val="1"/>
                <w:szCs w:val="1"/>
                <w:color w:val="auto"/>
              </w:rPr>
            </w:pPr>
          </w:p>
        </w:tc>
      </w:tr>
      <w:tr>
        <w:trPr>
          <w:trHeight w:val="196"/>
        </w:trPr>
        <w:tc>
          <w:tcPr>
            <w:tcW w:w="4580" w:type="dxa"/>
            <w:vAlign w:val="bottom"/>
            <w:tcBorders>
              <w:top w:val="single" w:sz="8" w:color="CCEEFF"/>
              <w:bottom w:val="single" w:sz="8" w:color="CCEEFF"/>
            </w:tcBorders>
            <w:shd w:val="clear" w:color="auto" w:fill="CCEEFF"/>
          </w:tcPr>
          <w:p>
            <w:pPr>
              <w:ind w:left="340"/>
              <w:spacing w:after="0" w:line="196" w:lineRule="exact"/>
              <w:rPr>
                <w:sz w:val="20"/>
                <w:szCs w:val="20"/>
                <w:color w:val="auto"/>
              </w:rPr>
            </w:pPr>
            <w:r>
              <w:rPr>
                <w:rFonts w:ascii="Arial" w:cs="Arial" w:eastAsia="Arial" w:hAnsi="Arial"/>
                <w:sz w:val="18"/>
                <w:szCs w:val="18"/>
                <w:color w:val="auto"/>
              </w:rPr>
              <w:t>Long-term debt, net of current portion</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36"/>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1,270,042</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1,294,817</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36"/>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1,297,347</w:t>
            </w:r>
          </w:p>
        </w:tc>
        <w:tc>
          <w:tcPr>
            <w:tcW w:w="0" w:type="dxa"/>
            <w:vAlign w:val="bottom"/>
          </w:tcPr>
          <w:p>
            <w:pPr>
              <w:spacing w:after="0"/>
              <w:rPr>
                <w:sz w:val="1"/>
                <w:szCs w:val="1"/>
                <w:color w:val="auto"/>
              </w:rPr>
            </w:pPr>
          </w:p>
        </w:tc>
      </w:tr>
      <w:tr>
        <w:trPr>
          <w:trHeight w:val="20"/>
        </w:trPr>
        <w:tc>
          <w:tcPr>
            <w:tcW w:w="4580" w:type="dxa"/>
            <w:vAlign w:val="bottom"/>
            <w:vMerge w:val="restart"/>
          </w:tcPr>
          <w:p>
            <w:pPr>
              <w:ind w:left="120"/>
              <w:spacing w:after="0"/>
              <w:rPr>
                <w:sz w:val="20"/>
                <w:szCs w:val="20"/>
                <w:color w:val="auto"/>
              </w:rPr>
            </w:pPr>
            <w:r>
              <w:rPr>
                <w:rFonts w:ascii="Arial" w:cs="Arial" w:eastAsia="Arial" w:hAnsi="Arial"/>
                <w:sz w:val="18"/>
                <w:szCs w:val="18"/>
                <w:color w:val="auto"/>
              </w:rPr>
              <w:t>Revolving Credit Facility:</w:t>
            </w: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5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5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Total commitment</w:t>
            </w:r>
          </w:p>
        </w:tc>
        <w:tc>
          <w:tcPr>
            <w:tcW w:w="460" w:type="dxa"/>
            <w:vAlign w:val="bottom"/>
            <w:gridSpan w:val="2"/>
            <w:shd w:val="clear" w:color="auto" w:fill="CCEEFF"/>
          </w:tcPr>
          <w:p>
            <w:pPr>
              <w:jc w:val="right"/>
              <w:ind w:right="36"/>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65,000</w:t>
            </w:r>
          </w:p>
        </w:tc>
        <w:tc>
          <w:tcPr>
            <w:tcW w:w="4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65,000</w:t>
            </w:r>
          </w:p>
        </w:tc>
        <w:tc>
          <w:tcPr>
            <w:tcW w:w="4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36"/>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65,000</w:t>
            </w:r>
          </w:p>
        </w:tc>
        <w:tc>
          <w:tcPr>
            <w:tcW w:w="0" w:type="dxa"/>
            <w:vAlign w:val="bottom"/>
          </w:tcPr>
          <w:p>
            <w:pPr>
              <w:spacing w:after="0"/>
              <w:rPr>
                <w:sz w:val="1"/>
                <w:szCs w:val="1"/>
                <w:color w:val="auto"/>
              </w:rPr>
            </w:pPr>
          </w:p>
        </w:tc>
      </w:tr>
      <w:tr>
        <w:trPr>
          <w:trHeight w:val="203"/>
        </w:trPr>
        <w:tc>
          <w:tcPr>
            <w:tcW w:w="4580" w:type="dxa"/>
            <w:vAlign w:val="bottom"/>
          </w:tcPr>
          <w:p>
            <w:pPr>
              <w:ind w:left="220"/>
              <w:spacing w:after="0" w:line="202" w:lineRule="exact"/>
              <w:rPr>
                <w:sz w:val="20"/>
                <w:szCs w:val="20"/>
                <w:color w:val="auto"/>
              </w:rPr>
            </w:pPr>
            <w:r>
              <w:rPr>
                <w:rFonts w:ascii="Arial" w:cs="Arial" w:eastAsia="Arial" w:hAnsi="Arial"/>
                <w:sz w:val="18"/>
                <w:szCs w:val="18"/>
                <w:color w:val="auto"/>
              </w:rPr>
              <w:t>Less: outstanding letters of credit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(4,902)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(4,902)</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(4,902)</w:t>
            </w:r>
          </w:p>
        </w:tc>
        <w:tc>
          <w:tcPr>
            <w:tcW w:w="0" w:type="dxa"/>
            <w:vAlign w:val="bottom"/>
          </w:tcPr>
          <w:p>
            <w:pPr>
              <w:spacing w:after="0"/>
              <w:rPr>
                <w:sz w:val="1"/>
                <w:szCs w:val="1"/>
                <w:color w:val="auto"/>
              </w:rPr>
            </w:pPr>
          </w:p>
        </w:tc>
      </w:tr>
      <w:tr>
        <w:trPr>
          <w:trHeight w:val="203"/>
        </w:trPr>
        <w:tc>
          <w:tcPr>
            <w:tcW w:w="45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Less: total net leverage ratio borrowing limitation</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(37,348)</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(37,348)</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(37,348)</w:t>
            </w:r>
          </w:p>
        </w:tc>
        <w:tc>
          <w:tcPr>
            <w:tcW w:w="0" w:type="dxa"/>
            <w:vAlign w:val="bottom"/>
          </w:tcPr>
          <w:p>
            <w:pPr>
              <w:spacing w:after="0"/>
              <w:rPr>
                <w:sz w:val="1"/>
                <w:szCs w:val="1"/>
                <w:color w:val="auto"/>
              </w:rPr>
            </w:pPr>
          </w:p>
        </w:tc>
      </w:tr>
      <w:tr>
        <w:trPr>
          <w:trHeight w:val="196"/>
        </w:trPr>
        <w:tc>
          <w:tcPr>
            <w:tcW w:w="4580" w:type="dxa"/>
            <w:vAlign w:val="bottom"/>
          </w:tcPr>
          <w:p>
            <w:pPr>
              <w:ind w:left="340"/>
              <w:spacing w:after="0" w:line="196" w:lineRule="exact"/>
              <w:rPr>
                <w:sz w:val="20"/>
                <w:szCs w:val="20"/>
                <w:color w:val="auto"/>
              </w:rPr>
            </w:pPr>
            <w:r>
              <w:rPr>
                <w:rFonts w:ascii="Arial" w:cs="Arial" w:eastAsia="Arial" w:hAnsi="Arial"/>
                <w:sz w:val="18"/>
                <w:szCs w:val="18"/>
                <w:color w:val="auto"/>
              </w:rPr>
              <w:t>Additional borrowing capacity</w:t>
            </w:r>
          </w:p>
        </w:tc>
        <w:tc>
          <w:tcPr>
            <w:tcW w:w="22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36"/>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22,750</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22,750</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36"/>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22,750</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As of September 30, 2026, December 31, 2025, and September 30, 2025, the average interest rate on the Term Loan Facility was 6.52%, 6.33%, and 6.78%, respectively, and the effective interest rates were 6.54%, 6.77%, and 7.17%, respectively. In addition to the regularly scheduled quarterly principal payments, the Company made a voluntary principal payment on the Term Loan Facility of $ 17.2 million in February 2026. As of September 30, 2026, the Term Loan Facility matures on June 3, 2028, and the Revolving Credit Facility matures on March 3, 2028.</w:t>
      </w:r>
    </w:p>
    <w:p>
      <w:pPr>
        <w:spacing w:after="0" w:line="179"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Management has determined that the Senior Secured Credit Facilities include subjective acceleration clauses, which could impact debt classification. Management believes that no events have occurred as of September 30, 2026 that would trigger a subjective acceleration clause.</w:t>
      </w:r>
    </w:p>
    <w:p>
      <w:pPr>
        <w:spacing w:after="0" w:line="169"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The Credit Agreement requires the Borrower and its subsidiaries to comply on a quarterly basis with a maximum Total Net Leverage Ratio (as defined in the Credit Agreement), which covenant is in effect only if, as of the end of each calendar quarter, the aggregate amount of borrowings under the Revolving Credit Facility, letters of credit and unreimbursed letter of credit disbursements outstanding at such time is greater than 35% of the total commitment on the Revolving Credit Facility (excluding (i) up to $15.0 million attributable to any outstanding undrawn letters of credit and (ii) any cash collateralized or backstopped letters of credit), as defined in the Credit Agreement. As of September 30, 2026, the Company was not subject to this covenant as borrowings under the Revolving Credit Facility did not exceed the 35% threshold; however, the Company’s borrowing capacity was reduced by $37.3 million in light of this covenant. The Company was in compliance with all applicable financial debt covenants as of September 30, 2026, December 31, 2025, and September 30, 2025.</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20" w:name="page21"/>
    <w:bookmarkEnd w:id="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Real Estate Facilities</w:t>
      </w:r>
    </w:p>
    <w:p>
      <w:pPr>
        <w:spacing w:after="0" w:line="210"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7"/>
          <w:szCs w:val="17"/>
          <w:color w:val="auto"/>
        </w:rPr>
        <w:t>As of September 30, 2026, December 31, 2025, and September 30, 2025, certain subsidiaries (“FRHP Borrowers”) of FRHP Lincolnshire, LLC (“FRHP”), an indirect wholly-owned subsidiary of CWGS, LLC, were party to a credit agreement (as amended and/or restated from time to time) with Manufacturers and Traders Trust Company (“M&amp;T”), as administrative agent, and the other lenders party thereto. In August 2026, the FRHP Borrowers entered into an amended and restated credit agreement (“A&amp;R Mortgage Facility”) which amended and restated in its entirety the previous October 2022 credit agreement (as amended from time to time, the “Prior Mortgage Facility” and collectively with the A&amp;R Mortgage Facility, the “M&amp;T Real Estate Facility”).</w:t>
      </w:r>
    </w:p>
    <w:p>
      <w:pPr>
        <w:spacing w:after="0" w:line="141"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The A&amp;R Mortgage Facility provides for senior secured mortgage loan facilities in an aggregate principal amount of $ 175.0 million (reduced from a maximum of $300.0 million under the Prior Mortgage Facility), consisting of $132.8 million of mortgage loans funded at closing and $42.2 million of delayed draw mortgage loan commitments available through February 2031. The mortgage loans funded at closing continued and refinanced the loans outstanding under the Prior Mortgage Facility, and $20.8 million of additional funds were drawn at closing, net of fees and lender holdbacks. Borrowings under the A&amp;R Mortgage Facility bear interest, at the FRHP Borrowers’ option, at a term SOFR rate plus 2.30% per annum or a base rate plus 1.30% per annum, and the FRHP Borrowers pay a fee of 0.20% per annum on the average daily unused portion of the delayed draw commitments.</w:t>
      </w:r>
    </w:p>
    <w:p>
      <w:pPr>
        <w:spacing w:after="0" w:line="143"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The A&amp;R Mortgage Facility matures in August 2031, extending the October 2027 maturity date of the Prior Mortgage Facility. The mortgage loans amortize in quarterly installments in an aggregate annual amount equal to 5.0% of the original principal amount of such loans, commencing in September 2026, with the remaining unpaid balance due at maturity. Subject to specified conditions, the FRHP Borrowers retain the option to request up to an additional $100.0 million of borrowing capacity. The A&amp;R Mortgage Facility is secured by mortgages on specified real property of the FRHP Borrowers and related assets, and is guaranteed by the FRHP Borrowers and CWGS Group, LLC. The A&amp;R Mortgage Facility requires the FRHP Borrowers to maintain a consolidated debt service coverage ratio of not less than 1.10 to 1.00, tested as of the last day of each test period beginning with the test period ended September 30, 2026, and contains customary representations and warranties, affirmative and negative covenants and events of default.</w:t>
      </w:r>
    </w:p>
    <w:p>
      <w:pPr>
        <w:spacing w:after="0" w:line="139"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For the three months and nine months ended September 30, 2026, the Company determined that the refinancing of the Prior Mortgage Facility in August 2026 was a modification and recorded $0.5 million debt restructure expenses for third-party refinancing costs and a $0.3 million loss on debt restructure for the write-off of a portion of unamortized finance costs. For the nine months ended September 30, 2026 and September 30, 2025, FRHP made payments on the M&amp;T Real Estate Facility of $155.7 million and $2.9 million, respectively, to pay off the remaining principal balances related to certain properties. Of the $155.7 million paid during the nine months ended September 30, 2026, $30.1 million related to the principal repayment on the December 31, 2025 sale of real property, where the net proceeds of $ 15.1 million and principal repayment were not distributed through escrow until January 2, 2026, and $ 109.8 million related to the refinancing of the M&amp;T Real Estate Facility. In conjunction with the refinancing of the M&amp;T Real Estate Facility in August 2026, the prior principal balance of $109.8 million was paid, borrowings with principal of $132.8 million were made, $0.8 million of debt issuance costs were paid, and $0.5 million of debt restructure expenses were paid.</w:t>
      </w:r>
    </w:p>
    <w:p>
      <w:pPr>
        <w:spacing w:after="0" w:line="183"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As of September 30, 2026, December 31, 2025, and September 30, 2025, Camping World Property, LLC, successor by conversion to Camping World Property, Inc. (the “Real Estate Borrower”), an indirect wholly-owned subsidiary of CWGS, LLC, and CIBC Bank USA, were parties to a loan and security agreement for a real estate credit facility (as amended from time to time, the “First CIBC Real Estate Facility” and together with the M&amp;T Real Estate Facility, the “Real Estate Facilities”). The First CIBC Real Estate Facility matures in October 2028.</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1" w:name="page22"/>
    <w:bookmarkEnd w:id="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648"/>
        <w:spacing w:after="0" w:line="271" w:lineRule="auto"/>
        <w:rPr>
          <w:sz w:val="20"/>
          <w:szCs w:val="20"/>
          <w:color w:val="auto"/>
        </w:rPr>
      </w:pPr>
      <w:r>
        <w:rPr>
          <w:rFonts w:ascii="Arial" w:cs="Arial" w:eastAsia="Arial" w:hAnsi="Arial"/>
          <w:sz w:val="18"/>
          <w:szCs w:val="18"/>
          <w:color w:val="auto"/>
        </w:rPr>
        <w:t>The following table shows a summary of the outstanding balances, remaining available borrowings, and weighted average interest rate under the Real Estate Facilities:</w:t>
      </w:r>
    </w:p>
    <w:p>
      <w:pPr>
        <w:spacing w:after="0" w:line="69" w:lineRule="exact"/>
        <w:rPr>
          <w:sz w:val="20"/>
          <w:szCs w:val="20"/>
          <w:color w:val="auto"/>
        </w:rPr>
      </w:pPr>
    </w:p>
    <w:tbl>
      <w:tblPr>
        <w:tblLayout w:type="fixed"/>
        <w:tblInd w:w="500" w:type="dxa"/>
        <w:tblCellMar>
          <w:top w:w="0" w:type="dxa"/>
          <w:left w:w="0" w:type="dxa"/>
          <w:bottom w:w="0" w:type="dxa"/>
          <w:right w:w="0" w:type="dxa"/>
        </w:tblCellMar>
      </w:tblPr>
      <w:tr>
        <w:trPr>
          <w:trHeight w:val="171"/>
        </w:trPr>
        <w:tc>
          <w:tcPr>
            <w:tcW w:w="4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8"/>
          </w:tcPr>
          <w:p>
            <w:pPr>
              <w:jc w:val="center"/>
              <w:ind w:right="162"/>
              <w:spacing w:after="0"/>
              <w:rPr>
                <w:sz w:val="20"/>
                <w:szCs w:val="20"/>
                <w:color w:val="auto"/>
              </w:rPr>
            </w:pPr>
            <w:r>
              <w:rPr>
                <w:rFonts w:ascii="Arial" w:cs="Arial" w:eastAsia="Arial" w:hAnsi="Arial"/>
                <w:sz w:val="14"/>
                <w:szCs w:val="14"/>
                <w:b w:val="1"/>
                <w:bCs w:val="1"/>
                <w:color w:val="auto"/>
              </w:rPr>
              <w:t>As of September 30, 2026</w:t>
            </w:r>
          </w:p>
        </w:tc>
        <w:tc>
          <w:tcPr>
            <w:tcW w:w="0" w:type="dxa"/>
            <w:vAlign w:val="bottom"/>
          </w:tcPr>
          <w:p>
            <w:pPr>
              <w:spacing w:after="0"/>
              <w:rPr>
                <w:sz w:val="1"/>
                <w:szCs w:val="1"/>
                <w:color w:val="auto"/>
              </w:rPr>
            </w:pPr>
          </w:p>
        </w:tc>
      </w:tr>
      <w:tr>
        <w:trPr>
          <w:trHeight w:val="129"/>
        </w:trPr>
        <w:tc>
          <w:tcPr>
            <w:tcW w:w="4620" w:type="dxa"/>
            <w:vAlign w:val="bottom"/>
          </w:tcPr>
          <w:p>
            <w:pPr>
              <w:spacing w:after="0"/>
              <w:rPr>
                <w:sz w:val="11"/>
                <w:szCs w:val="11"/>
                <w:color w:val="auto"/>
              </w:rPr>
            </w:pPr>
          </w:p>
        </w:tc>
        <w:tc>
          <w:tcPr>
            <w:tcW w:w="1160" w:type="dxa"/>
            <w:vAlign w:val="bottom"/>
            <w:gridSpan w:val="3"/>
            <w:vMerge w:val="restart"/>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Outstanding</w:t>
            </w:r>
            <w:r>
              <w:rPr>
                <w:rFonts w:ascii="Arial" w:cs="Arial" w:eastAsia="Arial" w:hAnsi="Arial"/>
                <w:sz w:val="21"/>
                <w:szCs w:val="21"/>
                <w:b w:val="1"/>
                <w:bCs w:val="1"/>
                <w:color w:val="auto"/>
                <w:vertAlign w:val="superscript"/>
              </w:rPr>
              <w:t>(1)</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jc w:val="center"/>
              <w:ind w:right="3"/>
              <w:spacing w:after="0" w:line="129" w:lineRule="exact"/>
              <w:rPr>
                <w:sz w:val="20"/>
                <w:szCs w:val="20"/>
                <w:color w:val="auto"/>
              </w:rPr>
            </w:pPr>
            <w:r>
              <w:rPr>
                <w:rFonts w:ascii="Arial" w:cs="Arial" w:eastAsia="Arial" w:hAnsi="Arial"/>
                <w:sz w:val="14"/>
                <w:szCs w:val="14"/>
                <w:b w:val="1"/>
                <w:bCs w:val="1"/>
                <w:color w:val="auto"/>
              </w:rPr>
              <w:t>Remaining</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Wtd. Average</w:t>
            </w:r>
          </w:p>
        </w:tc>
        <w:tc>
          <w:tcPr>
            <w:tcW w:w="0" w:type="dxa"/>
            <w:vAlign w:val="bottom"/>
          </w:tcPr>
          <w:p>
            <w:pPr>
              <w:spacing w:after="0"/>
              <w:rPr>
                <w:sz w:val="1"/>
                <w:szCs w:val="1"/>
                <w:color w:val="auto"/>
              </w:rPr>
            </w:pPr>
          </w:p>
        </w:tc>
      </w:tr>
      <w:tr>
        <w:trPr>
          <w:trHeight w:val="189"/>
        </w:trPr>
        <w:tc>
          <w:tcPr>
            <w:tcW w:w="4620" w:type="dxa"/>
            <w:vAlign w:val="bottom"/>
          </w:tcPr>
          <w:p>
            <w:pPr>
              <w:spacing w:after="0"/>
              <w:rPr>
                <w:sz w:val="20"/>
                <w:szCs w:val="20"/>
                <w:color w:val="auto"/>
              </w:rPr>
            </w:pPr>
            <w:r>
              <w:rPr>
                <w:rFonts w:ascii="Arial" w:cs="Arial" w:eastAsia="Arial" w:hAnsi="Arial"/>
                <w:sz w:val="14"/>
                <w:szCs w:val="14"/>
                <w:color w:val="auto"/>
              </w:rPr>
              <w:t>($ in thousands)</w:t>
            </w:r>
          </w:p>
        </w:tc>
        <w:tc>
          <w:tcPr>
            <w:tcW w:w="1160" w:type="dxa"/>
            <w:vAlign w:val="bottom"/>
            <w:gridSpan w:val="3"/>
            <w:vMerge w:val="continue"/>
          </w:tcPr>
          <w:p>
            <w:pPr>
              <w:spacing w:after="0"/>
              <w:rPr>
                <w:sz w:val="16"/>
                <w:szCs w:val="16"/>
                <w:color w:val="auto"/>
              </w:rPr>
            </w:pPr>
          </w:p>
        </w:tc>
        <w:tc>
          <w:tcPr>
            <w:tcW w:w="2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center"/>
              <w:spacing w:after="0" w:line="189" w:lineRule="exact"/>
              <w:rPr>
                <w:sz w:val="20"/>
                <w:szCs w:val="20"/>
                <w:color w:val="auto"/>
              </w:rPr>
            </w:pPr>
            <w:r>
              <w:rPr>
                <w:rFonts w:ascii="Arial" w:cs="Arial" w:eastAsia="Arial" w:hAnsi="Arial"/>
                <w:sz w:val="14"/>
                <w:szCs w:val="14"/>
                <w:b w:val="1"/>
                <w:bCs w:val="1"/>
                <w:color w:val="auto"/>
                <w:w w:val="96"/>
              </w:rPr>
              <w:t>Available</w:t>
            </w:r>
            <w:r>
              <w:rPr>
                <w:rFonts w:ascii="Arial" w:cs="Arial" w:eastAsia="Arial" w:hAnsi="Arial"/>
                <w:sz w:val="21"/>
                <w:szCs w:val="21"/>
                <w:b w:val="1"/>
                <w:bCs w:val="1"/>
                <w:color w:val="auto"/>
                <w:w w:val="96"/>
                <w:vertAlign w:val="superscript"/>
              </w:rPr>
              <w:t>(2)</w:t>
            </w:r>
          </w:p>
        </w:tc>
        <w:tc>
          <w:tcPr>
            <w:tcW w:w="20" w:type="dxa"/>
            <w:vAlign w:val="bottom"/>
          </w:tcPr>
          <w:p>
            <w:pPr>
              <w:spacing w:after="0"/>
              <w:rPr>
                <w:sz w:val="16"/>
                <w:szCs w:val="16"/>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Interest Rate</w:t>
            </w:r>
          </w:p>
        </w:tc>
        <w:tc>
          <w:tcPr>
            <w:tcW w:w="0" w:type="dxa"/>
            <w:vAlign w:val="bottom"/>
          </w:tcPr>
          <w:p>
            <w:pPr>
              <w:spacing w:after="0"/>
              <w:rPr>
                <w:sz w:val="1"/>
                <w:szCs w:val="1"/>
                <w:color w:val="auto"/>
              </w:rPr>
            </w:pPr>
          </w:p>
        </w:tc>
      </w:tr>
      <w:tr>
        <w:trPr>
          <w:trHeight w:val="183"/>
        </w:trPr>
        <w:tc>
          <w:tcPr>
            <w:tcW w:w="462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Real Estate Facilities</w:t>
            </w:r>
          </w:p>
        </w:tc>
        <w:tc>
          <w:tcPr>
            <w:tcW w:w="1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620" w:type="dxa"/>
            <w:vAlign w:val="bottom"/>
          </w:tcPr>
          <w:p>
            <w:pPr>
              <w:ind w:left="100"/>
              <w:spacing w:after="0"/>
              <w:rPr>
                <w:sz w:val="20"/>
                <w:szCs w:val="20"/>
                <w:color w:val="auto"/>
              </w:rPr>
            </w:pPr>
            <w:r>
              <w:rPr>
                <w:rFonts w:ascii="Arial" w:cs="Arial" w:eastAsia="Arial" w:hAnsi="Arial"/>
                <w:sz w:val="16"/>
                <w:szCs w:val="16"/>
                <w:color w:val="auto"/>
              </w:rPr>
              <w:t>M&amp;T Real Estate Facility</w:t>
            </w:r>
          </w:p>
        </w:tc>
        <w:tc>
          <w:tcPr>
            <w:tcW w:w="38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129,139</w:t>
            </w:r>
          </w:p>
        </w:tc>
        <w:tc>
          <w:tcPr>
            <w:tcW w:w="2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42,213</w:t>
            </w:r>
          </w:p>
        </w:tc>
        <w:tc>
          <w:tcPr>
            <w:tcW w:w="180" w:type="dxa"/>
            <w:vAlign w:val="bottom"/>
            <w:gridSpan w:val="2"/>
          </w:tcPr>
          <w:p>
            <w:pPr>
              <w:jc w:val="right"/>
              <w:spacing w:after="0"/>
              <w:rPr>
                <w:sz w:val="20"/>
                <w:szCs w:val="20"/>
                <w:color w:val="auto"/>
              </w:rPr>
            </w:pPr>
            <w:r>
              <w:rPr>
                <w:rFonts w:ascii="Arial" w:cs="Arial" w:eastAsia="Arial" w:hAnsi="Arial"/>
                <w:sz w:val="12"/>
                <w:szCs w:val="12"/>
                <w:color w:val="auto"/>
              </w:rPr>
              <w:t>(3)</w:t>
            </w:r>
          </w:p>
        </w:tc>
        <w:tc>
          <w:tcPr>
            <w:tcW w:w="960" w:type="dxa"/>
            <w:vAlign w:val="bottom"/>
          </w:tcPr>
          <w:p>
            <w:pPr>
              <w:jc w:val="right"/>
              <w:spacing w:after="0"/>
              <w:rPr>
                <w:sz w:val="20"/>
                <w:szCs w:val="20"/>
                <w:color w:val="auto"/>
              </w:rPr>
            </w:pPr>
            <w:r>
              <w:rPr>
                <w:rFonts w:ascii="Arial" w:cs="Arial" w:eastAsia="Arial" w:hAnsi="Arial"/>
                <w:sz w:val="16"/>
                <w:szCs w:val="16"/>
                <w:color w:val="auto"/>
              </w:rPr>
              <w:t>5.97%</w:t>
            </w:r>
          </w:p>
        </w:tc>
        <w:tc>
          <w:tcPr>
            <w:tcW w:w="0" w:type="dxa"/>
            <w:vAlign w:val="bottom"/>
          </w:tcPr>
          <w:p>
            <w:pPr>
              <w:spacing w:after="0"/>
              <w:rPr>
                <w:sz w:val="1"/>
                <w:szCs w:val="1"/>
                <w:color w:val="auto"/>
              </w:rPr>
            </w:pPr>
          </w:p>
        </w:tc>
      </w:tr>
      <w:tr>
        <w:trPr>
          <w:trHeight w:val="189"/>
        </w:trPr>
        <w:tc>
          <w:tcPr>
            <w:tcW w:w="46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First CIBC Real Estate Facility</w:t>
            </w:r>
          </w:p>
        </w:tc>
        <w:tc>
          <w:tcPr>
            <w:tcW w:w="16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2,890</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w:t>
            </w:r>
          </w:p>
        </w:tc>
        <w:tc>
          <w:tcPr>
            <w:tcW w:w="0" w:type="dxa"/>
            <w:vAlign w:val="bottom"/>
          </w:tcPr>
          <w:p>
            <w:pPr>
              <w:spacing w:after="0"/>
              <w:rPr>
                <w:sz w:val="1"/>
                <w:szCs w:val="1"/>
                <w:color w:val="auto"/>
              </w:rPr>
            </w:pPr>
          </w:p>
        </w:tc>
      </w:tr>
      <w:tr>
        <w:trPr>
          <w:trHeight w:val="183"/>
        </w:trPr>
        <w:tc>
          <w:tcPr>
            <w:tcW w:w="4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jc w:val="right"/>
              <w:ind w:right="39"/>
              <w:spacing w:after="0" w:line="183" w:lineRule="exact"/>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line="183" w:lineRule="exact"/>
              <w:rPr>
                <w:sz w:val="20"/>
                <w:szCs w:val="20"/>
                <w:color w:val="auto"/>
              </w:rPr>
            </w:pPr>
            <w:r>
              <w:rPr>
                <w:rFonts w:ascii="Arial" w:cs="Arial" w:eastAsia="Arial" w:hAnsi="Arial"/>
                <w:sz w:val="16"/>
                <w:szCs w:val="16"/>
                <w:color w:val="auto"/>
              </w:rPr>
              <w:t>132,029</w:t>
            </w:r>
          </w:p>
        </w:tc>
        <w:tc>
          <w:tcPr>
            <w:tcW w:w="160" w:type="dxa"/>
            <w:vAlign w:val="bottom"/>
            <w:gridSpan w:val="2"/>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line="183" w:lineRule="exact"/>
              <w:rPr>
                <w:sz w:val="20"/>
                <w:szCs w:val="20"/>
                <w:color w:val="auto"/>
              </w:rPr>
            </w:pPr>
            <w:r>
              <w:rPr>
                <w:rFonts w:ascii="Arial" w:cs="Arial" w:eastAsia="Arial" w:hAnsi="Arial"/>
                <w:sz w:val="16"/>
                <w:szCs w:val="16"/>
                <w:color w:val="auto"/>
              </w:rPr>
              <w:t>42,213</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1" w:lineRule="exact"/>
        <w:rPr>
          <w:sz w:val="20"/>
          <w:szCs w:val="20"/>
          <w:color w:val="auto"/>
        </w:rPr>
      </w:pPr>
    </w:p>
    <w:p>
      <w:pPr>
        <w:ind w:left="380" w:hanging="330"/>
        <w:spacing w:after="0"/>
        <w:tabs>
          <w:tab w:leader="none" w:pos="380" w:val="left"/>
        </w:tabs>
        <w:numPr>
          <w:ilvl w:val="0"/>
          <w:numId w:val="13"/>
        </w:numPr>
        <w:rPr>
          <w:rFonts w:ascii="Arial" w:cs="Arial" w:eastAsia="Arial" w:hAnsi="Arial"/>
          <w:sz w:val="22"/>
          <w:szCs w:val="22"/>
          <w:color w:val="auto"/>
          <w:vertAlign w:val="superscript"/>
        </w:rPr>
      </w:pPr>
      <w:r>
        <w:rPr>
          <w:rFonts w:ascii="Arial" w:cs="Arial" w:eastAsia="Arial" w:hAnsi="Arial"/>
          <w:sz w:val="14"/>
          <w:szCs w:val="14"/>
          <w:color w:val="auto"/>
        </w:rPr>
        <w:t>Outstanding principal amounts are net of unamortized finance costs.</w:t>
      </w:r>
    </w:p>
    <w:p>
      <w:pPr>
        <w:spacing w:after="0" w:line="66" w:lineRule="exact"/>
        <w:rPr>
          <w:rFonts w:ascii="Arial" w:cs="Arial" w:eastAsia="Arial" w:hAnsi="Arial"/>
          <w:sz w:val="22"/>
          <w:szCs w:val="22"/>
          <w:color w:val="auto"/>
          <w:vertAlign w:val="superscript"/>
        </w:rPr>
      </w:pPr>
    </w:p>
    <w:p>
      <w:pPr>
        <w:ind w:left="380" w:hanging="330"/>
        <w:spacing w:after="0" w:line="183" w:lineRule="auto"/>
        <w:tabs>
          <w:tab w:leader="none" w:pos="380" w:val="left"/>
        </w:tabs>
        <w:numPr>
          <w:ilvl w:val="0"/>
          <w:numId w:val="13"/>
        </w:numPr>
        <w:rPr>
          <w:rFonts w:ascii="Arial" w:cs="Arial" w:eastAsia="Arial" w:hAnsi="Arial"/>
          <w:sz w:val="20"/>
          <w:szCs w:val="20"/>
          <w:color w:val="auto"/>
          <w:vertAlign w:val="superscript"/>
        </w:rPr>
      </w:pPr>
      <w:r>
        <w:rPr>
          <w:rFonts w:ascii="Arial" w:cs="Arial" w:eastAsia="Arial" w:hAnsi="Arial"/>
          <w:sz w:val="14"/>
          <w:szCs w:val="14"/>
          <w:color w:val="auto"/>
        </w:rPr>
        <w:t>Amounts cannot be reborrowed.</w:t>
      </w:r>
    </w:p>
    <w:p>
      <w:pPr>
        <w:spacing w:after="0" w:line="67" w:lineRule="exact"/>
        <w:rPr>
          <w:rFonts w:ascii="Arial" w:cs="Arial" w:eastAsia="Arial" w:hAnsi="Arial"/>
          <w:sz w:val="20"/>
          <w:szCs w:val="20"/>
          <w:color w:val="auto"/>
          <w:vertAlign w:val="superscript"/>
        </w:rPr>
      </w:pPr>
    </w:p>
    <w:p>
      <w:pPr>
        <w:ind w:left="380" w:right="79" w:hanging="330"/>
        <w:spacing w:after="0" w:line="211" w:lineRule="auto"/>
        <w:tabs>
          <w:tab w:leader="none" w:pos="380" w:val="left"/>
        </w:tabs>
        <w:numPr>
          <w:ilvl w:val="0"/>
          <w:numId w:val="13"/>
        </w:numPr>
        <w:rPr>
          <w:rFonts w:ascii="Arial" w:cs="Arial" w:eastAsia="Arial" w:hAnsi="Arial"/>
          <w:sz w:val="22"/>
          <w:szCs w:val="22"/>
          <w:color w:val="auto"/>
          <w:vertAlign w:val="superscript"/>
        </w:rPr>
      </w:pPr>
      <w:r>
        <w:rPr>
          <w:rFonts w:ascii="Arial" w:cs="Arial" w:eastAsia="Arial" w:hAnsi="Arial"/>
          <w:sz w:val="14"/>
          <w:szCs w:val="14"/>
          <w:color w:val="auto"/>
        </w:rPr>
        <w:t>Additional borrowings on the M&amp;T Real Estate Facility are subject to a debt service coverage ratio covenant and to the property collateral requirements under the M&amp;T Real Estate Facility.</w:t>
      </w:r>
    </w:p>
    <w:p>
      <w:pPr>
        <w:spacing w:after="0" w:line="233"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Management has determined that the credit agreements governing the Real Estate Facilities include subjective acceleration clauses, which could impact debt classification. Management believes that no events have occurred as of September 30, 2026 that would trigger a subjective acceleration clause. Additionally, the Real Estate Facilities are subject to certain cross-default provisions, a debt service coverage ratio, and other customary covenants. The Company was in compliance with all financial debt covenants as of September 30, 2026, December 31, 2025, and September 30, 2025.</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Long-Term Debt</w:t>
      </w:r>
    </w:p>
    <w:p>
      <w:pPr>
        <w:spacing w:after="0" w:line="210"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As of September 30, 2026, the outstanding principal balance of other long-term debt was $7.3 million with a weighted average interest rate of 4.27%.</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Lease Obligations</w:t>
      </w:r>
    </w:p>
    <w:p>
      <w:pPr>
        <w:spacing w:after="0" w:line="212"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The following table presents certain information related to the costs for leases where the Company is the lessee:</w:t>
      </w:r>
    </w:p>
    <w:p>
      <w:pPr>
        <w:spacing w:after="0" w:line="69"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3360" w:type="dxa"/>
            <w:vAlign w:val="bottom"/>
            <w:vMerge w:val="restart"/>
          </w:tcPr>
          <w:p>
            <w:pPr>
              <w:spacing w:after="0"/>
              <w:rPr>
                <w:sz w:val="20"/>
                <w:szCs w:val="20"/>
                <w:color w:val="auto"/>
              </w:rPr>
            </w:pPr>
            <w:r>
              <w:rPr>
                <w:rFonts w:ascii="Arial" w:cs="Arial" w:eastAsia="Arial" w:hAnsi="Arial"/>
                <w:sz w:val="14"/>
                <w:szCs w:val="14"/>
                <w:color w:val="auto"/>
              </w:rPr>
              <w:t>($ in thousands)</w:t>
            </w:r>
          </w:p>
        </w:tc>
        <w:tc>
          <w:tcPr>
            <w:tcW w:w="2900" w:type="dxa"/>
            <w:vAlign w:val="bottom"/>
            <w:gridSpan w:val="6"/>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160" w:type="dxa"/>
            <w:vAlign w:val="bottom"/>
          </w:tcPr>
          <w:p>
            <w:pPr>
              <w:spacing w:after="0"/>
              <w:rPr>
                <w:sz w:val="14"/>
                <w:szCs w:val="14"/>
                <w:color w:val="auto"/>
              </w:rPr>
            </w:pPr>
          </w:p>
        </w:tc>
        <w:tc>
          <w:tcPr>
            <w:tcW w:w="2480" w:type="dxa"/>
            <w:vAlign w:val="bottom"/>
            <w:gridSpan w:val="6"/>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0"/>
        </w:trPr>
        <w:tc>
          <w:tcPr>
            <w:tcW w:w="3360" w:type="dxa"/>
            <w:vAlign w:val="bottom"/>
            <w:vMerge w:val="continu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60" w:type="dxa"/>
            <w:vAlign w:val="bottom"/>
            <w:gridSpan w:val="3"/>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36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jc w:val="right"/>
              <w:ind w:right="352"/>
              <w:spacing w:after="0" w:line="155" w:lineRule="exact"/>
              <w:rPr>
                <w:sz w:val="20"/>
                <w:szCs w:val="20"/>
                <w:color w:val="auto"/>
              </w:rPr>
            </w:pPr>
            <w:r>
              <w:rPr>
                <w:rFonts w:ascii="Arial" w:cs="Arial" w:eastAsia="Arial" w:hAnsi="Arial"/>
                <w:sz w:val="14"/>
                <w:szCs w:val="14"/>
                <w:b w:val="1"/>
                <w:bCs w:val="1"/>
                <w:color w:val="auto"/>
              </w:rPr>
              <w:t>2026</w:t>
            </w:r>
          </w:p>
        </w:tc>
        <w:tc>
          <w:tcPr>
            <w:tcW w:w="420" w:type="dxa"/>
            <w:vAlign w:val="bottom"/>
            <w:gridSpan w:val="2"/>
          </w:tcPr>
          <w:p>
            <w:pPr>
              <w:jc w:val="right"/>
              <w:ind w:right="167"/>
              <w:spacing w:after="0" w:line="155" w:lineRule="exact"/>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352"/>
              <w:spacing w:after="0" w:line="155" w:lineRule="exact"/>
              <w:rPr>
                <w:sz w:val="20"/>
                <w:szCs w:val="20"/>
                <w:color w:val="auto"/>
              </w:rPr>
            </w:pPr>
            <w:r>
              <w:rPr>
                <w:rFonts w:ascii="Arial" w:cs="Arial" w:eastAsia="Arial" w:hAnsi="Arial"/>
                <w:sz w:val="14"/>
                <w:szCs w:val="14"/>
                <w:b w:val="1"/>
                <w:bCs w:val="1"/>
                <w:color w:val="auto"/>
              </w:rPr>
              <w:t>2025</w:t>
            </w:r>
          </w:p>
        </w:tc>
        <w:tc>
          <w:tcPr>
            <w:tcW w:w="400" w:type="dxa"/>
            <w:vAlign w:val="bottom"/>
            <w:gridSpan w:val="2"/>
          </w:tcPr>
          <w:p>
            <w:pPr>
              <w:jc w:val="right"/>
              <w:ind w:right="147"/>
              <w:spacing w:after="0" w:line="155" w:lineRule="exact"/>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312"/>
              <w:spacing w:after="0" w:line="155" w:lineRule="exact"/>
              <w:rPr>
                <w:sz w:val="20"/>
                <w:szCs w:val="20"/>
                <w:color w:val="auto"/>
              </w:rPr>
            </w:pPr>
            <w:r>
              <w:rPr>
                <w:rFonts w:ascii="Arial" w:cs="Arial" w:eastAsia="Arial" w:hAnsi="Arial"/>
                <w:sz w:val="14"/>
                <w:szCs w:val="14"/>
                <w:b w:val="1"/>
                <w:bCs w:val="1"/>
                <w:color w:val="auto"/>
              </w:rPr>
              <w:t>2026</w:t>
            </w:r>
          </w:p>
        </w:tc>
        <w:tc>
          <w:tcPr>
            <w:tcW w:w="460" w:type="dxa"/>
            <w:vAlign w:val="bottom"/>
            <w:gridSpan w:val="3"/>
          </w:tcPr>
          <w:p>
            <w:pPr>
              <w:jc w:val="right"/>
              <w:ind w:right="187"/>
              <w:spacing w:after="0" w:line="155" w:lineRule="exact"/>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332"/>
              <w:spacing w:after="0" w:line="155" w:lineRule="exact"/>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96"/>
        </w:trPr>
        <w:tc>
          <w:tcPr>
            <w:tcW w:w="33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lease cost</w:t>
            </w:r>
          </w:p>
        </w:tc>
        <w:tc>
          <w:tcPr>
            <w:tcW w:w="640" w:type="dxa"/>
            <w:vAlign w:val="bottom"/>
            <w:tcBorders>
              <w:top w:val="single" w:sz="8" w:color="auto"/>
            </w:tcBorders>
            <w:gridSpan w:val="2"/>
            <w:shd w:val="clear" w:color="auto" w:fill="CCEEFF"/>
          </w:tcPr>
          <w:p>
            <w:pPr>
              <w:jc w:val="right"/>
              <w:ind w:right="87"/>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31,155</w:t>
            </w:r>
          </w:p>
        </w:tc>
        <w:tc>
          <w:tcPr>
            <w:tcW w:w="1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28,951</w:t>
            </w: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93,269</w:t>
            </w:r>
          </w:p>
        </w:tc>
        <w:tc>
          <w:tcPr>
            <w:tcW w:w="220" w:type="dxa"/>
            <w:vAlign w:val="bottom"/>
            <w:tcBorders>
              <w:top w:val="single" w:sz="8" w:color="CCEEFF"/>
            </w:tcBorders>
            <w:gridSpan w:val="2"/>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87,727</w:t>
            </w:r>
          </w:p>
        </w:tc>
        <w:tc>
          <w:tcPr>
            <w:tcW w:w="0" w:type="dxa"/>
            <w:vAlign w:val="bottom"/>
          </w:tcPr>
          <w:p>
            <w:pPr>
              <w:spacing w:after="0"/>
              <w:rPr>
                <w:sz w:val="1"/>
                <w:szCs w:val="1"/>
                <w:color w:val="auto"/>
              </w:rPr>
            </w:pPr>
          </w:p>
        </w:tc>
      </w:tr>
      <w:tr>
        <w:trPr>
          <w:trHeight w:val="203"/>
        </w:trPr>
        <w:tc>
          <w:tcPr>
            <w:tcW w:w="3360" w:type="dxa"/>
            <w:vAlign w:val="bottom"/>
          </w:tcPr>
          <w:p>
            <w:pPr>
              <w:spacing w:after="0" w:line="202" w:lineRule="exact"/>
              <w:rPr>
                <w:sz w:val="20"/>
                <w:szCs w:val="20"/>
                <w:color w:val="auto"/>
              </w:rPr>
            </w:pPr>
            <w:r>
              <w:rPr>
                <w:rFonts w:ascii="Arial" w:cs="Arial" w:eastAsia="Arial" w:hAnsi="Arial"/>
                <w:sz w:val="18"/>
                <w:szCs w:val="18"/>
                <w:color w:val="auto"/>
              </w:rPr>
              <w:t>Finance lease cost:</w:t>
            </w: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Amortization of finance lease assets</w:t>
            </w: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2,869</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2,703</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8,327</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8,011</w:t>
            </w:r>
          </w:p>
        </w:tc>
        <w:tc>
          <w:tcPr>
            <w:tcW w:w="0" w:type="dxa"/>
            <w:vAlign w:val="bottom"/>
          </w:tcPr>
          <w:p>
            <w:pPr>
              <w:spacing w:after="0"/>
              <w:rPr>
                <w:sz w:val="1"/>
                <w:szCs w:val="1"/>
                <w:color w:val="auto"/>
              </w:rPr>
            </w:pPr>
          </w:p>
        </w:tc>
      </w:tr>
      <w:tr>
        <w:trPr>
          <w:trHeight w:val="203"/>
        </w:trPr>
        <w:tc>
          <w:tcPr>
            <w:tcW w:w="3360" w:type="dxa"/>
            <w:vAlign w:val="bottom"/>
          </w:tcPr>
          <w:p>
            <w:pPr>
              <w:ind w:left="100"/>
              <w:spacing w:after="0" w:line="202" w:lineRule="exact"/>
              <w:rPr>
                <w:sz w:val="20"/>
                <w:szCs w:val="20"/>
                <w:color w:val="auto"/>
              </w:rPr>
            </w:pPr>
            <w:r>
              <w:rPr>
                <w:rFonts w:ascii="Arial" w:cs="Arial" w:eastAsia="Arial" w:hAnsi="Arial"/>
                <w:sz w:val="18"/>
                <w:szCs w:val="18"/>
                <w:color w:val="auto"/>
              </w:rPr>
              <w:t>Interest on finance lease liabilities</w:t>
            </w: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2,182</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2,161</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6,286</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6,583</w:t>
            </w:r>
          </w:p>
        </w:tc>
        <w:tc>
          <w:tcPr>
            <w:tcW w:w="0" w:type="dxa"/>
            <w:vAlign w:val="bottom"/>
          </w:tcPr>
          <w:p>
            <w:pPr>
              <w:spacing w:after="0"/>
              <w:rPr>
                <w:sz w:val="1"/>
                <w:szCs w:val="1"/>
                <w:color w:val="auto"/>
              </w:rPr>
            </w:pPr>
          </w:p>
        </w:tc>
      </w:tr>
      <w:tr>
        <w:trPr>
          <w:trHeight w:val="202"/>
        </w:trPr>
        <w:tc>
          <w:tcPr>
            <w:tcW w:w="3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Short-term lease cost</w:t>
            </w: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198</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225</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733</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03"/>
        </w:trPr>
        <w:tc>
          <w:tcPr>
            <w:tcW w:w="3360" w:type="dxa"/>
            <w:vAlign w:val="bottom"/>
          </w:tcPr>
          <w:p>
            <w:pPr>
              <w:spacing w:after="0" w:line="202" w:lineRule="exact"/>
              <w:rPr>
                <w:sz w:val="20"/>
                <w:szCs w:val="20"/>
                <w:color w:val="auto"/>
              </w:rPr>
            </w:pPr>
            <w:r>
              <w:rPr>
                <w:rFonts w:ascii="Arial" w:cs="Arial" w:eastAsia="Arial" w:hAnsi="Arial"/>
                <w:sz w:val="18"/>
                <w:szCs w:val="18"/>
                <w:color w:val="auto"/>
              </w:rPr>
              <w:t>Variable lease cost</w:t>
            </w: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7,093</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6,701</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19,856</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18,560</w:t>
            </w:r>
          </w:p>
        </w:tc>
        <w:tc>
          <w:tcPr>
            <w:tcW w:w="0" w:type="dxa"/>
            <w:vAlign w:val="bottom"/>
          </w:tcPr>
          <w:p>
            <w:pPr>
              <w:spacing w:after="0"/>
              <w:rPr>
                <w:sz w:val="1"/>
                <w:szCs w:val="1"/>
                <w:color w:val="auto"/>
              </w:rPr>
            </w:pPr>
          </w:p>
        </w:tc>
      </w:tr>
      <w:tr>
        <w:trPr>
          <w:trHeight w:val="203"/>
        </w:trPr>
        <w:tc>
          <w:tcPr>
            <w:tcW w:w="3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Sublease income</w:t>
            </w:r>
          </w:p>
        </w:tc>
        <w:tc>
          <w:tcPr>
            <w:tcW w:w="4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(966)</w:t>
            </w:r>
          </w:p>
        </w:tc>
        <w:tc>
          <w:tcPr>
            <w:tcW w:w="1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(922)</w:t>
            </w:r>
          </w:p>
        </w:tc>
        <w:tc>
          <w:tcPr>
            <w:tcW w:w="1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(3,158)</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(2,650)</w:t>
            </w:r>
          </w:p>
        </w:tc>
        <w:tc>
          <w:tcPr>
            <w:tcW w:w="0" w:type="dxa"/>
            <w:vAlign w:val="bottom"/>
          </w:tcPr>
          <w:p>
            <w:pPr>
              <w:spacing w:after="0"/>
              <w:rPr>
                <w:sz w:val="1"/>
                <w:szCs w:val="1"/>
                <w:color w:val="auto"/>
              </w:rPr>
            </w:pPr>
          </w:p>
        </w:tc>
      </w:tr>
      <w:tr>
        <w:trPr>
          <w:trHeight w:val="196"/>
        </w:trPr>
        <w:tc>
          <w:tcPr>
            <w:tcW w:w="3360" w:type="dxa"/>
            <w:vAlign w:val="bottom"/>
          </w:tcPr>
          <w:p>
            <w:pPr>
              <w:spacing w:after="0" w:line="196" w:lineRule="exact"/>
              <w:rPr>
                <w:sz w:val="20"/>
                <w:szCs w:val="20"/>
                <w:color w:val="auto"/>
              </w:rPr>
            </w:pPr>
            <w:r>
              <w:rPr>
                <w:rFonts w:ascii="Arial" w:cs="Arial" w:eastAsia="Arial" w:hAnsi="Arial"/>
                <w:sz w:val="18"/>
                <w:szCs w:val="18"/>
                <w:color w:val="auto"/>
              </w:rPr>
              <w:t>Net lease costs</w:t>
            </w:r>
          </w:p>
        </w:tc>
        <w:tc>
          <w:tcPr>
            <w:tcW w:w="400" w:type="dxa"/>
            <w:vAlign w:val="bottom"/>
          </w:tcPr>
          <w:p>
            <w:pPr>
              <w:spacing w:after="0"/>
              <w:rPr>
                <w:sz w:val="17"/>
                <w:szCs w:val="17"/>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42,531</w:t>
            </w:r>
          </w:p>
        </w:tc>
        <w:tc>
          <w:tcPr>
            <w:tcW w:w="180" w:type="dxa"/>
            <w:vAlign w:val="bottom"/>
          </w:tcPr>
          <w:p>
            <w:pPr>
              <w:spacing w:after="0"/>
              <w:rPr>
                <w:sz w:val="17"/>
                <w:szCs w:val="17"/>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39,819</w:t>
            </w:r>
          </w:p>
        </w:tc>
        <w:tc>
          <w:tcPr>
            <w:tcW w:w="160" w:type="dxa"/>
            <w:vAlign w:val="bottom"/>
          </w:tcPr>
          <w:p>
            <w:pPr>
              <w:spacing w:after="0"/>
              <w:rPr>
                <w:sz w:val="17"/>
                <w:szCs w:val="17"/>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125,313</w:t>
            </w:r>
          </w:p>
        </w:tc>
        <w:tc>
          <w:tcPr>
            <w:tcW w:w="220" w:type="dxa"/>
            <w:vAlign w:val="bottom"/>
            <w:gridSpan w:val="2"/>
          </w:tcPr>
          <w:p>
            <w:pPr>
              <w:spacing w:after="0"/>
              <w:rPr>
                <w:sz w:val="17"/>
                <w:szCs w:val="17"/>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119,039</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As of September 30, 2026, December 31, 2025, and September 30, 2025, finance lease assets of $109.4 million, $113.7 million, and $116.5 million, respectively, were included in property and equipment, net in the accompanying condensed consolidated balance sheets.</w:t>
      </w:r>
    </w:p>
    <w:p>
      <w:pPr>
        <w:spacing w:after="0" w:line="6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presents supplemental cash flow information related to leases:</w:t>
      </w:r>
    </w:p>
    <w:p>
      <w:pPr>
        <w:spacing w:after="0" w:line="127"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680" w:type="dxa"/>
            <w:vAlign w:val="bottom"/>
            <w:vMerge w:val="restart"/>
          </w:tcPr>
          <w:p>
            <w:pPr>
              <w:spacing w:after="0"/>
              <w:rPr>
                <w:sz w:val="20"/>
                <w:szCs w:val="20"/>
                <w:color w:val="auto"/>
              </w:rPr>
            </w:pPr>
            <w:r>
              <w:rPr>
                <w:rFonts w:ascii="Arial" w:cs="Arial" w:eastAsia="Arial" w:hAnsi="Arial"/>
                <w:sz w:val="14"/>
                <w:szCs w:val="14"/>
                <w:color w:val="auto"/>
              </w:rPr>
              <w:t>($ in thousands)</w:t>
            </w: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4"/>
          </w:tcPr>
          <w:p>
            <w:pPr>
              <w:jc w:val="right"/>
              <w:ind w:right="333"/>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5"/>
        </w:trPr>
        <w:tc>
          <w:tcPr>
            <w:tcW w:w="56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jc w:val="right"/>
              <w:ind w:right="495"/>
              <w:spacing w:after="0" w:line="155" w:lineRule="exact"/>
              <w:rPr>
                <w:sz w:val="20"/>
                <w:szCs w:val="20"/>
                <w:color w:val="auto"/>
              </w:rPr>
            </w:pPr>
            <w:r>
              <w:rPr>
                <w:rFonts w:ascii="Arial" w:cs="Arial" w:eastAsia="Arial" w:hAnsi="Arial"/>
                <w:sz w:val="14"/>
                <w:szCs w:val="14"/>
                <w:b w:val="1"/>
                <w:bCs w:val="1"/>
                <w:color w:val="auto"/>
              </w:rPr>
              <w:t>2026</w:t>
            </w:r>
          </w:p>
        </w:tc>
        <w:tc>
          <w:tcPr>
            <w:tcW w:w="560" w:type="dxa"/>
            <w:vAlign w:val="bottom"/>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493"/>
              <w:spacing w:after="0" w:line="155" w:lineRule="exact"/>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96"/>
        </w:trPr>
        <w:tc>
          <w:tcPr>
            <w:tcW w:w="56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Cash paid for amounts included in the measurement of lease liabilities:</w:t>
            </w:r>
          </w:p>
        </w:tc>
        <w:tc>
          <w:tcPr>
            <w:tcW w:w="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80" w:type="dxa"/>
            <w:vAlign w:val="bottom"/>
          </w:tcPr>
          <w:p>
            <w:pPr>
              <w:ind w:left="100"/>
              <w:spacing w:after="0" w:line="202" w:lineRule="exact"/>
              <w:rPr>
                <w:sz w:val="20"/>
                <w:szCs w:val="20"/>
                <w:color w:val="auto"/>
              </w:rPr>
            </w:pPr>
            <w:r>
              <w:rPr>
                <w:rFonts w:ascii="Arial" w:cs="Arial" w:eastAsia="Arial" w:hAnsi="Arial"/>
                <w:sz w:val="18"/>
                <w:szCs w:val="18"/>
                <w:color w:val="auto"/>
              </w:rPr>
              <w:t>Operating cash flows for operating leases</w:t>
            </w:r>
          </w:p>
        </w:tc>
        <w:tc>
          <w:tcPr>
            <w:tcW w:w="3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95,482</w:t>
            </w:r>
          </w:p>
        </w:tc>
        <w:tc>
          <w:tcPr>
            <w:tcW w:w="5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90,571</w:t>
            </w:r>
          </w:p>
        </w:tc>
        <w:tc>
          <w:tcPr>
            <w:tcW w:w="0" w:type="dxa"/>
            <w:vAlign w:val="bottom"/>
          </w:tcPr>
          <w:p>
            <w:pPr>
              <w:spacing w:after="0"/>
              <w:rPr>
                <w:sz w:val="1"/>
                <w:szCs w:val="1"/>
                <w:color w:val="auto"/>
              </w:rPr>
            </w:pPr>
          </w:p>
        </w:tc>
      </w:tr>
      <w:tr>
        <w:trPr>
          <w:trHeight w:val="203"/>
        </w:trPr>
        <w:tc>
          <w:tcPr>
            <w:tcW w:w="56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Operating cash flows for finance leases</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6,286</w:t>
            </w: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6,577</w:t>
            </w:r>
          </w:p>
        </w:tc>
        <w:tc>
          <w:tcPr>
            <w:tcW w:w="0" w:type="dxa"/>
            <w:vAlign w:val="bottom"/>
          </w:tcPr>
          <w:p>
            <w:pPr>
              <w:spacing w:after="0"/>
              <w:rPr>
                <w:sz w:val="1"/>
                <w:szCs w:val="1"/>
                <w:color w:val="auto"/>
              </w:rPr>
            </w:pPr>
          </w:p>
        </w:tc>
      </w:tr>
      <w:tr>
        <w:trPr>
          <w:trHeight w:val="202"/>
        </w:trPr>
        <w:tc>
          <w:tcPr>
            <w:tcW w:w="5680" w:type="dxa"/>
            <w:vAlign w:val="bottom"/>
          </w:tcPr>
          <w:p>
            <w:pPr>
              <w:ind w:left="100"/>
              <w:spacing w:after="0" w:line="202" w:lineRule="exact"/>
              <w:rPr>
                <w:sz w:val="20"/>
                <w:szCs w:val="20"/>
                <w:color w:val="auto"/>
              </w:rPr>
            </w:pPr>
            <w:r>
              <w:rPr>
                <w:rFonts w:ascii="Arial" w:cs="Arial" w:eastAsia="Arial" w:hAnsi="Arial"/>
                <w:sz w:val="18"/>
                <w:szCs w:val="18"/>
                <w:color w:val="auto"/>
              </w:rPr>
              <w:t>Financing cash flows for finance leases</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5,708</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5,540</w:t>
            </w:r>
          </w:p>
        </w:tc>
        <w:tc>
          <w:tcPr>
            <w:tcW w:w="0" w:type="dxa"/>
            <w:vAlign w:val="bottom"/>
          </w:tcPr>
          <w:p>
            <w:pPr>
              <w:spacing w:after="0"/>
              <w:rPr>
                <w:sz w:val="1"/>
                <w:szCs w:val="1"/>
                <w:color w:val="auto"/>
              </w:rPr>
            </w:pPr>
          </w:p>
        </w:tc>
      </w:tr>
      <w:tr>
        <w:trPr>
          <w:trHeight w:val="203"/>
        </w:trPr>
        <w:tc>
          <w:tcPr>
            <w:tcW w:w="5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Lease assets obtained in exchange for lease liabilities:</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80" w:type="dxa"/>
            <w:vAlign w:val="bottom"/>
          </w:tcPr>
          <w:p>
            <w:pPr>
              <w:ind w:left="100"/>
              <w:spacing w:after="0" w:line="202" w:lineRule="exact"/>
              <w:rPr>
                <w:sz w:val="20"/>
                <w:szCs w:val="20"/>
                <w:color w:val="auto"/>
              </w:rPr>
            </w:pPr>
            <w:r>
              <w:rPr>
                <w:rFonts w:ascii="Arial" w:cs="Arial" w:eastAsia="Arial" w:hAnsi="Arial"/>
                <w:sz w:val="18"/>
                <w:szCs w:val="18"/>
                <w:color w:val="auto"/>
              </w:rPr>
              <w:t>New, remeasured and terminated operating leases</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42,949</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22,299</w:t>
            </w:r>
          </w:p>
        </w:tc>
        <w:tc>
          <w:tcPr>
            <w:tcW w:w="0" w:type="dxa"/>
            <w:vAlign w:val="bottom"/>
          </w:tcPr>
          <w:p>
            <w:pPr>
              <w:spacing w:after="0"/>
              <w:rPr>
                <w:sz w:val="1"/>
                <w:szCs w:val="1"/>
                <w:color w:val="auto"/>
              </w:rPr>
            </w:pPr>
          </w:p>
        </w:tc>
      </w:tr>
      <w:tr>
        <w:trPr>
          <w:trHeight w:val="203"/>
        </w:trPr>
        <w:tc>
          <w:tcPr>
            <w:tcW w:w="56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New, remeasured and terminated finance leases</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4,011</w:t>
            </w: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4,507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2" w:right="1440" w:bottom="1440" w:gutter="0" w:footer="0" w:header="0"/>
        </w:sect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22" w:name="page23"/>
    <w:bookmarkEnd w:id="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During each of the nine months ended September 30, 2026 and September 30, 2025, the Company entered into sale-leaseback transactions for three properties associated with store locations in the RV and Outdoor Retail segment, and received consideration of $11.0 million and $40.2 million of cash, respectively. The Company recorded a loss of $0.6 million and a gain of $0.1 million for the nine months ended September 30, 2026 and September 30, 2025, respectively, that was included in (gain) loss on sale or disposal of assets in the condensed consolidated statements of operations. In 2026, the Company entered into a 19-year lease agreement as the lessee with the buyer for two of the properties, and a 12.5-year lease agreement as the lessee with the buyer for one of the properties. In 2025, the Company entered into 17-year lease agreements as the lessee with the buyers of two of the properties, and a 19-year lease agreement as the lessee with the buyer for one of the properties.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10. Fair Value Measurements</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Accounting guidance for fair value measurements establishes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Recurring Fair Value Measurements</w:t>
      </w:r>
    </w:p>
    <w:p>
      <w:pPr>
        <w:spacing w:after="0" w:line="210"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The following table presents the reported carrying values and the fair values by level of the Company’s assets and liabilities measured at fair value on a recurring basis:</w:t>
      </w:r>
    </w:p>
    <w:p>
      <w:pPr>
        <w:spacing w:after="0" w:line="19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3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ind w:right="168"/>
              <w:spacing w:after="0"/>
              <w:rPr>
                <w:sz w:val="20"/>
                <w:szCs w:val="20"/>
                <w:color w:val="auto"/>
              </w:rPr>
            </w:pPr>
            <w:r>
              <w:rPr>
                <w:rFonts w:ascii="Arial" w:cs="Arial" w:eastAsia="Arial" w:hAnsi="Arial"/>
                <w:sz w:val="14"/>
                <w:szCs w:val="14"/>
                <w:b w:val="1"/>
                <w:bCs w:val="1"/>
                <w:color w:val="auto"/>
              </w:rPr>
              <w:t>September 30, 2026</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ind w:right="188"/>
              <w:spacing w:after="0"/>
              <w:rPr>
                <w:sz w:val="20"/>
                <w:szCs w:val="20"/>
                <w:color w:val="auto"/>
              </w:rPr>
            </w:pPr>
            <w:r>
              <w:rPr>
                <w:rFonts w:ascii="Arial" w:cs="Arial" w:eastAsia="Arial" w:hAnsi="Arial"/>
                <w:sz w:val="14"/>
                <w:szCs w:val="14"/>
                <w:b w:val="1"/>
                <w:bCs w:val="1"/>
                <w:color w:val="auto"/>
              </w:rPr>
              <w:t>December 31, 2025</w:t>
            </w:r>
          </w:p>
        </w:tc>
        <w:tc>
          <w:tcPr>
            <w:tcW w:w="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ind w:right="188"/>
              <w:spacing w:after="0"/>
              <w:rPr>
                <w:sz w:val="20"/>
                <w:szCs w:val="20"/>
                <w:color w:val="auto"/>
              </w:rPr>
            </w:pPr>
            <w:r>
              <w:rPr>
                <w:rFonts w:ascii="Arial" w:cs="Arial" w:eastAsia="Arial" w:hAnsi="Arial"/>
                <w:sz w:val="14"/>
                <w:szCs w:val="14"/>
                <w:b w:val="1"/>
                <w:bCs w:val="1"/>
                <w:color w:val="auto"/>
              </w:rPr>
              <w:t>September 30, 2025</w:t>
            </w:r>
          </w:p>
        </w:tc>
      </w:tr>
      <w:tr>
        <w:trPr>
          <w:trHeight w:val="156"/>
        </w:trPr>
        <w:tc>
          <w:tcPr>
            <w:tcW w:w="3020" w:type="dxa"/>
            <w:vAlign w:val="bottom"/>
          </w:tcPr>
          <w:p>
            <w:pPr>
              <w:spacing w:after="0" w:line="155" w:lineRule="exact"/>
              <w:rPr>
                <w:sz w:val="20"/>
                <w:szCs w:val="20"/>
                <w:color w:val="auto"/>
              </w:rPr>
            </w:pPr>
            <w:r>
              <w:rPr>
                <w:rFonts w:ascii="Arial" w:cs="Arial" w:eastAsia="Arial" w:hAnsi="Arial"/>
                <w:sz w:val="14"/>
                <w:szCs w:val="14"/>
                <w:color w:val="auto"/>
              </w:rPr>
              <w:t>($ in thousands)</w:t>
            </w:r>
          </w:p>
        </w:tc>
        <w:tc>
          <w:tcPr>
            <w:tcW w:w="160" w:type="dxa"/>
            <w:vAlign w:val="bottom"/>
          </w:tcPr>
          <w:p>
            <w:pPr>
              <w:ind w:left="80"/>
              <w:spacing w:after="0" w:line="155" w:lineRule="exact"/>
              <w:rPr>
                <w:sz w:val="20"/>
                <w:szCs w:val="20"/>
                <w:color w:val="auto"/>
              </w:rPr>
            </w:pPr>
            <w:r>
              <w:rPr>
                <w:rFonts w:ascii="Arial" w:cs="Arial" w:eastAsia="Arial" w:hAnsi="Arial"/>
                <w:sz w:val="14"/>
                <w:szCs w:val="14"/>
                <w:color w:val="auto"/>
              </w:rPr>
              <w:t>​​</w:t>
            </w:r>
          </w:p>
        </w:tc>
        <w:tc>
          <w:tcPr>
            <w:tcW w:w="1040" w:type="dxa"/>
            <w:vAlign w:val="bottom"/>
            <w:gridSpan w:val="2"/>
          </w:tcPr>
          <w:p>
            <w:pPr>
              <w:spacing w:after="0" w:line="155" w:lineRule="exact"/>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Carrying Value</w:t>
            </w:r>
          </w:p>
        </w:tc>
        <w:tc>
          <w:tcPr>
            <w:tcW w:w="780" w:type="dxa"/>
            <w:vAlign w:val="bottom"/>
            <w:gridSpan w:val="2"/>
          </w:tcPr>
          <w:p>
            <w:pPr>
              <w:jc w:val="right"/>
              <w:ind w:right="8"/>
              <w:spacing w:after="0" w:line="155" w:lineRule="exact"/>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Level 3</w:t>
            </w:r>
          </w:p>
        </w:tc>
        <w:tc>
          <w:tcPr>
            <w:tcW w:w="160" w:type="dxa"/>
            <w:vAlign w:val="bottom"/>
          </w:tcPr>
          <w:p>
            <w:pPr>
              <w:ind w:left="80"/>
              <w:spacing w:after="0" w:line="155" w:lineRule="exact"/>
              <w:rPr>
                <w:sz w:val="20"/>
                <w:szCs w:val="20"/>
                <w:color w:val="auto"/>
              </w:rPr>
            </w:pPr>
            <w:r>
              <w:rPr>
                <w:rFonts w:ascii="Arial" w:cs="Arial" w:eastAsia="Arial" w:hAnsi="Arial"/>
                <w:sz w:val="14"/>
                <w:szCs w:val="14"/>
                <w:color w:val="auto"/>
              </w:rPr>
              <w:t>​​</w:t>
            </w:r>
          </w:p>
        </w:tc>
        <w:tc>
          <w:tcPr>
            <w:tcW w:w="1040" w:type="dxa"/>
            <w:vAlign w:val="bottom"/>
            <w:gridSpan w:val="2"/>
          </w:tcPr>
          <w:p>
            <w:pPr>
              <w:spacing w:after="0" w:line="155" w:lineRule="exact"/>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Carrying Value</w:t>
            </w:r>
          </w:p>
        </w:tc>
        <w:tc>
          <w:tcPr>
            <w:tcW w:w="7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Level 3</w:t>
            </w:r>
          </w:p>
        </w:tc>
        <w:tc>
          <w:tcPr>
            <w:tcW w:w="40" w:type="dxa"/>
            <w:vAlign w:val="bottom"/>
          </w:tcPr>
          <w:p>
            <w:pPr>
              <w:spacing w:after="0"/>
              <w:rPr>
                <w:sz w:val="13"/>
                <w:szCs w:val="13"/>
                <w:color w:val="auto"/>
              </w:rPr>
            </w:pPr>
          </w:p>
        </w:tc>
        <w:tc>
          <w:tcPr>
            <w:tcW w:w="102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w w:val="99"/>
              </w:rPr>
              <w:t>Carrying Value</w:t>
            </w:r>
          </w:p>
        </w:tc>
        <w:tc>
          <w:tcPr>
            <w:tcW w:w="26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28"/>
              <w:spacing w:after="0" w:line="155" w:lineRule="exact"/>
              <w:rPr>
                <w:sz w:val="20"/>
                <w:szCs w:val="20"/>
                <w:color w:val="auto"/>
              </w:rPr>
            </w:pPr>
            <w:r>
              <w:rPr>
                <w:rFonts w:ascii="Arial" w:cs="Arial" w:eastAsia="Arial" w:hAnsi="Arial"/>
                <w:sz w:val="14"/>
                <w:szCs w:val="14"/>
                <w:b w:val="1"/>
                <w:bCs w:val="1"/>
                <w:color w:val="auto"/>
              </w:rPr>
              <w:t>Level 3</w:t>
            </w:r>
          </w:p>
        </w:tc>
      </w:tr>
      <w:tr>
        <w:trPr>
          <w:trHeight w:val="155"/>
        </w:trPr>
        <w:tc>
          <w:tcPr>
            <w:tcW w:w="302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Assets:</w:t>
            </w:r>
          </w:p>
        </w:tc>
        <w:tc>
          <w:tcPr>
            <w:tcW w:w="1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r>
      <w:tr>
        <w:trPr>
          <w:trHeight w:val="162"/>
        </w:trPr>
        <w:tc>
          <w:tcPr>
            <w:tcW w:w="3020" w:type="dxa"/>
            <w:vAlign w:val="bottom"/>
          </w:tcPr>
          <w:p>
            <w:pPr>
              <w:spacing w:after="0" w:line="162" w:lineRule="exact"/>
              <w:rPr>
                <w:sz w:val="20"/>
                <w:szCs w:val="20"/>
                <w:color w:val="auto"/>
              </w:rPr>
            </w:pPr>
            <w:r>
              <w:rPr>
                <w:rFonts w:ascii="Arial" w:cs="Arial" w:eastAsia="Arial" w:hAnsi="Arial"/>
                <w:sz w:val="13"/>
                <w:szCs w:val="13"/>
                <w:color w:val="auto"/>
              </w:rPr>
              <w:t xml:space="preserve">Derived participation investment </w:t>
            </w:r>
            <w:r>
              <w:rPr>
                <w:rFonts w:ascii="Arial" w:cs="Arial" w:eastAsia="Arial" w:hAnsi="Arial"/>
                <w:sz w:val="18"/>
                <w:szCs w:val="18"/>
                <w:color w:val="auto"/>
                <w:vertAlign w:val="superscript"/>
              </w:rPr>
              <w:t>(1)</w:t>
            </w:r>
          </w:p>
        </w:tc>
        <w:tc>
          <w:tcPr>
            <w:tcW w:w="32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10,957</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$ 10,957</w:t>
            </w:r>
          </w:p>
        </w:tc>
        <w:tc>
          <w:tcPr>
            <w:tcW w:w="32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3,321</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  3,321</w:t>
            </w:r>
          </w:p>
        </w:tc>
        <w:tc>
          <w:tcPr>
            <w:tcW w:w="22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6,546</w:t>
            </w:r>
          </w:p>
        </w:tc>
        <w:tc>
          <w:tcPr>
            <w:tcW w:w="2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6,546</w:t>
            </w:r>
          </w:p>
        </w:tc>
      </w:tr>
      <w:tr>
        <w:trPr>
          <w:trHeight w:val="162"/>
        </w:trPr>
        <w:tc>
          <w:tcPr>
            <w:tcW w:w="30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Liabilities:</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r>
      <w:tr>
        <w:trPr>
          <w:trHeight w:val="264"/>
        </w:trPr>
        <w:tc>
          <w:tcPr>
            <w:tcW w:w="3020" w:type="dxa"/>
            <w:vAlign w:val="bottom"/>
          </w:tcPr>
          <w:p>
            <w:pPr>
              <w:spacing w:after="0"/>
              <w:rPr>
                <w:sz w:val="20"/>
                <w:szCs w:val="20"/>
                <w:color w:val="auto"/>
              </w:rPr>
            </w:pPr>
            <w:r>
              <w:rPr>
                <w:rFonts w:ascii="Arial" w:cs="Arial" w:eastAsia="Arial" w:hAnsi="Arial"/>
                <w:sz w:val="14"/>
                <w:szCs w:val="14"/>
                <w:color w:val="auto"/>
              </w:rPr>
              <w:t xml:space="preserve">Acquisition-related contingent consideration </w:t>
            </w:r>
            <w:r>
              <w:rPr>
                <w:rFonts w:ascii="Arial" w:cs="Arial" w:eastAsia="Arial" w:hAnsi="Arial"/>
                <w:sz w:val="21"/>
                <w:szCs w:val="21"/>
                <w:color w:val="auto"/>
                <w:vertAlign w:val="superscript"/>
              </w:rPr>
              <w:t>(2)</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368</w:t>
            </w: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368</w:t>
            </w:r>
          </w:p>
        </w:tc>
      </w:tr>
    </w:tbl>
    <w:p>
      <w:pPr>
        <w:ind w:left="380" w:hanging="330"/>
        <w:spacing w:after="0" w:line="189" w:lineRule="auto"/>
        <w:tabs>
          <w:tab w:leader="none" w:pos="380" w:val="left"/>
        </w:tabs>
        <w:numPr>
          <w:ilvl w:val="0"/>
          <w:numId w:val="14"/>
        </w:numPr>
        <w:rPr>
          <w:rFonts w:ascii="Arial" w:cs="Arial" w:eastAsia="Arial" w:hAnsi="Arial"/>
          <w:sz w:val="17"/>
          <w:szCs w:val="17"/>
          <w:color w:val="auto"/>
          <w:vertAlign w:val="superscript"/>
        </w:rPr>
      </w:pPr>
      <w:r>
        <w:rPr>
          <w:rFonts w:ascii="Arial" w:cs="Arial" w:eastAsia="Arial" w:hAnsi="Arial"/>
          <w:sz w:val="11"/>
          <w:szCs w:val="11"/>
          <w:color w:val="auto"/>
        </w:rPr>
        <w:t>Derived participation investment was included in other assets in the accompanying condensed consolidated balance sheets.</w:t>
      </w:r>
    </w:p>
    <w:p>
      <w:pPr>
        <w:spacing w:after="0" w:line="62" w:lineRule="exact"/>
        <w:rPr>
          <w:rFonts w:ascii="Arial" w:cs="Arial" w:eastAsia="Arial" w:hAnsi="Arial"/>
          <w:sz w:val="17"/>
          <w:szCs w:val="17"/>
          <w:color w:val="auto"/>
          <w:vertAlign w:val="superscript"/>
        </w:rPr>
      </w:pPr>
    </w:p>
    <w:p>
      <w:pPr>
        <w:ind w:left="380" w:right="359" w:hanging="330"/>
        <w:spacing w:after="0" w:line="188" w:lineRule="auto"/>
        <w:tabs>
          <w:tab w:leader="none" w:pos="380" w:val="left"/>
        </w:tabs>
        <w:numPr>
          <w:ilvl w:val="0"/>
          <w:numId w:val="14"/>
        </w:numPr>
        <w:rPr>
          <w:rFonts w:ascii="Arial" w:cs="Arial" w:eastAsia="Arial" w:hAnsi="Arial"/>
          <w:sz w:val="19"/>
          <w:szCs w:val="19"/>
          <w:color w:val="auto"/>
          <w:vertAlign w:val="superscript"/>
        </w:rPr>
      </w:pPr>
      <w:r>
        <w:rPr>
          <w:rFonts w:ascii="Arial" w:cs="Arial" w:eastAsia="Arial" w:hAnsi="Arial"/>
          <w:sz w:val="13"/>
          <w:szCs w:val="13"/>
          <w:color w:val="auto"/>
        </w:rPr>
        <w:t>As of September 30, 2025, the $0.4 million of acquisition-related contingent consideration was included in accrued liabilities in the accompanying condensed consolidated balance sheets.</w:t>
      </w:r>
    </w:p>
    <w:p>
      <w:pPr>
        <w:spacing w:after="0" w:line="18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presents fair value measurements using significant unobservable inputs (Level 3):</w:t>
      </w:r>
    </w:p>
    <w:p>
      <w:pPr>
        <w:spacing w:after="0" w:line="235"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4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60" w:type="dxa"/>
            <w:vAlign w:val="bottom"/>
          </w:tcPr>
          <w:p>
            <w:pPr>
              <w:jc w:val="right"/>
              <w:ind w:right="292"/>
              <w:spacing w:after="0"/>
              <w:rPr>
                <w:sz w:val="20"/>
                <w:szCs w:val="20"/>
                <w:color w:val="auto"/>
              </w:rPr>
            </w:pPr>
            <w:r>
              <w:rPr>
                <w:rFonts w:ascii="Arial" w:cs="Arial" w:eastAsia="Arial" w:hAnsi="Arial"/>
                <w:sz w:val="14"/>
                <w:szCs w:val="14"/>
                <w:b w:val="1"/>
                <w:bCs w:val="1"/>
                <w:color w:val="auto"/>
              </w:rPr>
              <w:t>Derived Participation</w:t>
            </w:r>
          </w:p>
        </w:tc>
        <w:tc>
          <w:tcPr>
            <w:tcW w:w="180" w:type="dxa"/>
            <w:vAlign w:val="bottom"/>
          </w:tcPr>
          <w:p>
            <w:pPr>
              <w:spacing w:after="0"/>
              <w:rPr>
                <w:sz w:val="14"/>
                <w:szCs w:val="14"/>
                <w:color w:val="auto"/>
              </w:rPr>
            </w:pPr>
          </w:p>
        </w:tc>
        <w:tc>
          <w:tcPr>
            <w:tcW w:w="2220" w:type="dxa"/>
            <w:vAlign w:val="bottom"/>
            <w:gridSpan w:val="2"/>
          </w:tcPr>
          <w:p>
            <w:pPr>
              <w:jc w:val="right"/>
              <w:spacing w:after="0"/>
              <w:rPr>
                <w:sz w:val="20"/>
                <w:szCs w:val="20"/>
                <w:color w:val="auto"/>
              </w:rPr>
            </w:pPr>
            <w:r>
              <w:rPr>
                <w:rFonts w:ascii="Arial" w:cs="Arial" w:eastAsia="Arial" w:hAnsi="Arial"/>
                <w:sz w:val="14"/>
                <w:szCs w:val="14"/>
                <w:b w:val="1"/>
                <w:bCs w:val="1"/>
                <w:color w:val="auto"/>
              </w:rPr>
              <w:t>Acquisition-Related Contingent</w:t>
            </w:r>
          </w:p>
        </w:tc>
      </w:tr>
      <w:tr>
        <w:trPr>
          <w:trHeight w:val="171"/>
        </w:trPr>
        <w:tc>
          <w:tcPr>
            <w:tcW w:w="4120" w:type="dxa"/>
            <w:vAlign w:val="bottom"/>
          </w:tcPr>
          <w:p>
            <w:pPr>
              <w:spacing w:after="0"/>
              <w:rPr>
                <w:sz w:val="20"/>
                <w:szCs w:val="20"/>
                <w:color w:val="auto"/>
              </w:rPr>
            </w:pPr>
            <w:r>
              <w:rPr>
                <w:rFonts w:ascii="Arial" w:cs="Arial" w:eastAsia="Arial" w:hAnsi="Arial"/>
                <w:sz w:val="14"/>
                <w:szCs w:val="14"/>
                <w:color w:val="auto"/>
              </w:rPr>
              <w:t>($ in thousands)</w:t>
            </w:r>
          </w:p>
        </w:tc>
        <w:tc>
          <w:tcPr>
            <w:tcW w:w="420" w:type="dxa"/>
            <w:vAlign w:val="bottom"/>
            <w:gridSpan w:val="2"/>
          </w:tcPr>
          <w:p>
            <w:pPr>
              <w:jc w:val="right"/>
              <w:ind w:right="147"/>
              <w:spacing w:after="0"/>
              <w:rPr>
                <w:sz w:val="20"/>
                <w:szCs w:val="20"/>
                <w:color w:val="auto"/>
              </w:rPr>
            </w:pPr>
            <w:r>
              <w:rPr>
                <w:rFonts w:ascii="Arial" w:cs="Arial" w:eastAsia="Arial" w:hAnsi="Arial"/>
                <w:sz w:val="14"/>
                <w:szCs w:val="14"/>
                <w:b w:val="1"/>
                <w:bCs w:val="1"/>
                <w:color w:val="auto"/>
              </w:rPr>
              <w:t>​​​</w:t>
            </w:r>
          </w:p>
        </w:tc>
        <w:tc>
          <w:tcPr>
            <w:tcW w:w="1960" w:type="dxa"/>
            <w:vAlign w:val="bottom"/>
          </w:tcPr>
          <w:p>
            <w:pPr>
              <w:jc w:val="right"/>
              <w:ind w:right="632"/>
              <w:spacing w:after="0"/>
              <w:rPr>
                <w:sz w:val="20"/>
                <w:szCs w:val="20"/>
                <w:color w:val="auto"/>
              </w:rPr>
            </w:pPr>
            <w:r>
              <w:rPr>
                <w:rFonts w:ascii="Arial" w:cs="Arial" w:eastAsia="Arial" w:hAnsi="Arial"/>
                <w:sz w:val="14"/>
                <w:szCs w:val="14"/>
                <w:b w:val="1"/>
                <w:bCs w:val="1"/>
                <w:color w:val="auto"/>
              </w:rPr>
              <w:t>Investment</w:t>
            </w:r>
          </w:p>
        </w:tc>
        <w:tc>
          <w:tcPr>
            <w:tcW w:w="540" w:type="dxa"/>
            <w:vAlign w:val="bottom"/>
            <w:gridSpan w:val="2"/>
          </w:tcPr>
          <w:p>
            <w:pPr>
              <w:jc w:val="right"/>
              <w:ind w:right="256"/>
              <w:spacing w:after="0"/>
              <w:rPr>
                <w:sz w:val="20"/>
                <w:szCs w:val="20"/>
                <w:color w:val="auto"/>
              </w:rPr>
            </w:pPr>
            <w:r>
              <w:rPr>
                <w:rFonts w:ascii="Arial" w:cs="Arial" w:eastAsia="Arial" w:hAnsi="Arial"/>
                <w:sz w:val="14"/>
                <w:szCs w:val="14"/>
                <w:color w:val="auto"/>
              </w:rPr>
              <w:t>​​​</w:t>
            </w:r>
          </w:p>
        </w:tc>
        <w:tc>
          <w:tcPr>
            <w:tcW w:w="1860" w:type="dxa"/>
            <w:vAlign w:val="bottom"/>
          </w:tcPr>
          <w:p>
            <w:pPr>
              <w:jc w:val="right"/>
              <w:ind w:right="551"/>
              <w:spacing w:after="0"/>
              <w:rPr>
                <w:sz w:val="20"/>
                <w:szCs w:val="20"/>
                <w:color w:val="auto"/>
              </w:rPr>
            </w:pPr>
            <w:r>
              <w:rPr>
                <w:rFonts w:ascii="Arial" w:cs="Arial" w:eastAsia="Arial" w:hAnsi="Arial"/>
                <w:sz w:val="14"/>
                <w:szCs w:val="14"/>
                <w:b w:val="1"/>
                <w:bCs w:val="1"/>
                <w:color w:val="auto"/>
              </w:rPr>
              <w:t>Consideration</w:t>
            </w:r>
          </w:p>
        </w:tc>
      </w:tr>
      <w:tr>
        <w:trPr>
          <w:trHeight w:val="196"/>
        </w:trPr>
        <w:tc>
          <w:tcPr>
            <w:tcW w:w="4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Beginning balance as of January 1, 2025</w:t>
            </w:r>
          </w:p>
        </w:tc>
        <w:tc>
          <w:tcPr>
            <w:tcW w:w="1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156</w:t>
            </w:r>
          </w:p>
        </w:tc>
        <w:tc>
          <w:tcPr>
            <w:tcW w:w="1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176"/>
              <w:spacing w:after="0" w:line="196" w:lineRule="exact"/>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368</w:t>
            </w:r>
          </w:p>
        </w:tc>
      </w:tr>
      <w:tr>
        <w:trPr>
          <w:trHeight w:val="203"/>
        </w:trPr>
        <w:tc>
          <w:tcPr>
            <w:tcW w:w="4120" w:type="dxa"/>
            <w:vAlign w:val="bottom"/>
          </w:tcPr>
          <w:p>
            <w:pPr>
              <w:spacing w:after="0" w:line="202" w:lineRule="exact"/>
              <w:rPr>
                <w:sz w:val="20"/>
                <w:szCs w:val="20"/>
                <w:color w:val="auto"/>
              </w:rPr>
            </w:pPr>
            <w:r>
              <w:rPr>
                <w:rFonts w:ascii="Arial" w:cs="Arial" w:eastAsia="Arial" w:hAnsi="Arial"/>
                <w:sz w:val="18"/>
                <w:szCs w:val="18"/>
                <w:color w:val="auto"/>
              </w:rPr>
              <w:t>Purchases</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60" w:type="dxa"/>
            <w:vAlign w:val="bottom"/>
          </w:tcPr>
          <w:p>
            <w:pPr>
              <w:jc w:val="right"/>
              <w:spacing w:after="0" w:line="202" w:lineRule="exact"/>
              <w:rPr>
                <w:sz w:val="20"/>
                <w:szCs w:val="20"/>
                <w:color w:val="auto"/>
              </w:rPr>
            </w:pPr>
            <w:r>
              <w:rPr>
                <w:rFonts w:ascii="Arial" w:cs="Arial" w:eastAsia="Arial" w:hAnsi="Arial"/>
                <w:sz w:val="18"/>
                <w:szCs w:val="18"/>
                <w:color w:val="auto"/>
              </w:rPr>
              <w:t>6,717</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4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Settlements</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(1,124)</w:t>
            </w: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2"/>
        </w:trPr>
        <w:tc>
          <w:tcPr>
            <w:tcW w:w="4120" w:type="dxa"/>
            <w:vAlign w:val="bottom"/>
            <w:tcBorders>
              <w:bottom w:val="single" w:sz="8" w:color="CCEEFF"/>
            </w:tcBorders>
          </w:tcPr>
          <w:p>
            <w:pPr>
              <w:spacing w:after="0" w:line="202" w:lineRule="exact"/>
              <w:rPr>
                <w:sz w:val="20"/>
                <w:szCs w:val="20"/>
                <w:color w:val="auto"/>
              </w:rPr>
            </w:pPr>
            <w:r>
              <w:rPr>
                <w:rFonts w:ascii="Arial" w:cs="Arial" w:eastAsia="Arial" w:hAnsi="Arial"/>
                <w:sz w:val="16"/>
                <w:szCs w:val="16"/>
                <w:color w:val="auto"/>
              </w:rPr>
              <w:t>Gains included in earnings</w:t>
            </w:r>
            <w:r>
              <w:rPr>
                <w:rFonts w:ascii="Arial" w:cs="Arial" w:eastAsia="Arial" w:hAnsi="Arial"/>
                <w:sz w:val="23"/>
                <w:szCs w:val="23"/>
                <w:color w:val="auto"/>
                <w:vertAlign w:val="superscript"/>
              </w:rPr>
              <w:t>(1)</w:t>
            </w:r>
          </w:p>
        </w:tc>
        <w:tc>
          <w:tcPr>
            <w:tcW w:w="1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797</w:t>
            </w:r>
          </w:p>
        </w:tc>
        <w:tc>
          <w:tcPr>
            <w:tcW w:w="1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4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Ending balance as of September 30, 2025</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6,546</w:t>
            </w: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368</w:t>
            </w:r>
          </w:p>
        </w:tc>
      </w:tr>
      <w:tr>
        <w:trPr>
          <w:trHeight w:val="203"/>
        </w:trPr>
        <w:tc>
          <w:tcPr>
            <w:tcW w:w="4120" w:type="dxa"/>
            <w:vAlign w:val="bottom"/>
          </w:tcPr>
          <w:p>
            <w:pPr>
              <w:spacing w:after="0" w:line="202" w:lineRule="exact"/>
              <w:rPr>
                <w:sz w:val="20"/>
                <w:szCs w:val="20"/>
                <w:color w:val="auto"/>
              </w:rPr>
            </w:pPr>
            <w:r>
              <w:rPr>
                <w:rFonts w:ascii="Arial" w:cs="Arial" w:eastAsia="Arial" w:hAnsi="Arial"/>
                <w:sz w:val="18"/>
                <w:szCs w:val="18"/>
                <w:color w:val="auto"/>
              </w:rPr>
              <w:t>Purchases</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60" w:type="dxa"/>
            <w:vAlign w:val="bottom"/>
          </w:tcPr>
          <w:p>
            <w:pPr>
              <w:jc w:val="right"/>
              <w:spacing w:after="0" w:line="202" w:lineRule="exact"/>
              <w:rPr>
                <w:sz w:val="20"/>
                <w:szCs w:val="20"/>
                <w:color w:val="auto"/>
              </w:rPr>
            </w:pPr>
            <w:r>
              <w:rPr>
                <w:rFonts w:ascii="Arial" w:cs="Arial" w:eastAsia="Arial" w:hAnsi="Arial"/>
                <w:sz w:val="18"/>
                <w:szCs w:val="18"/>
                <w:color w:val="auto"/>
              </w:rPr>
              <w:t>2,750</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4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Settlements</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(642)</w:t>
            </w: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4120" w:type="dxa"/>
            <w:vAlign w:val="bottom"/>
          </w:tcPr>
          <w:p>
            <w:pPr>
              <w:spacing w:after="0" w:line="202" w:lineRule="exact"/>
              <w:rPr>
                <w:sz w:val="20"/>
                <w:szCs w:val="20"/>
                <w:color w:val="auto"/>
              </w:rPr>
            </w:pPr>
            <w:r>
              <w:rPr>
                <w:rFonts w:ascii="Arial" w:cs="Arial" w:eastAsia="Arial" w:hAnsi="Arial"/>
                <w:sz w:val="16"/>
                <w:szCs w:val="16"/>
                <w:color w:val="auto"/>
              </w:rPr>
              <w:t>In transit exchanges for new securities</w:t>
            </w:r>
            <w:r>
              <w:rPr>
                <w:rFonts w:ascii="Arial" w:cs="Arial" w:eastAsia="Arial" w:hAnsi="Arial"/>
                <w:sz w:val="23"/>
                <w:szCs w:val="23"/>
                <w:color w:val="auto"/>
                <w:vertAlign w:val="superscript"/>
              </w:rPr>
              <w:t>(2)</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60" w:type="dxa"/>
            <w:vAlign w:val="bottom"/>
          </w:tcPr>
          <w:p>
            <w:pPr>
              <w:jc w:val="right"/>
              <w:spacing w:after="0" w:line="202" w:lineRule="exact"/>
              <w:rPr>
                <w:sz w:val="20"/>
                <w:szCs w:val="20"/>
                <w:color w:val="auto"/>
              </w:rPr>
            </w:pPr>
            <w:r>
              <w:rPr>
                <w:rFonts w:ascii="Arial" w:cs="Arial" w:eastAsia="Arial" w:hAnsi="Arial"/>
                <w:sz w:val="18"/>
                <w:szCs w:val="18"/>
                <w:color w:val="auto"/>
              </w:rPr>
              <w:t>(5,708)</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4120" w:type="dxa"/>
            <w:vAlign w:val="bottom"/>
            <w:shd w:val="clear" w:color="auto" w:fill="CCEEFF"/>
          </w:tcPr>
          <w:p>
            <w:pPr>
              <w:spacing w:after="0" w:line="202" w:lineRule="exact"/>
              <w:rPr>
                <w:sz w:val="20"/>
                <w:szCs w:val="20"/>
                <w:color w:val="auto"/>
              </w:rPr>
            </w:pPr>
            <w:r>
              <w:rPr>
                <w:rFonts w:ascii="Arial" w:cs="Arial" w:eastAsia="Arial" w:hAnsi="Arial"/>
                <w:sz w:val="16"/>
                <w:szCs w:val="16"/>
                <w:color w:val="auto"/>
              </w:rPr>
              <w:t>Gains included in earnings</w:t>
            </w:r>
            <w:r>
              <w:rPr>
                <w:rFonts w:ascii="Arial" w:cs="Arial" w:eastAsia="Arial" w:hAnsi="Arial"/>
                <w:sz w:val="23"/>
                <w:szCs w:val="23"/>
                <w:color w:val="auto"/>
                <w:vertAlign w:val="superscript"/>
              </w:rPr>
              <w:t>(1)</w:t>
            </w:r>
          </w:p>
        </w:tc>
        <w:tc>
          <w:tcPr>
            <w:tcW w:w="1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375</w:t>
            </w:r>
          </w:p>
        </w:tc>
        <w:tc>
          <w:tcPr>
            <w:tcW w:w="1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(268)</w:t>
            </w:r>
          </w:p>
        </w:tc>
      </w:tr>
      <w:tr>
        <w:trPr>
          <w:trHeight w:val="196"/>
        </w:trPr>
        <w:tc>
          <w:tcPr>
            <w:tcW w:w="4120" w:type="dxa"/>
            <w:vAlign w:val="bottom"/>
          </w:tcPr>
          <w:p>
            <w:pPr>
              <w:spacing w:after="0" w:line="196" w:lineRule="exact"/>
              <w:rPr>
                <w:sz w:val="20"/>
                <w:szCs w:val="20"/>
                <w:color w:val="auto"/>
              </w:rPr>
            </w:pPr>
            <w:r>
              <w:rPr>
                <w:rFonts w:ascii="Arial" w:cs="Arial" w:eastAsia="Arial" w:hAnsi="Arial"/>
                <w:sz w:val="18"/>
                <w:szCs w:val="18"/>
                <w:color w:val="auto"/>
              </w:rPr>
              <w:t>Ending balance as of December 31, 2025</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60" w:type="dxa"/>
            <w:vAlign w:val="bottom"/>
          </w:tcPr>
          <w:p>
            <w:pPr>
              <w:jc w:val="right"/>
              <w:spacing w:after="0" w:line="196" w:lineRule="exact"/>
              <w:rPr>
                <w:sz w:val="20"/>
                <w:szCs w:val="20"/>
                <w:color w:val="auto"/>
              </w:rPr>
            </w:pPr>
            <w:r>
              <w:rPr>
                <w:rFonts w:ascii="Arial" w:cs="Arial" w:eastAsia="Arial" w:hAnsi="Arial"/>
                <w:sz w:val="18"/>
                <w:szCs w:val="18"/>
                <w:color w:val="auto"/>
              </w:rPr>
              <w:t>3,321</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6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r>
      <w:tr>
        <w:trPr>
          <w:trHeight w:val="203"/>
        </w:trPr>
        <w:tc>
          <w:tcPr>
            <w:tcW w:w="4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Purchases</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7,665</w:t>
            </w: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4120" w:type="dxa"/>
            <w:vAlign w:val="bottom"/>
            <w:tcBorders>
              <w:bottom w:val="single" w:sz="8" w:color="CCEEFF"/>
            </w:tcBorders>
          </w:tcPr>
          <w:p>
            <w:pPr>
              <w:spacing w:after="0" w:line="202" w:lineRule="exact"/>
              <w:rPr>
                <w:sz w:val="20"/>
                <w:szCs w:val="20"/>
                <w:color w:val="auto"/>
              </w:rPr>
            </w:pPr>
            <w:r>
              <w:rPr>
                <w:rFonts w:ascii="Arial" w:cs="Arial" w:eastAsia="Arial" w:hAnsi="Arial"/>
                <w:sz w:val="16"/>
                <w:szCs w:val="16"/>
                <w:color w:val="auto"/>
              </w:rPr>
              <w:t>Losses included in earnings</w:t>
            </w:r>
            <w:r>
              <w:rPr>
                <w:rFonts w:ascii="Arial" w:cs="Arial" w:eastAsia="Arial" w:hAnsi="Arial"/>
                <w:sz w:val="23"/>
                <w:szCs w:val="23"/>
                <w:color w:val="auto"/>
                <w:vertAlign w:val="superscript"/>
              </w:rPr>
              <w:t>(1)</w:t>
            </w:r>
          </w:p>
        </w:tc>
        <w:tc>
          <w:tcPr>
            <w:tcW w:w="1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w:t>
            </w:r>
          </w:p>
        </w:tc>
        <w:tc>
          <w:tcPr>
            <w:tcW w:w="1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41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Ending balance as of September 30, 2026</w:t>
            </w:r>
          </w:p>
        </w:tc>
        <w:tc>
          <w:tcPr>
            <w:tcW w:w="1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10,957</w:t>
            </w:r>
          </w:p>
        </w:tc>
        <w:tc>
          <w:tcPr>
            <w:tcW w:w="1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76"/>
              <w:spacing w:after="0" w:line="196" w:lineRule="exact"/>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r>
      <w:tr>
        <w:trPr>
          <w:trHeight w:val="20"/>
        </w:trPr>
        <w:tc>
          <w:tcPr>
            <w:tcW w:w="4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ind w:left="380" w:right="459" w:hanging="330"/>
        <w:spacing w:after="0" w:line="243" w:lineRule="auto"/>
        <w:tabs>
          <w:tab w:leader="none" w:pos="380" w:val="left"/>
        </w:tabs>
        <w:numPr>
          <w:ilvl w:val="0"/>
          <w:numId w:val="15"/>
        </w:numPr>
        <w:rPr>
          <w:rFonts w:ascii="Arial" w:cs="Arial" w:eastAsia="Arial" w:hAnsi="Arial"/>
          <w:sz w:val="11"/>
          <w:szCs w:val="11"/>
          <w:color w:val="auto"/>
        </w:rPr>
      </w:pPr>
      <w:r>
        <w:rPr>
          <w:rFonts w:ascii="Arial" w:cs="Arial" w:eastAsia="Arial" w:hAnsi="Arial"/>
          <w:sz w:val="13"/>
          <w:szCs w:val="13"/>
          <w:color w:val="auto"/>
        </w:rPr>
        <w:t>Gains (losses) related to the derived participation investment represent an increase (decrease) in the asset. Gains related to the acquisition-related contingent consideration represent a decrease in the liability.</w:t>
      </w:r>
    </w:p>
    <w:p>
      <w:pPr>
        <w:spacing w:after="0" w:line="34" w:lineRule="exact"/>
        <w:rPr>
          <w:rFonts w:ascii="Arial" w:cs="Arial" w:eastAsia="Arial" w:hAnsi="Arial"/>
          <w:sz w:val="11"/>
          <w:szCs w:val="11"/>
          <w:color w:val="auto"/>
        </w:rPr>
      </w:pPr>
    </w:p>
    <w:p>
      <w:pPr>
        <w:ind w:left="380" w:hanging="330"/>
        <w:spacing w:after="0"/>
        <w:tabs>
          <w:tab w:leader="none" w:pos="380" w:val="left"/>
        </w:tabs>
        <w:numPr>
          <w:ilvl w:val="0"/>
          <w:numId w:val="15"/>
        </w:numPr>
        <w:rPr>
          <w:rFonts w:ascii="Arial" w:cs="Arial" w:eastAsia="Arial" w:hAnsi="Arial"/>
          <w:sz w:val="10"/>
          <w:szCs w:val="10"/>
          <w:color w:val="auto"/>
        </w:rPr>
      </w:pPr>
      <w:r>
        <w:rPr>
          <w:rFonts w:ascii="Arial" w:cs="Arial" w:eastAsia="Arial" w:hAnsi="Arial"/>
          <w:sz w:val="12"/>
          <w:szCs w:val="12"/>
          <w:color w:val="auto"/>
        </w:rPr>
        <w:t>Securitization proceeds held by issuer to be exchanged for new investment. The new investment was made during the three months ended September 30, 2026.</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3" w:name="page24"/>
    <w:bookmarkEnd w:id="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Derived Participation Investment</w:t>
      </w:r>
    </w:p>
    <w:p>
      <w:pPr>
        <w:spacing w:after="0" w:line="10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The Company has entered into an arrangement with a consumer financing partner to invest in a participation interest in the cash flows of certain financing transactions under the white label financing program with such consumer financing partner (the “Derived Participation Investment”). The fair value of this investment was estimated by discounting the projected cash flows subject to the participation interest. The assumptions in the analysis included loan losses, prepayments, and recoveries derived based on historical observation of such data pertaining to the RV industry, as well as other relevant industries with loan structures similar to that of the RV industry. This is categorized as a Level 3 measurement and there was no significant change in unrealized gains or losses during the nine months ended September 30, 2026.</w:t>
      </w:r>
    </w:p>
    <w:p>
      <w:pPr>
        <w:spacing w:after="0" w:line="180"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In July 2026, the $5.7 million amount listed above as “In transit exchanges for new securities” was reinvested along with an additional $2.0 million in the residual interest of a previously securitized Derived Participation Investment.</w:t>
      </w:r>
    </w:p>
    <w:p>
      <w:pPr>
        <w:spacing w:after="0" w:line="169"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Additionally, as of September 30, 2026 and December 31, 2025, the Company held a $7.5 million investment in a preferred interest of this consumer financing partner, which operates a captive-as-a-service business specializing in financing for RVs and powersports. Since this investment did not have a readily determinable fair value, it was recorded at its cost less impairments, if any.</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Contingent Consideration</w:t>
      </w:r>
    </w:p>
    <w:p>
      <w:pPr>
        <w:spacing w:after="0" w:line="210"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The Company’s contingent consideration liability was established as part of the consideration for the acquisition of a tire rescue roadside assistance business in June 2024. The fair value of this liability was estimated as the present value of the probability-weighted milestone payments at each of the first two anniversaries of the date of the acquisition for a maximum aggregate payment of $0.5 million if all milestones are reached. The assumptions in the analysis included the Company’s assessment of the probability that the milestones will be reached and a discount rate based primarily on the Company’s credit risk and its ability to pay. This was categorized as a Level 3 measurement and there was no significant change in unrealized gains or losses during the nine months ended September 30, 2025. Based on milestones reached, the first milestone payment was determined to be $0.1 million and was paid in October 2025. The milestones relating to the second milestone payment were not reached and did not result in any further milestone payments.</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Nonrecurring Fair Value Measurements</w:t>
      </w:r>
    </w:p>
    <w:p>
      <w:pPr>
        <w:spacing w:after="0" w:line="210"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There were no material re-measurements to fair value during 2026 and 2025 of assets and liabilities that are not measured at fair value on a recurring basis except for impairments of long-lived assets and goodwill (see Note 5 — Long-Lived Asset Impairment and Note 7 — Goodwill and Intangible Assets), which are categorized as Level 3 measurements.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Other Fair Value Disclosures</w:t>
      </w:r>
    </w:p>
    <w:p>
      <w:pPr>
        <w:spacing w:after="0" w:line="21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There have been no transfers of assets or liabilities between the fair value measurement levels.</w:t>
      </w:r>
    </w:p>
    <w:p>
      <w:pPr>
        <w:spacing w:after="0" w:line="21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For floor plan notes payable under the Floor Plan Facility, the amounts reported in the accompanying condensed consolidated balance sheets approximate the fair value due to their short-term nature or the existence of variable interest rates that approximate prevailing market rates.</w:t>
      </w:r>
    </w:p>
    <w:p>
      <w:pPr>
        <w:spacing w:after="0" w:line="169"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 following table presents the reported carrying value and fair value information for the Company’s debt instruments. The fair values shown below for the Term Loan Facility, as applicable, are based on quoted prices in inactive markets for identical assets (Level 2) and the fair values shown below for the Real Estate</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4" w:name="page25"/>
    <w:bookmarkEnd w:id="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71" w:lineRule="auto"/>
        <w:rPr>
          <w:sz w:val="20"/>
          <w:szCs w:val="20"/>
          <w:color w:val="auto"/>
        </w:rPr>
      </w:pPr>
      <w:r>
        <w:rPr>
          <w:rFonts w:ascii="Arial" w:cs="Arial" w:eastAsia="Arial" w:hAnsi="Arial"/>
          <w:sz w:val="18"/>
          <w:szCs w:val="18"/>
          <w:color w:val="auto"/>
        </w:rPr>
        <w:t>Facilities and the Other Long-Term Debt are estimated by discounting the future contractual cash flows at the current market interest rate that is available based on similar financial instruments.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27"/>
        </w:trPr>
        <w:tc>
          <w:tcPr>
            <w:tcW w:w="1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Arial" w:cs="Arial" w:eastAsia="Arial" w:hAnsi="Arial"/>
                <w:sz w:val="10"/>
                <w:szCs w:val="10"/>
                <w:b w:val="1"/>
                <w:bCs w:val="1"/>
                <w:color w:val="auto"/>
                <w:w w:val="96"/>
              </w:rPr>
              <w:t>Fair Value</w:t>
            </w:r>
          </w:p>
        </w:tc>
        <w:tc>
          <w:tcPr>
            <w:tcW w:w="1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0"/>
                <w:szCs w:val="10"/>
                <w:b w:val="1"/>
                <w:bCs w:val="1"/>
                <w:color w:val="auto"/>
              </w:rPr>
              <w:t>September 30, 2026</w:t>
            </w:r>
          </w:p>
        </w:tc>
        <w:tc>
          <w:tcPr>
            <w:tcW w:w="1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0"/>
                <w:szCs w:val="10"/>
                <w:b w:val="1"/>
                <w:bCs w:val="1"/>
                <w:color w:val="auto"/>
              </w:rPr>
              <w:t>December 31, 2025</w:t>
            </w:r>
          </w:p>
        </w:tc>
        <w:tc>
          <w:tcPr>
            <w:tcW w:w="1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0"/>
                <w:szCs w:val="10"/>
                <w:b w:val="1"/>
                <w:bCs w:val="1"/>
                <w:color w:val="auto"/>
              </w:rPr>
              <w:t>September 30, 2025</w:t>
            </w:r>
          </w:p>
        </w:tc>
      </w:tr>
      <w:tr>
        <w:trPr>
          <w:trHeight w:val="142"/>
        </w:trPr>
        <w:tc>
          <w:tcPr>
            <w:tcW w:w="1880" w:type="dxa"/>
            <w:vAlign w:val="bottom"/>
          </w:tcPr>
          <w:p>
            <w:pPr>
              <w:ind w:left="20"/>
              <w:spacing w:after="0"/>
              <w:rPr>
                <w:sz w:val="20"/>
                <w:szCs w:val="20"/>
                <w:color w:val="auto"/>
              </w:rPr>
            </w:pPr>
            <w:r>
              <w:rPr>
                <w:rFonts w:ascii="Arial" w:cs="Arial" w:eastAsia="Arial" w:hAnsi="Arial"/>
                <w:sz w:val="11"/>
                <w:szCs w:val="11"/>
                <w:color w:val="auto"/>
              </w:rPr>
              <w:t>($ in thousands)</w:t>
            </w:r>
          </w:p>
        </w:tc>
        <w:tc>
          <w:tcPr>
            <w:tcW w:w="1020" w:type="dxa"/>
            <w:vAlign w:val="bottom"/>
            <w:gridSpan w:val="2"/>
          </w:tcPr>
          <w:p>
            <w:pPr>
              <w:ind w:left="80"/>
              <w:spacing w:after="0" w:line="142" w:lineRule="exact"/>
              <w:rPr>
                <w:sz w:val="20"/>
                <w:szCs w:val="20"/>
                <w:color w:val="auto"/>
              </w:rPr>
            </w:pPr>
            <w:r>
              <w:rPr>
                <w:rFonts w:ascii="Arial" w:cs="Arial" w:eastAsia="Arial" w:hAnsi="Arial"/>
                <w:sz w:val="14"/>
                <w:szCs w:val="14"/>
                <w:color w:val="auto"/>
              </w:rPr>
              <w:t xml:space="preserve">​​​ </w:t>
            </w:r>
            <w:r>
              <w:rPr>
                <w:rFonts w:ascii="Arial" w:cs="Arial" w:eastAsia="Arial" w:hAnsi="Arial"/>
                <w:sz w:val="9"/>
                <w:szCs w:val="9"/>
                <w:b w:val="1"/>
                <w:bCs w:val="1"/>
                <w:color w:val="auto"/>
              </w:rPr>
              <w:t>Measurement</w:t>
            </w:r>
          </w:p>
        </w:tc>
        <w:tc>
          <w:tcPr>
            <w:tcW w:w="200" w:type="dxa"/>
            <w:vAlign w:val="bottom"/>
            <w:gridSpan w:val="2"/>
          </w:tcPr>
          <w:p>
            <w:pPr>
              <w:jc w:val="right"/>
              <w:ind w:right="8"/>
              <w:spacing w:after="0"/>
              <w:rPr>
                <w:sz w:val="20"/>
                <w:szCs w:val="20"/>
                <w:color w:val="auto"/>
              </w:rPr>
            </w:pPr>
            <w:r>
              <w:rPr>
                <w:rFonts w:ascii="Arial" w:cs="Arial" w:eastAsia="Arial" w:hAnsi="Arial"/>
                <w:sz w:val="10"/>
                <w:szCs w:val="10"/>
                <w:b w:val="1"/>
                <w:bCs w:val="1"/>
                <w:color w:val="auto"/>
              </w:rPr>
              <w:t>​​​</w:t>
            </w:r>
          </w:p>
        </w:tc>
        <w:tc>
          <w:tcPr>
            <w:tcW w:w="780" w:type="dxa"/>
            <w:vAlign w:val="bottom"/>
          </w:tcPr>
          <w:p>
            <w:pPr>
              <w:jc w:val="right"/>
              <w:ind w:right="22"/>
              <w:spacing w:after="0"/>
              <w:rPr>
                <w:sz w:val="20"/>
                <w:szCs w:val="20"/>
                <w:color w:val="auto"/>
              </w:rPr>
            </w:pPr>
            <w:r>
              <w:rPr>
                <w:rFonts w:ascii="Arial" w:cs="Arial" w:eastAsia="Arial" w:hAnsi="Arial"/>
                <w:sz w:val="10"/>
                <w:szCs w:val="10"/>
                <w:b w:val="1"/>
                <w:bCs w:val="1"/>
                <w:color w:val="auto"/>
                <w:w w:val="96"/>
              </w:rPr>
              <w:t>Carrying Value</w:t>
            </w:r>
          </w:p>
        </w:tc>
        <w:tc>
          <w:tcPr>
            <w:tcW w:w="280" w:type="dxa"/>
            <w:vAlign w:val="bottom"/>
            <w:gridSpan w:val="2"/>
          </w:tcPr>
          <w:p>
            <w:pPr>
              <w:jc w:val="right"/>
              <w:ind w:right="57"/>
              <w:spacing w:after="0"/>
              <w:rPr>
                <w:sz w:val="20"/>
                <w:szCs w:val="20"/>
                <w:color w:val="auto"/>
              </w:rPr>
            </w:pPr>
            <w:r>
              <w:rPr>
                <w:rFonts w:ascii="Arial" w:cs="Arial" w:eastAsia="Arial" w:hAnsi="Arial"/>
                <w:sz w:val="10"/>
                <w:szCs w:val="10"/>
                <w:color w:val="auto"/>
              </w:rPr>
              <w:t>​​​</w:t>
            </w:r>
          </w:p>
        </w:tc>
        <w:tc>
          <w:tcPr>
            <w:tcW w:w="720" w:type="dxa"/>
            <w:vAlign w:val="bottom"/>
          </w:tcPr>
          <w:p>
            <w:pPr>
              <w:jc w:val="right"/>
              <w:ind w:right="140"/>
              <w:spacing w:after="0"/>
              <w:rPr>
                <w:sz w:val="20"/>
                <w:szCs w:val="20"/>
                <w:color w:val="auto"/>
              </w:rPr>
            </w:pPr>
            <w:r>
              <w:rPr>
                <w:rFonts w:ascii="Arial" w:cs="Arial" w:eastAsia="Arial" w:hAnsi="Arial"/>
                <w:sz w:val="10"/>
                <w:szCs w:val="10"/>
                <w:b w:val="1"/>
                <w:bCs w:val="1"/>
                <w:color w:val="auto"/>
              </w:rPr>
              <w:t>Fair Value</w:t>
            </w:r>
          </w:p>
        </w:tc>
        <w:tc>
          <w:tcPr>
            <w:tcW w:w="220" w:type="dxa"/>
            <w:vAlign w:val="bottom"/>
            <w:gridSpan w:val="2"/>
          </w:tcPr>
          <w:p>
            <w:pPr>
              <w:jc w:val="right"/>
              <w:ind w:right="8"/>
              <w:spacing w:after="0"/>
              <w:rPr>
                <w:sz w:val="20"/>
                <w:szCs w:val="20"/>
                <w:color w:val="auto"/>
              </w:rPr>
            </w:pPr>
            <w:r>
              <w:rPr>
                <w:rFonts w:ascii="Arial" w:cs="Arial" w:eastAsia="Arial" w:hAnsi="Arial"/>
                <w:sz w:val="10"/>
                <w:szCs w:val="10"/>
                <w:color w:val="auto"/>
              </w:rPr>
              <w:t>​​​</w:t>
            </w:r>
          </w:p>
        </w:tc>
        <w:tc>
          <w:tcPr>
            <w:tcW w:w="780" w:type="dxa"/>
            <w:vAlign w:val="bottom"/>
          </w:tcPr>
          <w:p>
            <w:pPr>
              <w:jc w:val="right"/>
              <w:ind w:right="22"/>
              <w:spacing w:after="0"/>
              <w:rPr>
                <w:sz w:val="20"/>
                <w:szCs w:val="20"/>
                <w:color w:val="auto"/>
              </w:rPr>
            </w:pPr>
            <w:r>
              <w:rPr>
                <w:rFonts w:ascii="Arial" w:cs="Arial" w:eastAsia="Arial" w:hAnsi="Arial"/>
                <w:sz w:val="10"/>
                <w:szCs w:val="10"/>
                <w:b w:val="1"/>
                <w:bCs w:val="1"/>
                <w:color w:val="auto"/>
                <w:w w:val="96"/>
              </w:rPr>
              <w:t>Carrying Value</w:t>
            </w:r>
          </w:p>
        </w:tc>
        <w:tc>
          <w:tcPr>
            <w:tcW w:w="280" w:type="dxa"/>
            <w:vAlign w:val="bottom"/>
            <w:gridSpan w:val="2"/>
          </w:tcPr>
          <w:p>
            <w:pPr>
              <w:jc w:val="right"/>
              <w:ind w:right="68"/>
              <w:spacing w:after="0"/>
              <w:rPr>
                <w:sz w:val="20"/>
                <w:szCs w:val="20"/>
                <w:color w:val="auto"/>
              </w:rPr>
            </w:pPr>
            <w:r>
              <w:rPr>
                <w:rFonts w:ascii="Arial" w:cs="Arial" w:eastAsia="Arial" w:hAnsi="Arial"/>
                <w:sz w:val="10"/>
                <w:szCs w:val="10"/>
                <w:color w:val="auto"/>
              </w:rPr>
              <w:t>​​​</w:t>
            </w:r>
          </w:p>
        </w:tc>
        <w:tc>
          <w:tcPr>
            <w:tcW w:w="860" w:type="dxa"/>
            <w:vAlign w:val="bottom"/>
            <w:gridSpan w:val="2"/>
          </w:tcPr>
          <w:p>
            <w:pPr>
              <w:ind w:left="60"/>
              <w:spacing w:after="0"/>
              <w:rPr>
                <w:sz w:val="20"/>
                <w:szCs w:val="20"/>
                <w:color w:val="auto"/>
              </w:rPr>
            </w:pPr>
            <w:r>
              <w:rPr>
                <w:rFonts w:ascii="Arial" w:cs="Arial" w:eastAsia="Arial" w:hAnsi="Arial"/>
                <w:sz w:val="10"/>
                <w:szCs w:val="10"/>
                <w:b w:val="1"/>
                <w:bCs w:val="1"/>
                <w:color w:val="auto"/>
              </w:rPr>
              <w:t>Fair Value</w:t>
            </w:r>
          </w:p>
        </w:tc>
        <w:tc>
          <w:tcPr>
            <w:tcW w:w="80" w:type="dxa"/>
            <w:vAlign w:val="bottom"/>
          </w:tcPr>
          <w:p>
            <w:pPr>
              <w:spacing w:after="0"/>
              <w:rPr>
                <w:sz w:val="12"/>
                <w:szCs w:val="12"/>
                <w:color w:val="auto"/>
              </w:rPr>
            </w:pPr>
          </w:p>
        </w:tc>
        <w:tc>
          <w:tcPr>
            <w:tcW w:w="780" w:type="dxa"/>
            <w:vAlign w:val="bottom"/>
          </w:tcPr>
          <w:p>
            <w:pPr>
              <w:jc w:val="right"/>
              <w:ind w:right="22"/>
              <w:spacing w:after="0"/>
              <w:rPr>
                <w:sz w:val="20"/>
                <w:szCs w:val="20"/>
                <w:color w:val="auto"/>
              </w:rPr>
            </w:pPr>
            <w:r>
              <w:rPr>
                <w:rFonts w:ascii="Arial" w:cs="Arial" w:eastAsia="Arial" w:hAnsi="Arial"/>
                <w:sz w:val="10"/>
                <w:szCs w:val="10"/>
                <w:b w:val="1"/>
                <w:bCs w:val="1"/>
                <w:color w:val="auto"/>
                <w:w w:val="96"/>
              </w:rPr>
              <w:t>Carrying Value</w:t>
            </w:r>
          </w:p>
        </w:tc>
        <w:tc>
          <w:tcPr>
            <w:tcW w:w="280" w:type="dxa"/>
            <w:vAlign w:val="bottom"/>
            <w:gridSpan w:val="2"/>
          </w:tcPr>
          <w:p>
            <w:pPr>
              <w:jc w:val="right"/>
              <w:ind w:right="68"/>
              <w:spacing w:after="0"/>
              <w:rPr>
                <w:sz w:val="20"/>
                <w:szCs w:val="20"/>
                <w:color w:val="auto"/>
              </w:rPr>
            </w:pPr>
            <w:r>
              <w:rPr>
                <w:rFonts w:ascii="Arial" w:cs="Arial" w:eastAsia="Arial" w:hAnsi="Arial"/>
                <w:sz w:val="10"/>
                <w:szCs w:val="10"/>
                <w:color w:val="auto"/>
              </w:rPr>
              <w:t>​​​</w:t>
            </w:r>
          </w:p>
        </w:tc>
        <w:tc>
          <w:tcPr>
            <w:tcW w:w="740" w:type="dxa"/>
            <w:vAlign w:val="bottom"/>
          </w:tcPr>
          <w:p>
            <w:pPr>
              <w:jc w:val="right"/>
              <w:ind w:right="140"/>
              <w:spacing w:after="0"/>
              <w:rPr>
                <w:sz w:val="20"/>
                <w:szCs w:val="20"/>
                <w:color w:val="auto"/>
              </w:rPr>
            </w:pPr>
            <w:r>
              <w:rPr>
                <w:rFonts w:ascii="Arial" w:cs="Arial" w:eastAsia="Arial" w:hAnsi="Arial"/>
                <w:sz w:val="10"/>
                <w:szCs w:val="10"/>
                <w:b w:val="1"/>
                <w:bCs w:val="1"/>
                <w:color w:val="auto"/>
              </w:rPr>
              <w:t>Fair Value</w:t>
            </w:r>
          </w:p>
        </w:tc>
      </w:tr>
      <w:tr>
        <w:trPr>
          <w:trHeight w:val="128"/>
        </w:trPr>
        <w:tc>
          <w:tcPr>
            <w:tcW w:w="1880" w:type="dxa"/>
            <w:vAlign w:val="bottom"/>
            <w:tcBorders>
              <w:top w:val="single" w:sz="8" w:color="auto"/>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Term Loan Facility</w:t>
            </w:r>
          </w:p>
        </w:tc>
        <w:tc>
          <w:tcPr>
            <w:tcW w:w="16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rPr>
              <w:t>Level 2</w:t>
            </w: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1,284,057</w:t>
            </w: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1,237,483</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1,308,832</w:t>
            </w: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1,285,475</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1,311,362</w:t>
            </w: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1,290,544</w:t>
            </w:r>
          </w:p>
        </w:tc>
      </w:tr>
      <w:tr>
        <w:trPr>
          <w:trHeight w:val="135"/>
        </w:trPr>
        <w:tc>
          <w:tcPr>
            <w:tcW w:w="1880" w:type="dxa"/>
            <w:vAlign w:val="bottom"/>
          </w:tcPr>
          <w:p>
            <w:pPr>
              <w:ind w:left="20"/>
              <w:spacing w:after="0" w:line="135" w:lineRule="exact"/>
              <w:rPr>
                <w:sz w:val="20"/>
                <w:szCs w:val="20"/>
                <w:color w:val="auto"/>
              </w:rPr>
            </w:pPr>
            <w:r>
              <w:rPr>
                <w:rFonts w:ascii="Arial" w:cs="Arial" w:eastAsia="Arial" w:hAnsi="Arial"/>
                <w:sz w:val="13"/>
                <w:szCs w:val="13"/>
                <w:color w:val="auto"/>
              </w:rPr>
              <w:t>Real Estate Facilities</w:t>
            </w:r>
          </w:p>
        </w:tc>
        <w:tc>
          <w:tcPr>
            <w:tcW w:w="16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Arial" w:cs="Arial" w:eastAsia="Arial" w:hAnsi="Arial"/>
                <w:sz w:val="13"/>
                <w:szCs w:val="13"/>
                <w:color w:val="auto"/>
              </w:rPr>
              <w:t>Level 2</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132,029</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130,491</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155,137</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158,203</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163,018</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167,572</w:t>
            </w:r>
          </w:p>
        </w:tc>
      </w:tr>
      <w:tr>
        <w:trPr>
          <w:trHeight w:val="135"/>
        </w:trPr>
        <w:tc>
          <w:tcPr>
            <w:tcW w:w="18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Other Long-Term Debt</w:t>
            </w: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rPr>
              <w:t>Level 2</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7,328</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6,297</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7,588</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6,622</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7,676</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6,677</w:t>
            </w:r>
          </w:p>
        </w:tc>
      </w:tr>
    </w:tbl>
    <w:p>
      <w:pPr>
        <w:spacing w:after="0" w:line="238" w:lineRule="exact"/>
        <w:rPr>
          <w:sz w:val="20"/>
          <w:szCs w:val="20"/>
          <w:color w:val="auto"/>
        </w:rPr>
      </w:pPr>
    </w:p>
    <w:p>
      <w:pPr>
        <w:ind w:left="60" w:right="5819" w:hanging="10"/>
        <w:spacing w:after="0" w:line="486" w:lineRule="auto"/>
        <w:tabs>
          <w:tab w:leader="none" w:pos="35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Litigation</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Siverd Complaint and Shareholder Derivative Litigation</w:t>
      </w:r>
    </w:p>
    <w:p>
      <w:pPr>
        <w:spacing w:after="0" w:line="210"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 xml:space="preserve">On March 10, 2026, a purported stockholder of the Company filed a putative class action lawsuit captioned </w:t>
      </w:r>
      <w:r>
        <w:rPr>
          <w:rFonts w:ascii="Arial" w:cs="Arial" w:eastAsia="Arial" w:hAnsi="Arial"/>
          <w:sz w:val="18"/>
          <w:szCs w:val="18"/>
          <w:i w:val="1"/>
          <w:iCs w:val="1"/>
          <w:color w:val="auto"/>
        </w:rPr>
        <w:t>Siverd v. Camping World Holdings, Inc., et al.</w:t>
      </w:r>
      <w:r>
        <w:rPr>
          <w:rFonts w:ascii="Arial" w:cs="Arial" w:eastAsia="Arial" w:hAnsi="Arial"/>
          <w:sz w:val="18"/>
          <w:szCs w:val="18"/>
          <w:color w:val="auto"/>
        </w:rPr>
        <w:t>, in the United States District Court for the Northern District of Illinois against Camping World Holdings, Inc. and certain current and former officers (“Individual Defendants” and together, “Defendants”). On May 21, 2026, the court appointed a lead plaintiff, and on July 24, 2026, the lead plaintiff filed an amended complaint. The amended complaint alleges that Defendants violated Section 11 of the Securities Act of 1933 (the “’33 Act”) and Section 10(b) and Rule 10b-5 of the Securities Exchange Act of 1934, as amended (the “’34 Act”), by making materially false or misleading statements related to the Company’s business, operations, and prospects. The lawsuit also alleges Individual Defendants violated Section 15 of the ’33 Act and Section 20(a) of the ’34 Act by allegedly acting as controlling persons of the Company in connection with the alleged materially false or misleading statements. The lead plaintiff seeks to represent a putative class of investors who purchased or acquired the Company’s stock between October 29, 2024 and February 24, 2026 and a sub-class of investors who purchased or acquired the Company’s stock pursuant or traceable to the registration statement and prospectus issued in connection with the Company’s October 31, 2024 secondary public offering, and seeks compensatory damages, attorneys’ fees and costs, and other relief as the court may deem just and proper. The case is in its early stages. Defendants filed a motion to dismiss the amended complaint on September 24, 2026. Plaintiff’s response to the motion is due on November 20, 2026 and Defendants’ reply is due by December 18, 2026.</w:t>
      </w:r>
    </w:p>
    <w:p>
      <w:pPr>
        <w:spacing w:after="0" w:line="184"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 xml:space="preserve">On May 19 and 20, 2026, the Company was named as the nominal defendant in derivative lawsuits captioned </w:t>
      </w:r>
      <w:r>
        <w:rPr>
          <w:rFonts w:ascii="Arial" w:cs="Arial" w:eastAsia="Arial" w:hAnsi="Arial"/>
          <w:sz w:val="18"/>
          <w:szCs w:val="18"/>
          <w:i w:val="1"/>
          <w:iCs w:val="1"/>
          <w:color w:val="auto"/>
        </w:rPr>
        <w:t>Schulz v. Lemonis, et al., Amaral v. Lemonis, et al., and Kogut v. Lemonis, et al.</w:t>
      </w:r>
      <w:r>
        <w:rPr>
          <w:rFonts w:ascii="Arial" w:cs="Arial" w:eastAsia="Arial" w:hAnsi="Arial"/>
          <w:sz w:val="18"/>
          <w:szCs w:val="18"/>
          <w:color w:val="auto"/>
        </w:rPr>
        <w:t xml:space="preserve">, each filed in the United States District Court for the Northern District of Illinois (the “Shareholder Derivative Litigation”) and premised on similar facts as alleged in the </w:t>
      </w:r>
      <w:r>
        <w:rPr>
          <w:rFonts w:ascii="Arial" w:cs="Arial" w:eastAsia="Arial" w:hAnsi="Arial"/>
          <w:sz w:val="18"/>
          <w:szCs w:val="18"/>
          <w:i w:val="1"/>
          <w:iCs w:val="1"/>
          <w:color w:val="auto"/>
        </w:rPr>
        <w:t>Siverd</w:t>
      </w:r>
      <w:r>
        <w:rPr>
          <w:rFonts w:ascii="Arial" w:cs="Arial" w:eastAsia="Arial" w:hAnsi="Arial"/>
          <w:sz w:val="18"/>
          <w:szCs w:val="18"/>
          <w:color w:val="auto"/>
        </w:rPr>
        <w:t xml:space="preserve"> complaint. The Shareholder Derivative Litigation names certain current and former directors and officers as defendants and asserts claims for breach of fiduciary duty, violations of federal securities laws, unjust enrichment, waste of corporate assets, and other causes of action. The Shareholder Derivative Litigation alleges that for the period from at least as early as April 2025 through at least February 24, 2026 (and, in one case, through the present), the Company’s officers and directors made and/or caused the Company to make materially false or misleading statements related to the Company’s business, operations, and prospects, and failed to adequately oversee the Company’s operations. The Shareholder Derivative Litigation seeks recovery on behalf of the Company for its alleged losses, including costs of defending the </w:t>
      </w:r>
      <w:r>
        <w:rPr>
          <w:rFonts w:ascii="Arial" w:cs="Arial" w:eastAsia="Arial" w:hAnsi="Arial"/>
          <w:sz w:val="18"/>
          <w:szCs w:val="18"/>
          <w:i w:val="1"/>
          <w:iCs w:val="1"/>
          <w:color w:val="auto"/>
        </w:rPr>
        <w:t>Siverd</w:t>
      </w:r>
      <w:r>
        <w:rPr>
          <w:rFonts w:ascii="Arial" w:cs="Arial" w:eastAsia="Arial" w:hAnsi="Arial"/>
          <w:sz w:val="18"/>
          <w:szCs w:val="18"/>
          <w:color w:val="auto"/>
        </w:rPr>
        <w:t xml:space="preserve"> securities litigation, reputational harm, and other damages. On June 30, 2026, the court consolidated the cases (captioned </w:t>
      </w:r>
      <w:r>
        <w:rPr>
          <w:rFonts w:ascii="Arial" w:cs="Arial" w:eastAsia="Arial" w:hAnsi="Arial"/>
          <w:sz w:val="18"/>
          <w:szCs w:val="18"/>
          <w:i w:val="1"/>
          <w:iCs w:val="1"/>
          <w:color w:val="auto"/>
        </w:rPr>
        <w:t>In Re Camping World Holdings, Inc. Shareholder Derivative Litigation</w:t>
      </w:r>
      <w:r>
        <w:rPr>
          <w:rFonts w:ascii="Arial" w:cs="Arial" w:eastAsia="Arial" w:hAnsi="Arial"/>
          <w:sz w:val="18"/>
          <w:szCs w:val="18"/>
          <w:color w:val="auto"/>
        </w:rPr>
        <w:t xml:space="preserve">) and appointed co-lead counsel. The case is in its early stages. On September 9, 2026, the court stayed the case pending resolution of the motion to dismiss in the related </w:t>
      </w:r>
      <w:r>
        <w:rPr>
          <w:rFonts w:ascii="Arial" w:cs="Arial" w:eastAsia="Arial" w:hAnsi="Arial"/>
          <w:sz w:val="18"/>
          <w:szCs w:val="18"/>
          <w:i w:val="1"/>
          <w:iCs w:val="1"/>
          <w:color w:val="auto"/>
        </w:rPr>
        <w:t>Siverd</w:t>
      </w:r>
      <w:r>
        <w:rPr>
          <w:rFonts w:ascii="Arial" w:cs="Arial" w:eastAsia="Arial" w:hAnsi="Arial"/>
          <w:sz w:val="18"/>
          <w:szCs w:val="18"/>
          <w:color w:val="auto"/>
        </w:rPr>
        <w:t xml:space="preserve"> action.</w:t>
      </w:r>
    </w:p>
    <w:p>
      <w:pPr>
        <w:spacing w:after="0" w:line="188"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The Company and the individual defendants intend to vigorously defend these actions and any potential liability that may arise from the alleged claims is not currently probable or reasonably estimable. This litigation could result in financial judgments or the payment of settlement amounts and disputes with insurance carriers concerning coverage.</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Weissmann Complaint</w:t>
      </w:r>
    </w:p>
    <w:p>
      <w:pPr>
        <w:spacing w:after="0" w:line="210"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 xml:space="preserve">On June 22, 2021, FreedomRoads Holding Company, LLC (“FR Holdco”), an indirect wholly-owned subsidiary of CWGS, LLC, filed a one-count complaint captioned </w:t>
      </w:r>
      <w:r>
        <w:rPr>
          <w:rFonts w:ascii="Arial" w:cs="Arial" w:eastAsia="Arial" w:hAnsi="Arial"/>
          <w:sz w:val="18"/>
          <w:szCs w:val="18"/>
          <w:i w:val="1"/>
          <w:iCs w:val="1"/>
          <w:color w:val="auto"/>
        </w:rPr>
        <w:t>FreedomRoads Holding Company, LLC v.</w:t>
      </w:r>
    </w:p>
    <w:p>
      <w:pPr>
        <w:sectPr>
          <w:pgSz w:w="11900" w:h="16838" w:orient="portrait"/>
          <w:cols w:equalWidth="0" w:num="1">
            <w:col w:w="9019"/>
          </w:cols>
          <w:pgMar w:left="1440" w:top="512" w:right="1440" w:bottom="1440" w:gutter="0" w:footer="0" w:header="0"/>
        </w:sect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25" w:name="page26"/>
    <w:bookmarkEnd w:id="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i w:val="1"/>
          <w:iCs w:val="1"/>
          <w:color w:val="auto"/>
        </w:rPr>
        <w:t xml:space="preserve">Steve Weissmann </w:t>
      </w:r>
      <w:r>
        <w:rPr>
          <w:rFonts w:ascii="Arial" w:cs="Arial" w:eastAsia="Arial" w:hAnsi="Arial"/>
          <w:sz w:val="18"/>
          <w:szCs w:val="18"/>
          <w:color w:val="auto"/>
        </w:rPr>
        <w:t>in the Circuit Court of Cook County, Illinois against Steve Weissmann (“Weissmann”) for</w:t>
      </w:r>
      <w:r>
        <w:rPr>
          <w:rFonts w:ascii="Arial" w:cs="Arial" w:eastAsia="Arial" w:hAnsi="Arial"/>
          <w:sz w:val="18"/>
          <w:szCs w:val="18"/>
          <w:i w:val="1"/>
          <w:iCs w:val="1"/>
          <w:color w:val="auto"/>
        </w:rPr>
        <w:t xml:space="preserve"> </w:t>
      </w:r>
      <w:r>
        <w:rPr>
          <w:rFonts w:ascii="Arial" w:cs="Arial" w:eastAsia="Arial" w:hAnsi="Arial"/>
          <w:sz w:val="18"/>
          <w:szCs w:val="18"/>
          <w:color w:val="auto"/>
        </w:rPr>
        <w:t>breach of contractual obligation under note guarantee (the “Note”) (the “Weissmann Complaint”). On October 8, 2021, Weissmann brought a counterclaim against FR Holdco and third-party defendants Marcus A. Lemonis, NBCUniversal Media, LLC, the Consumer National Broadcasting Company (“CNBC”), Camping World, Inc. (“CW”), and Machete Productions (“Machete”) (the “Weissmann Counterclaim”), in which he alleges claims in connection with the Note and his appearance on the reality television show The Profit. Weissmann alleges the following causes of action against FR Holdco and all third-party defendants, including CW: (i) fraud; (ii) fraud in the inducement; (iii) fraudulent concealment; (iv) breach of fiduciary duty; (v) defamation; (vi) defamation per se;</w:t>
      </w:r>
    </w:p>
    <w:p>
      <w:pPr>
        <w:spacing w:after="0" w:line="3" w:lineRule="exact"/>
        <w:rPr>
          <w:sz w:val="20"/>
          <w:szCs w:val="20"/>
          <w:color w:val="auto"/>
        </w:rPr>
      </w:pPr>
    </w:p>
    <w:p>
      <w:pPr>
        <w:jc w:val="both"/>
        <w:ind w:left="60" w:right="59" w:hanging="10"/>
        <w:spacing w:after="0" w:line="235" w:lineRule="auto"/>
        <w:tabs>
          <w:tab w:leader="none" w:pos="423"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false light; (viii) intentional infliction of emotional distress; (ix) negligence; (x) unjust enrichment; and (xi) RICO § 1962. Weissmann seeks costs and damages in an amount to be proven at trial but no less than the amount in the Note (approximately $2.5 million); in connection with his RICO claim, Weissmann asserts he is entitled to damages in the amount of three times the Note. On February 18, 2022, NBCUniversal, CNBC, and Machete filed a motion to compel arbitration (the “NBC Arbitration Motion”). On May 5, 2022, an agreed order was filed staying the litigation in favor of arbitration. On May 31, 2022, FR Holdco filed an arbitration demand against Weissmann for collection on the Note. Weissmann filed his response and counterclaims, and third-party claims against FR Holdco, CW, Marcus A. Lemonis, NBCUniversal, and Machete on July 7, 2022. On or about July 21, 2022, FR Holdco and the other respondents filed their responses and affirmative defenses. On March 11, 2024, FR Holdco’s arbitration demand and the Weissmann arbitration demand were tried before a single arbitrator pursuant to the JAMS streamlined arbitration rules in a confidential arbitration hearing. On May 23, 2024, the arbitrator issued an interim award in favor of FR Holdco in the amount of $4,318,892, plus interest, costs, and attorneys’ fees as set forth in the Tumbleweed (as defined below) bankruptcy plan and to be determined by the arbitrator in subsequent proceedings. On July 31, 2024, the arbitrator heard the parties’ arguments on the amount of attorneys’ fees and costs owed to FR Holdco, after Weissmann conceded in a written briefing the obligation to pay attorneys’ fees and costs to FR Holdco as the prevailing party. On September 12, 2024, the arbitrator issued a final award in favor of FR Holdco in the amount of $4,990,006, in the manner described in the Tumbleweed bankruptcy plan. Weissmann is jointly and severally liable for $4,106,884 of that amount. On September 24, 2024, Weissmann and Tumbleweed filed a Petition to Vacate Arbitration Award in the Superior Court for the State of California, County of Los Angeles. On September 27, 2024, FR Holdco, CW, Marcus A. Lemonis, NBCUniversal, and Machete filed a Petition to Confirm Arbitration Award in the Superior Court for the State of California, County of Los Angeles. On January 16, 2025, the Superior Court for the State of California, County of Los Angeles granted the Petition to Confirm Arbitration Award and denied the Petition to Vacate Arbitration Award, concluding the litigation. On July 8, 2025, the Superior Court for the State of California, County of Los Angeles entered the Judgment in favor of FR Holdco, CW, Marcus A. Lemonis, NBCUniversal, and Machete. On August 21, 2025, Weissmann and Tumbleweed filed a notice of appeal. On November 25, 2025, Weissmann and Tumbleweed filed their opening brief in the Second Appellate District of the Court of Appeal of the State of California. FR Holdco, CW, Marcus Lemonis, NBCUniversal, and Machete filed their response brief on February 20, 2026. On April 8, 2026, Weissmann and Tumbleweed filed their reply brief. On July 21, 2026, the Court of Appeal issued a tentative ruling in favor of FR Holdco, CW, Marcus A. Lemonis, NBCUniversal, and Machete. On July 29, 2026, oral arguments were presented. On August 10, 2026, the Court of Appeal affirmed the judgment in favor of FR Holdco, CW, Marcus A. Lemonis, NBCUniversal, and Machete. On September 16, 2026, Weissmann and Tumbleweed filed a petition for review with the California Supreme Court. FR Holdco, CW, Marcus A. Lemonis, NBCUniversal and Machete filed their answer to the petition on October 6, 2026. On or around October 21, 2026, the California Supreme Court denied review and, on October 22, 2026, the Court of Appeal issued a remittitur and its decision confirming the Arbitration Award in its entirety became final. There can be no assurances that the Company will be able to collect amounts owed pursuant to the Arbitration Award.</w:t>
      </w:r>
    </w:p>
    <w:p>
      <w:pPr>
        <w:spacing w:after="0" w:line="193"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Tumbleweed Complaint</w:t>
      </w:r>
    </w:p>
    <w:p>
      <w:pPr>
        <w:spacing w:after="0" w:line="210"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On November 10, 2021, Tumbleweed Tiny House Company, Inc. (“Tumbleweed”) filed a complaint against FR Holdco, CW, Marcus A. Lemonis, NBCUniversal Media, LLC, and Machete Productions in which Tumbleweed alleges claims in connection with the Note and its appearance on the reality television show The Profit (the “Tumbleweed Complaint”), seeking primarily monetary damages. Tumbleweed alleges the following claims against the defendants, including FR Holdco and CW: (i) fraud; (ii) false promise; (iii) breach of fiduciary duty (and aiding and abetting the same); (iv) breach of contract; (v) breach of oral contract; (vi) tortious interference with prospective economic advantage; (vii) fraud in the inducement; (viii) negligent misrepresentation; (ix) fraudulent concealment; (x) conspiracy; (xi) unlawful business practices; (xii)</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26" w:name="page27"/>
    <w:bookmarkEnd w:id="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defamation; and (xiii) declaratory judgment. On April 21, 2022, the Court granted a motion to compel arbitration filed by NBCUniversal and joined by all defendants, including FR Holdco, CW, and Marcus A. Lemonis, compelling Tumbleweed’s claims to arbitration. Tumbleweed served its arbitration demand on FR Holdco, CW, and Marcus A. Lemonis on May 17, 2022. FR Holdco, CW, and Marcus A. Lemonis filed responses and affirmative defenses on May 31, 2022. On July 20, 2022, pursuant to the JAMS streamlined arbitration rules, the Tumbleweed Complaint was consolidated together with the Weissmann Complaint. The parties have exchanged discovery. On March 11, 2024, FR Holdco’s arbitration demand and the Weissmann arbitration demand were tried before a single arbitrator pursuant to the JAMS streamlined arbitration rules in a confidential arbitration hearing. On May 23, 2024, the arbitrator issued an interim award in favor of all respondents, including FR Holdco, CW, and Lemonis. On July 31, 2024, the arbitrator heard the parties’ arguments on the amount of attorneys’ fees and costs owed to FR Holdco, CW, Lemonis, and the other defendants, after Tumbleweed conceded the obligation to pay attorneys’ fees and costs to the prevailing parties. On September 12, 2024, the arbitrator issued a final award in favor of FR Holdco, CW, and Lemonis in the amount of $3,793,455 in attorneys’ fees and $626,611 in costs. The arbitrator also awarded $4,990,006 in favor of FR Holdco. On September 24, 2024, Weissmann and Tumbleweed filed a Petition to Vacate Arbitration Award in the Superior Court for the State of California, County of Los Angeles. On September 27, 2024, FR Holdco, CW, Marcus A. Lemonis, NBCUniversal, and Machete filed a Petition to Confirm Arbitration Award in the Superior Court for the State of California, County of Los Angeles. On January 16, 2025, the Superior Court for the State of California, County of Los Angeles granted the Petition to Confirm Arbitration Award and denied the Petition to Vacate Arbitration Award, concluding the litigation. On July 8, 2025, the Superior Court for the State of California, County of Los Angeles entered the Judgment in favor of FR Holdco, CW, Marcus A. Lemonis, NBCUniversal, and Machete. On August 21, 2025, Weissmann and Tumbleweed filed a notice of appeal. On November 25, 2025, Weissmann and Tumbleweed filed their opening brief in the Second Appellate District of the Court of Appeal of the State of California. FR Holdco, CW, Marcus Lemonis, NBCUniversal, and Machete filed their response brief on February 20, 2026. On April 8, 2026, Weissmann and Tumbleweed filed their reply brief. On July 21, 2026, the Court of Appeal issued a tentative ruling in favor of FR Holdco, CW, Marcus A. Lemonis, NBCUniversal, and Machete. On July 29, 2026, oral arguments were presented. On August 10, 2026, the Court of Appeal affirmed the judgment in favor of FR Holdco, CW, Marcus A. Lemonis, NBCUniversal, and Machete. On September 16, 2026, Weissmann and Tumbleweed filed a petition for review with the California Supreme Court. FR Holdco, CW, Marcus A. Lemonis, NBCUniversal and Machete filed their answer to the petition on October 6, 2026. On or around October 21, 2026, the California Supreme Court denied review and, on October 22, 2026, the Court of Appeal issued a remittitur and its decision confirming the Arbitration Award in its entirety became final. There can be no assurances that the Company will be able to collect amounts owed pursuant to the Arbitration Award.</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General</w:t>
      </w:r>
    </w:p>
    <w:p>
      <w:pPr>
        <w:spacing w:after="0" w:line="210"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From time to time, the Company is involved in litigation arising in the normal course of business operations including, but not limited to, labor (including federal and state minimum wage and overtime requirements), advertising, real estate, promotions, quality of services, intellectual property, tax, import and export, anti-corruption, anti-competition, environmental, health and safety matters. While the outcome of litigation cannot be predicted with certainty, and some of these lawsuits, claims or proceedings may be determined adversely to the Company, management does not believe that the disposition of any such pending matters is likely to have a material adverse effect on the Company’s financial statements. No assurance can be made that these or similar suits will not result in a material financial exposure in excess of insurance coverage, which could have a material adverse effect upon the Company’s financial condition and results of operations.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Employment Agreements</w:t>
      </w:r>
    </w:p>
    <w:p>
      <w:pPr>
        <w:spacing w:after="0" w:line="21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 Company has employment agreements with certain officers. The agreements include, among other things, an annual bonus based on certain performance-based criteria and certain severance benefits in the event of a qualifying termination.</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Marcus A. Lemonis</w:t>
      </w:r>
    </w:p>
    <w:p>
      <w:pPr>
        <w:spacing w:after="0" w:line="210"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Marcus A. Lemonis, our former Chief Executive Officer, Chairman of the Board and member of the Board, is employed with the Company in the non-executive role of Co-Founder and Special Advisor through</w:t>
      </w:r>
    </w:p>
    <w:p>
      <w:pPr>
        <w:sectPr>
          <w:pgSz w:w="11900" w:h="16838" w:orient="portrait"/>
          <w:cols w:equalWidth="0" w:num="1">
            <w:col w:w="9019"/>
          </w:cols>
          <w:pgMar w:left="1440" w:top="512" w:right="1440" w:bottom="1440" w:gutter="0" w:footer="0" w:header="0"/>
        </w:sect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27" w:name="page28"/>
    <w:bookmarkEnd w:id="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December 31, 2026 under the second amended and restated employment agreement with Mr. Lemonis (the “Lemonis Second Employment Agreement”), which the Board approved on December 2, 2025. Pursuant to the Lemonis Second Employment Agreement, Mr. Lemonis’ 2026 compensation included a $1.5 million annual salary (“2026 Salary”), a $2.3 million bonus (“2026 Bonus”) and an additional $3.8 million lump-sum payment (the “Lump-Sum Payment”), originally payable at the end of the term of the Lemonis Second Employment Agreement in December 2026 (collectively, the “Lemonis 2026 Compensation”). Each of the 2026 Bonus and Lump-Sum Payment could be settled in cash or shares of Class A common stock based on the closing stock price on the settlement date. The Company deemed the 2026 service conditions relating to the Lemonis Second Employment Agreement to be nonsubstantive for accounting purposes, so the aggregate $7.5 million of the Lemonis 2026 Compensation was accrued as of December 31, 2025. On May 18, 2026, the Lemonis Second Employment Agreement was amended to settle (i) the 2026 Bonus with the issuance of 319,602 shares of Class A common stock, less 125,763 shares withheld to cover Mr. Lemonis’ associated tax withholding obligations, and (ii) the Lump-Sum Payment in cash, which were both paid in May 2026. See Note 17 — Stock-Based Compensation Plans for details on Mr. Lemonis’ stock-based compensation, including liability-classified share-based awards.</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Lindsey J. Christen</w:t>
      </w:r>
    </w:p>
    <w:p>
      <w:pPr>
        <w:spacing w:after="0" w:line="210"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On July 29, 2026, Lindsey Christen, the Company’s Chief Administrative and Legal Officer and Secretary, notified the Company of her intent to resign as the Company’s Chief Administrative and Legal Officer and Secretary, effective September 1, 2026 (the “Transition Date”).</w:t>
      </w:r>
    </w:p>
    <w:p>
      <w:pPr>
        <w:spacing w:after="0" w:line="169"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On July 29, 2026, Ms. Christen and the Company entered into an employment transition and release agreement (the “Transition Agreement”), pursuant to which Ms. Christen agreed to provide transitional services to the Company as a non-executive employee through February 28, 2027 (or such other date as Ms. Christen’s employment with the Company terminates, the “Transition Period”) in order to help facilitate the transition of her role and responsibilities. During the Transition Period, Ms. Christen will (i) continue to receive her base salary at the current annual rate of $ 0.7 million (“Transition Pay”), (ii) receive a prorated annual bonus for 2026 equal to $0.4 million, payable within thirty (30) days of the Transition Date, and (iii) have her restricted stock unit awards continue to vest through December 31, 2026 in accordance with their terms. Any of Ms. Christen’s restricted stock unit awards or performance stock unit awards scheduled to vest after December 31, 2026 were cancelled as of the Transition Date for no consideration.</w:t>
      </w:r>
    </w:p>
    <w:p>
      <w:pPr>
        <w:spacing w:after="0" w:line="180"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Upon the expiration of the Transition Period for any reason other than Ms. Christen’s voluntary resignation or termination by the Company for cause, Ms. Christen will be eligible to receive a cash payment equal to $0.4 million, payable in a lump sum within thirty (30) days. If Ms. Christen’s last day of service occurs prior to February 28, 2027 due to her termination by the Company without cause, Ms. Christen will be eligible to receive an amount equal to the remaining unpaid Transition Pay that would have been payable through the remainder of the Transition Period, which shall be paid in a lump sum within thirty (30) days.</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Financial Assurances</w:t>
      </w:r>
    </w:p>
    <w:p>
      <w:pPr>
        <w:spacing w:after="0" w:line="212"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In the normal course of business, the Company obtains standby letters of credit and surety bonds from financial institutions and other third parties. These instruments guarantee the Company’s future performance and provide third parties with financial and performance assurance in the event that the Company does not perform. These instruments support a wide variety of the Company’s business activities. As of September 30, 2026, December 31, 2025, and September 30, 2025, outstanding standby letters of credit issued through the Company’s Floor Plan Facility were $15.4 million, $15.4 million, and $14.3 million, respectively (see Note 4 — Inventories and Floor Plan Payables). The outstanding standby letters of credit issued through the Senior Secured Credit Facilities as of September 30, 2026, December 31, 2025, and September 30, 2025 were $4.9 million (see Note 8 — Long-Term Debt). As of September 30, 2026, December 31, 2025, and September 30, 2025, outstanding surety bonds were $22.7 million, $25.0 million, and $24.8 million, respectively. The underlying liabilities to which these instruments relate are reflected on the Company’s condensed consolidated balance sheets, where applicable. Therefore, no additional liability is reflected for the letters of credit and surety bonds themselves.</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28" w:name="page29"/>
    <w:bookmarkEnd w:id="2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12. Statement of Cash Flows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Supplemental disclosures of cash flow information for the following periods were as follows: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300" w:type="dxa"/>
            <w:vAlign w:val="bottom"/>
            <w:vMerge w:val="restart"/>
          </w:tcPr>
          <w:p>
            <w:pPr>
              <w:ind w:left="20"/>
              <w:spacing w:after="0"/>
              <w:rPr>
                <w:sz w:val="20"/>
                <w:szCs w:val="20"/>
                <w:color w:val="auto"/>
              </w:rPr>
            </w:pPr>
            <w:r>
              <w:rPr>
                <w:rFonts w:ascii="Arial" w:cs="Arial" w:eastAsia="Arial" w:hAnsi="Arial"/>
                <w:sz w:val="14"/>
                <w:szCs w:val="14"/>
                <w:color w:val="auto"/>
              </w:rPr>
              <w:t>($ in thousands)</w:t>
            </w:r>
          </w:p>
        </w:tc>
        <w:tc>
          <w:tcPr>
            <w:tcW w:w="120" w:type="dxa"/>
            <w:vAlign w:val="bottom"/>
          </w:tcPr>
          <w:p>
            <w:pPr>
              <w:spacing w:after="0"/>
              <w:rPr>
                <w:sz w:val="14"/>
                <w:szCs w:val="14"/>
                <w:color w:val="auto"/>
              </w:rPr>
            </w:pPr>
          </w:p>
        </w:tc>
        <w:tc>
          <w:tcPr>
            <w:tcW w:w="2480" w:type="dxa"/>
            <w:vAlign w:val="bottom"/>
            <w:tcBorders>
              <w:bottom w:val="single" w:sz="8" w:color="auto"/>
            </w:tcBorders>
            <w:gridSpan w:val="5"/>
          </w:tcPr>
          <w:p>
            <w:pPr>
              <w:jc w:val="right"/>
              <w:ind w:right="8"/>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6"/>
        </w:trPr>
        <w:tc>
          <w:tcPr>
            <w:tcW w:w="6300" w:type="dxa"/>
            <w:vAlign w:val="bottom"/>
            <w:vMerge w:val="continue"/>
          </w:tcPr>
          <w:p>
            <w:pPr>
              <w:spacing w:after="0"/>
              <w:rPr>
                <w:sz w:val="13"/>
                <w:szCs w:val="13"/>
                <w:color w:val="auto"/>
              </w:rPr>
            </w:pPr>
          </w:p>
        </w:tc>
        <w:tc>
          <w:tcPr>
            <w:tcW w:w="360" w:type="dxa"/>
            <w:vAlign w:val="bottom"/>
            <w:gridSpan w:val="2"/>
          </w:tcPr>
          <w:p>
            <w:pPr>
              <w:jc w:val="right"/>
              <w:ind w:right="128"/>
              <w:spacing w:after="0" w:line="155"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328"/>
              <w:spacing w:after="0" w:line="155" w:lineRule="exact"/>
              <w:rPr>
                <w:sz w:val="20"/>
                <w:szCs w:val="20"/>
                <w:color w:val="auto"/>
              </w:rPr>
            </w:pPr>
            <w:r>
              <w:rPr>
                <w:rFonts w:ascii="Arial" w:cs="Arial" w:eastAsia="Arial" w:hAnsi="Arial"/>
                <w:sz w:val="14"/>
                <w:szCs w:val="14"/>
                <w:b w:val="1"/>
                <w:bCs w:val="1"/>
                <w:color w:val="auto"/>
              </w:rPr>
              <w:t>2026</w:t>
            </w:r>
          </w:p>
        </w:tc>
        <w:tc>
          <w:tcPr>
            <w:tcW w:w="460" w:type="dxa"/>
            <w:vAlign w:val="bottom"/>
            <w:gridSpan w:val="2"/>
          </w:tcPr>
          <w:p>
            <w:pPr>
              <w:jc w:val="right"/>
              <w:ind w:right="300"/>
              <w:spacing w:after="0" w:line="155"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328"/>
              <w:spacing w:after="0" w:line="155" w:lineRule="exact"/>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96"/>
        </w:trPr>
        <w:tc>
          <w:tcPr>
            <w:tcW w:w="6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Cash paid during the period for:</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6300" w:type="dxa"/>
            <w:vAlign w:val="bottom"/>
          </w:tcPr>
          <w:p>
            <w:pPr>
              <w:ind w:left="120"/>
              <w:spacing w:after="0"/>
              <w:rPr>
                <w:sz w:val="20"/>
                <w:szCs w:val="20"/>
                <w:color w:val="auto"/>
              </w:rPr>
            </w:pPr>
            <w:r>
              <w:rPr>
                <w:rFonts w:ascii="Arial" w:cs="Arial" w:eastAsia="Arial" w:hAnsi="Arial"/>
                <w:sz w:val="14"/>
                <w:szCs w:val="14"/>
                <w:color w:val="auto"/>
              </w:rPr>
              <w:t>Interest</w:t>
            </w:r>
          </w:p>
        </w:tc>
        <w:tc>
          <w:tcPr>
            <w:tcW w:w="36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136,367</w:t>
            </w:r>
          </w:p>
        </w:tc>
        <w:tc>
          <w:tcPr>
            <w:tcW w:w="4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146,325</w:t>
            </w:r>
          </w:p>
        </w:tc>
        <w:tc>
          <w:tcPr>
            <w:tcW w:w="0" w:type="dxa"/>
            <w:vAlign w:val="bottom"/>
          </w:tcPr>
          <w:p>
            <w:pPr>
              <w:spacing w:after="0"/>
              <w:rPr>
                <w:sz w:val="1"/>
                <w:szCs w:val="1"/>
                <w:color w:val="auto"/>
              </w:rPr>
            </w:pPr>
          </w:p>
        </w:tc>
      </w:tr>
      <w:tr>
        <w:trPr>
          <w:trHeight w:val="162"/>
        </w:trPr>
        <w:tc>
          <w:tcPr>
            <w:tcW w:w="63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Income taxes</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2,907</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1,432</w:t>
            </w:r>
          </w:p>
        </w:tc>
        <w:tc>
          <w:tcPr>
            <w:tcW w:w="0" w:type="dxa"/>
            <w:vAlign w:val="bottom"/>
          </w:tcPr>
          <w:p>
            <w:pPr>
              <w:spacing w:after="0"/>
              <w:rPr>
                <w:sz w:val="1"/>
                <w:szCs w:val="1"/>
                <w:color w:val="auto"/>
              </w:rPr>
            </w:pPr>
          </w:p>
        </w:tc>
      </w:tr>
      <w:tr>
        <w:trPr>
          <w:trHeight w:val="162"/>
        </w:trPr>
        <w:tc>
          <w:tcPr>
            <w:tcW w:w="6300" w:type="dxa"/>
            <w:vAlign w:val="bottom"/>
          </w:tcPr>
          <w:p>
            <w:pPr>
              <w:ind w:left="20"/>
              <w:spacing w:after="0"/>
              <w:rPr>
                <w:sz w:val="20"/>
                <w:szCs w:val="20"/>
                <w:color w:val="auto"/>
              </w:rPr>
            </w:pPr>
            <w:r>
              <w:rPr>
                <w:rFonts w:ascii="Arial" w:cs="Arial" w:eastAsia="Arial" w:hAnsi="Arial"/>
                <w:sz w:val="14"/>
                <w:szCs w:val="14"/>
                <w:color w:val="auto"/>
              </w:rPr>
              <w:t>Noncash investing and financing activities:</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Leasehold improvements paid by lessor</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w:t>
            </w:r>
          </w:p>
        </w:tc>
        <w:tc>
          <w:tcPr>
            <w:tcW w:w="0" w:type="dxa"/>
            <w:vAlign w:val="bottom"/>
          </w:tcPr>
          <w:p>
            <w:pPr>
              <w:spacing w:after="0"/>
              <w:rPr>
                <w:sz w:val="1"/>
                <w:szCs w:val="1"/>
                <w:color w:val="auto"/>
              </w:rPr>
            </w:pPr>
          </w:p>
        </w:tc>
      </w:tr>
      <w:tr>
        <w:trPr>
          <w:trHeight w:val="162"/>
        </w:trPr>
        <w:tc>
          <w:tcPr>
            <w:tcW w:w="6300" w:type="dxa"/>
            <w:vAlign w:val="bottom"/>
          </w:tcPr>
          <w:p>
            <w:pPr>
              <w:ind w:left="120"/>
              <w:spacing w:after="0"/>
              <w:rPr>
                <w:sz w:val="20"/>
                <w:szCs w:val="20"/>
                <w:color w:val="auto"/>
              </w:rPr>
            </w:pPr>
            <w:r>
              <w:rPr>
                <w:rFonts w:ascii="Arial" w:cs="Arial" w:eastAsia="Arial" w:hAnsi="Arial"/>
                <w:sz w:val="14"/>
                <w:szCs w:val="14"/>
                <w:color w:val="auto"/>
              </w:rPr>
              <w:t>Capital expenditures in accounts payable and accrued liabilities</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9,526</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14,638</w:t>
            </w:r>
          </w:p>
        </w:tc>
        <w:tc>
          <w:tcPr>
            <w:tcW w:w="0" w:type="dxa"/>
            <w:vAlign w:val="bottom"/>
          </w:tcPr>
          <w:p>
            <w:pPr>
              <w:spacing w:after="0"/>
              <w:rPr>
                <w:sz w:val="1"/>
                <w:szCs w:val="1"/>
                <w:color w:val="auto"/>
              </w:rPr>
            </w:pPr>
          </w:p>
        </w:tc>
      </w:tr>
      <w:tr>
        <w:trPr>
          <w:trHeight w:val="203"/>
        </w:trPr>
        <w:tc>
          <w:tcPr>
            <w:tcW w:w="63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Prior period deposit applied to portion of purchase price of RV dealership acquisition</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11,000</w:t>
            </w:r>
          </w:p>
        </w:tc>
        <w:tc>
          <w:tcPr>
            <w:tcW w:w="0" w:type="dxa"/>
            <w:vAlign w:val="bottom"/>
          </w:tcPr>
          <w:p>
            <w:pPr>
              <w:spacing w:after="0"/>
              <w:rPr>
                <w:sz w:val="1"/>
                <w:szCs w:val="1"/>
                <w:color w:val="auto"/>
              </w:rPr>
            </w:pPr>
          </w:p>
        </w:tc>
      </w:tr>
      <w:tr>
        <w:trPr>
          <w:trHeight w:val="222"/>
        </w:trPr>
        <w:tc>
          <w:tcPr>
            <w:tcW w:w="6300" w:type="dxa"/>
            <w:vAlign w:val="bottom"/>
          </w:tcPr>
          <w:p>
            <w:pPr>
              <w:ind w:left="120"/>
              <w:spacing w:after="0"/>
              <w:rPr>
                <w:sz w:val="20"/>
                <w:szCs w:val="20"/>
                <w:color w:val="auto"/>
              </w:rPr>
            </w:pPr>
            <w:r>
              <w:rPr>
                <w:rFonts w:ascii="Arial" w:cs="Arial" w:eastAsia="Arial" w:hAnsi="Arial"/>
                <w:sz w:val="14"/>
                <w:szCs w:val="14"/>
                <w:color w:val="auto"/>
              </w:rPr>
              <w:t>Note receivable forgiven as partial consideration for the purchase of real property</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1,128</w:t>
            </w:r>
          </w:p>
        </w:tc>
        <w:tc>
          <w:tcPr>
            <w:tcW w:w="0" w:type="dxa"/>
            <w:vAlign w:val="bottom"/>
          </w:tcPr>
          <w:p>
            <w:pPr>
              <w:spacing w:after="0"/>
              <w:rPr>
                <w:sz w:val="1"/>
                <w:szCs w:val="1"/>
                <w:color w:val="auto"/>
              </w:rPr>
            </w:pPr>
          </w:p>
        </w:tc>
      </w:tr>
    </w:tbl>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13. Acquisitions</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During the nine months ended September 30, 2026 and 2025, subsidiaries of the Company acquired the assets of RV dealerships that constituted businesses under GAAP. The Company used cash and borrowings under its Floor Plan Facility to complete the acquisitions. The Company considers acquisitions of independent dealerships to be a fast and capital-efficient alternative to opening new store locations to expand its business and grow its customer base. The acquired businesses were recorded at their estimated fair values under the acquisition method of accounting. The balance of the purchase prices in excess of the fair values of net assets acquired were recorded as goodwill.</w:t>
      </w:r>
    </w:p>
    <w:p>
      <w:pPr>
        <w:spacing w:after="0" w:line="185"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During the nine months ended September 30, 2026, the RV and Outdoor Retail segment acquired the assets of one RV dealership location for a purchase price of approximately $7.1 million. Separate from this acquisition, during the nine months ended September 30, 2026, the Company purchased real property for an aggregate purchase price of $1.9 million.</w:t>
      </w:r>
    </w:p>
    <w:p>
      <w:pPr>
        <w:spacing w:after="0" w:line="174"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During the nine months ended September 30, 2025, the RV and Outdoor Retail segment acquired the assets of various RV dealerships comprised of eight locations for an aggregate purchase price of approximately $92.2 million. As a component of the aggregate purchase price to acquire certain of these locations, $ 10.0 million was paid as a deposit in November 2024, which would convert into shares of Lazydays Holdings, Inc. (“Lazydays”) common stock if the Company completed the acquisition of all seven RV dealerships originally contemplated under the November 2024 agreement with Lazydays. However, the Company acquired only five of the seven Lazydays RV dealerships, so the deposit did not convert to shares of Lazydays common stock. Instead, the deposit was considered a component of the purchase price of those acquisitions. Additionally, a $1.0 million deposit was made in December 2024 for non-Lazydays RV dealership acquisitions that were completed during the nine months ended September 30, 2025. Separate from these acquisitions, during the nine months ended September 30, 2025, the Company purchased real property for an aggregate purchase price of $123.9 million, inclusive of a $1.1 million note receivable that was forgiven as partial consideration for one of the properties.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9" w:name="page30"/>
    <w:bookmarkEnd w:id="2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 estimated fair values of the assets acquired and liabilities assumed for the acquisitions discussed above consist of the following, net of insignificant measurement period adjustments relating to acquisitions from the respective previous year:</w:t>
      </w:r>
    </w:p>
    <w:p>
      <w:pPr>
        <w:spacing w:after="0" w:line="192" w:lineRule="exact"/>
        <w:rPr>
          <w:sz w:val="20"/>
          <w:szCs w:val="20"/>
          <w:color w:val="auto"/>
        </w:rPr>
      </w:pPr>
    </w:p>
    <w:tbl>
      <w:tblPr>
        <w:tblLayout w:type="fixed"/>
        <w:tblInd w:w="500" w:type="dxa"/>
        <w:tblCellMar>
          <w:top w:w="0" w:type="dxa"/>
          <w:left w:w="0" w:type="dxa"/>
          <w:bottom w:w="0" w:type="dxa"/>
          <w:right w:w="0" w:type="dxa"/>
        </w:tblCellMar>
      </w:tblPr>
      <w:tr>
        <w:trPr>
          <w:trHeight w:val="171"/>
        </w:trPr>
        <w:tc>
          <w:tcPr>
            <w:tcW w:w="5400" w:type="dxa"/>
            <w:vAlign w:val="bottom"/>
            <w:vMerge w:val="restart"/>
          </w:tcPr>
          <w:p>
            <w:pPr>
              <w:spacing w:after="0"/>
              <w:rPr>
                <w:sz w:val="20"/>
                <w:szCs w:val="20"/>
                <w:color w:val="auto"/>
              </w:rPr>
            </w:pPr>
            <w:r>
              <w:rPr>
                <w:rFonts w:ascii="Arial" w:cs="Arial" w:eastAsia="Arial" w:hAnsi="Arial"/>
                <w:sz w:val="14"/>
                <w:szCs w:val="14"/>
                <w:color w:val="auto"/>
              </w:rPr>
              <w:t>($ in thousands)</w:t>
            </w:r>
          </w:p>
        </w:tc>
        <w:tc>
          <w:tcPr>
            <w:tcW w:w="160" w:type="dxa"/>
            <w:vAlign w:val="bottom"/>
          </w:tcPr>
          <w:p>
            <w:pPr>
              <w:spacing w:after="0"/>
              <w:rPr>
                <w:sz w:val="14"/>
                <w:szCs w:val="14"/>
                <w:color w:val="auto"/>
              </w:rPr>
            </w:pPr>
          </w:p>
        </w:tc>
        <w:tc>
          <w:tcPr>
            <w:tcW w:w="246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6"/>
        </w:trPr>
        <w:tc>
          <w:tcPr>
            <w:tcW w:w="5400" w:type="dxa"/>
            <w:vAlign w:val="bottom"/>
            <w:vMerge w:val="continue"/>
          </w:tcPr>
          <w:p>
            <w:pPr>
              <w:spacing w:after="0"/>
              <w:rPr>
                <w:sz w:val="13"/>
                <w:szCs w:val="13"/>
                <w:color w:val="auto"/>
              </w:rPr>
            </w:pPr>
          </w:p>
        </w:tc>
        <w:tc>
          <w:tcPr>
            <w:tcW w:w="420" w:type="dxa"/>
            <w:vAlign w:val="bottom"/>
            <w:gridSpan w:val="2"/>
          </w:tcPr>
          <w:p>
            <w:pPr>
              <w:ind w:left="80"/>
              <w:spacing w:after="0" w:line="155"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311"/>
              <w:spacing w:after="0" w:line="155" w:lineRule="exact"/>
              <w:rPr>
                <w:sz w:val="20"/>
                <w:szCs w:val="20"/>
                <w:color w:val="auto"/>
              </w:rPr>
            </w:pPr>
            <w:r>
              <w:rPr>
                <w:rFonts w:ascii="Arial" w:cs="Arial" w:eastAsia="Arial" w:hAnsi="Arial"/>
                <w:sz w:val="14"/>
                <w:szCs w:val="14"/>
                <w:b w:val="1"/>
                <w:bCs w:val="1"/>
                <w:color w:val="auto"/>
              </w:rPr>
              <w:t>2026</w:t>
            </w:r>
          </w:p>
        </w:tc>
        <w:tc>
          <w:tcPr>
            <w:tcW w:w="460" w:type="dxa"/>
            <w:vAlign w:val="bottom"/>
            <w:gridSpan w:val="3"/>
          </w:tcPr>
          <w:p>
            <w:pPr>
              <w:jc w:val="right"/>
              <w:ind w:right="187"/>
              <w:spacing w:after="0" w:line="155"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331"/>
              <w:spacing w:after="0" w:line="155" w:lineRule="exact"/>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96"/>
        </w:trPr>
        <w:tc>
          <w:tcPr>
            <w:tcW w:w="54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Tangible assets (liabilities) acquired (assumed):</w:t>
            </w:r>
          </w:p>
        </w:tc>
        <w:tc>
          <w:tcPr>
            <w:tcW w:w="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0" w:type="dxa"/>
            <w:vAlign w:val="bottom"/>
          </w:tcPr>
          <w:p>
            <w:pPr>
              <w:ind w:left="100"/>
              <w:spacing w:after="0" w:line="202" w:lineRule="exact"/>
              <w:rPr>
                <w:sz w:val="20"/>
                <w:szCs w:val="20"/>
                <w:color w:val="auto"/>
              </w:rPr>
            </w:pPr>
            <w:r>
              <w:rPr>
                <w:rFonts w:ascii="Arial" w:cs="Arial" w:eastAsia="Arial" w:hAnsi="Arial"/>
                <w:sz w:val="18"/>
                <w:szCs w:val="18"/>
                <w:color w:val="auto"/>
              </w:rPr>
              <w:t>Inventories, net</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4,668</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73,002</w:t>
            </w:r>
          </w:p>
        </w:tc>
        <w:tc>
          <w:tcPr>
            <w:tcW w:w="0" w:type="dxa"/>
            <w:vAlign w:val="bottom"/>
          </w:tcPr>
          <w:p>
            <w:pPr>
              <w:spacing w:after="0"/>
              <w:rPr>
                <w:sz w:val="1"/>
                <w:szCs w:val="1"/>
                <w:color w:val="auto"/>
              </w:rPr>
            </w:pPr>
          </w:p>
        </w:tc>
      </w:tr>
      <w:tr>
        <w:trPr>
          <w:trHeight w:val="203"/>
        </w:trPr>
        <w:tc>
          <w:tcPr>
            <w:tcW w:w="54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Prepaid expenses and other assets</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3"/>
        </w:trPr>
        <w:tc>
          <w:tcPr>
            <w:tcW w:w="5400" w:type="dxa"/>
            <w:vAlign w:val="bottom"/>
          </w:tcPr>
          <w:p>
            <w:pPr>
              <w:ind w:left="100"/>
              <w:spacing w:after="0" w:line="202" w:lineRule="exact"/>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44</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1,414</w:t>
            </w:r>
          </w:p>
        </w:tc>
        <w:tc>
          <w:tcPr>
            <w:tcW w:w="0" w:type="dxa"/>
            <w:vAlign w:val="bottom"/>
          </w:tcPr>
          <w:p>
            <w:pPr>
              <w:spacing w:after="0"/>
              <w:rPr>
                <w:sz w:val="1"/>
                <w:szCs w:val="1"/>
                <w:color w:val="auto"/>
              </w:rPr>
            </w:pPr>
          </w:p>
        </w:tc>
      </w:tr>
      <w:tr>
        <w:trPr>
          <w:trHeight w:val="203"/>
        </w:trPr>
        <w:tc>
          <w:tcPr>
            <w:tcW w:w="54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Operating lease assets</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9,366</w:t>
            </w:r>
          </w:p>
        </w:tc>
        <w:tc>
          <w:tcPr>
            <w:tcW w:w="0" w:type="dxa"/>
            <w:vAlign w:val="bottom"/>
          </w:tcPr>
          <w:p>
            <w:pPr>
              <w:spacing w:after="0"/>
              <w:rPr>
                <w:sz w:val="1"/>
                <w:szCs w:val="1"/>
                <w:color w:val="auto"/>
              </w:rPr>
            </w:pPr>
          </w:p>
        </w:tc>
      </w:tr>
      <w:tr>
        <w:trPr>
          <w:trHeight w:val="203"/>
        </w:trPr>
        <w:tc>
          <w:tcPr>
            <w:tcW w:w="5400" w:type="dxa"/>
            <w:vAlign w:val="bottom"/>
          </w:tcPr>
          <w:p>
            <w:pPr>
              <w:ind w:left="100"/>
              <w:spacing w:after="0" w:line="202" w:lineRule="exact"/>
              <w:rPr>
                <w:sz w:val="20"/>
                <w:szCs w:val="20"/>
                <w:color w:val="auto"/>
              </w:rPr>
            </w:pPr>
            <w:r>
              <w:rPr>
                <w:rFonts w:ascii="Arial" w:cs="Arial" w:eastAsia="Arial" w:hAnsi="Arial"/>
                <w:sz w:val="18"/>
                <w:szCs w:val="18"/>
                <w:color w:val="auto"/>
              </w:rPr>
              <w:t>Accrued liabilities</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03"/>
        </w:trPr>
        <w:tc>
          <w:tcPr>
            <w:tcW w:w="54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Current portion of operating lease liabilities</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(1,055)</w:t>
            </w:r>
          </w:p>
        </w:tc>
        <w:tc>
          <w:tcPr>
            <w:tcW w:w="0" w:type="dxa"/>
            <w:vAlign w:val="bottom"/>
          </w:tcPr>
          <w:p>
            <w:pPr>
              <w:spacing w:after="0"/>
              <w:rPr>
                <w:sz w:val="1"/>
                <w:szCs w:val="1"/>
                <w:color w:val="auto"/>
              </w:rPr>
            </w:pPr>
          </w:p>
        </w:tc>
      </w:tr>
      <w:tr>
        <w:trPr>
          <w:trHeight w:val="203"/>
        </w:trPr>
        <w:tc>
          <w:tcPr>
            <w:tcW w:w="5400" w:type="dxa"/>
            <w:vAlign w:val="bottom"/>
          </w:tcPr>
          <w:p>
            <w:pPr>
              <w:ind w:left="100"/>
              <w:spacing w:after="0" w:line="202" w:lineRule="exact"/>
              <w:rPr>
                <w:sz w:val="20"/>
                <w:szCs w:val="20"/>
                <w:color w:val="auto"/>
              </w:rPr>
            </w:pPr>
            <w:r>
              <w:rPr>
                <w:rFonts w:ascii="Arial" w:cs="Arial" w:eastAsia="Arial" w:hAnsi="Arial"/>
                <w:sz w:val="18"/>
                <w:szCs w:val="18"/>
                <w:color w:val="auto"/>
              </w:rPr>
              <w:t>Other current liabilities</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03"/>
        </w:trPr>
        <w:tc>
          <w:tcPr>
            <w:tcW w:w="54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Operating lease liabilities, net of current portion</w:t>
            </w:r>
          </w:p>
        </w:tc>
        <w:tc>
          <w:tcPr>
            <w:tcW w:w="16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(8,312)</w:t>
            </w:r>
          </w:p>
        </w:tc>
        <w:tc>
          <w:tcPr>
            <w:tcW w:w="0" w:type="dxa"/>
            <w:vAlign w:val="bottom"/>
          </w:tcPr>
          <w:p>
            <w:pPr>
              <w:spacing w:after="0"/>
              <w:rPr>
                <w:sz w:val="1"/>
                <w:szCs w:val="1"/>
                <w:color w:val="auto"/>
              </w:rPr>
            </w:pPr>
          </w:p>
        </w:tc>
      </w:tr>
      <w:tr>
        <w:trPr>
          <w:trHeight w:val="196"/>
        </w:trPr>
        <w:tc>
          <w:tcPr>
            <w:tcW w:w="5400" w:type="dxa"/>
            <w:vAlign w:val="bottom"/>
          </w:tcPr>
          <w:p>
            <w:pPr>
              <w:ind w:left="220"/>
              <w:spacing w:after="0" w:line="196" w:lineRule="exact"/>
              <w:rPr>
                <w:sz w:val="20"/>
                <w:szCs w:val="20"/>
                <w:color w:val="auto"/>
              </w:rPr>
            </w:pPr>
            <w:r>
              <w:rPr>
                <w:rFonts w:ascii="Arial" w:cs="Arial" w:eastAsia="Arial" w:hAnsi="Arial"/>
                <w:sz w:val="18"/>
                <w:szCs w:val="18"/>
                <w:color w:val="auto"/>
              </w:rPr>
              <w:t>Total tangible net assets acquired</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4,712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73,862</w:t>
            </w:r>
          </w:p>
        </w:tc>
        <w:tc>
          <w:tcPr>
            <w:tcW w:w="0" w:type="dxa"/>
            <w:vAlign w:val="bottom"/>
          </w:tcPr>
          <w:p>
            <w:pPr>
              <w:spacing w:after="0"/>
              <w:rPr>
                <w:sz w:val="1"/>
                <w:szCs w:val="1"/>
                <w:color w:val="auto"/>
              </w:rPr>
            </w:pPr>
          </w:p>
        </w:tc>
      </w:tr>
      <w:tr>
        <w:trPr>
          <w:trHeight w:val="203"/>
        </w:trPr>
        <w:tc>
          <w:tcPr>
            <w:tcW w:w="5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2,342</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18,341</w:t>
            </w:r>
          </w:p>
        </w:tc>
        <w:tc>
          <w:tcPr>
            <w:tcW w:w="0" w:type="dxa"/>
            <w:vAlign w:val="bottom"/>
          </w:tcPr>
          <w:p>
            <w:pPr>
              <w:spacing w:after="0"/>
              <w:rPr>
                <w:sz w:val="1"/>
                <w:szCs w:val="1"/>
                <w:color w:val="auto"/>
              </w:rPr>
            </w:pPr>
          </w:p>
        </w:tc>
      </w:tr>
      <w:tr>
        <w:trPr>
          <w:trHeight w:val="196"/>
        </w:trPr>
        <w:tc>
          <w:tcPr>
            <w:tcW w:w="5400" w:type="dxa"/>
            <w:vAlign w:val="bottom"/>
          </w:tcPr>
          <w:p>
            <w:pPr>
              <w:spacing w:after="0" w:line="196" w:lineRule="exact"/>
              <w:rPr>
                <w:sz w:val="20"/>
                <w:szCs w:val="20"/>
                <w:color w:val="auto"/>
              </w:rPr>
            </w:pPr>
            <w:r>
              <w:rPr>
                <w:rFonts w:ascii="Arial" w:cs="Arial" w:eastAsia="Arial" w:hAnsi="Arial"/>
                <w:sz w:val="18"/>
                <w:szCs w:val="18"/>
                <w:color w:val="auto"/>
              </w:rPr>
              <w:t>Purchase price of acquisitions</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7,054</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92,203</w:t>
            </w:r>
          </w:p>
        </w:tc>
        <w:tc>
          <w:tcPr>
            <w:tcW w:w="0" w:type="dxa"/>
            <w:vAlign w:val="bottom"/>
          </w:tcPr>
          <w:p>
            <w:pPr>
              <w:spacing w:after="0"/>
              <w:rPr>
                <w:sz w:val="1"/>
                <w:szCs w:val="1"/>
                <w:color w:val="auto"/>
              </w:rPr>
            </w:pPr>
          </w:p>
        </w:tc>
      </w:tr>
      <w:tr>
        <w:trPr>
          <w:trHeight w:val="203"/>
        </w:trPr>
        <w:tc>
          <w:tcPr>
            <w:tcW w:w="5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Application of deposit paid in prior period</w:t>
            </w:r>
          </w:p>
        </w:tc>
        <w:tc>
          <w:tcPr>
            <w:tcW w:w="16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(11,000)</w:t>
            </w:r>
          </w:p>
        </w:tc>
        <w:tc>
          <w:tcPr>
            <w:tcW w:w="0" w:type="dxa"/>
            <w:vAlign w:val="bottom"/>
          </w:tcPr>
          <w:p>
            <w:pPr>
              <w:spacing w:after="0"/>
              <w:rPr>
                <w:sz w:val="1"/>
                <w:szCs w:val="1"/>
                <w:color w:val="auto"/>
              </w:rPr>
            </w:pPr>
          </w:p>
        </w:tc>
      </w:tr>
      <w:tr>
        <w:trPr>
          <w:trHeight w:val="196"/>
        </w:trPr>
        <w:tc>
          <w:tcPr>
            <w:tcW w:w="5400" w:type="dxa"/>
            <w:vAlign w:val="bottom"/>
          </w:tcPr>
          <w:p>
            <w:pPr>
              <w:spacing w:after="0" w:line="196" w:lineRule="exact"/>
              <w:rPr>
                <w:sz w:val="20"/>
                <w:szCs w:val="20"/>
                <w:color w:val="auto"/>
              </w:rPr>
            </w:pPr>
            <w:r>
              <w:rPr>
                <w:rFonts w:ascii="Arial" w:cs="Arial" w:eastAsia="Arial" w:hAnsi="Arial"/>
                <w:sz w:val="18"/>
                <w:szCs w:val="18"/>
                <w:color w:val="auto"/>
              </w:rPr>
              <w:t>Cash paid for acquisitions, net of cash acquired</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7,054</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81,203</w:t>
            </w:r>
          </w:p>
        </w:tc>
        <w:tc>
          <w:tcPr>
            <w:tcW w:w="0" w:type="dxa"/>
            <w:vAlign w:val="bottom"/>
          </w:tcPr>
          <w:p>
            <w:pPr>
              <w:spacing w:after="0"/>
              <w:rPr>
                <w:sz w:val="1"/>
                <w:szCs w:val="1"/>
                <w:color w:val="auto"/>
              </w:rPr>
            </w:pPr>
          </w:p>
        </w:tc>
      </w:tr>
      <w:tr>
        <w:trPr>
          <w:trHeight w:val="203"/>
        </w:trPr>
        <w:tc>
          <w:tcPr>
            <w:tcW w:w="5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Inventory purchases financed via floor plan</w:t>
            </w:r>
          </w:p>
        </w:tc>
        <w:tc>
          <w:tcPr>
            <w:tcW w:w="16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(3,627)</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(71,181)</w:t>
            </w:r>
          </w:p>
        </w:tc>
        <w:tc>
          <w:tcPr>
            <w:tcW w:w="0" w:type="dxa"/>
            <w:vAlign w:val="bottom"/>
          </w:tcPr>
          <w:p>
            <w:pPr>
              <w:spacing w:after="0"/>
              <w:rPr>
                <w:sz w:val="1"/>
                <w:szCs w:val="1"/>
                <w:color w:val="auto"/>
              </w:rPr>
            </w:pPr>
          </w:p>
        </w:tc>
      </w:tr>
      <w:tr>
        <w:trPr>
          <w:trHeight w:val="196"/>
        </w:trPr>
        <w:tc>
          <w:tcPr>
            <w:tcW w:w="5400" w:type="dxa"/>
            <w:vAlign w:val="bottom"/>
          </w:tcPr>
          <w:p>
            <w:pPr>
              <w:spacing w:after="0" w:line="196" w:lineRule="exact"/>
              <w:rPr>
                <w:sz w:val="20"/>
                <w:szCs w:val="20"/>
                <w:color w:val="auto"/>
              </w:rPr>
            </w:pPr>
            <w:r>
              <w:rPr>
                <w:rFonts w:ascii="Arial" w:cs="Arial" w:eastAsia="Arial" w:hAnsi="Arial"/>
                <w:sz w:val="18"/>
                <w:szCs w:val="18"/>
                <w:color w:val="auto"/>
              </w:rPr>
              <w:t>Cash payment net of floor plan financing</w:t>
            </w:r>
          </w:p>
        </w:tc>
        <w:tc>
          <w:tcPr>
            <w:tcW w:w="160" w:type="dxa"/>
            <w:vAlign w:val="bottom"/>
          </w:tcPr>
          <w:p>
            <w:pPr>
              <w:spacing w:after="0"/>
              <w:rPr>
                <w:sz w:val="17"/>
                <w:szCs w:val="17"/>
                <w:color w:val="auto"/>
              </w:rPr>
            </w:pPr>
          </w:p>
        </w:tc>
        <w:tc>
          <w:tcPr>
            <w:tcW w:w="26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3,427</w:t>
            </w:r>
          </w:p>
        </w:tc>
        <w:tc>
          <w:tcPr>
            <w:tcW w:w="220" w:type="dxa"/>
            <w:vAlign w:val="bottom"/>
            <w:gridSpan w:val="2"/>
          </w:tcPr>
          <w:p>
            <w:pPr>
              <w:spacing w:after="0"/>
              <w:rPr>
                <w:sz w:val="17"/>
                <w:szCs w:val="17"/>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10,022</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The fair values above for the nine months ended September 30, 2026 are preliminary as they are subject to measurement period adjustments for up to one year from the date of acquisition as new information is obtained about facts and circumstances that existed as of the acquisition date relating to the valuation of the acquired assets, primarily the acquired inventories.</w:t>
      </w:r>
    </w:p>
    <w:p>
      <w:pPr>
        <w:spacing w:after="0" w:line="66"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The primary items that generated the goodwill are the value of the expected synergies between the acquired businesses and the Company and the acquired assembled workforce, neither of which qualifies for recognition as a separately identified intangible asset. For the nine months ended September 30, 2026 and September 30, 2025, acquired goodwill of $2.3 million and $18.3 million, respectively, was expected to be deductible for tax purposes.</w:t>
      </w:r>
    </w:p>
    <w:p>
      <w:pPr>
        <w:spacing w:after="0" w:line="68"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Included in the condensed consolidated financial statements for the nine months ended September 30, 2026 were revenue of $6.0 million and pre-tax income of $0.3 million from the acquired dealership from the applicable acquisition date. Included in the condensed consolidated financial statements for the nine months ended September 30, 2025 were revenue of $150.4 million and pre-tax income of $5.2 million from the acquired dealerships from the applicable acquisition dates. Pro forma information on these acquisitions has not been included, because the Company has deemed them to not be individually or cumulatively material.</w:t>
      </w:r>
    </w:p>
    <w:p>
      <w:pPr>
        <w:spacing w:after="0" w:line="34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14. Income Taxes</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CWH is organized as a Subchapter C corporation and, as of September 30, 2026, was a 61.6% owner of CWGS, LLC (see Note 16 — Non-Controlling Interests). CWGS, LLC is organized as a limited liability company and treated as a partnership for U.S. federal and most applicable state and local income tax purposes and, as such, is generally not subject to any U.S. federal entity-level income taxes. However, certain active CWGS, LLC subsidiaries, including Americas Road and Travel Club, Inc., FreedomRoads RV, Inc. and their wholly-owned subsidiaries, are subject to entity-level taxes as they are, or subject to income taxes as, Subchapter C corporations (“C-Corp”).</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Effective Income Tax Rate</w:t>
      </w:r>
    </w:p>
    <w:p>
      <w:pPr>
        <w:spacing w:after="0" w:line="210"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For the nine months ended September 30, 2026 and September 30, 2025, the Company’s effective income tax rate was (0.8)% and 98.5%, respectively. The decrease in the tax rate for the nine months ended September 30, 2026 mainly reflects the establishment of a full valuation allowance on the net deferred tax assets of the public holding company, CWH, during the nine months ended September 30, 2025. The deferred</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30" w:name="page31"/>
    <w:bookmarkEnd w:id="3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tax assets of C-Corp subsidiaries were not impacted by the establishment of this valuation allowance. The Company records a valuation allowance when it concludes that it is more likely than not that a portion of deferred tax assets will not be realized based upon the evaluation of all available positive and negative evidence. Additionally, the effective tax rate for the nine months ended September 30, 2026 was unfavorably impacted by a permanent difference related to non-deductible goodwill at certain C-Corp subsidiaries, for which no tax benefit was realized.</w:t>
      </w:r>
    </w:p>
    <w:p>
      <w:pPr>
        <w:spacing w:after="0" w:line="179"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During the three months ended September 30, 2025, management evaluated both positive and negative evidence and concluded that a full valuation allowance was necessary to be recorded against CWH’s net deferred tax assets due to its expected cumulative historical operating results for income tax purposes over the past several years in each of the tax jurisdictions where it operates. Accordingly, the Company recorded a $175.4 million valuation allowance on its CWH net deferred tax assets during the nine months ended September 30, 2025. This valuation allowance will be maintained until sufficient positive evidence exists to justify its reversal. In addition, because of the full valuation allowance recorded against CWH’s investment in CWGS, LLC net deferred tax asset and certain other tax attribute carryforward deferred tax assets, full payment of the entire amount calculated related to the Tax Receivable Agreement (as defined below) liability was considered not probable. As a result, management reversed $149.2 million of the Tax Receivable Agreement liability and reduced the related deferred tax asset by $37.3 million, which were recorded to Tax Receivable Agreement liability adjustment and income tax expense, respectively, in the condensed consolidated statements of operations for the three and nine months ended September 30, 2025.</w:t>
      </w:r>
    </w:p>
    <w:p>
      <w:pPr>
        <w:spacing w:after="0" w:line="180"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The Company determines its quarterly income tax provision using an estimated annual effective tax rate excluding loss jurisdictions, which cannot be benefited, that considers expected annual income, statutory tax rates, and available tax planning opportunities across the jurisdictions where it operates. Current income taxes are recorded based on statutory obligations for the current period for certain C-Corp taxable entities within the Company. Accordingly, income tax provisions for these jurisdictions were recorded for the three and nine months ended September 30, 2026.</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Tax Receivable Agreement</w:t>
      </w:r>
    </w:p>
    <w:p>
      <w:pPr>
        <w:spacing w:after="0" w:line="210"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CWH is party to a tax receivable agreement (the “Tax Receivable Agreement”) that provides for the payment by CWH to the Continuing Equity Owners and Crestview Partners II GP, L.P. of 85% of the amount of tax benefits, if any, CWH actually realizes, or in some circumstances is deemed to realize, as a result of (i) increases in the tax basis from the purchase of common units from Crestview Partners II GP, L.P. in exchange for Class A common stock in connection with the consummation of the IPO and the related transactions and any future redemptions that are funded by CWH and any further redemptions of common units by Continuing Equity Owners and (ii) certain other tax benefits attributable to payments made under the Tax Receivable Agreement. The above payments are predicated on CWGS, LLC making an election under Section 754 of the Internal Revenue Code effective for each tax year in which a redemption of common units for cash or stock occurs. These tax benefit payments are not conditioned upon one or more of the Continuing Equity Owners or Crestview Partners II GP, L.P. maintaining a continued ownership interest in CWGS, LLC. In general, the Continuing Equity Owners’ and Crestview Partners II GP, L.P.’s rights under the Tax Receivable Agreement are assignable, including to transferees of their common units in CWGS, LLC (other than CWH as transferee pursuant to a redemption of common units in CWGS, LLC). CWH has determined it is more likely than not it will not benefit from the entirety of the remaining 15% of the tax benefits, and has remeasured the liability under the Tax Receivable Agreement. During the nine months ended September 30, 2025, the Company recorded a $149.2 million gain on the reduction in the associated liability, as described above. During the nine months ended September 30, 2026, CWH paid $1.4 million under the Tax Receivable Agreement liability.</w:t>
      </w:r>
    </w:p>
    <w:p>
      <w:pPr>
        <w:spacing w:after="0" w:line="18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If utilization of the deferred tax assets subject to the Tax Receivable Agreement becomes more likely than not in the future, CWH expects to record additional liability related to the Tax Receivable Agreement which will be recognized as an expense and recorded to Tax Receivable Agreement liability adjustment in the condensed consolidated statements of operations.</w:t>
      </w:r>
    </w:p>
    <w:p>
      <w:pPr>
        <w:spacing w:after="0" w:line="174"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During the nine months ended September 30, 2026, the Company filed an entity classification election for CWFR Capital, LLC, which was treated as a liquidation event. As a result, the Company recognized a net income tax benefit of $0.6 million related to this entity classification election.</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31" w:name="page32"/>
    <w:bookmarkEnd w:id="3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During the nine months ended September 30, 2026 and 2025, there were no redemptions of common units by Continuing Equity Owners.</w:t>
      </w:r>
    </w:p>
    <w:p>
      <w:pPr>
        <w:spacing w:after="0" w:line="15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15. Related Party Transactions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Transactions with Directors, Equity Holders and Executive Officers</w:t>
      </w:r>
    </w:p>
    <w:p>
      <w:pPr>
        <w:spacing w:after="0" w:line="212" w:lineRule="exact"/>
        <w:rPr>
          <w:sz w:val="20"/>
          <w:szCs w:val="20"/>
          <w:color w:val="auto"/>
        </w:rPr>
      </w:pPr>
    </w:p>
    <w:p>
      <w:pPr>
        <w:jc w:val="both"/>
        <w:ind w:left="60" w:right="79" w:firstLine="648"/>
        <w:spacing w:after="0"/>
        <w:rPr>
          <w:sz w:val="20"/>
          <w:szCs w:val="20"/>
          <w:color w:val="auto"/>
        </w:rPr>
      </w:pPr>
      <w:r>
        <w:rPr>
          <w:rFonts w:ascii="Arial" w:cs="Arial" w:eastAsia="Arial" w:hAnsi="Arial"/>
          <w:sz w:val="18"/>
          <w:szCs w:val="18"/>
          <w:color w:val="auto"/>
        </w:rPr>
        <w:t>During the nine months ended September 30, 2026, Mr. Lemonis, in his non-executive role of Co-Founder and Special Advisor under the Lemonis Second Employment Agreement, as amended, received (i) base salary of $1.1 million in cash, (ii) the 2026 Bonus settled with the issuance of 319,602 shares of Class A common stock, less 125,763 shares withheld to cover Mr. Lemonis’ associated tax withholding obligations, and</w:t>
      </w:r>
    </w:p>
    <w:p>
      <w:pPr>
        <w:ind w:left="60" w:right="59" w:hanging="10"/>
        <w:spacing w:after="0" w:line="250" w:lineRule="auto"/>
        <w:tabs>
          <w:tab w:leader="none" w:pos="3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the Lump-Sum Payment of $3.8 million in cash. See Note 11 </w:t>
      </w:r>
      <w:r>
        <w:rPr>
          <w:rFonts w:ascii="Arial" w:cs="Arial" w:eastAsia="Arial" w:hAnsi="Arial"/>
          <w:sz w:val="14"/>
          <w:szCs w:val="14"/>
          <w:color w:val="auto"/>
        </w:rPr>
        <w:t>—</w:t>
      </w:r>
      <w:r>
        <w:rPr>
          <w:rFonts w:ascii="Arial" w:cs="Arial" w:eastAsia="Arial" w:hAnsi="Arial"/>
          <w:sz w:val="18"/>
          <w:szCs w:val="18"/>
          <w:color w:val="auto"/>
        </w:rPr>
        <w:t xml:space="preserve"> Commitments and Contingencies for further details on the Lemonis Second Employment Agreement.</w:t>
      </w:r>
    </w:p>
    <w:p>
      <w:pPr>
        <w:spacing w:after="0" w:line="3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16. Non-Controlling Interests</w:t>
      </w:r>
    </w:p>
    <w:p>
      <w:pPr>
        <w:spacing w:after="0" w:line="212"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The following table summarizes the CWGS, LLC common unit ownership by CWH and the Continuing Equity Owners:</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45"/>
        </w:trPr>
        <w:tc>
          <w:tcPr>
            <w:tcW w:w="3240" w:type="dxa"/>
            <w:vAlign w:val="bottom"/>
          </w:tcPr>
          <w:p>
            <w:pPr>
              <w:spacing w:after="0"/>
              <w:rPr>
                <w:sz w:val="12"/>
                <w:szCs w:val="12"/>
                <w:color w:val="auto"/>
              </w:rPr>
            </w:pPr>
          </w:p>
        </w:tc>
        <w:tc>
          <w:tcPr>
            <w:tcW w:w="1800" w:type="dxa"/>
            <w:vAlign w:val="bottom"/>
            <w:tcBorders>
              <w:bottom w:val="single" w:sz="8" w:color="auto"/>
            </w:tcBorders>
            <w:gridSpan w:val="3"/>
          </w:tcPr>
          <w:p>
            <w:pPr>
              <w:jc w:val="right"/>
              <w:ind w:right="128"/>
              <w:spacing w:after="0"/>
              <w:rPr>
                <w:sz w:val="20"/>
                <w:szCs w:val="20"/>
                <w:color w:val="auto"/>
              </w:rPr>
            </w:pPr>
            <w:r>
              <w:rPr>
                <w:rFonts w:ascii="Arial" w:cs="Arial" w:eastAsia="Arial" w:hAnsi="Arial"/>
                <w:sz w:val="12"/>
                <w:szCs w:val="12"/>
                <w:b w:val="1"/>
                <w:bCs w:val="1"/>
                <w:color w:val="auto"/>
              </w:rPr>
              <w:t>As of September 30, 2026</w:t>
            </w:r>
          </w:p>
        </w:tc>
        <w:tc>
          <w:tcPr>
            <w:tcW w:w="120" w:type="dxa"/>
            <w:vAlign w:val="bottom"/>
          </w:tcPr>
          <w:p>
            <w:pPr>
              <w:spacing w:after="0"/>
              <w:rPr>
                <w:sz w:val="12"/>
                <w:szCs w:val="12"/>
                <w:color w:val="auto"/>
              </w:rPr>
            </w:pPr>
          </w:p>
        </w:tc>
        <w:tc>
          <w:tcPr>
            <w:tcW w:w="1800" w:type="dxa"/>
            <w:vAlign w:val="bottom"/>
            <w:tcBorders>
              <w:bottom w:val="single" w:sz="8" w:color="auto"/>
            </w:tcBorders>
            <w:gridSpan w:val="3"/>
          </w:tcPr>
          <w:p>
            <w:pPr>
              <w:jc w:val="right"/>
              <w:ind w:right="128"/>
              <w:spacing w:after="0"/>
              <w:rPr>
                <w:sz w:val="20"/>
                <w:szCs w:val="20"/>
                <w:color w:val="auto"/>
              </w:rPr>
            </w:pPr>
            <w:r>
              <w:rPr>
                <w:rFonts w:ascii="Arial" w:cs="Arial" w:eastAsia="Arial" w:hAnsi="Arial"/>
                <w:sz w:val="12"/>
                <w:szCs w:val="12"/>
                <w:b w:val="1"/>
                <w:bCs w:val="1"/>
                <w:color w:val="auto"/>
              </w:rPr>
              <w:t>As of December 31, 2025</w:t>
            </w:r>
          </w:p>
        </w:tc>
        <w:tc>
          <w:tcPr>
            <w:tcW w:w="140" w:type="dxa"/>
            <w:vAlign w:val="bottom"/>
          </w:tcPr>
          <w:p>
            <w:pPr>
              <w:spacing w:after="0"/>
              <w:rPr>
                <w:sz w:val="12"/>
                <w:szCs w:val="12"/>
                <w:color w:val="auto"/>
              </w:rPr>
            </w:pPr>
          </w:p>
        </w:tc>
        <w:tc>
          <w:tcPr>
            <w:tcW w:w="180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2"/>
                <w:szCs w:val="12"/>
                <w:b w:val="1"/>
                <w:bCs w:val="1"/>
                <w:color w:val="auto"/>
              </w:rPr>
              <w:t>As of September 30, 2025</w:t>
            </w:r>
          </w:p>
        </w:tc>
        <w:tc>
          <w:tcPr>
            <w:tcW w:w="20" w:type="dxa"/>
            <w:vAlign w:val="bottom"/>
          </w:tcPr>
          <w:p>
            <w:pPr>
              <w:spacing w:after="0"/>
              <w:rPr>
                <w:sz w:val="12"/>
                <w:szCs w:val="12"/>
                <w:color w:val="auto"/>
              </w:rPr>
            </w:pPr>
          </w:p>
        </w:tc>
      </w:tr>
      <w:tr>
        <w:trPr>
          <w:trHeight w:val="128"/>
        </w:trPr>
        <w:tc>
          <w:tcPr>
            <w:tcW w:w="3240" w:type="dxa"/>
            <w:vAlign w:val="bottom"/>
          </w:tcPr>
          <w:p>
            <w:pPr>
              <w:spacing w:after="0"/>
              <w:rPr>
                <w:sz w:val="11"/>
                <w:szCs w:val="11"/>
                <w:color w:val="auto"/>
              </w:rPr>
            </w:pPr>
          </w:p>
        </w:tc>
        <w:tc>
          <w:tcPr>
            <w:tcW w:w="920" w:type="dxa"/>
            <w:vAlign w:val="bottom"/>
          </w:tcPr>
          <w:p>
            <w:pPr>
              <w:jc w:val="right"/>
              <w:spacing w:after="0" w:line="129" w:lineRule="exact"/>
              <w:rPr>
                <w:sz w:val="20"/>
                <w:szCs w:val="20"/>
                <w:color w:val="auto"/>
              </w:rPr>
            </w:pPr>
            <w:r>
              <w:rPr>
                <w:rFonts w:ascii="Arial" w:cs="Arial" w:eastAsia="Arial" w:hAnsi="Arial"/>
                <w:sz w:val="12"/>
                <w:szCs w:val="12"/>
                <w:b w:val="1"/>
                <w:bCs w:val="1"/>
                <w:color w:val="auto"/>
              </w:rPr>
              <w:t>Common Units</w:t>
            </w:r>
          </w:p>
        </w:tc>
        <w:tc>
          <w:tcPr>
            <w:tcW w:w="880" w:type="dxa"/>
            <w:vAlign w:val="bottom"/>
            <w:gridSpan w:val="2"/>
          </w:tcPr>
          <w:p>
            <w:pPr>
              <w:jc w:val="right"/>
              <w:spacing w:after="0" w:line="129" w:lineRule="exact"/>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Ownership %</w:t>
            </w:r>
          </w:p>
        </w:tc>
        <w:tc>
          <w:tcPr>
            <w:tcW w:w="120" w:type="dxa"/>
            <w:vAlign w:val="bottom"/>
          </w:tcPr>
          <w:p>
            <w:pPr>
              <w:ind w:left="60"/>
              <w:spacing w:after="0" w:line="129" w:lineRule="exact"/>
              <w:rPr>
                <w:sz w:val="20"/>
                <w:szCs w:val="20"/>
                <w:color w:val="auto"/>
              </w:rPr>
            </w:pPr>
            <w:r>
              <w:rPr>
                <w:rFonts w:ascii="Arial" w:cs="Arial" w:eastAsia="Arial" w:hAnsi="Arial"/>
                <w:sz w:val="12"/>
                <w:szCs w:val="12"/>
                <w:color w:val="auto"/>
              </w:rPr>
              <w:t>​​</w:t>
            </w:r>
          </w:p>
        </w:tc>
        <w:tc>
          <w:tcPr>
            <w:tcW w:w="920" w:type="dxa"/>
            <w:vAlign w:val="bottom"/>
          </w:tcPr>
          <w:p>
            <w:pPr>
              <w:jc w:val="right"/>
              <w:spacing w:after="0" w:line="129" w:lineRule="exact"/>
              <w:rPr>
                <w:sz w:val="20"/>
                <w:szCs w:val="20"/>
                <w:color w:val="auto"/>
              </w:rPr>
            </w:pPr>
            <w:r>
              <w:rPr>
                <w:rFonts w:ascii="Arial" w:cs="Arial" w:eastAsia="Arial" w:hAnsi="Arial"/>
                <w:sz w:val="12"/>
                <w:szCs w:val="12"/>
                <w:color w:val="auto"/>
                <w:w w:val="96"/>
              </w:rPr>
              <w:t xml:space="preserve">​ </w:t>
            </w:r>
            <w:r>
              <w:rPr>
                <w:rFonts w:ascii="Arial" w:cs="Arial" w:eastAsia="Arial" w:hAnsi="Arial"/>
                <w:sz w:val="12"/>
                <w:szCs w:val="12"/>
                <w:b w:val="1"/>
                <w:bCs w:val="1"/>
                <w:color w:val="auto"/>
                <w:w w:val="96"/>
              </w:rPr>
              <w:t>Common Units</w:t>
            </w:r>
          </w:p>
        </w:tc>
        <w:tc>
          <w:tcPr>
            <w:tcW w:w="1940" w:type="dxa"/>
            <w:vAlign w:val="bottom"/>
            <w:gridSpan w:val="4"/>
          </w:tcPr>
          <w:p>
            <w:pPr>
              <w:jc w:val="right"/>
              <w:spacing w:after="0" w:line="129" w:lineRule="exact"/>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Ownership %</w:t>
            </w:r>
            <w:r>
              <w:rPr>
                <w:rFonts w:ascii="Arial" w:cs="Arial" w:eastAsia="Arial" w:hAnsi="Arial"/>
                <w:sz w:val="12"/>
                <w:szCs w:val="12"/>
                <w:color w:val="auto"/>
              </w:rPr>
              <w:t xml:space="preserve"> ​​​ </w:t>
            </w:r>
            <w:r>
              <w:rPr>
                <w:rFonts w:ascii="Arial" w:cs="Arial" w:eastAsia="Arial" w:hAnsi="Arial"/>
                <w:sz w:val="12"/>
                <w:szCs w:val="12"/>
                <w:b w:val="1"/>
                <w:bCs w:val="1"/>
                <w:color w:val="auto"/>
              </w:rPr>
              <w:t>Common Units</w:t>
            </w:r>
          </w:p>
        </w:tc>
        <w:tc>
          <w:tcPr>
            <w:tcW w:w="880" w:type="dxa"/>
            <w:vAlign w:val="bottom"/>
            <w:gridSpan w:val="2"/>
          </w:tcPr>
          <w:p>
            <w:pPr>
              <w:jc w:val="right"/>
              <w:spacing w:after="0" w:line="129" w:lineRule="exact"/>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Ownership %</w:t>
            </w:r>
          </w:p>
        </w:tc>
        <w:tc>
          <w:tcPr>
            <w:tcW w:w="20" w:type="dxa"/>
            <w:vAlign w:val="bottom"/>
          </w:tcPr>
          <w:p>
            <w:pPr>
              <w:spacing w:after="0"/>
              <w:rPr>
                <w:sz w:val="11"/>
                <w:szCs w:val="11"/>
                <w:color w:val="auto"/>
              </w:rPr>
            </w:pPr>
          </w:p>
        </w:tc>
      </w:tr>
      <w:tr>
        <w:trPr>
          <w:trHeight w:val="155"/>
        </w:trPr>
        <w:tc>
          <w:tcPr>
            <w:tcW w:w="3240" w:type="dxa"/>
            <w:vAlign w:val="bottom"/>
            <w:tcBorders>
              <w:top w:val="single" w:sz="8" w:color="auto"/>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CWH</w:t>
            </w:r>
          </w:p>
        </w:tc>
        <w:tc>
          <w:tcPr>
            <w:tcW w:w="9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63,889,833</w:t>
            </w:r>
          </w:p>
        </w:tc>
        <w:tc>
          <w:tcPr>
            <w:tcW w:w="14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61.6%</w:t>
            </w:r>
          </w:p>
        </w:tc>
        <w:tc>
          <w:tcPr>
            <w:tcW w:w="12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63,436,696</w:t>
            </w:r>
          </w:p>
        </w:tc>
        <w:tc>
          <w:tcPr>
            <w:tcW w:w="14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61.4%</w:t>
            </w:r>
          </w:p>
        </w:tc>
        <w:tc>
          <w:tcPr>
            <w:tcW w:w="14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62,818,624</w:t>
            </w:r>
          </w:p>
        </w:tc>
        <w:tc>
          <w:tcPr>
            <w:tcW w:w="14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61.2%</w:t>
            </w:r>
          </w:p>
        </w:tc>
        <w:tc>
          <w:tcPr>
            <w:tcW w:w="20" w:type="dxa"/>
            <w:vAlign w:val="bottom"/>
          </w:tcPr>
          <w:p>
            <w:pPr>
              <w:spacing w:after="0"/>
              <w:rPr>
                <w:sz w:val="13"/>
                <w:szCs w:val="13"/>
                <w:color w:val="auto"/>
              </w:rPr>
            </w:pPr>
          </w:p>
        </w:tc>
      </w:tr>
      <w:tr>
        <w:trPr>
          <w:trHeight w:val="162"/>
        </w:trPr>
        <w:tc>
          <w:tcPr>
            <w:tcW w:w="3240" w:type="dxa"/>
            <w:vAlign w:val="bottom"/>
          </w:tcPr>
          <w:p>
            <w:pPr>
              <w:ind w:left="20"/>
              <w:spacing w:after="0"/>
              <w:rPr>
                <w:sz w:val="20"/>
                <w:szCs w:val="20"/>
                <w:color w:val="auto"/>
              </w:rPr>
            </w:pPr>
            <w:r>
              <w:rPr>
                <w:rFonts w:ascii="Arial" w:cs="Arial" w:eastAsia="Arial" w:hAnsi="Arial"/>
                <w:sz w:val="14"/>
                <w:szCs w:val="14"/>
                <w:color w:val="auto"/>
              </w:rPr>
              <w:t>Continuing Equity Owners</w:t>
            </w:r>
          </w:p>
        </w:tc>
        <w:tc>
          <w:tcPr>
            <w:tcW w:w="920" w:type="dxa"/>
            <w:vAlign w:val="bottom"/>
          </w:tcPr>
          <w:p>
            <w:pPr>
              <w:jc w:val="right"/>
              <w:spacing w:after="0"/>
              <w:rPr>
                <w:sz w:val="20"/>
                <w:szCs w:val="20"/>
                <w:color w:val="auto"/>
              </w:rPr>
            </w:pPr>
            <w:r>
              <w:rPr>
                <w:rFonts w:ascii="Arial" w:cs="Arial" w:eastAsia="Arial" w:hAnsi="Arial"/>
                <w:sz w:val="14"/>
                <w:szCs w:val="14"/>
                <w:color w:val="auto"/>
              </w:rPr>
              <w:t>39,895,393</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38.4%</w:t>
            </w: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39,895,393</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38.6%</w:t>
            </w: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39,895,393</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38.8%</w:t>
            </w:r>
          </w:p>
        </w:tc>
        <w:tc>
          <w:tcPr>
            <w:tcW w:w="20" w:type="dxa"/>
            <w:vAlign w:val="bottom"/>
          </w:tcPr>
          <w:p>
            <w:pPr>
              <w:spacing w:after="0"/>
              <w:rPr>
                <w:sz w:val="14"/>
                <w:szCs w:val="14"/>
                <w:color w:val="auto"/>
              </w:rPr>
            </w:pPr>
          </w:p>
        </w:tc>
      </w:tr>
      <w:tr>
        <w:trPr>
          <w:trHeight w:val="155"/>
        </w:trPr>
        <w:tc>
          <w:tcPr>
            <w:tcW w:w="3240" w:type="dxa"/>
            <w:vAlign w:val="bottom"/>
            <w:tcBorders>
              <w:top w:val="single" w:sz="8" w:color="CCEEFF"/>
              <w:bottom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Total</w:t>
            </w:r>
          </w:p>
        </w:tc>
        <w:tc>
          <w:tcPr>
            <w:tcW w:w="9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103,785,226</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7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100.0%</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9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103,332,089</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7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100.0%</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9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102,714,017</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7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100.0%</w:t>
            </w:r>
          </w:p>
        </w:tc>
        <w:tc>
          <w:tcPr>
            <w:tcW w:w="20" w:type="dxa"/>
            <w:vAlign w:val="bottom"/>
          </w:tcPr>
          <w:p>
            <w:pPr>
              <w:spacing w:after="0"/>
              <w:rPr>
                <w:sz w:val="13"/>
                <w:szCs w:val="13"/>
                <w:color w:val="auto"/>
              </w:rPr>
            </w:pPr>
          </w:p>
        </w:tc>
      </w:tr>
      <w:tr>
        <w:trPr>
          <w:trHeight w:val="20"/>
        </w:trPr>
        <w:tc>
          <w:tcPr>
            <w:tcW w:w="3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For the nine months ended September 30, 2026 and September 30, 2025, contributions from and distributions to holders of LLC common units represented tax refunds and tax payments, respectively, made on behalf of the Continuing Equity Owners.</w:t>
      </w:r>
    </w:p>
    <w:p>
      <w:pPr>
        <w:spacing w:after="0" w:line="6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the effects of changes in ownership in CWGS, LLC on the Company’s</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equity:</w:t>
      </w:r>
    </w:p>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4740" w:type="dxa"/>
            <w:vAlign w:val="bottom"/>
            <w:vMerge w:val="restart"/>
          </w:tcPr>
          <w:p>
            <w:pPr>
              <w:ind w:left="20"/>
              <w:spacing w:after="0"/>
              <w:rPr>
                <w:sz w:val="20"/>
                <w:szCs w:val="20"/>
                <w:color w:val="auto"/>
              </w:rPr>
            </w:pPr>
            <w:r>
              <w:rPr>
                <w:rFonts w:ascii="Arial" w:cs="Arial" w:eastAsia="Arial" w:hAnsi="Arial"/>
                <w:sz w:val="14"/>
                <w:szCs w:val="14"/>
                <w:color w:val="auto"/>
              </w:rPr>
              <w:t>($ in thousands)</w:t>
            </w:r>
          </w:p>
        </w:tc>
        <w:tc>
          <w:tcPr>
            <w:tcW w:w="120" w:type="dxa"/>
            <w:vAlign w:val="bottom"/>
          </w:tcPr>
          <w:p>
            <w:pPr>
              <w:spacing w:after="0"/>
              <w:rPr>
                <w:sz w:val="13"/>
                <w:szCs w:val="13"/>
                <w:color w:val="auto"/>
              </w:rPr>
            </w:pPr>
          </w:p>
        </w:tc>
        <w:tc>
          <w:tcPr>
            <w:tcW w:w="2020" w:type="dxa"/>
            <w:vAlign w:val="bottom"/>
            <w:gridSpan w:val="7"/>
          </w:tcPr>
          <w:p>
            <w:pPr>
              <w:spacing w:after="0"/>
              <w:rPr>
                <w:sz w:val="20"/>
                <w:szCs w:val="20"/>
                <w:color w:val="auto"/>
              </w:rPr>
            </w:pPr>
            <w:r>
              <w:rPr>
                <w:rFonts w:ascii="Arial" w:cs="Arial" w:eastAsia="Arial" w:hAnsi="Arial"/>
                <w:sz w:val="12"/>
                <w:szCs w:val="12"/>
                <w:b w:val="1"/>
                <w:bCs w:val="1"/>
                <w:color w:val="auto"/>
                <w:w w:val="97"/>
              </w:rPr>
              <w:t>Three Months Ended September 30,</w:t>
            </w:r>
          </w:p>
        </w:tc>
        <w:tc>
          <w:tcPr>
            <w:tcW w:w="60" w:type="dxa"/>
            <w:vAlign w:val="bottom"/>
          </w:tcPr>
          <w:p>
            <w:pPr>
              <w:spacing w:after="0"/>
              <w:rPr>
                <w:sz w:val="13"/>
                <w:szCs w:val="13"/>
                <w:color w:val="auto"/>
              </w:rPr>
            </w:pPr>
          </w:p>
        </w:tc>
        <w:tc>
          <w:tcPr>
            <w:tcW w:w="1960" w:type="dxa"/>
            <w:vAlign w:val="bottom"/>
            <w:gridSpan w:val="6"/>
          </w:tcPr>
          <w:p>
            <w:pPr>
              <w:ind w:left="20"/>
              <w:spacing w:after="0"/>
              <w:rPr>
                <w:sz w:val="20"/>
                <w:szCs w:val="20"/>
                <w:color w:val="auto"/>
              </w:rPr>
            </w:pPr>
            <w:r>
              <w:rPr>
                <w:rFonts w:ascii="Arial" w:cs="Arial" w:eastAsia="Arial" w:hAnsi="Arial"/>
                <w:sz w:val="12"/>
                <w:szCs w:val="12"/>
                <w:b w:val="1"/>
                <w:bCs w:val="1"/>
                <w:color w:val="auto"/>
                <w:w w:val="97"/>
              </w:rPr>
              <w:t>Nine Months Ended September 30,</w:t>
            </w:r>
          </w:p>
        </w:tc>
        <w:tc>
          <w:tcPr>
            <w:tcW w:w="0" w:type="dxa"/>
            <w:vAlign w:val="bottom"/>
          </w:tcPr>
          <w:p>
            <w:pPr>
              <w:spacing w:after="0"/>
              <w:rPr>
                <w:sz w:val="1"/>
                <w:szCs w:val="1"/>
                <w:color w:val="auto"/>
              </w:rPr>
            </w:pPr>
          </w:p>
        </w:tc>
      </w:tr>
      <w:tr>
        <w:trPr>
          <w:trHeight w:val="20"/>
        </w:trPr>
        <w:tc>
          <w:tcPr>
            <w:tcW w:w="474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740" w:type="dxa"/>
            <w:vAlign w:val="bottom"/>
            <w:vMerge w:val="continue"/>
          </w:tcPr>
          <w:p>
            <w:pPr>
              <w:spacing w:after="0"/>
              <w:rPr>
                <w:sz w:val="12"/>
                <w:szCs w:val="12"/>
                <w:color w:val="auto"/>
              </w:rPr>
            </w:pPr>
          </w:p>
        </w:tc>
        <w:tc>
          <w:tcPr>
            <w:tcW w:w="280" w:type="dxa"/>
            <w:vAlign w:val="bottom"/>
            <w:gridSpan w:val="2"/>
          </w:tcPr>
          <w:p>
            <w:pPr>
              <w:ind w:left="80"/>
              <w:spacing w:after="0" w:line="142"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250"/>
              <w:spacing w:after="0"/>
              <w:rPr>
                <w:sz w:val="20"/>
                <w:szCs w:val="20"/>
                <w:color w:val="auto"/>
              </w:rPr>
            </w:pPr>
            <w:r>
              <w:rPr>
                <w:rFonts w:ascii="Arial" w:cs="Arial" w:eastAsia="Arial" w:hAnsi="Arial"/>
                <w:sz w:val="12"/>
                <w:szCs w:val="12"/>
                <w:b w:val="1"/>
                <w:bCs w:val="1"/>
                <w:color w:val="auto"/>
              </w:rPr>
              <w:t>2026</w:t>
            </w:r>
          </w:p>
        </w:tc>
        <w:tc>
          <w:tcPr>
            <w:tcW w:w="20" w:type="dxa"/>
            <w:vAlign w:val="bottom"/>
          </w:tcPr>
          <w:p>
            <w:pPr>
              <w:spacing w:after="0"/>
              <w:rPr>
                <w:sz w:val="12"/>
                <w:szCs w:val="12"/>
                <w:color w:val="auto"/>
              </w:rPr>
            </w:pPr>
          </w:p>
        </w:tc>
        <w:tc>
          <w:tcPr>
            <w:tcW w:w="400" w:type="dxa"/>
            <w:vAlign w:val="bottom"/>
            <w:gridSpan w:val="2"/>
          </w:tcPr>
          <w:p>
            <w:pPr>
              <w:jc w:val="right"/>
              <w:ind w:right="228"/>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230"/>
              <w:spacing w:after="0"/>
              <w:rPr>
                <w:sz w:val="20"/>
                <w:szCs w:val="20"/>
                <w:color w:val="auto"/>
              </w:rPr>
            </w:pPr>
            <w:r>
              <w:rPr>
                <w:rFonts w:ascii="Arial" w:cs="Arial" w:eastAsia="Arial" w:hAnsi="Arial"/>
                <w:sz w:val="12"/>
                <w:szCs w:val="12"/>
                <w:b w:val="1"/>
                <w:bCs w:val="1"/>
                <w:color w:val="auto"/>
              </w:rPr>
              <w:t>2025</w:t>
            </w:r>
          </w:p>
        </w:tc>
        <w:tc>
          <w:tcPr>
            <w:tcW w:w="40" w:type="dxa"/>
            <w:vAlign w:val="bottom"/>
          </w:tcPr>
          <w:p>
            <w:pPr>
              <w:spacing w:after="0"/>
              <w:rPr>
                <w:sz w:val="12"/>
                <w:szCs w:val="12"/>
                <w:color w:val="auto"/>
              </w:rPr>
            </w:pPr>
          </w:p>
        </w:tc>
        <w:tc>
          <w:tcPr>
            <w:tcW w:w="26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250"/>
              <w:spacing w:after="0"/>
              <w:rPr>
                <w:sz w:val="20"/>
                <w:szCs w:val="20"/>
                <w:color w:val="auto"/>
              </w:rPr>
            </w:pPr>
            <w:r>
              <w:rPr>
                <w:rFonts w:ascii="Arial" w:cs="Arial" w:eastAsia="Arial" w:hAnsi="Arial"/>
                <w:sz w:val="12"/>
                <w:szCs w:val="12"/>
                <w:b w:val="1"/>
                <w:bCs w:val="1"/>
                <w:color w:val="auto"/>
              </w:rPr>
              <w:t>2026</w:t>
            </w:r>
          </w:p>
        </w:tc>
        <w:tc>
          <w:tcPr>
            <w:tcW w:w="20" w:type="dxa"/>
            <w:vAlign w:val="bottom"/>
          </w:tcPr>
          <w:p>
            <w:pPr>
              <w:spacing w:after="0"/>
              <w:rPr>
                <w:sz w:val="12"/>
                <w:szCs w:val="12"/>
                <w:color w:val="auto"/>
              </w:rPr>
            </w:pPr>
          </w:p>
        </w:tc>
        <w:tc>
          <w:tcPr>
            <w:tcW w:w="360" w:type="dxa"/>
            <w:vAlign w:val="bottom"/>
            <w:gridSpan w:val="2"/>
          </w:tcPr>
          <w:p>
            <w:pPr>
              <w:jc w:val="right"/>
              <w:ind w:right="188"/>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210"/>
              <w:spacing w:after="0"/>
              <w:rPr>
                <w:sz w:val="20"/>
                <w:szCs w:val="20"/>
                <w:color w:val="auto"/>
              </w:rPr>
            </w:pPr>
            <w:r>
              <w:rPr>
                <w:rFonts w:ascii="Arial" w:cs="Arial" w:eastAsia="Arial" w:hAnsi="Arial"/>
                <w:sz w:val="12"/>
                <w:szCs w:val="12"/>
                <w:b w:val="1"/>
                <w:bCs w:val="1"/>
                <w:color w:val="auto"/>
              </w:rPr>
              <w:t>2025</w:t>
            </w:r>
          </w:p>
        </w:tc>
        <w:tc>
          <w:tcPr>
            <w:tcW w:w="0" w:type="dxa"/>
            <w:vAlign w:val="bottom"/>
          </w:tcPr>
          <w:p>
            <w:pPr>
              <w:spacing w:after="0"/>
              <w:rPr>
                <w:sz w:val="1"/>
                <w:szCs w:val="1"/>
                <w:color w:val="auto"/>
              </w:rPr>
            </w:pPr>
          </w:p>
        </w:tc>
      </w:tr>
      <w:tr>
        <w:trPr>
          <w:trHeight w:val="155"/>
        </w:trPr>
        <w:tc>
          <w:tcPr>
            <w:tcW w:w="4740" w:type="dxa"/>
            <w:vAlign w:val="bottom"/>
            <w:tcBorders>
              <w:top w:val="single" w:sz="8" w:color="auto"/>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Net loss attributable to Camping World Holdings, Inc.</w:t>
            </w: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(197,019)</w:t>
            </w:r>
          </w:p>
        </w:tc>
        <w:tc>
          <w:tcPr>
            <w:tcW w:w="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(40,438)</w:t>
            </w:r>
          </w:p>
        </w:tc>
        <w:tc>
          <w:tcPr>
            <w:tcW w:w="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(186,561)</w:t>
            </w:r>
          </w:p>
        </w:tc>
        <w:tc>
          <w:tcPr>
            <w:tcW w:w="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(22,502)</w:t>
            </w:r>
          </w:p>
        </w:tc>
        <w:tc>
          <w:tcPr>
            <w:tcW w:w="0" w:type="dxa"/>
            <w:vAlign w:val="bottom"/>
          </w:tcPr>
          <w:p>
            <w:pPr>
              <w:spacing w:after="0"/>
              <w:rPr>
                <w:sz w:val="1"/>
                <w:szCs w:val="1"/>
                <w:color w:val="auto"/>
              </w:rPr>
            </w:pPr>
          </w:p>
        </w:tc>
      </w:tr>
      <w:tr>
        <w:trPr>
          <w:trHeight w:val="162"/>
        </w:trPr>
        <w:tc>
          <w:tcPr>
            <w:tcW w:w="4740" w:type="dxa"/>
            <w:vAlign w:val="bottom"/>
          </w:tcPr>
          <w:p>
            <w:pPr>
              <w:ind w:left="20"/>
              <w:spacing w:after="0"/>
              <w:rPr>
                <w:sz w:val="20"/>
                <w:szCs w:val="20"/>
                <w:color w:val="auto"/>
              </w:rPr>
            </w:pPr>
            <w:r>
              <w:rPr>
                <w:rFonts w:ascii="Arial" w:cs="Arial" w:eastAsia="Arial" w:hAnsi="Arial"/>
                <w:sz w:val="14"/>
                <w:szCs w:val="14"/>
                <w:color w:val="auto"/>
              </w:rPr>
              <w:t>Transfers to non-controlling interests: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740" w:type="dxa"/>
            <w:vAlign w:val="bottom"/>
            <w:shd w:val="clear" w:color="auto" w:fill="CCEEFF"/>
          </w:tcPr>
          <w:p>
            <w:pPr>
              <w:ind w:left="120"/>
              <w:spacing w:after="0" w:line="153" w:lineRule="exact"/>
              <w:rPr>
                <w:sz w:val="20"/>
                <w:szCs w:val="20"/>
                <w:color w:val="auto"/>
              </w:rPr>
            </w:pPr>
            <w:r>
              <w:rPr>
                <w:rFonts w:ascii="Arial" w:cs="Arial" w:eastAsia="Arial" w:hAnsi="Arial"/>
                <w:sz w:val="14"/>
                <w:szCs w:val="14"/>
                <w:color w:val="auto"/>
              </w:rPr>
              <w:t>Increase in additional paid-in capital as a result of the vesting of</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7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restricted stock units</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973</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710</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1,645</w:t>
            </w:r>
          </w:p>
        </w:tc>
        <w:tc>
          <w:tcPr>
            <w:tcW w:w="0" w:type="dxa"/>
            <w:vAlign w:val="bottom"/>
          </w:tcPr>
          <w:p>
            <w:pPr>
              <w:spacing w:after="0"/>
              <w:rPr>
                <w:sz w:val="1"/>
                <w:szCs w:val="1"/>
                <w:color w:val="auto"/>
              </w:rPr>
            </w:pPr>
          </w:p>
        </w:tc>
      </w:tr>
      <w:tr>
        <w:trPr>
          <w:trHeight w:val="153"/>
        </w:trPr>
        <w:tc>
          <w:tcPr>
            <w:tcW w:w="4740" w:type="dxa"/>
            <w:vAlign w:val="bottom"/>
          </w:tcPr>
          <w:p>
            <w:pPr>
              <w:ind w:left="120"/>
              <w:spacing w:after="0" w:line="153" w:lineRule="exact"/>
              <w:rPr>
                <w:sz w:val="20"/>
                <w:szCs w:val="20"/>
                <w:color w:val="auto"/>
              </w:rPr>
            </w:pPr>
            <w:r>
              <w:rPr>
                <w:rFonts w:ascii="Arial" w:cs="Arial" w:eastAsia="Arial" w:hAnsi="Arial"/>
                <w:sz w:val="14"/>
                <w:szCs w:val="14"/>
                <w:color w:val="auto"/>
              </w:rPr>
              <w:t>Decrease in additional paid-in capital as a result of repurchases of Class</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740" w:type="dxa"/>
            <w:vAlign w:val="bottom"/>
          </w:tcPr>
          <w:p>
            <w:pPr>
              <w:ind w:left="120"/>
              <w:spacing w:after="0"/>
              <w:rPr>
                <w:sz w:val="20"/>
                <w:szCs w:val="20"/>
                <w:color w:val="auto"/>
              </w:rPr>
            </w:pPr>
            <w:r>
              <w:rPr>
                <w:rFonts w:ascii="Arial" w:cs="Arial" w:eastAsia="Arial" w:hAnsi="Arial"/>
                <w:sz w:val="14"/>
                <w:szCs w:val="14"/>
                <w:color w:val="auto"/>
              </w:rPr>
              <w:t>A common stock for withholding taxes on vested RSUs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(271)</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(1,764)</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(903)</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(2,939)</w:t>
            </w:r>
          </w:p>
        </w:tc>
        <w:tc>
          <w:tcPr>
            <w:tcW w:w="0" w:type="dxa"/>
            <w:vAlign w:val="bottom"/>
          </w:tcPr>
          <w:p>
            <w:pPr>
              <w:spacing w:after="0"/>
              <w:rPr>
                <w:sz w:val="1"/>
                <w:szCs w:val="1"/>
                <w:color w:val="auto"/>
              </w:rPr>
            </w:pPr>
          </w:p>
        </w:tc>
      </w:tr>
      <w:tr>
        <w:trPr>
          <w:trHeight w:val="153"/>
        </w:trPr>
        <w:tc>
          <w:tcPr>
            <w:tcW w:w="4740" w:type="dxa"/>
            <w:vAlign w:val="bottom"/>
            <w:shd w:val="clear" w:color="auto" w:fill="CCEEFF"/>
          </w:tcPr>
          <w:p>
            <w:pPr>
              <w:ind w:left="120"/>
              <w:spacing w:after="0" w:line="153" w:lineRule="exact"/>
              <w:rPr>
                <w:sz w:val="20"/>
                <w:szCs w:val="20"/>
                <w:color w:val="auto"/>
              </w:rPr>
            </w:pPr>
            <w:r>
              <w:rPr>
                <w:rFonts w:ascii="Arial" w:cs="Arial" w:eastAsia="Arial" w:hAnsi="Arial"/>
                <w:sz w:val="14"/>
                <w:szCs w:val="14"/>
                <w:color w:val="auto"/>
              </w:rPr>
              <w:t>Increase in additional paid-in capital as a result of the stock award to</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7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employee</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589</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4740" w:type="dxa"/>
            <w:vAlign w:val="bottom"/>
          </w:tcPr>
          <w:p>
            <w:pPr>
              <w:ind w:left="120"/>
              <w:spacing w:after="0" w:line="153" w:lineRule="exact"/>
              <w:rPr>
                <w:sz w:val="20"/>
                <w:szCs w:val="20"/>
                <w:color w:val="auto"/>
              </w:rPr>
            </w:pPr>
            <w:r>
              <w:rPr>
                <w:rFonts w:ascii="Arial" w:cs="Arial" w:eastAsia="Arial" w:hAnsi="Arial"/>
                <w:sz w:val="14"/>
                <w:szCs w:val="14"/>
                <w:color w:val="auto"/>
              </w:rPr>
              <w:t>Decrease in additional paid-in capital as a result of repurchases of Class</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74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A common stock for withholding taxes on stock award to employee</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(884)</w:t>
            </w: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3"/>
        </w:trPr>
        <w:tc>
          <w:tcPr>
            <w:tcW w:w="4740" w:type="dxa"/>
            <w:vAlign w:val="bottom"/>
            <w:shd w:val="clear" w:color="auto" w:fill="CCEEFF"/>
          </w:tcPr>
          <w:p>
            <w:pPr>
              <w:ind w:left="120"/>
              <w:spacing w:after="0" w:line="133" w:lineRule="exact"/>
              <w:rPr>
                <w:sz w:val="20"/>
                <w:szCs w:val="20"/>
                <w:color w:val="auto"/>
              </w:rPr>
            </w:pPr>
            <w:r>
              <w:rPr>
                <w:rFonts w:ascii="Arial" w:cs="Arial" w:eastAsia="Arial" w:hAnsi="Arial"/>
                <w:sz w:val="14"/>
                <w:szCs w:val="14"/>
                <w:color w:val="auto"/>
              </w:rPr>
              <w:t>Change from net loss attributable to Camping World Holdings, Inc. and</w:t>
            </w:r>
          </w:p>
        </w:tc>
        <w:tc>
          <w:tcPr>
            <w:tcW w:w="280" w:type="dxa"/>
            <w:vAlign w:val="bottom"/>
            <w:gridSpan w:val="2"/>
            <w:vMerge w:val="restart"/>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7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(197,090)</w:t>
            </w:r>
          </w:p>
        </w:tc>
        <w:tc>
          <w:tcPr>
            <w:tcW w:w="400" w:type="dxa"/>
            <w:vAlign w:val="bottom"/>
            <w:gridSpan w:val="2"/>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(41,229)</w:t>
            </w:r>
          </w:p>
        </w:tc>
        <w:tc>
          <w:tcPr>
            <w:tcW w:w="260" w:type="dxa"/>
            <w:vAlign w:val="bottom"/>
            <w:gridSpan w:val="2"/>
            <w:vMerge w:val="restart"/>
            <w:shd w:val="clear" w:color="auto" w:fill="CCEEFF"/>
          </w:tcPr>
          <w:p>
            <w:pPr>
              <w:ind w:left="60"/>
              <w:spacing w:after="0"/>
              <w:rPr>
                <w:sz w:val="20"/>
                <w:szCs w:val="20"/>
                <w:color w:val="auto"/>
              </w:rPr>
            </w:pPr>
            <w:r>
              <w:rPr>
                <w:rFonts w:ascii="Arial" w:cs="Arial" w:eastAsia="Arial" w:hAnsi="Arial"/>
                <w:sz w:val="14"/>
                <w:szCs w:val="14"/>
                <w:color w:val="auto"/>
              </w:rPr>
              <w:t>$</w:t>
            </w:r>
          </w:p>
        </w:tc>
        <w:tc>
          <w:tcPr>
            <w:tcW w:w="7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(187,049)</w:t>
            </w:r>
          </w:p>
        </w:tc>
        <w:tc>
          <w:tcPr>
            <w:tcW w:w="360" w:type="dxa"/>
            <w:vAlign w:val="bottom"/>
            <w:gridSpan w:val="2"/>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(23,796)</w:t>
            </w:r>
          </w:p>
        </w:tc>
        <w:tc>
          <w:tcPr>
            <w:tcW w:w="0" w:type="dxa"/>
            <w:vAlign w:val="bottom"/>
          </w:tcPr>
          <w:p>
            <w:pPr>
              <w:spacing w:after="0"/>
              <w:rPr>
                <w:sz w:val="1"/>
                <w:szCs w:val="1"/>
                <w:color w:val="auto"/>
              </w:rPr>
            </w:pPr>
          </w:p>
        </w:tc>
      </w:tr>
      <w:tr>
        <w:trPr>
          <w:trHeight w:val="158"/>
        </w:trPr>
        <w:tc>
          <w:tcPr>
            <w:tcW w:w="4740" w:type="dxa"/>
            <w:vAlign w:val="bottom"/>
            <w:shd w:val="clear" w:color="auto" w:fill="CCEEFF"/>
          </w:tcPr>
          <w:p>
            <w:pPr>
              <w:ind w:left="120"/>
              <w:spacing w:after="0" w:line="158" w:lineRule="exact"/>
              <w:rPr>
                <w:sz w:val="20"/>
                <w:szCs w:val="20"/>
                <w:color w:val="auto"/>
              </w:rPr>
            </w:pPr>
            <w:r>
              <w:rPr>
                <w:rFonts w:ascii="Arial" w:cs="Arial" w:eastAsia="Arial" w:hAnsi="Arial"/>
                <w:sz w:val="14"/>
                <w:szCs w:val="14"/>
                <w:color w:val="auto"/>
              </w:rPr>
              <w:t>transfers to non-controlling interests</w:t>
            </w:r>
          </w:p>
        </w:tc>
        <w:tc>
          <w:tcPr>
            <w:tcW w:w="280" w:type="dxa"/>
            <w:vAlign w:val="bottom"/>
            <w:gridSpan w:val="2"/>
            <w:vMerge w:val="continue"/>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400" w:type="dxa"/>
            <w:vAlign w:val="bottom"/>
            <w:gridSpan w:val="2"/>
            <w:vMerge w:val="continue"/>
            <w:shd w:val="clear" w:color="auto" w:fill="CCEEFF"/>
          </w:tcPr>
          <w:p>
            <w:pPr>
              <w:spacing w:after="0"/>
              <w:rPr>
                <w:sz w:val="13"/>
                <w:szCs w:val="13"/>
                <w:color w:val="auto"/>
              </w:rPr>
            </w:pPr>
          </w:p>
        </w:tc>
        <w:tc>
          <w:tcPr>
            <w:tcW w:w="720" w:type="dxa"/>
            <w:vAlign w:val="bottom"/>
            <w:gridSpan w:val="2"/>
            <w:vMerge w:val="continue"/>
            <w:shd w:val="clear" w:color="auto" w:fill="CCEEFF"/>
          </w:tcPr>
          <w:p>
            <w:pPr>
              <w:spacing w:after="0"/>
              <w:rPr>
                <w:sz w:val="13"/>
                <w:szCs w:val="13"/>
                <w:color w:val="auto"/>
              </w:rPr>
            </w:pPr>
          </w:p>
        </w:tc>
        <w:tc>
          <w:tcPr>
            <w:tcW w:w="260" w:type="dxa"/>
            <w:vAlign w:val="bottom"/>
            <w:gridSpan w:val="2"/>
            <w:vMerge w:val="continue"/>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360" w:type="dxa"/>
            <w:vAlign w:val="bottom"/>
            <w:gridSpan w:val="2"/>
            <w:vMerge w:val="continue"/>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17. Stock-Based Compensation Plans</w:t>
      </w:r>
    </w:p>
    <w:p>
      <w:pPr>
        <w:spacing w:after="0" w:line="212"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The following table summarizes the stock-based compensation (“SBC”) that has been included in the following line items within the condensed consolidated statements of operations for the periods indicated:</w:t>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145"/>
        </w:trPr>
        <w:tc>
          <w:tcPr>
            <w:tcW w:w="4780" w:type="dxa"/>
            <w:vAlign w:val="bottom"/>
            <w:vMerge w:val="restart"/>
          </w:tcPr>
          <w:p>
            <w:pPr>
              <w:spacing w:after="0"/>
              <w:rPr>
                <w:sz w:val="20"/>
                <w:szCs w:val="20"/>
                <w:color w:val="auto"/>
              </w:rPr>
            </w:pPr>
            <w:r>
              <w:rPr>
                <w:rFonts w:ascii="Arial" w:cs="Arial" w:eastAsia="Arial" w:hAnsi="Arial"/>
                <w:sz w:val="14"/>
                <w:szCs w:val="14"/>
                <w:color w:val="auto"/>
              </w:rPr>
              <w:t>($ in thousands)</w:t>
            </w:r>
          </w:p>
        </w:tc>
        <w:tc>
          <w:tcPr>
            <w:tcW w:w="2020" w:type="dxa"/>
            <w:vAlign w:val="bottom"/>
            <w:gridSpan w:val="6"/>
          </w:tcPr>
          <w:p>
            <w:pPr>
              <w:ind w:left="40"/>
              <w:spacing w:after="0"/>
              <w:rPr>
                <w:sz w:val="20"/>
                <w:szCs w:val="20"/>
                <w:color w:val="auto"/>
              </w:rPr>
            </w:pPr>
            <w:r>
              <w:rPr>
                <w:rFonts w:ascii="Arial" w:cs="Arial" w:eastAsia="Arial" w:hAnsi="Arial"/>
                <w:sz w:val="12"/>
                <w:szCs w:val="12"/>
                <w:b w:val="1"/>
                <w:bCs w:val="1"/>
                <w:color w:val="auto"/>
                <w:w w:val="96"/>
              </w:rPr>
              <w:t>Three Months Ended September 30,</w:t>
            </w:r>
          </w:p>
        </w:tc>
        <w:tc>
          <w:tcPr>
            <w:tcW w:w="140" w:type="dxa"/>
            <w:vAlign w:val="bottom"/>
          </w:tcPr>
          <w:p>
            <w:pPr>
              <w:spacing w:after="0"/>
              <w:rPr>
                <w:sz w:val="12"/>
                <w:szCs w:val="12"/>
                <w:color w:val="auto"/>
              </w:rPr>
            </w:pPr>
          </w:p>
        </w:tc>
        <w:tc>
          <w:tcPr>
            <w:tcW w:w="1960" w:type="dxa"/>
            <w:vAlign w:val="bottom"/>
            <w:gridSpan w:val="6"/>
          </w:tcPr>
          <w:p>
            <w:pPr>
              <w:ind w:left="20"/>
              <w:spacing w:after="0"/>
              <w:rPr>
                <w:sz w:val="20"/>
                <w:szCs w:val="20"/>
                <w:color w:val="auto"/>
              </w:rPr>
            </w:pPr>
            <w:r>
              <w:rPr>
                <w:rFonts w:ascii="Arial" w:cs="Arial" w:eastAsia="Arial" w:hAnsi="Arial"/>
                <w:sz w:val="12"/>
                <w:szCs w:val="12"/>
                <w:b w:val="1"/>
                <w:bCs w:val="1"/>
                <w:color w:val="auto"/>
                <w:w w:val="97"/>
              </w:rPr>
              <w:t>Nine Months Ended September 30,</w:t>
            </w:r>
          </w:p>
        </w:tc>
        <w:tc>
          <w:tcPr>
            <w:tcW w:w="0" w:type="dxa"/>
            <w:vAlign w:val="bottom"/>
          </w:tcPr>
          <w:p>
            <w:pPr>
              <w:spacing w:after="0"/>
              <w:rPr>
                <w:sz w:val="1"/>
                <w:szCs w:val="1"/>
                <w:color w:val="auto"/>
              </w:rPr>
            </w:pPr>
          </w:p>
        </w:tc>
      </w:tr>
      <w:tr>
        <w:trPr>
          <w:trHeight w:val="20"/>
        </w:trPr>
        <w:tc>
          <w:tcPr>
            <w:tcW w:w="47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gridSpan w:val="3"/>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7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ind w:right="251"/>
              <w:spacing w:after="0"/>
              <w:rPr>
                <w:sz w:val="20"/>
                <w:szCs w:val="20"/>
                <w:color w:val="auto"/>
              </w:rPr>
            </w:pPr>
            <w:r>
              <w:rPr>
                <w:rFonts w:ascii="Arial" w:cs="Arial" w:eastAsia="Arial" w:hAnsi="Arial"/>
                <w:sz w:val="12"/>
                <w:szCs w:val="12"/>
                <w:b w:val="1"/>
                <w:bCs w:val="1"/>
                <w:color w:val="auto"/>
              </w:rPr>
              <w:t>2026</w:t>
            </w:r>
          </w:p>
        </w:tc>
        <w:tc>
          <w:tcPr>
            <w:tcW w:w="380" w:type="dxa"/>
            <w:vAlign w:val="bottom"/>
            <w:gridSpan w:val="2"/>
          </w:tcPr>
          <w:p>
            <w:pPr>
              <w:jc w:val="right"/>
              <w:ind w:right="168"/>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251"/>
              <w:spacing w:after="0"/>
              <w:rPr>
                <w:sz w:val="20"/>
                <w:szCs w:val="20"/>
                <w:color w:val="auto"/>
              </w:rPr>
            </w:pPr>
            <w:r>
              <w:rPr>
                <w:rFonts w:ascii="Arial" w:cs="Arial" w:eastAsia="Arial" w:hAnsi="Arial"/>
                <w:sz w:val="12"/>
                <w:szCs w:val="12"/>
                <w:b w:val="1"/>
                <w:bCs w:val="1"/>
                <w:color w:val="auto"/>
              </w:rPr>
              <w:t>2025</w:t>
            </w:r>
          </w:p>
        </w:tc>
        <w:tc>
          <w:tcPr>
            <w:tcW w:w="320" w:type="dxa"/>
            <w:vAlign w:val="bottom"/>
            <w:gridSpan w:val="2"/>
          </w:tcPr>
          <w:p>
            <w:pPr>
              <w:ind w:left="60"/>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251"/>
              <w:spacing w:after="0"/>
              <w:rPr>
                <w:sz w:val="20"/>
                <w:szCs w:val="20"/>
                <w:color w:val="auto"/>
              </w:rPr>
            </w:pPr>
            <w:r>
              <w:rPr>
                <w:rFonts w:ascii="Arial" w:cs="Arial" w:eastAsia="Arial" w:hAnsi="Arial"/>
                <w:sz w:val="12"/>
                <w:szCs w:val="12"/>
                <w:b w:val="1"/>
                <w:bCs w:val="1"/>
                <w:color w:val="auto"/>
              </w:rPr>
              <w:t>2026</w:t>
            </w:r>
          </w:p>
        </w:tc>
        <w:tc>
          <w:tcPr>
            <w:tcW w:w="360" w:type="dxa"/>
            <w:vAlign w:val="bottom"/>
            <w:gridSpan w:val="3"/>
          </w:tcPr>
          <w:p>
            <w:pPr>
              <w:jc w:val="right"/>
              <w:ind w:right="129"/>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251"/>
              <w:spacing w:after="0"/>
              <w:rPr>
                <w:sz w:val="20"/>
                <w:szCs w:val="20"/>
                <w:color w:val="auto"/>
              </w:rPr>
            </w:pPr>
            <w:r>
              <w:rPr>
                <w:rFonts w:ascii="Arial" w:cs="Arial" w:eastAsia="Arial" w:hAnsi="Arial"/>
                <w:sz w:val="12"/>
                <w:szCs w:val="12"/>
                <w:b w:val="1"/>
                <w:bCs w:val="1"/>
                <w:color w:val="auto"/>
              </w:rPr>
              <w:t>2025</w:t>
            </w:r>
          </w:p>
        </w:tc>
        <w:tc>
          <w:tcPr>
            <w:tcW w:w="0" w:type="dxa"/>
            <w:vAlign w:val="bottom"/>
          </w:tcPr>
          <w:p>
            <w:pPr>
              <w:spacing w:after="0"/>
              <w:rPr>
                <w:sz w:val="1"/>
                <w:szCs w:val="1"/>
                <w:color w:val="auto"/>
              </w:rPr>
            </w:pPr>
          </w:p>
        </w:tc>
      </w:tr>
      <w:tr>
        <w:trPr>
          <w:trHeight w:val="156"/>
        </w:trPr>
        <w:tc>
          <w:tcPr>
            <w:tcW w:w="478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Stock-based compensation expense:</w:t>
            </w:r>
          </w:p>
        </w:tc>
        <w:tc>
          <w:tcPr>
            <w:tcW w:w="4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780" w:type="dxa"/>
            <w:vAlign w:val="bottom"/>
          </w:tcPr>
          <w:p>
            <w:pPr>
              <w:spacing w:after="0"/>
              <w:rPr>
                <w:sz w:val="20"/>
                <w:szCs w:val="20"/>
                <w:color w:val="auto"/>
              </w:rPr>
            </w:pPr>
            <w:r>
              <w:rPr>
                <w:rFonts w:ascii="Arial" w:cs="Arial" w:eastAsia="Arial" w:hAnsi="Arial"/>
                <w:sz w:val="14"/>
                <w:szCs w:val="14"/>
                <w:color w:val="auto"/>
              </w:rPr>
              <w:t>Costs applicable to revenue</w:t>
            </w:r>
          </w:p>
        </w:tc>
        <w:tc>
          <w:tcPr>
            <w:tcW w:w="24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133</w:t>
            </w:r>
          </w:p>
        </w:tc>
        <w:tc>
          <w:tcPr>
            <w:tcW w:w="38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118</w:t>
            </w:r>
          </w:p>
        </w:tc>
        <w:tc>
          <w:tcPr>
            <w:tcW w:w="32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393</w:t>
            </w:r>
          </w:p>
        </w:tc>
        <w:tc>
          <w:tcPr>
            <w:tcW w:w="360" w:type="dxa"/>
            <w:vAlign w:val="bottom"/>
            <w:gridSpan w:val="3"/>
          </w:tcPr>
          <w:p>
            <w:pPr>
              <w:jc w:val="right"/>
              <w:ind w:right="69"/>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343</w:t>
            </w:r>
          </w:p>
        </w:tc>
        <w:tc>
          <w:tcPr>
            <w:tcW w:w="0" w:type="dxa"/>
            <w:vAlign w:val="bottom"/>
          </w:tcPr>
          <w:p>
            <w:pPr>
              <w:spacing w:after="0"/>
              <w:rPr>
                <w:sz w:val="1"/>
                <w:szCs w:val="1"/>
                <w:color w:val="auto"/>
              </w:rPr>
            </w:pPr>
          </w:p>
        </w:tc>
      </w:tr>
      <w:tr>
        <w:trPr>
          <w:trHeight w:val="162"/>
        </w:trPr>
        <w:tc>
          <w:tcPr>
            <w:tcW w:w="4780" w:type="dxa"/>
            <w:vAlign w:val="bottom"/>
            <w:shd w:val="clear" w:color="auto" w:fill="CCEEFF"/>
          </w:tcPr>
          <w:p>
            <w:pPr>
              <w:spacing w:after="0"/>
              <w:rPr>
                <w:sz w:val="20"/>
                <w:szCs w:val="20"/>
                <w:color w:val="auto"/>
              </w:rPr>
            </w:pPr>
            <w:r>
              <w:rPr>
                <w:rFonts w:ascii="Arial" w:cs="Arial" w:eastAsia="Arial" w:hAnsi="Arial"/>
                <w:sz w:val="14"/>
                <w:szCs w:val="14"/>
                <w:color w:val="auto"/>
              </w:rPr>
              <w:t>Selling, general, and administrative</w:t>
            </w:r>
          </w:p>
        </w:tc>
        <w:tc>
          <w:tcPr>
            <w:tcW w:w="4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3,467</w:t>
            </w:r>
          </w:p>
        </w:tc>
        <w:tc>
          <w:tcPr>
            <w:tcW w:w="1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7,632</w:t>
            </w:r>
          </w:p>
        </w:tc>
        <w:tc>
          <w:tcPr>
            <w:tcW w:w="14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12,365</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23,121</w:t>
            </w:r>
          </w:p>
        </w:tc>
        <w:tc>
          <w:tcPr>
            <w:tcW w:w="0" w:type="dxa"/>
            <w:vAlign w:val="bottom"/>
          </w:tcPr>
          <w:p>
            <w:pPr>
              <w:spacing w:after="0"/>
              <w:rPr>
                <w:sz w:val="1"/>
                <w:szCs w:val="1"/>
                <w:color w:val="auto"/>
              </w:rPr>
            </w:pPr>
          </w:p>
        </w:tc>
      </w:tr>
      <w:tr>
        <w:trPr>
          <w:trHeight w:val="155"/>
        </w:trPr>
        <w:tc>
          <w:tcPr>
            <w:tcW w:w="4780" w:type="dxa"/>
            <w:vAlign w:val="bottom"/>
          </w:tcPr>
          <w:p>
            <w:pPr>
              <w:spacing w:after="0" w:line="155" w:lineRule="exact"/>
              <w:rPr>
                <w:sz w:val="20"/>
                <w:szCs w:val="20"/>
                <w:color w:val="auto"/>
              </w:rPr>
            </w:pPr>
            <w:r>
              <w:rPr>
                <w:rFonts w:ascii="Arial" w:cs="Arial" w:eastAsia="Arial" w:hAnsi="Arial"/>
                <w:sz w:val="14"/>
                <w:szCs w:val="14"/>
                <w:color w:val="auto"/>
              </w:rPr>
              <w:t>Total stock-based compensation expense</w:t>
            </w:r>
          </w:p>
        </w:tc>
        <w:tc>
          <w:tcPr>
            <w:tcW w:w="40" w:type="dxa"/>
            <w:vAlign w:val="bottom"/>
          </w:tcPr>
          <w:p>
            <w:pPr>
              <w:spacing w:after="0"/>
              <w:rPr>
                <w:sz w:val="13"/>
                <w:szCs w:val="13"/>
                <w:color w:val="auto"/>
              </w:rPr>
            </w:pPr>
          </w:p>
        </w:tc>
        <w:tc>
          <w:tcPr>
            <w:tcW w:w="20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3,600</w:t>
            </w:r>
          </w:p>
        </w:tc>
        <w:tc>
          <w:tcPr>
            <w:tcW w:w="180" w:type="dxa"/>
            <w:vAlign w:val="bottom"/>
          </w:tcPr>
          <w:p>
            <w:pPr>
              <w:spacing w:after="0"/>
              <w:rPr>
                <w:sz w:val="13"/>
                <w:szCs w:val="13"/>
                <w:color w:val="auto"/>
              </w:rPr>
            </w:pPr>
          </w:p>
        </w:tc>
        <w:tc>
          <w:tcPr>
            <w:tcW w:w="200" w:type="dxa"/>
            <w:vAlign w:val="bottom"/>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7,750</w:t>
            </w:r>
          </w:p>
        </w:tc>
        <w:tc>
          <w:tcPr>
            <w:tcW w:w="140" w:type="dxa"/>
            <w:vAlign w:val="bottom"/>
          </w:tcPr>
          <w:p>
            <w:pPr>
              <w:spacing w:after="0"/>
              <w:rPr>
                <w:sz w:val="13"/>
                <w:szCs w:val="13"/>
                <w:color w:val="auto"/>
              </w:rPr>
            </w:pPr>
          </w:p>
        </w:tc>
        <w:tc>
          <w:tcPr>
            <w:tcW w:w="18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12,758</w:t>
            </w:r>
          </w:p>
        </w:tc>
        <w:tc>
          <w:tcPr>
            <w:tcW w:w="180" w:type="dxa"/>
            <w:vAlign w:val="bottom"/>
            <w:gridSpan w:val="2"/>
          </w:tcPr>
          <w:p>
            <w:pPr>
              <w:spacing w:after="0"/>
              <w:rPr>
                <w:sz w:val="13"/>
                <w:szCs w:val="13"/>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23,464</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32" w:name="page33"/>
    <w:bookmarkEnd w:id="3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60" w:right="59" w:firstLine="648"/>
        <w:spacing w:after="0" w:line="271" w:lineRule="auto"/>
        <w:rPr>
          <w:sz w:val="20"/>
          <w:szCs w:val="20"/>
          <w:color w:val="auto"/>
        </w:rPr>
      </w:pPr>
      <w:r>
        <w:rPr>
          <w:rFonts w:ascii="Arial" w:cs="Arial" w:eastAsia="Arial" w:hAnsi="Arial"/>
          <w:sz w:val="18"/>
          <w:szCs w:val="18"/>
          <w:color w:val="auto"/>
        </w:rPr>
        <w:t>The following table summarizes stock option, restricted stock unit (“RSU”) and performance stock unit (“PSU”) activities for the nine months ended September 30, 2026:</w:t>
      </w:r>
    </w:p>
    <w:p>
      <w:pPr>
        <w:spacing w:after="0" w:line="45"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4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Pr>
          <w:p>
            <w:pPr>
              <w:jc w:val="center"/>
              <w:ind w:left="257"/>
              <w:spacing w:after="0"/>
              <w:rPr>
                <w:sz w:val="20"/>
                <w:szCs w:val="20"/>
                <w:color w:val="auto"/>
              </w:rPr>
            </w:pPr>
            <w:r>
              <w:rPr>
                <w:rFonts w:ascii="Arial" w:cs="Arial" w:eastAsia="Arial" w:hAnsi="Arial"/>
                <w:sz w:val="13"/>
                <w:szCs w:val="13"/>
                <w:b w:val="1"/>
                <w:bCs w:val="1"/>
                <w:color w:val="auto"/>
                <w:w w:val="95"/>
              </w:rPr>
              <w:t>Stock</w:t>
            </w: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jc w:val="right"/>
              <w:ind w:right="540"/>
              <w:spacing w:after="0"/>
              <w:rPr>
                <w:sz w:val="20"/>
                <w:szCs w:val="20"/>
                <w:color w:val="auto"/>
              </w:rPr>
            </w:pPr>
            <w:r>
              <w:rPr>
                <w:rFonts w:ascii="Arial" w:cs="Arial" w:eastAsia="Arial" w:hAnsi="Arial"/>
                <w:sz w:val="13"/>
                <w:szCs w:val="13"/>
                <w:b w:val="1"/>
                <w:bCs w:val="1"/>
                <w:color w:val="auto"/>
              </w:rPr>
              <w:t>Restricted</w:t>
            </w:r>
          </w:p>
        </w:tc>
        <w:tc>
          <w:tcPr>
            <w:tcW w:w="1200" w:type="dxa"/>
            <w:vAlign w:val="bottom"/>
          </w:tcPr>
          <w:p>
            <w:pPr>
              <w:jc w:val="right"/>
              <w:ind w:right="131"/>
              <w:spacing w:after="0"/>
              <w:rPr>
                <w:sz w:val="20"/>
                <w:szCs w:val="20"/>
                <w:color w:val="auto"/>
              </w:rPr>
            </w:pPr>
            <w:r>
              <w:rPr>
                <w:rFonts w:ascii="Arial" w:cs="Arial" w:eastAsia="Arial" w:hAnsi="Arial"/>
                <w:sz w:val="13"/>
                <w:szCs w:val="13"/>
                <w:b w:val="1"/>
                <w:bCs w:val="1"/>
                <w:color w:val="auto"/>
              </w:rPr>
              <w:t>Performance</w:t>
            </w:r>
          </w:p>
        </w:tc>
        <w:tc>
          <w:tcPr>
            <w:tcW w:w="0" w:type="dxa"/>
            <w:vAlign w:val="bottom"/>
          </w:tcPr>
          <w:p>
            <w:pPr>
              <w:spacing w:after="0"/>
              <w:rPr>
                <w:sz w:val="1"/>
                <w:szCs w:val="1"/>
                <w:color w:val="auto"/>
              </w:rPr>
            </w:pPr>
          </w:p>
        </w:tc>
      </w:tr>
      <w:tr>
        <w:trPr>
          <w:trHeight w:val="153"/>
        </w:trPr>
        <w:tc>
          <w:tcPr>
            <w:tcW w:w="4860" w:type="dxa"/>
            <w:vAlign w:val="bottom"/>
            <w:gridSpan w:val="2"/>
          </w:tcPr>
          <w:p>
            <w:pPr>
              <w:ind w:left="20"/>
              <w:spacing w:after="0"/>
              <w:rPr>
                <w:sz w:val="20"/>
                <w:szCs w:val="20"/>
                <w:color w:val="auto"/>
              </w:rPr>
            </w:pPr>
            <w:r>
              <w:rPr>
                <w:rFonts w:ascii="Arial" w:cs="Arial" w:eastAsia="Arial" w:hAnsi="Arial"/>
                <w:sz w:val="12"/>
                <w:szCs w:val="12"/>
                <w:color w:val="auto"/>
              </w:rPr>
              <w:t>(in thousands)</w:t>
            </w:r>
          </w:p>
        </w:tc>
        <w:tc>
          <w:tcPr>
            <w:tcW w:w="860" w:type="dxa"/>
            <w:vAlign w:val="bottom"/>
          </w:tcPr>
          <w:p>
            <w:pPr>
              <w:jc w:val="center"/>
              <w:ind w:left="257"/>
              <w:spacing w:after="0"/>
              <w:rPr>
                <w:sz w:val="20"/>
                <w:szCs w:val="20"/>
                <w:color w:val="auto"/>
              </w:rPr>
            </w:pPr>
            <w:r>
              <w:rPr>
                <w:rFonts w:ascii="Arial" w:cs="Arial" w:eastAsia="Arial" w:hAnsi="Arial"/>
                <w:sz w:val="13"/>
                <w:szCs w:val="13"/>
                <w:b w:val="1"/>
                <w:bCs w:val="1"/>
                <w:color w:val="auto"/>
                <w:w w:val="93"/>
              </w:rPr>
              <w:t>Options</w:t>
            </w: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rPr>
              <w:t>Stock Units</w:t>
            </w:r>
          </w:p>
        </w:tc>
        <w:tc>
          <w:tcPr>
            <w:tcW w:w="1200" w:type="dxa"/>
            <w:vAlign w:val="bottom"/>
          </w:tcPr>
          <w:p>
            <w:pPr>
              <w:jc w:val="right"/>
              <w:ind w:right="111"/>
              <w:spacing w:after="0" w:line="153" w:lineRule="exact"/>
              <w:rPr>
                <w:sz w:val="20"/>
                <w:szCs w:val="20"/>
                <w:color w:val="auto"/>
              </w:rPr>
            </w:pPr>
            <w:r>
              <w:rPr>
                <w:rFonts w:ascii="Arial" w:cs="Arial" w:eastAsia="Arial" w:hAnsi="Arial"/>
                <w:sz w:val="12"/>
                <w:szCs w:val="12"/>
                <w:b w:val="1"/>
                <w:bCs w:val="1"/>
                <w:color w:val="auto"/>
              </w:rPr>
              <w:t>Stock Units</w:t>
            </w:r>
            <w:r>
              <w:rPr>
                <w:rFonts w:ascii="Arial" w:cs="Arial" w:eastAsia="Arial" w:hAnsi="Arial"/>
                <w:sz w:val="17"/>
                <w:szCs w:val="17"/>
                <w:b w:val="1"/>
                <w:bCs w:val="1"/>
                <w:color w:val="auto"/>
                <w:vertAlign w:val="superscript"/>
              </w:rPr>
              <w:t>(1)</w:t>
            </w:r>
          </w:p>
        </w:tc>
        <w:tc>
          <w:tcPr>
            <w:tcW w:w="0" w:type="dxa"/>
            <w:vAlign w:val="bottom"/>
          </w:tcPr>
          <w:p>
            <w:pPr>
              <w:spacing w:after="0"/>
              <w:rPr>
                <w:sz w:val="1"/>
                <w:szCs w:val="1"/>
                <w:color w:val="auto"/>
              </w:rPr>
            </w:pPr>
          </w:p>
        </w:tc>
      </w:tr>
      <w:tr>
        <w:trPr>
          <w:trHeight w:val="155"/>
        </w:trPr>
        <w:tc>
          <w:tcPr>
            <w:tcW w:w="4540" w:type="dxa"/>
            <w:vAlign w:val="bottom"/>
            <w:tcBorders>
              <w:top w:val="single" w:sz="8" w:color="auto"/>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Outstanding at December 31, 2025</w:t>
            </w:r>
          </w:p>
        </w:tc>
        <w:tc>
          <w:tcPr>
            <w:tcW w:w="32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138</w:t>
            </w:r>
          </w:p>
        </w:tc>
        <w:tc>
          <w:tcPr>
            <w:tcW w:w="220" w:type="dxa"/>
            <w:vAlign w:val="bottom"/>
            <w:tcBorders>
              <w:top w:val="single" w:sz="8" w:color="CCEEFF"/>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1,915</w:t>
            </w:r>
          </w:p>
        </w:tc>
        <w:tc>
          <w:tcPr>
            <w:tcW w:w="260" w:type="dxa"/>
            <w:vAlign w:val="bottom"/>
            <w:tcBorders>
              <w:top w:val="single" w:sz="8" w:color="CCEEFF"/>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750</w:t>
            </w:r>
          </w:p>
        </w:tc>
        <w:tc>
          <w:tcPr>
            <w:tcW w:w="0" w:type="dxa"/>
            <w:vAlign w:val="bottom"/>
          </w:tcPr>
          <w:p>
            <w:pPr>
              <w:spacing w:after="0"/>
              <w:rPr>
                <w:sz w:val="1"/>
                <w:szCs w:val="1"/>
                <w:color w:val="auto"/>
              </w:rPr>
            </w:pPr>
          </w:p>
        </w:tc>
      </w:tr>
      <w:tr>
        <w:trPr>
          <w:trHeight w:val="162"/>
        </w:trPr>
        <w:tc>
          <w:tcPr>
            <w:tcW w:w="4860" w:type="dxa"/>
            <w:vAlign w:val="bottom"/>
            <w:gridSpan w:val="2"/>
          </w:tcPr>
          <w:p>
            <w:pPr>
              <w:ind w:left="20"/>
              <w:spacing w:after="0"/>
              <w:rPr>
                <w:sz w:val="20"/>
                <w:szCs w:val="20"/>
                <w:color w:val="auto"/>
              </w:rPr>
            </w:pPr>
            <w:r>
              <w:rPr>
                <w:rFonts w:ascii="Arial" w:cs="Arial" w:eastAsia="Arial" w:hAnsi="Arial"/>
                <w:sz w:val="14"/>
                <w:szCs w:val="14"/>
                <w:color w:val="auto"/>
              </w:rPr>
              <w:t>Granted</w:t>
            </w:r>
          </w:p>
        </w:tc>
        <w:tc>
          <w:tcPr>
            <w:tcW w:w="860" w:type="dxa"/>
            <w:vAlign w:val="bottom"/>
          </w:tcPr>
          <w:p>
            <w:pPr>
              <w:spacing w:after="0"/>
              <w:rPr>
                <w:sz w:val="14"/>
                <w:szCs w:val="14"/>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387</w:t>
            </w:r>
          </w:p>
        </w:tc>
        <w:tc>
          <w:tcPr>
            <w:tcW w:w="2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162"/>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Vested</w:t>
            </w:r>
          </w:p>
        </w:tc>
        <w:tc>
          <w:tcPr>
            <w:tcW w:w="86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(365)</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860" w:type="dxa"/>
            <w:vAlign w:val="bottom"/>
            <w:gridSpan w:val="2"/>
          </w:tcPr>
          <w:p>
            <w:pPr>
              <w:ind w:left="20"/>
              <w:spacing w:after="0"/>
              <w:rPr>
                <w:sz w:val="20"/>
                <w:szCs w:val="20"/>
                <w:color w:val="auto"/>
              </w:rPr>
            </w:pPr>
            <w:r>
              <w:rPr>
                <w:rFonts w:ascii="Arial" w:cs="Arial" w:eastAsia="Arial" w:hAnsi="Arial"/>
                <w:sz w:val="14"/>
                <w:szCs w:val="14"/>
                <w:color w:val="auto"/>
              </w:rPr>
              <w:t>Forfeited</w:t>
            </w:r>
          </w:p>
        </w:tc>
        <w:tc>
          <w:tcPr>
            <w:tcW w:w="860" w:type="dxa"/>
            <w:vAlign w:val="bottom"/>
          </w:tcPr>
          <w:p>
            <w:pPr>
              <w:spacing w:after="0"/>
              <w:rPr>
                <w:sz w:val="14"/>
                <w:szCs w:val="14"/>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4"/>
                <w:szCs w:val="14"/>
                <w:color w:val="auto"/>
              </w:rPr>
              <w:t>(13)</w:t>
            </w:r>
          </w:p>
        </w:tc>
        <w:tc>
          <w:tcPr>
            <w:tcW w:w="1440" w:type="dxa"/>
            <w:vAlign w:val="bottom"/>
            <w:gridSpan w:val="2"/>
          </w:tcPr>
          <w:p>
            <w:pPr>
              <w:jc w:val="right"/>
              <w:ind w:right="260"/>
              <w:spacing w:after="0"/>
              <w:rPr>
                <w:sz w:val="20"/>
                <w:szCs w:val="20"/>
                <w:color w:val="auto"/>
              </w:rPr>
            </w:pPr>
            <w:r>
              <w:rPr>
                <w:rFonts w:ascii="Arial" w:cs="Arial" w:eastAsia="Arial" w:hAnsi="Arial"/>
                <w:sz w:val="14"/>
                <w:szCs w:val="14"/>
                <w:color w:val="auto"/>
              </w:rPr>
              <w:t>(125)</w:t>
            </w:r>
          </w:p>
        </w:tc>
        <w:tc>
          <w:tcPr>
            <w:tcW w:w="1200" w:type="dxa"/>
            <w:vAlign w:val="bottom"/>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55"/>
        </w:trPr>
        <w:tc>
          <w:tcPr>
            <w:tcW w:w="4860" w:type="dxa"/>
            <w:vAlign w:val="bottom"/>
            <w:tcBorders>
              <w:top w:val="single" w:sz="8" w:color="CCEEFF"/>
              <w:bottom w:val="single" w:sz="8" w:color="CCEEFF"/>
            </w:tcBorders>
            <w:gridSpan w:val="2"/>
            <w:shd w:val="clear" w:color="auto" w:fill="CCEEFF"/>
          </w:tcPr>
          <w:p>
            <w:pPr>
              <w:ind w:left="20"/>
              <w:spacing w:after="0" w:line="155" w:lineRule="exact"/>
              <w:rPr>
                <w:sz w:val="20"/>
                <w:szCs w:val="20"/>
                <w:color w:val="auto"/>
              </w:rPr>
            </w:pPr>
            <w:r>
              <w:rPr>
                <w:rFonts w:ascii="Arial" w:cs="Arial" w:eastAsia="Arial" w:hAnsi="Arial"/>
                <w:sz w:val="14"/>
                <w:szCs w:val="14"/>
                <w:color w:val="auto"/>
              </w:rPr>
              <w:t>Outstanding at September 30, 2026</w:t>
            </w:r>
          </w:p>
        </w:tc>
        <w:tc>
          <w:tcPr>
            <w:tcW w:w="860" w:type="dxa"/>
            <w:vAlign w:val="bottom"/>
            <w:tcBorders>
              <w:top w:val="single" w:sz="8" w:color="auto"/>
              <w:bottom w:val="single" w:sz="8" w:color="auto"/>
            </w:tcBorders>
            <w:shd w:val="clear" w:color="auto" w:fill="CCEEFF"/>
          </w:tcPr>
          <w:p>
            <w:pPr>
              <w:spacing w:after="0"/>
              <w:rPr>
                <w:sz w:val="13"/>
                <w:szCs w:val="13"/>
                <w:color w:val="auto"/>
              </w:rPr>
            </w:pPr>
          </w:p>
        </w:tc>
        <w:tc>
          <w:tcPr>
            <w:tcW w:w="3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125</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1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1,812</w:t>
            </w:r>
          </w:p>
        </w:tc>
        <w:tc>
          <w:tcPr>
            <w:tcW w:w="260" w:type="dxa"/>
            <w:vAlign w:val="bottom"/>
            <w:tcBorders>
              <w:top w:val="single" w:sz="8" w:color="CCEEFF"/>
              <w:bottom w:val="single" w:sz="8" w:color="CCEEFF"/>
            </w:tcBorders>
            <w:shd w:val="clear" w:color="auto" w:fill="CCEEFF"/>
          </w:tcPr>
          <w:p>
            <w:pPr>
              <w:spacing w:after="0"/>
              <w:rPr>
                <w:sz w:val="13"/>
                <w:szCs w:val="13"/>
                <w:color w:val="auto"/>
              </w:rPr>
            </w:pPr>
          </w:p>
        </w:tc>
        <w:tc>
          <w:tcPr>
            <w:tcW w:w="12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900</w:t>
            </w:r>
          </w:p>
        </w:tc>
        <w:tc>
          <w:tcPr>
            <w:tcW w:w="0" w:type="dxa"/>
            <w:vAlign w:val="bottom"/>
          </w:tcPr>
          <w:p>
            <w:pPr>
              <w:spacing w:after="0"/>
              <w:rPr>
                <w:sz w:val="1"/>
                <w:szCs w:val="1"/>
                <w:color w:val="auto"/>
              </w:rPr>
            </w:pPr>
          </w:p>
        </w:tc>
      </w:tr>
      <w:tr>
        <w:trPr>
          <w:trHeight w:val="20"/>
        </w:trPr>
        <w:tc>
          <w:tcPr>
            <w:tcW w:w="4860" w:type="dxa"/>
            <w:vAlign w:val="bottom"/>
            <w:gridSpan w:val="2"/>
            <w:vMerge w:val="restart"/>
          </w:tcPr>
          <w:p>
            <w:pPr>
              <w:ind w:left="20"/>
              <w:spacing w:after="0"/>
              <w:rPr>
                <w:sz w:val="20"/>
                <w:szCs w:val="20"/>
                <w:color w:val="auto"/>
              </w:rPr>
            </w:pPr>
            <w:r>
              <w:rPr>
                <w:rFonts w:ascii="Arial" w:cs="Arial" w:eastAsia="Arial" w:hAnsi="Arial"/>
                <w:sz w:val="14"/>
                <w:szCs w:val="14"/>
                <w:color w:val="auto"/>
              </w:rPr>
              <w:t>Exercisable at September 30, 2026</w:t>
            </w: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860" w:type="dxa"/>
            <w:vAlign w:val="bottom"/>
            <w:gridSpan w:val="2"/>
            <w:vMerge w:val="continue"/>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125</w:t>
            </w:r>
          </w:p>
        </w:tc>
        <w:tc>
          <w:tcPr>
            <w:tcW w:w="220" w:type="dxa"/>
            <w:vAlign w:val="bottom"/>
          </w:tcPr>
          <w:p>
            <w:pPr>
              <w:spacing w:after="0"/>
              <w:rPr>
                <w:sz w:val="12"/>
                <w:szCs w:val="12"/>
                <w:color w:val="auto"/>
              </w:rPr>
            </w:pPr>
          </w:p>
        </w:tc>
        <w:tc>
          <w:tcPr>
            <w:tcW w:w="1440" w:type="dxa"/>
            <w:vAlign w:val="bottom"/>
            <w:gridSpan w:val="2"/>
          </w:tcPr>
          <w:p>
            <w:pPr>
              <w:jc w:val="right"/>
              <w:ind w:right="300"/>
              <w:spacing w:after="0" w:line="143" w:lineRule="exact"/>
              <w:rPr>
                <w:sz w:val="20"/>
                <w:szCs w:val="20"/>
                <w:color w:val="auto"/>
              </w:rPr>
            </w:pPr>
            <w:r>
              <w:rPr>
                <w:rFonts w:ascii="Arial" w:cs="Arial" w:eastAsia="Arial" w:hAnsi="Arial"/>
                <w:sz w:val="14"/>
                <w:szCs w:val="14"/>
                <w:color w:val="auto"/>
              </w:rPr>
              <w:t>n/a</w:t>
            </w:r>
          </w:p>
        </w:tc>
        <w:tc>
          <w:tcPr>
            <w:tcW w:w="1200" w:type="dxa"/>
            <w:vAlign w:val="bottom"/>
          </w:tcPr>
          <w:p>
            <w:pPr>
              <w:jc w:val="right"/>
              <w:spacing w:after="0" w:line="143"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60" w:hanging="329"/>
        <w:spacing w:after="0"/>
        <w:tabs>
          <w:tab w:leader="none" w:pos="460" w:val="left"/>
        </w:tabs>
        <w:numPr>
          <w:ilvl w:val="0"/>
          <w:numId w:val="19"/>
        </w:numPr>
        <w:rPr>
          <w:rFonts w:ascii="Arial" w:cs="Arial" w:eastAsia="Arial" w:hAnsi="Arial"/>
          <w:sz w:val="22"/>
          <w:szCs w:val="22"/>
          <w:color w:val="231F20"/>
          <w:vertAlign w:val="superscript"/>
        </w:rPr>
      </w:pPr>
      <w:r>
        <w:rPr>
          <w:rFonts w:ascii="Arial" w:cs="Arial" w:eastAsia="Arial" w:hAnsi="Arial"/>
          <w:sz w:val="14"/>
          <w:szCs w:val="14"/>
          <w:color w:val="auto"/>
        </w:rPr>
        <w:t>PSU quantities in this table are presented at target levels of performance prior to the final determination of goal achievement.</w:t>
      </w:r>
    </w:p>
    <w:p>
      <w:pPr>
        <w:spacing w:after="0" w:line="38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RSUs</w:t>
      </w:r>
    </w:p>
    <w:p>
      <w:pPr>
        <w:spacing w:after="0" w:line="10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During the nine months ended September 30, 2026, the Company granted a total of 244,585 RSUs to non-executive employees with an aggregate grant date fair value of $1.8 million and weighted-average grant date fair value of $7.49 per RSU, which will be recognized, net of forfeitures, over a vesting period of five years.</w:t>
      </w:r>
    </w:p>
    <w:p>
      <w:pPr>
        <w:spacing w:after="0" w:line="169"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In December 2025, in conjunction with the amended and restated employment agreement with Matthew D. Wagner, the Company granted Mr. Wagner 465,000 RSUs with a vesting period through November 15, 2028 and an effective date of January 1, 2026 to coincide with his appointment as the Company’s Chief Executive Officer and member of the Board. Also, in December 2025, Brent Moody was appointed as Chairman of the Board effective January 1, 2026 and the Company granted Mr. Moody RSUs with an aggregate grant date fair value of $550,000 with a vesting period of one year and an effective date of January 1, 2026. Although the effective date of Mr. Wagner’s and Mr. Moody’s RSU grants was January 1, 2026, these RSU grants met the criteria for a grant date for accounting purposes during December 2025. The 465,000 and 59,518 RSUs granted to Mr. Wagner and Mr. Moody, respectively, were recorded as if they were granted during the year ended December 31, 2025.</w:t>
      </w:r>
    </w:p>
    <w:p>
      <w:pPr>
        <w:spacing w:after="0" w:line="180"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In addition, on the date of the Company’s annual stockholders’ meeting in May 2026, in accordance with the Company’s non-employee director compensation policy, each of the seven non-employee directors received grants of 20,325 RSUs with an aggregate grant date fair value of $1.0 million and a weighted-average grant date fair value of $7.38 per RSU, which will be recognized, net of forfeitures, over a vesting period of one year.</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PSUs</w:t>
      </w:r>
    </w:p>
    <w:p>
      <w:pPr>
        <w:spacing w:after="0" w:line="102"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In January 2025, pursuant to Mr. Lemonis’ previous employment agreement effective January 1, 2025 (the “Lemonis First Employment Agreement”), the Company granted Mr. Lemonis an award of PSUs under the 2016 Plan with respect to 750,000 PSUs if earned at “target” levels of performance, which will be eligible to vest based on the achievement of specified stock price hurdles over what was originally a three-year performance period ending on December 31, 2027. However, if the Lemonis Second Employment Agreement is not extended, pursuant to the PSU award agreement with Mr. Lemonis the end of the post-termination measurement period will be February 16, 2027 and any tranche that has not met its stock price target will be forfeited. The PSUs are comprised of four tranches of 187,500 PSUs with hurdles ranging from $32.50 per share to $47.50 per share in $ 5.00 per share increments. The achievement of the stock price hurdles is based on the average 30 consecutive trading day closing stock price of the Company’s Class A common stock.</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3" w:name="page34"/>
    <w:bookmarkEnd w:id="3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36" w:lineRule="auto"/>
        <w:rPr>
          <w:sz w:val="20"/>
          <w:szCs w:val="20"/>
          <w:color w:val="auto"/>
        </w:rPr>
      </w:pPr>
      <w:r>
        <w:rPr>
          <w:rFonts w:ascii="Arial" w:cs="Arial" w:eastAsia="Arial" w:hAnsi="Arial"/>
          <w:sz w:val="18"/>
          <w:szCs w:val="18"/>
          <w:color w:val="auto"/>
        </w:rPr>
        <w:t>During the nine months ended September 30, 2026, the Company granted PSUs to employees, including Mr. Kirn and Ms. Christen, with respect to an aggregate target number of 200,000 PSUs. The PSUs will be eligible to be earned based on an Adjusted EBITDA performance target for fiscal year 2026. In the event that actual performance exceeds or falls below target performance, the percentage of the earned PSUs will be adjusted upward or downward, as applicable, by an amount equal to 200% of the percentage by which actual performance exceeds or falls short of target performance; provided that in no event shall the number of PSUs eligible to vest for any year be less than the minimum (50% of the target number of PSUs for 110,000 of the target PSUs and 75% of the target number of PSUs for the remaining 90,000 of the target PSUs) or greater than the maximum (150% of the target number of PSUs). The earned PSUs will vest on the date on which the Compensation Committee certifies the Adjusted EBITDA achievement, which certification shall occur within ten</w:t>
      </w:r>
    </w:p>
    <w:p>
      <w:pPr>
        <w:spacing w:after="0" w:line="8" w:lineRule="exact"/>
        <w:rPr>
          <w:sz w:val="20"/>
          <w:szCs w:val="20"/>
          <w:color w:val="auto"/>
        </w:rPr>
      </w:pPr>
    </w:p>
    <w:p>
      <w:pPr>
        <w:jc w:val="both"/>
        <w:ind w:left="60" w:right="59" w:hanging="10"/>
        <w:spacing w:after="0" w:line="237" w:lineRule="auto"/>
        <w:tabs>
          <w:tab w:leader="none" w:pos="463" w:val="left"/>
        </w:tabs>
        <w:numPr>
          <w:ilvl w:val="0"/>
          <w:numId w:val="20"/>
        </w:numPr>
        <w:rPr>
          <w:rFonts w:ascii="Arial" w:cs="Arial" w:eastAsia="Arial" w:hAnsi="Arial"/>
          <w:sz w:val="18"/>
          <w:szCs w:val="18"/>
          <w:color w:val="auto"/>
        </w:rPr>
      </w:pPr>
      <w:r>
        <w:rPr>
          <w:rFonts w:ascii="Arial" w:cs="Arial" w:eastAsia="Arial" w:hAnsi="Arial"/>
          <w:sz w:val="18"/>
          <w:szCs w:val="18"/>
          <w:color w:val="auto"/>
        </w:rPr>
        <w:t>business days following the filing of the Company’s Annual Report on Form 10-K for fiscal year 2026 (“2026 PSU Vest Date”), subject to the employee’s continued employment or service through such date. The weighted-average grant date fair value of $6.92 per PSU will be recognized, net of forfeitures, through the 2026 PSU Vest Date based on an estimate of the probable outcome of the performance target. The probable outcome of the performance target is updated each reporting period through the final performance target resolution on the 2026 PSU Vest Date. In September 2026, the 50,000 PSUs at target related to Ms. Christen were forfeited for no consideration under the Transition Agreement (see Note 11 – Commitments and Contingencies).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Liability-Classified Share-Based Awards</w:t>
      </w:r>
    </w:p>
    <w:p>
      <w:pPr>
        <w:spacing w:after="0" w:line="10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 xml:space="preserve">As discussed in Note 11 </w:t>
      </w:r>
      <w:r>
        <w:rPr>
          <w:rFonts w:ascii="Arial" w:cs="Arial" w:eastAsia="Arial" w:hAnsi="Arial"/>
          <w:sz w:val="14"/>
          <w:szCs w:val="14"/>
          <w:color w:val="auto"/>
        </w:rPr>
        <w:t>—</w:t>
      </w:r>
      <w:r>
        <w:rPr>
          <w:rFonts w:ascii="Arial" w:cs="Arial" w:eastAsia="Arial" w:hAnsi="Arial"/>
          <w:sz w:val="18"/>
          <w:szCs w:val="18"/>
          <w:color w:val="auto"/>
        </w:rPr>
        <w:t xml:space="preserve"> Commitments and Contingencies and pursuant to the Lemonis Second Employment Agreement, Mr. Lemonis’ 2026 compensation included the 2026 Bonus of $2.3 million and the Lump-Sum Payment of $3.8 million, each of which could be settled in cash or shares of Class A common stock based on the closing stock price on the settlement date. Since the 2026 Bonus and the Lump-Sum Payment might be settled in cash or shares, were initially expected to be settled in shares, and a settlement in shares would result in a variable number of shares based on a fixed monetary amount, these payments were each recorded as liability-classified share-based awards (“Liability-Classified Awards”).</w:t>
      </w:r>
    </w:p>
    <w:p>
      <w:pPr>
        <w:spacing w:after="0" w:line="185"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The Company deemed the 2026 service conditions relating to the Lemonis Second Employment Agreement to be nonsubstantive for accounting purposes, so all of the SBC expense relating to the Liability-Classified Awards was recognized by December 31, 2025, which was the date that Mr. Lemonis retired from the position of Chief Executive Officer and Chairman of the Board. As of December 31, 2025, the aggregate $6.0 million for the Liability-Classified Awards was recorded in other current liabilities in the condensed consolidated balance sheet and was not a component of stockholders’ equity.</w:t>
      </w:r>
    </w:p>
    <w:p>
      <w:pPr>
        <w:spacing w:after="0" w:line="179"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 xml:space="preserve">As further discussed in Note 11 </w:t>
      </w:r>
      <w:r>
        <w:rPr>
          <w:rFonts w:ascii="Arial" w:cs="Arial" w:eastAsia="Arial" w:hAnsi="Arial"/>
          <w:sz w:val="14"/>
          <w:szCs w:val="14"/>
          <w:color w:val="auto"/>
        </w:rPr>
        <w:t>—</w:t>
      </w:r>
      <w:r>
        <w:rPr>
          <w:rFonts w:ascii="Arial" w:cs="Arial" w:eastAsia="Arial" w:hAnsi="Arial"/>
          <w:sz w:val="18"/>
          <w:szCs w:val="18"/>
          <w:color w:val="auto"/>
        </w:rPr>
        <w:t xml:space="preserve"> Commitments and Contingencies and pursuant to the May 18, 2026 amendment to the Lemonis Second Employment Agreement, the Company settled each of the 2026 Bonus and Lump-Sum Payment in May 2026. The 2026 Bonus was settled with the issuance of 319,602 shares of Class A common stock, less 125,763 shares withheld to cover Mr. Lemonis’ associated tax withholding obligations. The Lump-Sum Payment was settled with a cash payment of $3.8 million. For the nine months ended September 30, 2026, the amount recorded to components of stockholders’ equity related to SBC expense exceeded the SBC expense recorded in the condensed consolidated statements of operations by $2.3 million, reflecting the 2026 Bonus settled in shares of Class A common stock in May 2026 for which the SBC expense had been recognized during the three months ended December 31, 2025.</w:t>
      </w:r>
    </w:p>
    <w:p>
      <w:pPr>
        <w:spacing w:after="0" w:line="200" w:lineRule="exact"/>
        <w:rPr>
          <w:sz w:val="20"/>
          <w:szCs w:val="20"/>
          <w:color w:val="auto"/>
        </w:rPr>
      </w:pPr>
    </w:p>
    <w:p>
      <w:pPr>
        <w:spacing w:after="0" w:line="21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18. Loss Per Share</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Basic loss per share of Class A common stock is computed by dividing net loss attributable to Camping World Holdings, Inc. by the weighted-average number of shares of Class A common stock outstanding during the period. Diluted loss per share of Class A common stock is computed by dividing net loss attributable to Camping World Holdings, Inc. by the weighted-average number of shares of Class A common stock outstanding adjusted to give effect to potentially dilutive securities.</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34" w:name="page35"/>
    <w:bookmarkEnd w:id="3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00" w:firstLine="648"/>
        <w:spacing w:after="0" w:line="271" w:lineRule="auto"/>
        <w:rPr>
          <w:sz w:val="20"/>
          <w:szCs w:val="20"/>
          <w:color w:val="auto"/>
        </w:rPr>
      </w:pPr>
      <w:r>
        <w:rPr>
          <w:rFonts w:ascii="Arial" w:cs="Arial" w:eastAsia="Arial" w:hAnsi="Arial"/>
          <w:sz w:val="18"/>
          <w:szCs w:val="18"/>
          <w:color w:val="auto"/>
        </w:rPr>
        <w:t>The following table sets forth reconciliations of the numerators and denominators used to compute basic and diluted loss per share of Class A common stock:</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4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40" w:type="dxa"/>
            <w:vAlign w:val="bottom"/>
            <w:tcBorders>
              <w:bottom w:val="single" w:sz="8" w:color="auto"/>
            </w:tcBorders>
            <w:gridSpan w:val="6"/>
          </w:tcPr>
          <w:p>
            <w:pPr>
              <w:jc w:val="right"/>
              <w:spacing w:after="0"/>
              <w:rPr>
                <w:sz w:val="20"/>
                <w:szCs w:val="20"/>
                <w:color w:val="auto"/>
              </w:rPr>
            </w:pPr>
            <w:r>
              <w:rPr>
                <w:rFonts w:ascii="Arial" w:cs="Arial" w:eastAsia="Arial" w:hAnsi="Arial"/>
                <w:sz w:val="12"/>
                <w:szCs w:val="12"/>
                <w:b w:val="1"/>
                <w:bCs w:val="1"/>
                <w:color w:val="auto"/>
                <w:w w:val="97"/>
              </w:rPr>
              <w:t>Three Months Ended September 30,</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20" w:type="dxa"/>
            <w:vAlign w:val="bottom"/>
            <w:tcBorders>
              <w:bottom w:val="single" w:sz="8" w:color="auto"/>
            </w:tcBorders>
            <w:gridSpan w:val="6"/>
          </w:tcPr>
          <w:p>
            <w:pPr>
              <w:jc w:val="right"/>
              <w:spacing w:after="0"/>
              <w:rPr>
                <w:sz w:val="20"/>
                <w:szCs w:val="20"/>
                <w:color w:val="auto"/>
              </w:rPr>
            </w:pPr>
            <w:r>
              <w:rPr>
                <w:rFonts w:ascii="Arial" w:cs="Arial" w:eastAsia="Arial" w:hAnsi="Arial"/>
                <w:sz w:val="12"/>
                <w:szCs w:val="12"/>
                <w:b w:val="1"/>
                <w:bCs w:val="1"/>
                <w:color w:val="auto"/>
                <w:w w:val="99"/>
              </w:rPr>
              <w:t>Nine Months Ended September 30,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760" w:type="dxa"/>
            <w:vAlign w:val="bottom"/>
            <w:gridSpan w:val="2"/>
          </w:tcPr>
          <w:p>
            <w:pPr>
              <w:ind w:left="20"/>
              <w:spacing w:after="0"/>
              <w:rPr>
                <w:sz w:val="20"/>
                <w:szCs w:val="20"/>
                <w:color w:val="auto"/>
              </w:rPr>
            </w:pPr>
            <w:r>
              <w:rPr>
                <w:rFonts w:ascii="Arial" w:cs="Arial" w:eastAsia="Arial" w:hAnsi="Arial"/>
                <w:sz w:val="12"/>
                <w:szCs w:val="12"/>
                <w:color w:val="auto"/>
              </w:rPr>
              <w:t>(In thousands except per share amounts)</w:t>
            </w:r>
          </w:p>
        </w:tc>
        <w:tc>
          <w:tcPr>
            <w:tcW w:w="200" w:type="dxa"/>
            <w:vAlign w:val="bottom"/>
          </w:tcPr>
          <w:p>
            <w:pPr>
              <w:spacing w:after="0"/>
              <w:rPr>
                <w:sz w:val="12"/>
                <w:szCs w:val="12"/>
                <w:color w:val="auto"/>
              </w:rPr>
            </w:pPr>
          </w:p>
        </w:tc>
        <w:tc>
          <w:tcPr>
            <w:tcW w:w="740" w:type="dxa"/>
            <w:vAlign w:val="bottom"/>
          </w:tcPr>
          <w:p>
            <w:pPr>
              <w:jc w:val="right"/>
              <w:ind w:right="269"/>
              <w:spacing w:after="0"/>
              <w:rPr>
                <w:sz w:val="20"/>
                <w:szCs w:val="20"/>
                <w:color w:val="auto"/>
              </w:rPr>
            </w:pPr>
            <w:r>
              <w:rPr>
                <w:rFonts w:ascii="Arial" w:cs="Arial" w:eastAsia="Arial" w:hAnsi="Arial"/>
                <w:sz w:val="12"/>
                <w:szCs w:val="12"/>
                <w:b w:val="1"/>
                <w:bCs w:val="1"/>
                <w:color w:val="auto"/>
              </w:rPr>
              <w:t>2026</w:t>
            </w:r>
          </w:p>
        </w:tc>
        <w:tc>
          <w:tcPr>
            <w:tcW w:w="40" w:type="dxa"/>
            <w:vAlign w:val="bottom"/>
          </w:tcPr>
          <w:p>
            <w:pPr>
              <w:spacing w:after="0"/>
              <w:rPr>
                <w:sz w:val="12"/>
                <w:szCs w:val="12"/>
                <w:color w:val="auto"/>
              </w:rPr>
            </w:pPr>
          </w:p>
        </w:tc>
        <w:tc>
          <w:tcPr>
            <w:tcW w:w="360" w:type="dxa"/>
            <w:vAlign w:val="bottom"/>
            <w:gridSpan w:val="2"/>
          </w:tcPr>
          <w:p>
            <w:pPr>
              <w:jc w:val="right"/>
              <w:ind w:right="168"/>
              <w:spacing w:after="0"/>
              <w:rPr>
                <w:sz w:val="20"/>
                <w:szCs w:val="20"/>
                <w:color w:val="auto"/>
              </w:rPr>
            </w:pPr>
            <w:r>
              <w:rPr>
                <w:rFonts w:ascii="Arial" w:cs="Arial" w:eastAsia="Arial" w:hAnsi="Arial"/>
                <w:sz w:val="12"/>
                <w:szCs w:val="12"/>
                <w:b w:val="1"/>
                <w:bCs w:val="1"/>
                <w:color w:val="auto"/>
              </w:rPr>
              <w:t>​​​</w:t>
            </w:r>
          </w:p>
        </w:tc>
        <w:tc>
          <w:tcPr>
            <w:tcW w:w="700" w:type="dxa"/>
            <w:vAlign w:val="bottom"/>
          </w:tcPr>
          <w:p>
            <w:pPr>
              <w:jc w:val="right"/>
              <w:ind w:right="249"/>
              <w:spacing w:after="0"/>
              <w:rPr>
                <w:sz w:val="20"/>
                <w:szCs w:val="20"/>
                <w:color w:val="auto"/>
              </w:rPr>
            </w:pPr>
            <w:r>
              <w:rPr>
                <w:rFonts w:ascii="Arial" w:cs="Arial" w:eastAsia="Arial" w:hAnsi="Arial"/>
                <w:sz w:val="12"/>
                <w:szCs w:val="12"/>
                <w:b w:val="1"/>
                <w:bCs w:val="1"/>
                <w:color w:val="auto"/>
              </w:rPr>
              <w:t>2025</w:t>
            </w:r>
          </w:p>
        </w:tc>
        <w:tc>
          <w:tcPr>
            <w:tcW w:w="40" w:type="dxa"/>
            <w:vAlign w:val="bottom"/>
          </w:tcPr>
          <w:p>
            <w:pPr>
              <w:spacing w:after="0"/>
              <w:rPr>
                <w:sz w:val="12"/>
                <w:szCs w:val="12"/>
                <w:color w:val="auto"/>
              </w:rPr>
            </w:pPr>
          </w:p>
        </w:tc>
        <w:tc>
          <w:tcPr>
            <w:tcW w:w="340" w:type="dxa"/>
            <w:vAlign w:val="bottom"/>
            <w:gridSpan w:val="2"/>
          </w:tcPr>
          <w:p>
            <w:pPr>
              <w:jc w:val="right"/>
              <w:ind w:right="155"/>
              <w:spacing w:after="0"/>
              <w:rPr>
                <w:sz w:val="20"/>
                <w:szCs w:val="20"/>
                <w:color w:val="auto"/>
              </w:rPr>
            </w:pPr>
            <w:r>
              <w:rPr>
                <w:rFonts w:ascii="Arial" w:cs="Arial" w:eastAsia="Arial" w:hAnsi="Arial"/>
                <w:sz w:val="12"/>
                <w:szCs w:val="12"/>
                <w:b w:val="1"/>
                <w:bCs w:val="1"/>
                <w:color w:val="auto"/>
              </w:rPr>
              <w:t>​​​</w:t>
            </w:r>
          </w:p>
        </w:tc>
        <w:tc>
          <w:tcPr>
            <w:tcW w:w="720" w:type="dxa"/>
            <w:vAlign w:val="bottom"/>
          </w:tcPr>
          <w:p>
            <w:pPr>
              <w:jc w:val="right"/>
              <w:ind w:right="249"/>
              <w:spacing w:after="0"/>
              <w:rPr>
                <w:sz w:val="20"/>
                <w:szCs w:val="20"/>
                <w:color w:val="auto"/>
              </w:rPr>
            </w:pPr>
            <w:r>
              <w:rPr>
                <w:rFonts w:ascii="Arial" w:cs="Arial" w:eastAsia="Arial" w:hAnsi="Arial"/>
                <w:sz w:val="12"/>
                <w:szCs w:val="12"/>
                <w:b w:val="1"/>
                <w:bCs w:val="1"/>
                <w:color w:val="auto"/>
              </w:rPr>
              <w:t>2026</w:t>
            </w:r>
          </w:p>
        </w:tc>
        <w:tc>
          <w:tcPr>
            <w:tcW w:w="40" w:type="dxa"/>
            <w:vAlign w:val="bottom"/>
          </w:tcPr>
          <w:p>
            <w:pPr>
              <w:spacing w:after="0"/>
              <w:rPr>
                <w:sz w:val="12"/>
                <w:szCs w:val="12"/>
                <w:color w:val="auto"/>
              </w:rPr>
            </w:pPr>
          </w:p>
        </w:tc>
        <w:tc>
          <w:tcPr>
            <w:tcW w:w="380" w:type="dxa"/>
            <w:vAlign w:val="bottom"/>
            <w:gridSpan w:val="2"/>
          </w:tcPr>
          <w:p>
            <w:pPr>
              <w:jc w:val="right"/>
              <w:ind w:right="168"/>
              <w:spacing w:after="0"/>
              <w:rPr>
                <w:sz w:val="20"/>
                <w:szCs w:val="20"/>
                <w:color w:val="auto"/>
              </w:rPr>
            </w:pPr>
            <w:r>
              <w:rPr>
                <w:rFonts w:ascii="Arial" w:cs="Arial" w:eastAsia="Arial" w:hAnsi="Arial"/>
                <w:sz w:val="12"/>
                <w:szCs w:val="12"/>
                <w:b w:val="1"/>
                <w:bCs w:val="1"/>
                <w:color w:val="auto"/>
              </w:rPr>
              <w:t>​​​</w:t>
            </w:r>
          </w:p>
        </w:tc>
        <w:tc>
          <w:tcPr>
            <w:tcW w:w="700" w:type="dxa"/>
            <w:vAlign w:val="bottom"/>
          </w:tcPr>
          <w:p>
            <w:pPr>
              <w:jc w:val="right"/>
              <w:ind w:right="249"/>
              <w:spacing w:after="0"/>
              <w:rPr>
                <w:sz w:val="20"/>
                <w:szCs w:val="20"/>
                <w:color w:val="auto"/>
              </w:rPr>
            </w:pPr>
            <w:r>
              <w:rPr>
                <w:rFonts w:ascii="Arial" w:cs="Arial" w:eastAsia="Arial" w:hAnsi="Arial"/>
                <w:sz w:val="12"/>
                <w:szCs w:val="12"/>
                <w:b w:val="1"/>
                <w:bCs w:val="1"/>
                <w:color w:val="auto"/>
              </w:rPr>
              <w:t>2025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540" w:type="dxa"/>
            <w:vAlign w:val="bottom"/>
            <w:tcBorders>
              <w:top w:val="single" w:sz="8" w:color="auto"/>
            </w:tcBorders>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Numerator:</w:t>
            </w:r>
          </w:p>
        </w:tc>
        <w:tc>
          <w:tcPr>
            <w:tcW w:w="2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760" w:type="dxa"/>
            <w:vAlign w:val="bottom"/>
            <w:gridSpan w:val="2"/>
          </w:tcPr>
          <w:p>
            <w:pPr>
              <w:ind w:left="120"/>
              <w:spacing w:after="0"/>
              <w:rPr>
                <w:sz w:val="20"/>
                <w:szCs w:val="20"/>
                <w:color w:val="auto"/>
              </w:rPr>
            </w:pPr>
            <w:r>
              <w:rPr>
                <w:rFonts w:ascii="Arial" w:cs="Arial" w:eastAsia="Arial" w:hAnsi="Arial"/>
                <w:sz w:val="14"/>
                <w:szCs w:val="14"/>
                <w:color w:val="auto"/>
              </w:rPr>
              <w:t>Net (loss) income</w:t>
            </w:r>
          </w:p>
        </w:tc>
        <w:tc>
          <w:tcPr>
            <w:tcW w:w="200" w:type="dxa"/>
            <w:vAlign w:val="bottom"/>
          </w:tcPr>
          <w:p>
            <w:pPr>
              <w:jc w:val="right"/>
              <w:ind w:right="50"/>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(320,087)</w:t>
            </w:r>
          </w:p>
        </w:tc>
        <w:tc>
          <w:tcPr>
            <w:tcW w:w="36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(29,351)</w:t>
            </w:r>
          </w:p>
        </w:tc>
        <w:tc>
          <w:tcPr>
            <w:tcW w:w="340" w:type="dxa"/>
            <w:vAlign w:val="bottom"/>
            <w:gridSpan w:val="2"/>
          </w:tcPr>
          <w:p>
            <w:pPr>
              <w:jc w:val="right"/>
              <w:ind w:right="35"/>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(303,035)</w:t>
            </w:r>
          </w:p>
        </w:tc>
        <w:tc>
          <w:tcPr>
            <w:tcW w:w="38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3,490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Less: net (loss) income attributable to non-controlling interests</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123,068</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(11,087)</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116,474</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(25,992)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760" w:type="dxa"/>
            <w:vAlign w:val="bottom"/>
            <w:gridSpan w:val="2"/>
          </w:tcPr>
          <w:p>
            <w:pPr>
              <w:ind w:left="220"/>
              <w:spacing w:after="0" w:line="155" w:lineRule="exact"/>
              <w:rPr>
                <w:sz w:val="20"/>
                <w:szCs w:val="20"/>
                <w:color w:val="auto"/>
              </w:rPr>
            </w:pPr>
            <w:r>
              <w:rPr>
                <w:rFonts w:ascii="Arial" w:cs="Arial" w:eastAsia="Arial" w:hAnsi="Arial"/>
                <w:sz w:val="14"/>
                <w:szCs w:val="14"/>
                <w:color w:val="auto"/>
              </w:rPr>
              <w:t>Net loss attributable to Camping World Holdings, Inc. — basic</w:t>
            </w:r>
          </w:p>
        </w:tc>
        <w:tc>
          <w:tcPr>
            <w:tcW w:w="200" w:type="dxa"/>
            <w:vAlign w:val="bottom"/>
            <w:tcBorders>
              <w:top w:val="single" w:sz="8" w:color="auto"/>
            </w:tcBorders>
          </w:tcPr>
          <w:p>
            <w:pPr>
              <w:jc w:val="right"/>
              <w:ind w:right="50"/>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(197,019)</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top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(40,438)</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Borders>
              <w:top w:val="single" w:sz="8" w:color="auto"/>
            </w:tcBorders>
          </w:tcPr>
          <w:p>
            <w:pPr>
              <w:jc w:val="right"/>
              <w:ind w:right="35"/>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(186,561)</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Borders>
              <w:top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(22,502)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7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Net loss attributable to Camping World Holdings, Inc. — diluted</w:t>
            </w:r>
          </w:p>
        </w:tc>
        <w:tc>
          <w:tcPr>
            <w:tcW w:w="2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(197,019)</w:t>
            </w:r>
          </w:p>
        </w:tc>
        <w:tc>
          <w:tcPr>
            <w:tcW w:w="36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(40,438)</w:t>
            </w:r>
          </w:p>
        </w:tc>
        <w:tc>
          <w:tcPr>
            <w:tcW w:w="340" w:type="dxa"/>
            <w:vAlign w:val="bottom"/>
            <w:gridSpan w:val="2"/>
            <w:shd w:val="clear" w:color="auto" w:fill="CCEEFF"/>
          </w:tcPr>
          <w:p>
            <w:pPr>
              <w:jc w:val="right"/>
              <w:ind w:right="35"/>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(186,561)</w:t>
            </w:r>
          </w:p>
        </w:tc>
        <w:tc>
          <w:tcPr>
            <w:tcW w:w="38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(22,502)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60" w:type="dxa"/>
            <w:vAlign w:val="bottom"/>
            <w:gridSpan w:val="2"/>
          </w:tcPr>
          <w:p>
            <w:pPr>
              <w:ind w:left="20"/>
              <w:spacing w:after="0"/>
              <w:rPr>
                <w:sz w:val="20"/>
                <w:szCs w:val="20"/>
                <w:color w:val="auto"/>
              </w:rPr>
            </w:pPr>
            <w:r>
              <w:rPr>
                <w:rFonts w:ascii="Arial" w:cs="Arial" w:eastAsia="Arial" w:hAnsi="Arial"/>
                <w:sz w:val="14"/>
                <w:szCs w:val="14"/>
                <w:b w:val="1"/>
                <w:bCs w:val="1"/>
                <w:color w:val="auto"/>
              </w:rPr>
              <w:t>Denominator:</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760" w:type="dxa"/>
            <w:vAlign w:val="bottom"/>
            <w:gridSpan w:val="2"/>
            <w:shd w:val="clear" w:color="auto" w:fill="CCEEFF"/>
          </w:tcPr>
          <w:p>
            <w:pPr>
              <w:ind w:left="120"/>
              <w:spacing w:after="0" w:line="153" w:lineRule="exact"/>
              <w:rPr>
                <w:sz w:val="20"/>
                <w:szCs w:val="20"/>
                <w:color w:val="auto"/>
              </w:rPr>
            </w:pPr>
            <w:r>
              <w:rPr>
                <w:rFonts w:ascii="Arial" w:cs="Arial" w:eastAsia="Arial" w:hAnsi="Arial"/>
                <w:sz w:val="14"/>
                <w:szCs w:val="14"/>
                <w:color w:val="auto"/>
              </w:rPr>
              <w:t>Weighted-average shares of Class A common stock outstanding —</w:t>
            </w:r>
          </w:p>
        </w:tc>
        <w:tc>
          <w:tcPr>
            <w:tcW w:w="20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63,860</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62,735</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63,670</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62,627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4760" w:type="dxa"/>
            <w:vAlign w:val="bottom"/>
            <w:gridSpan w:val="2"/>
            <w:vMerge w:val="restart"/>
            <w:shd w:val="clear" w:color="auto" w:fill="CCEEFF"/>
          </w:tcPr>
          <w:p>
            <w:pPr>
              <w:ind w:left="120"/>
              <w:spacing w:after="0"/>
              <w:rPr>
                <w:sz w:val="20"/>
                <w:szCs w:val="20"/>
                <w:color w:val="auto"/>
              </w:rPr>
            </w:pPr>
            <w:r>
              <w:rPr>
                <w:rFonts w:ascii="Arial" w:cs="Arial" w:eastAsia="Arial" w:hAnsi="Arial"/>
                <w:sz w:val="14"/>
                <w:szCs w:val="14"/>
                <w:color w:val="auto"/>
              </w:rPr>
              <w:t>basic</w:t>
            </w:r>
          </w:p>
        </w:tc>
        <w:tc>
          <w:tcPr>
            <w:tcW w:w="200" w:type="dxa"/>
            <w:vAlign w:val="bottom"/>
            <w:shd w:val="clear" w:color="auto" w:fill="CCEEFF"/>
          </w:tcPr>
          <w:p>
            <w:pPr>
              <w:spacing w:after="0"/>
              <w:rPr>
                <w:sz w:val="9"/>
                <w:szCs w:val="9"/>
                <w:color w:val="auto"/>
              </w:rPr>
            </w:pPr>
          </w:p>
        </w:tc>
        <w:tc>
          <w:tcPr>
            <w:tcW w:w="740" w:type="dxa"/>
            <w:vAlign w:val="bottom"/>
            <w:vMerge w:val="continue"/>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00" w:type="dxa"/>
            <w:vAlign w:val="bottom"/>
            <w:vMerge w:val="continue"/>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20" w:type="dxa"/>
            <w:vAlign w:val="bottom"/>
            <w:vMerge w:val="continue"/>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00" w:type="dxa"/>
            <w:vAlign w:val="bottom"/>
            <w:vMerge w:val="continue"/>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4760" w:type="dxa"/>
            <w:vAlign w:val="bottom"/>
            <w:gridSpan w:val="2"/>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4760" w:type="dxa"/>
            <w:vAlign w:val="bottom"/>
            <w:gridSpan w:val="2"/>
          </w:tcPr>
          <w:p>
            <w:pPr>
              <w:ind w:left="120"/>
              <w:spacing w:after="0" w:line="153" w:lineRule="exact"/>
              <w:rPr>
                <w:sz w:val="20"/>
                <w:szCs w:val="20"/>
                <w:color w:val="auto"/>
              </w:rPr>
            </w:pPr>
            <w:r>
              <w:rPr>
                <w:rFonts w:ascii="Arial" w:cs="Arial" w:eastAsia="Arial" w:hAnsi="Arial"/>
                <w:sz w:val="14"/>
                <w:szCs w:val="14"/>
                <w:color w:val="auto"/>
              </w:rPr>
              <w:t>Weighted-average shares of Class A common stock outstanding —</w:t>
            </w:r>
          </w:p>
        </w:tc>
        <w:tc>
          <w:tcPr>
            <w:tcW w:w="20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63,860</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62,735</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63,670</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62,627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4760" w:type="dxa"/>
            <w:vAlign w:val="bottom"/>
            <w:gridSpan w:val="2"/>
            <w:vMerge w:val="restart"/>
          </w:tcPr>
          <w:p>
            <w:pPr>
              <w:ind w:left="120"/>
              <w:spacing w:after="0"/>
              <w:rPr>
                <w:sz w:val="20"/>
                <w:szCs w:val="20"/>
                <w:color w:val="auto"/>
              </w:rPr>
            </w:pPr>
            <w:r>
              <w:rPr>
                <w:rFonts w:ascii="Arial" w:cs="Arial" w:eastAsia="Arial" w:hAnsi="Arial"/>
                <w:sz w:val="14"/>
                <w:szCs w:val="14"/>
                <w:color w:val="auto"/>
              </w:rPr>
              <w:t>diluted</w:t>
            </w:r>
          </w:p>
        </w:tc>
        <w:tc>
          <w:tcPr>
            <w:tcW w:w="2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47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45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60" w:type="dxa"/>
            <w:vAlign w:val="bottom"/>
            <w:gridSpan w:val="2"/>
          </w:tcPr>
          <w:p>
            <w:pPr>
              <w:ind w:left="20"/>
              <w:spacing w:after="0"/>
              <w:rPr>
                <w:sz w:val="20"/>
                <w:szCs w:val="20"/>
                <w:color w:val="auto"/>
              </w:rPr>
            </w:pPr>
            <w:r>
              <w:rPr>
                <w:rFonts w:ascii="Arial" w:cs="Arial" w:eastAsia="Arial" w:hAnsi="Arial"/>
                <w:sz w:val="14"/>
                <w:szCs w:val="14"/>
                <w:color w:val="auto"/>
              </w:rPr>
              <w:t>Loss per share of Class A common stock — basic</w:t>
            </w:r>
          </w:p>
        </w:tc>
        <w:tc>
          <w:tcPr>
            <w:tcW w:w="200" w:type="dxa"/>
            <w:vAlign w:val="bottom"/>
          </w:tcPr>
          <w:p>
            <w:pPr>
              <w:jc w:val="right"/>
              <w:ind w:right="50"/>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(3.09)</w:t>
            </w:r>
          </w:p>
        </w:tc>
        <w:tc>
          <w:tcPr>
            <w:tcW w:w="36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(0.64)</w:t>
            </w:r>
          </w:p>
        </w:tc>
        <w:tc>
          <w:tcPr>
            <w:tcW w:w="340" w:type="dxa"/>
            <w:vAlign w:val="bottom"/>
            <w:gridSpan w:val="2"/>
          </w:tcPr>
          <w:p>
            <w:pPr>
              <w:jc w:val="right"/>
              <w:ind w:right="35"/>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(2.93)</w:t>
            </w:r>
          </w:p>
        </w:tc>
        <w:tc>
          <w:tcPr>
            <w:tcW w:w="38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(0.36)</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Loss per share of Class A common stock — diluted</w:t>
            </w:r>
          </w:p>
        </w:tc>
        <w:tc>
          <w:tcPr>
            <w:tcW w:w="2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(3.09)</w:t>
            </w:r>
          </w:p>
        </w:tc>
        <w:tc>
          <w:tcPr>
            <w:tcW w:w="36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(0.64)</w:t>
            </w:r>
          </w:p>
        </w:tc>
        <w:tc>
          <w:tcPr>
            <w:tcW w:w="340" w:type="dxa"/>
            <w:vAlign w:val="bottom"/>
            <w:gridSpan w:val="2"/>
            <w:shd w:val="clear" w:color="auto" w:fill="CCEEFF"/>
          </w:tcPr>
          <w:p>
            <w:pPr>
              <w:jc w:val="right"/>
              <w:ind w:right="35"/>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(2.93)</w:t>
            </w:r>
          </w:p>
        </w:tc>
        <w:tc>
          <w:tcPr>
            <w:tcW w:w="38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760" w:type="dxa"/>
            <w:vAlign w:val="bottom"/>
            <w:gridSpan w:val="2"/>
            <w:shd w:val="clear" w:color="auto" w:fill="CCEEFF"/>
          </w:tcPr>
          <w:p>
            <w:pPr>
              <w:ind w:left="20"/>
              <w:spacing w:after="0" w:line="153" w:lineRule="exact"/>
              <w:rPr>
                <w:sz w:val="20"/>
                <w:szCs w:val="20"/>
                <w:color w:val="auto"/>
              </w:rPr>
            </w:pPr>
            <w:r>
              <w:rPr>
                <w:rFonts w:ascii="Arial" w:cs="Arial" w:eastAsia="Arial" w:hAnsi="Arial"/>
                <w:sz w:val="14"/>
                <w:szCs w:val="14"/>
                <w:color w:val="auto"/>
              </w:rPr>
              <w:t>Weighted-average   anti-dilutive   securities   excluded   from   the</w:t>
            </w: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computation of diluted loss per share of Class A common stock:</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60" w:type="dxa"/>
            <w:vAlign w:val="bottom"/>
            <w:gridSpan w:val="2"/>
          </w:tcPr>
          <w:p>
            <w:pPr>
              <w:ind w:left="120"/>
              <w:spacing w:after="0"/>
              <w:rPr>
                <w:sz w:val="20"/>
                <w:szCs w:val="20"/>
                <w:color w:val="auto"/>
              </w:rPr>
            </w:pPr>
            <w:r>
              <w:rPr>
                <w:rFonts w:ascii="Arial" w:cs="Arial" w:eastAsia="Arial" w:hAnsi="Arial"/>
                <w:sz w:val="14"/>
                <w:szCs w:val="14"/>
                <w:color w:val="auto"/>
              </w:rPr>
              <w:t>Stock options to purchase Class A common stock</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127</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144</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132</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Liability-classified awards</w:t>
            </w: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60" w:type="dxa"/>
            <w:vAlign w:val="bottom"/>
            <w:gridSpan w:val="2"/>
          </w:tcPr>
          <w:p>
            <w:pPr>
              <w:ind w:left="120"/>
              <w:spacing w:after="0"/>
              <w:rPr>
                <w:sz w:val="20"/>
                <w:szCs w:val="20"/>
                <w:color w:val="auto"/>
              </w:rPr>
            </w:pPr>
            <w:r>
              <w:rPr>
                <w:rFonts w:ascii="Arial" w:cs="Arial" w:eastAsia="Arial" w:hAnsi="Arial"/>
                <w:sz w:val="14"/>
                <w:szCs w:val="14"/>
                <w:color w:val="auto"/>
              </w:rPr>
              <w:t>PSUs and RSUs</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2,041</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2,359</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1,969</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2,423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760" w:type="dxa"/>
            <w:vAlign w:val="bottom"/>
            <w:gridSpan w:val="2"/>
            <w:shd w:val="clear" w:color="auto" w:fill="CCEEFF"/>
          </w:tcPr>
          <w:p>
            <w:pPr>
              <w:ind w:left="120"/>
              <w:spacing w:after="0" w:line="153" w:lineRule="exact"/>
              <w:rPr>
                <w:sz w:val="20"/>
                <w:szCs w:val="20"/>
                <w:color w:val="auto"/>
              </w:rPr>
            </w:pPr>
            <w:r>
              <w:rPr>
                <w:rFonts w:ascii="Arial" w:cs="Arial" w:eastAsia="Arial" w:hAnsi="Arial"/>
                <w:sz w:val="14"/>
                <w:szCs w:val="14"/>
                <w:color w:val="auto"/>
              </w:rPr>
              <w:t>Common units of CWGS, LLC that are convertible into Class A</w:t>
            </w:r>
          </w:p>
        </w:tc>
        <w:tc>
          <w:tcPr>
            <w:tcW w:w="20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39,895</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39,895</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39,895</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39,895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4760" w:type="dxa"/>
            <w:vAlign w:val="bottom"/>
            <w:gridSpan w:val="2"/>
            <w:vMerge w:val="restart"/>
            <w:shd w:val="clear" w:color="auto" w:fill="CCEEFF"/>
          </w:tcPr>
          <w:p>
            <w:pPr>
              <w:ind w:left="120"/>
              <w:spacing w:after="0"/>
              <w:rPr>
                <w:sz w:val="20"/>
                <w:szCs w:val="20"/>
                <w:color w:val="auto"/>
              </w:rPr>
            </w:pPr>
            <w:r>
              <w:rPr>
                <w:rFonts w:ascii="Arial" w:cs="Arial" w:eastAsia="Arial" w:hAnsi="Arial"/>
                <w:sz w:val="14"/>
                <w:szCs w:val="14"/>
                <w:color w:val="auto"/>
              </w:rPr>
              <w:t>common stock</w:t>
            </w:r>
          </w:p>
        </w:tc>
        <w:tc>
          <w:tcPr>
            <w:tcW w:w="200" w:type="dxa"/>
            <w:vAlign w:val="bottom"/>
            <w:shd w:val="clear" w:color="auto" w:fill="CCEEFF"/>
          </w:tcPr>
          <w:p>
            <w:pPr>
              <w:spacing w:after="0"/>
              <w:rPr>
                <w:sz w:val="9"/>
                <w:szCs w:val="9"/>
                <w:color w:val="auto"/>
              </w:rPr>
            </w:pPr>
          </w:p>
        </w:tc>
        <w:tc>
          <w:tcPr>
            <w:tcW w:w="740" w:type="dxa"/>
            <w:vAlign w:val="bottom"/>
            <w:vMerge w:val="continue"/>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00" w:type="dxa"/>
            <w:vAlign w:val="bottom"/>
            <w:vMerge w:val="continue"/>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20" w:type="dxa"/>
            <w:vAlign w:val="bottom"/>
            <w:vMerge w:val="continue"/>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00" w:type="dxa"/>
            <w:vAlign w:val="bottom"/>
            <w:vMerge w:val="continue"/>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4760" w:type="dxa"/>
            <w:vAlign w:val="bottom"/>
            <w:gridSpan w:val="2"/>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4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760" w:type="dxa"/>
            <w:vAlign w:val="bottom"/>
            <w:gridSpan w:val="2"/>
            <w:shd w:val="clear" w:color="auto" w:fill="CCEEFF"/>
          </w:tcPr>
          <w:p>
            <w:pPr>
              <w:ind w:left="20"/>
              <w:spacing w:after="0" w:line="153" w:lineRule="exact"/>
              <w:rPr>
                <w:sz w:val="20"/>
                <w:szCs w:val="20"/>
                <w:color w:val="auto"/>
              </w:rPr>
            </w:pPr>
            <w:r>
              <w:rPr>
                <w:rFonts w:ascii="Arial" w:cs="Arial" w:eastAsia="Arial" w:hAnsi="Arial"/>
                <w:sz w:val="14"/>
                <w:szCs w:val="14"/>
                <w:color w:val="auto"/>
              </w:rPr>
              <w:t>Weighted-average contingently issuable shares excluded from the</w:t>
            </w: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computation of diluted loss per share of Class A common stock since</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all necessary conditions had not been satisfied:</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8"/>
        </w:trPr>
        <w:tc>
          <w:tcPr>
            <w:tcW w:w="4760" w:type="dxa"/>
            <w:vAlign w:val="bottom"/>
            <w:gridSpan w:val="2"/>
          </w:tcPr>
          <w:p>
            <w:pPr>
              <w:ind w:left="120"/>
              <w:spacing w:after="0"/>
              <w:rPr>
                <w:sz w:val="20"/>
                <w:szCs w:val="20"/>
                <w:color w:val="auto"/>
              </w:rPr>
            </w:pPr>
            <w:r>
              <w:rPr>
                <w:rFonts w:ascii="Arial" w:cs="Arial" w:eastAsia="Arial" w:hAnsi="Arial"/>
                <w:sz w:val="14"/>
                <w:szCs w:val="14"/>
                <w:color w:val="auto"/>
              </w:rPr>
              <w:t>PSUs</w:t>
            </w:r>
            <w:r>
              <w:rPr>
                <w:rFonts w:ascii="Arial" w:cs="Arial" w:eastAsia="Arial" w:hAnsi="Arial"/>
                <w:sz w:val="21"/>
                <w:szCs w:val="21"/>
                <w:color w:val="auto"/>
                <w:vertAlign w:val="superscript"/>
              </w:rPr>
              <w:t>(1)</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819</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750</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795</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750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ind w:left="460" w:hanging="329"/>
        <w:spacing w:after="0"/>
        <w:tabs>
          <w:tab w:leader="none" w:pos="460" w:val="left"/>
        </w:tabs>
        <w:numPr>
          <w:ilvl w:val="0"/>
          <w:numId w:val="21"/>
        </w:numPr>
        <w:rPr>
          <w:rFonts w:ascii="Arial" w:cs="Arial" w:eastAsia="Arial" w:hAnsi="Arial"/>
          <w:sz w:val="22"/>
          <w:szCs w:val="22"/>
          <w:color w:val="231F20"/>
          <w:vertAlign w:val="superscript"/>
        </w:rPr>
      </w:pPr>
      <w:r>
        <w:rPr>
          <w:rFonts w:ascii="Arial" w:cs="Arial" w:eastAsia="Arial" w:hAnsi="Arial"/>
          <w:sz w:val="14"/>
          <w:szCs w:val="14"/>
          <w:color w:val="auto"/>
        </w:rPr>
        <w:t>See Note 17 — Stock-Based Compensation Plans for further details of PSUs.</w:t>
      </w:r>
    </w:p>
    <w:p>
      <w:pPr>
        <w:spacing w:after="0" w:line="88" w:lineRule="exact"/>
        <w:rPr>
          <w:sz w:val="20"/>
          <w:szCs w:val="20"/>
          <w:color w:val="auto"/>
        </w:rPr>
      </w:pPr>
    </w:p>
    <w:p>
      <w:pPr>
        <w:jc w:val="both"/>
        <w:ind w:left="60" w:right="100" w:firstLine="648"/>
        <w:spacing w:after="0"/>
        <w:rPr>
          <w:sz w:val="20"/>
          <w:szCs w:val="20"/>
          <w:color w:val="auto"/>
        </w:rPr>
      </w:pPr>
      <w:r>
        <w:rPr>
          <w:rFonts w:ascii="Arial" w:cs="Arial" w:eastAsia="Arial" w:hAnsi="Arial"/>
          <w:sz w:val="18"/>
          <w:szCs w:val="18"/>
          <w:color w:val="auto"/>
        </w:rPr>
        <w:t>Shares of the Company’s Class B common stock and Class C common stock do not share in the earnings or losses of the Company and are therefore not participating securities. As such, separate basic and diluted loss per share of Class B common stock or Class C common stock under the two-class method has not been presented.</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19. Segments Information</w:t>
      </w:r>
    </w:p>
    <w:p>
      <w:pPr>
        <w:spacing w:after="0" w:line="212" w:lineRule="exact"/>
        <w:rPr>
          <w:sz w:val="20"/>
          <w:szCs w:val="20"/>
          <w:color w:val="auto"/>
        </w:rPr>
      </w:pPr>
    </w:p>
    <w:p>
      <w:pPr>
        <w:jc w:val="both"/>
        <w:ind w:left="60" w:right="100" w:firstLine="648"/>
        <w:spacing w:after="0" w:line="239" w:lineRule="auto"/>
        <w:rPr>
          <w:sz w:val="20"/>
          <w:szCs w:val="20"/>
          <w:color w:val="auto"/>
        </w:rPr>
      </w:pPr>
      <w:r>
        <w:rPr>
          <w:rFonts w:ascii="Arial" w:cs="Arial" w:eastAsia="Arial" w:hAnsi="Arial"/>
          <w:sz w:val="18"/>
          <w:szCs w:val="18"/>
          <w:color w:val="auto"/>
        </w:rPr>
        <w:t>The Company has the following two reportable segments: (i) Good Sam Services and Plans, and (ii) RV and Outdoor Retail. The Company evaluates performance for all of its reportable segments based on Segment Adjusted EBITDA. The Company defines “Segment Adjusted EBITDA” as the reportable segments’ total revenue less segment expenses which are comprised of (i) adjusted costs applicable to revenue, (ii) intersegment costs applicable to revenues, (iii) adjusted SG&amp;A expense, (iv) floor plan interest expense, and (v) other segment items. Segment expenses exclude depreciation and amortization and certain noncash and other items that the Chief Operating Decision Maker (“CODM”) does not consider in his evaluation of ongoing operating performance. These excluded items include (a) SBC and (b) loss and/or impairment on investments in equity securities. As of September 30, 2026, the Company’s CODM was Matthew D. Wagner, the Company’s Chief Executive Officer and President.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60"/>
          </w:cols>
          <w:pgMar w:left="1440" w:top="512" w:right="1399" w:bottom="1440" w:gutter="0" w:footer="0" w:header="0"/>
        </w:sectPr>
      </w:pPr>
    </w:p>
    <w:bookmarkStart w:id="35" w:name="page36"/>
    <w:bookmarkEnd w:id="3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71" w:lineRule="auto"/>
        <w:rPr>
          <w:sz w:val="20"/>
          <w:szCs w:val="20"/>
          <w:color w:val="auto"/>
        </w:rPr>
      </w:pPr>
      <w:r>
        <w:rPr>
          <w:rFonts w:ascii="Arial" w:cs="Arial" w:eastAsia="Arial" w:hAnsi="Arial"/>
          <w:sz w:val="18"/>
          <w:szCs w:val="18"/>
          <w:color w:val="auto"/>
        </w:rPr>
        <w:t>Reportable segment revenue; segment adjusted EBITDA; depreciation and amortization; other interest expense, net; total assets; and capital expenditures are as follows:</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45"/>
        </w:trPr>
        <w:tc>
          <w:tcPr>
            <w:tcW w:w="2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80" w:type="dxa"/>
            <w:vAlign w:val="bottom"/>
            <w:gridSpan w:val="11"/>
          </w:tcPr>
          <w:p>
            <w:pPr>
              <w:ind w:left="440"/>
              <w:spacing w:after="0"/>
              <w:rPr>
                <w:sz w:val="20"/>
                <w:szCs w:val="20"/>
                <w:color w:val="auto"/>
              </w:rPr>
            </w:pPr>
            <w:r>
              <w:rPr>
                <w:rFonts w:ascii="Arial" w:cs="Arial" w:eastAsia="Arial" w:hAnsi="Arial"/>
                <w:sz w:val="12"/>
                <w:szCs w:val="12"/>
                <w:b w:val="1"/>
                <w:bCs w:val="1"/>
                <w:color w:val="auto"/>
              </w:rPr>
              <w:t>Three Months Ended September 30,</w:t>
            </w:r>
          </w:p>
        </w:tc>
        <w:tc>
          <w:tcPr>
            <w:tcW w:w="80" w:type="dxa"/>
            <w:vAlign w:val="bottom"/>
          </w:tcPr>
          <w:p>
            <w:pPr>
              <w:spacing w:after="0"/>
              <w:rPr>
                <w:sz w:val="12"/>
                <w:szCs w:val="12"/>
                <w:color w:val="auto"/>
              </w:rPr>
            </w:pPr>
          </w:p>
        </w:tc>
        <w:tc>
          <w:tcPr>
            <w:tcW w:w="2960" w:type="dxa"/>
            <w:vAlign w:val="bottom"/>
            <w:gridSpan w:val="11"/>
          </w:tcPr>
          <w:p>
            <w:pPr>
              <w:ind w:left="480"/>
              <w:spacing w:after="0"/>
              <w:rPr>
                <w:sz w:val="20"/>
                <w:szCs w:val="20"/>
                <w:color w:val="auto"/>
              </w:rPr>
            </w:pPr>
            <w:r>
              <w:rPr>
                <w:rFonts w:ascii="Arial" w:cs="Arial" w:eastAsia="Arial" w:hAnsi="Arial"/>
                <w:sz w:val="12"/>
                <w:szCs w:val="12"/>
                <w:b w:val="1"/>
                <w:bCs w:val="1"/>
                <w:color w:val="auto"/>
              </w:rPr>
              <w:t>Nine Months Ended September 30,</w:t>
            </w:r>
          </w:p>
        </w:tc>
      </w:tr>
      <w:tr>
        <w:trPr>
          <w:trHeight w:val="128"/>
        </w:trPr>
        <w:tc>
          <w:tcPr>
            <w:tcW w:w="2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gridSpan w:val="3"/>
          </w:tcPr>
          <w:p>
            <w:pPr>
              <w:jc w:val="right"/>
              <w:spacing w:after="0" w:line="129" w:lineRule="exact"/>
              <w:rPr>
                <w:sz w:val="20"/>
                <w:szCs w:val="20"/>
                <w:color w:val="auto"/>
              </w:rPr>
            </w:pPr>
            <w:r>
              <w:rPr>
                <w:rFonts w:ascii="Arial" w:cs="Arial" w:eastAsia="Arial" w:hAnsi="Arial"/>
                <w:sz w:val="12"/>
                <w:szCs w:val="12"/>
                <w:b w:val="1"/>
                <w:bCs w:val="1"/>
                <w:color w:val="auto"/>
              </w:rPr>
              <w:t>2026</w:t>
            </w:r>
          </w:p>
        </w:tc>
        <w:tc>
          <w:tcPr>
            <w:tcW w:w="58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gridSpan w:val="3"/>
          </w:tcPr>
          <w:p>
            <w:pPr>
              <w:jc w:val="right"/>
              <w:spacing w:after="0" w:line="129" w:lineRule="exact"/>
              <w:rPr>
                <w:sz w:val="20"/>
                <w:szCs w:val="20"/>
                <w:color w:val="auto"/>
              </w:rPr>
            </w:pPr>
            <w:r>
              <w:rPr>
                <w:rFonts w:ascii="Arial" w:cs="Arial" w:eastAsia="Arial" w:hAnsi="Arial"/>
                <w:sz w:val="12"/>
                <w:szCs w:val="12"/>
                <w:b w:val="1"/>
                <w:bCs w:val="1"/>
                <w:color w:val="auto"/>
              </w:rPr>
              <w:t>2025</w:t>
            </w:r>
          </w:p>
        </w:tc>
        <w:tc>
          <w:tcPr>
            <w:tcW w:w="580" w:type="dxa"/>
            <w:vAlign w:val="bottom"/>
            <w:tcBorders>
              <w:top w:val="single" w:sz="8" w:color="auto"/>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gridSpan w:val="3"/>
          </w:tcPr>
          <w:p>
            <w:pPr>
              <w:jc w:val="right"/>
              <w:spacing w:after="0" w:line="129" w:lineRule="exact"/>
              <w:rPr>
                <w:sz w:val="20"/>
                <w:szCs w:val="20"/>
                <w:color w:val="auto"/>
              </w:rPr>
            </w:pPr>
            <w:r>
              <w:rPr>
                <w:rFonts w:ascii="Arial" w:cs="Arial" w:eastAsia="Arial" w:hAnsi="Arial"/>
                <w:sz w:val="12"/>
                <w:szCs w:val="12"/>
                <w:b w:val="1"/>
                <w:bCs w:val="1"/>
                <w:color w:val="auto"/>
              </w:rPr>
              <w:t>2026</w:t>
            </w:r>
          </w:p>
        </w:tc>
        <w:tc>
          <w:tcPr>
            <w:tcW w:w="56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gridSpan w:val="3"/>
          </w:tcPr>
          <w:p>
            <w:pPr>
              <w:jc w:val="right"/>
              <w:spacing w:after="0" w:line="129" w:lineRule="exact"/>
              <w:rPr>
                <w:sz w:val="20"/>
                <w:szCs w:val="20"/>
                <w:color w:val="auto"/>
              </w:rPr>
            </w:pPr>
            <w:r>
              <w:rPr>
                <w:rFonts w:ascii="Arial" w:cs="Arial" w:eastAsia="Arial" w:hAnsi="Arial"/>
                <w:sz w:val="12"/>
                <w:szCs w:val="12"/>
                <w:b w:val="1"/>
                <w:bCs w:val="1"/>
                <w:color w:val="auto"/>
              </w:rPr>
              <w:t>2025</w:t>
            </w:r>
          </w:p>
        </w:tc>
        <w:tc>
          <w:tcPr>
            <w:tcW w:w="580" w:type="dxa"/>
            <w:vAlign w:val="bottom"/>
            <w:tcBorders>
              <w:top w:val="single" w:sz="8" w:color="auto"/>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19"/>
        </w:trPr>
        <w:tc>
          <w:tcPr>
            <w:tcW w:w="2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3"/>
          </w:tcPr>
          <w:p>
            <w:pPr>
              <w:ind w:left="40"/>
              <w:spacing w:after="0" w:line="119" w:lineRule="exact"/>
              <w:rPr>
                <w:sz w:val="20"/>
                <w:szCs w:val="20"/>
                <w:color w:val="auto"/>
              </w:rPr>
            </w:pPr>
            <w:r>
              <w:rPr>
                <w:rFonts w:ascii="Arial" w:cs="Arial" w:eastAsia="Arial" w:hAnsi="Arial"/>
                <w:sz w:val="12"/>
                <w:szCs w:val="12"/>
                <w:b w:val="1"/>
                <w:bCs w:val="1"/>
                <w:color w:val="auto"/>
              </w:rPr>
              <w:t>Good Sam</w:t>
            </w:r>
          </w:p>
        </w:tc>
        <w:tc>
          <w:tcPr>
            <w:tcW w:w="100" w:type="dxa"/>
            <w:vAlign w:val="bottom"/>
          </w:tcPr>
          <w:p>
            <w:pPr>
              <w:spacing w:after="0"/>
              <w:rPr>
                <w:sz w:val="10"/>
                <w:szCs w:val="10"/>
                <w:color w:val="auto"/>
              </w:rPr>
            </w:pPr>
          </w:p>
        </w:tc>
        <w:tc>
          <w:tcPr>
            <w:tcW w:w="580" w:type="dxa"/>
            <w:vAlign w:val="bottom"/>
          </w:tcPr>
          <w:p>
            <w:pPr>
              <w:jc w:val="center"/>
              <w:ind w:right="42"/>
              <w:spacing w:after="0" w:line="119" w:lineRule="exact"/>
              <w:rPr>
                <w:sz w:val="20"/>
                <w:szCs w:val="20"/>
                <w:color w:val="auto"/>
              </w:rPr>
            </w:pPr>
            <w:r>
              <w:rPr>
                <w:rFonts w:ascii="Arial" w:cs="Arial" w:eastAsia="Arial" w:hAnsi="Arial"/>
                <w:sz w:val="12"/>
                <w:szCs w:val="12"/>
                <w:b w:val="1"/>
                <w:bCs w:val="1"/>
                <w:color w:val="auto"/>
                <w:w w:val="96"/>
              </w:rPr>
              <w:t>RV and</w:t>
            </w:r>
          </w:p>
        </w:tc>
        <w:tc>
          <w:tcPr>
            <w:tcW w:w="140" w:type="dxa"/>
            <w:vAlign w:val="bottom"/>
          </w:tcPr>
          <w:p>
            <w:pPr>
              <w:spacing w:after="0"/>
              <w:rPr>
                <w:sz w:val="10"/>
                <w:szCs w:val="10"/>
                <w:color w:val="auto"/>
              </w:rPr>
            </w:pPr>
          </w:p>
        </w:tc>
        <w:tc>
          <w:tcPr>
            <w:tcW w:w="760" w:type="dxa"/>
            <w:vAlign w:val="bottom"/>
            <w:gridSpan w:val="3"/>
          </w:tcPr>
          <w:p>
            <w:pPr>
              <w:jc w:val="center"/>
              <w:ind w:right="80"/>
              <w:spacing w:after="0" w:line="119" w:lineRule="exact"/>
              <w:rPr>
                <w:sz w:val="20"/>
                <w:szCs w:val="20"/>
                <w:color w:val="auto"/>
              </w:rPr>
            </w:pPr>
            <w:r>
              <w:rPr>
                <w:rFonts w:ascii="Arial" w:cs="Arial" w:eastAsia="Arial" w:hAnsi="Arial"/>
                <w:sz w:val="12"/>
                <w:szCs w:val="12"/>
                <w:b w:val="1"/>
                <w:bCs w:val="1"/>
                <w:color w:val="auto"/>
                <w:w w:val="99"/>
              </w:rPr>
              <w:t>Good Sam</w:t>
            </w:r>
          </w:p>
        </w:tc>
        <w:tc>
          <w:tcPr>
            <w:tcW w:w="120" w:type="dxa"/>
            <w:vAlign w:val="bottom"/>
          </w:tcPr>
          <w:p>
            <w:pPr>
              <w:spacing w:after="0"/>
              <w:rPr>
                <w:sz w:val="10"/>
                <w:szCs w:val="10"/>
                <w:color w:val="auto"/>
              </w:rPr>
            </w:pPr>
          </w:p>
        </w:tc>
        <w:tc>
          <w:tcPr>
            <w:tcW w:w="580" w:type="dxa"/>
            <w:vAlign w:val="bottom"/>
          </w:tcPr>
          <w:p>
            <w:pPr>
              <w:jc w:val="center"/>
              <w:ind w:right="42"/>
              <w:spacing w:after="0" w:line="119" w:lineRule="exact"/>
              <w:rPr>
                <w:sz w:val="20"/>
                <w:szCs w:val="20"/>
                <w:color w:val="auto"/>
              </w:rPr>
            </w:pPr>
            <w:r>
              <w:rPr>
                <w:rFonts w:ascii="Arial" w:cs="Arial" w:eastAsia="Arial" w:hAnsi="Arial"/>
                <w:sz w:val="12"/>
                <w:szCs w:val="12"/>
                <w:b w:val="1"/>
                <w:bCs w:val="1"/>
                <w:color w:val="auto"/>
                <w:w w:val="96"/>
              </w:rPr>
              <w:t>RV and</w:t>
            </w:r>
          </w:p>
        </w:tc>
        <w:tc>
          <w:tcPr>
            <w:tcW w:w="140" w:type="dxa"/>
            <w:vAlign w:val="bottom"/>
          </w:tcPr>
          <w:p>
            <w:pPr>
              <w:spacing w:after="0"/>
              <w:rPr>
                <w:sz w:val="10"/>
                <w:szCs w:val="10"/>
                <w:color w:val="auto"/>
              </w:rPr>
            </w:pPr>
          </w:p>
        </w:tc>
        <w:tc>
          <w:tcPr>
            <w:tcW w:w="760" w:type="dxa"/>
            <w:vAlign w:val="bottom"/>
            <w:gridSpan w:val="3"/>
          </w:tcPr>
          <w:p>
            <w:pPr>
              <w:jc w:val="center"/>
              <w:ind w:right="100"/>
              <w:spacing w:after="0" w:line="119" w:lineRule="exact"/>
              <w:rPr>
                <w:sz w:val="20"/>
                <w:szCs w:val="20"/>
                <w:color w:val="auto"/>
              </w:rPr>
            </w:pPr>
            <w:r>
              <w:rPr>
                <w:rFonts w:ascii="Arial" w:cs="Arial" w:eastAsia="Arial" w:hAnsi="Arial"/>
                <w:sz w:val="12"/>
                <w:szCs w:val="12"/>
                <w:b w:val="1"/>
                <w:bCs w:val="1"/>
                <w:color w:val="auto"/>
                <w:w w:val="96"/>
              </w:rPr>
              <w:t>Good Sam</w:t>
            </w:r>
          </w:p>
        </w:tc>
        <w:tc>
          <w:tcPr>
            <w:tcW w:w="100" w:type="dxa"/>
            <w:vAlign w:val="bottom"/>
          </w:tcPr>
          <w:p>
            <w:pPr>
              <w:spacing w:after="0"/>
              <w:rPr>
                <w:sz w:val="10"/>
                <w:szCs w:val="10"/>
                <w:color w:val="auto"/>
              </w:rPr>
            </w:pPr>
          </w:p>
        </w:tc>
        <w:tc>
          <w:tcPr>
            <w:tcW w:w="560" w:type="dxa"/>
            <w:vAlign w:val="bottom"/>
          </w:tcPr>
          <w:p>
            <w:pPr>
              <w:jc w:val="center"/>
              <w:ind w:right="42"/>
              <w:spacing w:after="0" w:line="119" w:lineRule="exact"/>
              <w:rPr>
                <w:sz w:val="20"/>
                <w:szCs w:val="20"/>
                <w:color w:val="auto"/>
              </w:rPr>
            </w:pPr>
            <w:r>
              <w:rPr>
                <w:rFonts w:ascii="Arial" w:cs="Arial" w:eastAsia="Arial" w:hAnsi="Arial"/>
                <w:sz w:val="12"/>
                <w:szCs w:val="12"/>
                <w:b w:val="1"/>
                <w:bCs w:val="1"/>
                <w:color w:val="auto"/>
              </w:rPr>
              <w:t>RV and</w:t>
            </w:r>
          </w:p>
        </w:tc>
        <w:tc>
          <w:tcPr>
            <w:tcW w:w="140" w:type="dxa"/>
            <w:vAlign w:val="bottom"/>
          </w:tcPr>
          <w:p>
            <w:pPr>
              <w:spacing w:after="0"/>
              <w:rPr>
                <w:sz w:val="10"/>
                <w:szCs w:val="10"/>
                <w:color w:val="auto"/>
              </w:rPr>
            </w:pPr>
          </w:p>
        </w:tc>
        <w:tc>
          <w:tcPr>
            <w:tcW w:w="760" w:type="dxa"/>
            <w:vAlign w:val="bottom"/>
            <w:gridSpan w:val="3"/>
          </w:tcPr>
          <w:p>
            <w:pPr>
              <w:jc w:val="center"/>
              <w:ind w:right="80"/>
              <w:spacing w:after="0" w:line="119" w:lineRule="exact"/>
              <w:rPr>
                <w:sz w:val="20"/>
                <w:szCs w:val="20"/>
                <w:color w:val="auto"/>
              </w:rPr>
            </w:pPr>
            <w:r>
              <w:rPr>
                <w:rFonts w:ascii="Arial" w:cs="Arial" w:eastAsia="Arial" w:hAnsi="Arial"/>
                <w:sz w:val="12"/>
                <w:szCs w:val="12"/>
                <w:b w:val="1"/>
                <w:bCs w:val="1"/>
                <w:color w:val="auto"/>
                <w:w w:val="99"/>
              </w:rPr>
              <w:t>Good Sam</w:t>
            </w:r>
          </w:p>
        </w:tc>
        <w:tc>
          <w:tcPr>
            <w:tcW w:w="120" w:type="dxa"/>
            <w:vAlign w:val="bottom"/>
          </w:tcPr>
          <w:p>
            <w:pPr>
              <w:spacing w:after="0"/>
              <w:rPr>
                <w:sz w:val="10"/>
                <w:szCs w:val="10"/>
                <w:color w:val="auto"/>
              </w:rPr>
            </w:pPr>
          </w:p>
        </w:tc>
        <w:tc>
          <w:tcPr>
            <w:tcW w:w="580" w:type="dxa"/>
            <w:vAlign w:val="bottom"/>
          </w:tcPr>
          <w:p>
            <w:pPr>
              <w:jc w:val="center"/>
              <w:ind w:right="42"/>
              <w:spacing w:after="0" w:line="119" w:lineRule="exact"/>
              <w:rPr>
                <w:sz w:val="20"/>
                <w:szCs w:val="20"/>
                <w:color w:val="auto"/>
              </w:rPr>
            </w:pPr>
            <w:r>
              <w:rPr>
                <w:rFonts w:ascii="Arial" w:cs="Arial" w:eastAsia="Arial" w:hAnsi="Arial"/>
                <w:sz w:val="12"/>
                <w:szCs w:val="12"/>
                <w:b w:val="1"/>
                <w:bCs w:val="1"/>
                <w:color w:val="auto"/>
                <w:w w:val="96"/>
              </w:rPr>
              <w:t>RV and</w:t>
            </w:r>
          </w:p>
        </w:tc>
        <w:tc>
          <w:tcPr>
            <w:tcW w:w="20" w:type="dxa"/>
            <w:vAlign w:val="bottom"/>
          </w:tcPr>
          <w:p>
            <w:pPr>
              <w:spacing w:after="0"/>
              <w:rPr>
                <w:sz w:val="10"/>
                <w:szCs w:val="10"/>
                <w:color w:val="auto"/>
              </w:rPr>
            </w:pPr>
          </w:p>
        </w:tc>
      </w:tr>
      <w:tr>
        <w:trPr>
          <w:trHeight w:val="135"/>
        </w:trPr>
        <w:tc>
          <w:tcPr>
            <w:tcW w:w="2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Services</w:t>
            </w:r>
          </w:p>
        </w:tc>
        <w:tc>
          <w:tcPr>
            <w:tcW w:w="100" w:type="dxa"/>
            <w:vAlign w:val="bottom"/>
          </w:tcPr>
          <w:p>
            <w:pPr>
              <w:spacing w:after="0"/>
              <w:rPr>
                <w:sz w:val="11"/>
                <w:szCs w:val="11"/>
                <w:color w:val="auto"/>
              </w:rPr>
            </w:pPr>
          </w:p>
        </w:tc>
        <w:tc>
          <w:tcPr>
            <w:tcW w:w="72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97"/>
              </w:rPr>
              <w:t>Outdoor</w:t>
            </w:r>
          </w:p>
        </w:tc>
        <w:tc>
          <w:tcPr>
            <w:tcW w:w="100" w:type="dxa"/>
            <w:vAlign w:val="bottom"/>
          </w:tcPr>
          <w:p>
            <w:pPr>
              <w:spacing w:after="0"/>
              <w:rPr>
                <w:sz w:val="11"/>
                <w:szCs w:val="11"/>
                <w:color w:val="auto"/>
              </w:rPr>
            </w:pPr>
          </w:p>
        </w:tc>
        <w:tc>
          <w:tcPr>
            <w:tcW w:w="660" w:type="dxa"/>
            <w:vAlign w:val="bottom"/>
            <w:gridSpan w:val="2"/>
          </w:tcPr>
          <w:p>
            <w:pPr>
              <w:jc w:val="center"/>
              <w:ind w:right="180"/>
              <w:spacing w:after="0" w:line="135" w:lineRule="exact"/>
              <w:rPr>
                <w:sz w:val="20"/>
                <w:szCs w:val="20"/>
                <w:color w:val="auto"/>
              </w:rPr>
            </w:pPr>
            <w:r>
              <w:rPr>
                <w:rFonts w:ascii="Arial" w:cs="Arial" w:eastAsia="Arial" w:hAnsi="Arial"/>
                <w:sz w:val="12"/>
                <w:szCs w:val="12"/>
                <w:b w:val="1"/>
                <w:bCs w:val="1"/>
                <w:color w:val="auto"/>
                <w:w w:val="97"/>
              </w:rPr>
              <w:t>Services</w:t>
            </w:r>
          </w:p>
        </w:tc>
        <w:tc>
          <w:tcPr>
            <w:tcW w:w="120" w:type="dxa"/>
            <w:vAlign w:val="bottom"/>
          </w:tcPr>
          <w:p>
            <w:pPr>
              <w:spacing w:after="0"/>
              <w:rPr>
                <w:sz w:val="11"/>
                <w:szCs w:val="11"/>
                <w:color w:val="auto"/>
              </w:rPr>
            </w:pPr>
          </w:p>
        </w:tc>
        <w:tc>
          <w:tcPr>
            <w:tcW w:w="720" w:type="dxa"/>
            <w:vAlign w:val="bottom"/>
            <w:gridSpan w:val="2"/>
          </w:tcPr>
          <w:p>
            <w:pPr>
              <w:jc w:val="center"/>
              <w:ind w:right="260"/>
              <w:spacing w:after="0" w:line="135" w:lineRule="exact"/>
              <w:rPr>
                <w:sz w:val="20"/>
                <w:szCs w:val="20"/>
                <w:color w:val="auto"/>
              </w:rPr>
            </w:pPr>
            <w:r>
              <w:rPr>
                <w:rFonts w:ascii="Arial" w:cs="Arial" w:eastAsia="Arial" w:hAnsi="Arial"/>
                <w:sz w:val="12"/>
                <w:szCs w:val="12"/>
                <w:b w:val="1"/>
                <w:bCs w:val="1"/>
                <w:color w:val="auto"/>
                <w:w w:val="97"/>
              </w:rPr>
              <w:t>Outdoor</w:t>
            </w:r>
          </w:p>
        </w:tc>
        <w:tc>
          <w:tcPr>
            <w:tcW w:w="80" w:type="dxa"/>
            <w:vAlign w:val="bottom"/>
          </w:tcPr>
          <w:p>
            <w:pPr>
              <w:spacing w:after="0"/>
              <w:rPr>
                <w:sz w:val="11"/>
                <w:szCs w:val="11"/>
                <w:color w:val="auto"/>
              </w:rPr>
            </w:pPr>
          </w:p>
        </w:tc>
        <w:tc>
          <w:tcPr>
            <w:tcW w:w="680" w:type="dxa"/>
            <w:vAlign w:val="bottom"/>
            <w:gridSpan w:val="2"/>
          </w:tcPr>
          <w:p>
            <w:pPr>
              <w:jc w:val="center"/>
              <w:ind w:right="160"/>
              <w:spacing w:after="0" w:line="135" w:lineRule="exact"/>
              <w:rPr>
                <w:sz w:val="20"/>
                <w:szCs w:val="20"/>
                <w:color w:val="auto"/>
              </w:rPr>
            </w:pPr>
            <w:r>
              <w:rPr>
                <w:rFonts w:ascii="Arial" w:cs="Arial" w:eastAsia="Arial" w:hAnsi="Arial"/>
                <w:sz w:val="12"/>
                <w:szCs w:val="12"/>
                <w:b w:val="1"/>
                <w:bCs w:val="1"/>
                <w:color w:val="auto"/>
                <w:w w:val="97"/>
              </w:rPr>
              <w:t>Services</w:t>
            </w:r>
          </w:p>
        </w:tc>
        <w:tc>
          <w:tcPr>
            <w:tcW w:w="100" w:type="dxa"/>
            <w:vAlign w:val="bottom"/>
          </w:tcPr>
          <w:p>
            <w:pPr>
              <w:spacing w:after="0"/>
              <w:rPr>
                <w:sz w:val="11"/>
                <w:szCs w:val="11"/>
                <w:color w:val="auto"/>
              </w:rPr>
            </w:pPr>
          </w:p>
        </w:tc>
        <w:tc>
          <w:tcPr>
            <w:tcW w:w="70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97"/>
              </w:rPr>
              <w:t>Outdoor</w:t>
            </w:r>
          </w:p>
        </w:tc>
        <w:tc>
          <w:tcPr>
            <w:tcW w:w="100" w:type="dxa"/>
            <w:vAlign w:val="bottom"/>
          </w:tcPr>
          <w:p>
            <w:pPr>
              <w:spacing w:after="0"/>
              <w:rPr>
                <w:sz w:val="11"/>
                <w:szCs w:val="11"/>
                <w:color w:val="auto"/>
              </w:rPr>
            </w:pPr>
          </w:p>
        </w:tc>
        <w:tc>
          <w:tcPr>
            <w:tcW w:w="660" w:type="dxa"/>
            <w:vAlign w:val="bottom"/>
            <w:gridSpan w:val="2"/>
          </w:tcPr>
          <w:p>
            <w:pPr>
              <w:jc w:val="center"/>
              <w:ind w:right="180"/>
              <w:spacing w:after="0" w:line="135" w:lineRule="exact"/>
              <w:rPr>
                <w:sz w:val="20"/>
                <w:szCs w:val="20"/>
                <w:color w:val="auto"/>
              </w:rPr>
            </w:pPr>
            <w:r>
              <w:rPr>
                <w:rFonts w:ascii="Arial" w:cs="Arial" w:eastAsia="Arial" w:hAnsi="Arial"/>
                <w:sz w:val="12"/>
                <w:szCs w:val="12"/>
                <w:b w:val="1"/>
                <w:bCs w:val="1"/>
                <w:color w:val="auto"/>
                <w:w w:val="97"/>
              </w:rPr>
              <w:t>Services</w:t>
            </w:r>
          </w:p>
        </w:tc>
        <w:tc>
          <w:tcPr>
            <w:tcW w:w="120" w:type="dxa"/>
            <w:vAlign w:val="bottom"/>
          </w:tcPr>
          <w:p>
            <w:pPr>
              <w:spacing w:after="0"/>
              <w:rPr>
                <w:sz w:val="11"/>
                <w:szCs w:val="11"/>
                <w:color w:val="auto"/>
              </w:rPr>
            </w:pPr>
          </w:p>
        </w:tc>
        <w:tc>
          <w:tcPr>
            <w:tcW w:w="600" w:type="dxa"/>
            <w:vAlign w:val="bottom"/>
            <w:gridSpan w:val="2"/>
          </w:tcPr>
          <w:p>
            <w:pPr>
              <w:jc w:val="center"/>
              <w:ind w:right="140"/>
              <w:spacing w:after="0" w:line="135" w:lineRule="exact"/>
              <w:rPr>
                <w:sz w:val="20"/>
                <w:szCs w:val="20"/>
                <w:color w:val="auto"/>
              </w:rPr>
            </w:pPr>
            <w:r>
              <w:rPr>
                <w:rFonts w:ascii="Arial" w:cs="Arial" w:eastAsia="Arial" w:hAnsi="Arial"/>
                <w:sz w:val="12"/>
                <w:szCs w:val="12"/>
                <w:b w:val="1"/>
                <w:bCs w:val="1"/>
                <w:color w:val="auto"/>
                <w:w w:val="97"/>
              </w:rPr>
              <w:t>Outdoor</w:t>
            </w:r>
          </w:p>
        </w:tc>
      </w:tr>
      <w:tr>
        <w:trPr>
          <w:trHeight w:val="145"/>
        </w:trPr>
        <w:tc>
          <w:tcPr>
            <w:tcW w:w="2720" w:type="dxa"/>
            <w:vAlign w:val="bottom"/>
            <w:gridSpan w:val="2"/>
          </w:tcPr>
          <w:p>
            <w:pPr>
              <w:ind w:left="20"/>
              <w:spacing w:after="0"/>
              <w:rPr>
                <w:sz w:val="20"/>
                <w:szCs w:val="20"/>
                <w:color w:val="auto"/>
              </w:rPr>
            </w:pPr>
            <w:r>
              <w:rPr>
                <w:rFonts w:ascii="Arial" w:cs="Arial" w:eastAsia="Arial" w:hAnsi="Arial"/>
                <w:sz w:val="12"/>
                <w:szCs w:val="12"/>
                <w:color w:val="auto"/>
              </w:rPr>
              <w:t>($ in thousands)</w:t>
            </w: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and Plans</w:t>
            </w:r>
          </w:p>
        </w:tc>
        <w:tc>
          <w:tcPr>
            <w:tcW w:w="100" w:type="dxa"/>
            <w:vAlign w:val="bottom"/>
          </w:tcPr>
          <w:p>
            <w:pPr>
              <w:spacing w:after="0"/>
              <w:rPr>
                <w:sz w:val="12"/>
                <w:szCs w:val="12"/>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7"/>
              </w:rPr>
              <w:t>Retail</w:t>
            </w:r>
          </w:p>
        </w:tc>
        <w:tc>
          <w:tcPr>
            <w:tcW w:w="760" w:type="dxa"/>
            <w:vAlign w:val="bottom"/>
            <w:gridSpan w:val="3"/>
          </w:tcPr>
          <w:p>
            <w:pPr>
              <w:jc w:val="center"/>
              <w:ind w:right="80"/>
              <w:spacing w:after="0"/>
              <w:rPr>
                <w:sz w:val="20"/>
                <w:szCs w:val="20"/>
                <w:color w:val="auto"/>
              </w:rPr>
            </w:pPr>
            <w:r>
              <w:rPr>
                <w:rFonts w:ascii="Arial" w:cs="Arial" w:eastAsia="Arial" w:hAnsi="Arial"/>
                <w:sz w:val="12"/>
                <w:szCs w:val="12"/>
                <w:b w:val="1"/>
                <w:bCs w:val="1"/>
                <w:color w:val="auto"/>
                <w:w w:val="98"/>
              </w:rPr>
              <w:t>and Plans</w:t>
            </w:r>
          </w:p>
        </w:tc>
        <w:tc>
          <w:tcPr>
            <w:tcW w:w="120" w:type="dxa"/>
            <w:vAlign w:val="bottom"/>
          </w:tcPr>
          <w:p>
            <w:pPr>
              <w:spacing w:after="0"/>
              <w:rPr>
                <w:sz w:val="12"/>
                <w:szCs w:val="12"/>
                <w:color w:val="auto"/>
              </w:rPr>
            </w:pPr>
          </w:p>
        </w:tc>
        <w:tc>
          <w:tcPr>
            <w:tcW w:w="72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1"/>
              </w:rPr>
              <w:t>Retail</w:t>
            </w:r>
          </w:p>
        </w:tc>
        <w:tc>
          <w:tcPr>
            <w:tcW w:w="76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95"/>
              </w:rPr>
              <w:t>and Plans</w:t>
            </w:r>
          </w:p>
        </w:tc>
        <w:tc>
          <w:tcPr>
            <w:tcW w:w="100" w:type="dxa"/>
            <w:vAlign w:val="bottom"/>
          </w:tcPr>
          <w:p>
            <w:pPr>
              <w:spacing w:after="0"/>
              <w:rPr>
                <w:sz w:val="12"/>
                <w:szCs w:val="12"/>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1"/>
              </w:rPr>
              <w:t>Retail</w:t>
            </w:r>
          </w:p>
        </w:tc>
        <w:tc>
          <w:tcPr>
            <w:tcW w:w="760" w:type="dxa"/>
            <w:vAlign w:val="bottom"/>
            <w:gridSpan w:val="3"/>
          </w:tcPr>
          <w:p>
            <w:pPr>
              <w:jc w:val="center"/>
              <w:ind w:right="80"/>
              <w:spacing w:after="0"/>
              <w:rPr>
                <w:sz w:val="20"/>
                <w:szCs w:val="20"/>
                <w:color w:val="auto"/>
              </w:rPr>
            </w:pPr>
            <w:r>
              <w:rPr>
                <w:rFonts w:ascii="Arial" w:cs="Arial" w:eastAsia="Arial" w:hAnsi="Arial"/>
                <w:sz w:val="12"/>
                <w:szCs w:val="12"/>
                <w:b w:val="1"/>
                <w:bCs w:val="1"/>
                <w:color w:val="auto"/>
                <w:w w:val="98"/>
              </w:rPr>
              <w:t>and Plans</w:t>
            </w:r>
          </w:p>
        </w:tc>
        <w:tc>
          <w:tcPr>
            <w:tcW w:w="120" w:type="dxa"/>
            <w:vAlign w:val="bottom"/>
          </w:tcPr>
          <w:p>
            <w:pPr>
              <w:spacing w:after="0"/>
              <w:rPr>
                <w:sz w:val="12"/>
                <w:szCs w:val="12"/>
                <w:color w:val="auto"/>
              </w:rPr>
            </w:pPr>
          </w:p>
        </w:tc>
        <w:tc>
          <w:tcPr>
            <w:tcW w:w="60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7"/>
              </w:rPr>
              <w:t>Retail</w:t>
            </w:r>
          </w:p>
        </w:tc>
      </w:tr>
      <w:tr>
        <w:trPr>
          <w:trHeight w:val="128"/>
        </w:trPr>
        <w:tc>
          <w:tcPr>
            <w:tcW w:w="2580" w:type="dxa"/>
            <w:vAlign w:val="bottom"/>
            <w:tcBorders>
              <w:top w:val="single" w:sz="8" w:color="auto"/>
            </w:tcBorders>
            <w:shd w:val="clear" w:color="auto" w:fill="CCEEFF"/>
          </w:tcPr>
          <w:p>
            <w:pPr>
              <w:ind w:left="20"/>
              <w:spacing w:after="0" w:line="129" w:lineRule="exact"/>
              <w:rPr>
                <w:sz w:val="20"/>
                <w:szCs w:val="20"/>
                <w:color w:val="auto"/>
              </w:rPr>
            </w:pPr>
            <w:r>
              <w:rPr>
                <w:rFonts w:ascii="Arial" w:cs="Arial" w:eastAsia="Arial" w:hAnsi="Arial"/>
                <w:sz w:val="12"/>
                <w:szCs w:val="12"/>
                <w:b w:val="1"/>
                <w:bCs w:val="1"/>
                <w:color w:val="auto"/>
              </w:rPr>
              <w:t>Revenue:</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2720" w:type="dxa"/>
            <w:vAlign w:val="bottom"/>
            <w:gridSpan w:val="2"/>
          </w:tcPr>
          <w:p>
            <w:pPr>
              <w:ind w:left="120"/>
              <w:spacing w:after="0" w:line="135" w:lineRule="exact"/>
              <w:rPr>
                <w:sz w:val="20"/>
                <w:szCs w:val="20"/>
                <w:color w:val="auto"/>
              </w:rPr>
            </w:pPr>
            <w:r>
              <w:rPr>
                <w:rFonts w:ascii="Arial" w:cs="Arial" w:eastAsia="Arial" w:hAnsi="Arial"/>
                <w:sz w:val="12"/>
                <w:szCs w:val="12"/>
                <w:color w:val="auto"/>
              </w:rPr>
              <w:t>Good Sam Services and Plans</w:t>
            </w:r>
          </w:p>
        </w:tc>
        <w:tc>
          <w:tcPr>
            <w:tcW w:w="80" w:type="dxa"/>
            <w:vAlign w:val="bottom"/>
          </w:tcPr>
          <w:p>
            <w:pPr>
              <w:ind w:left="20"/>
              <w:spacing w:after="0"/>
              <w:rPr>
                <w:sz w:val="20"/>
                <w:szCs w:val="20"/>
                <w:color w:val="auto"/>
              </w:rPr>
            </w:pPr>
            <w:r>
              <w:rPr>
                <w:rFonts w:ascii="Arial" w:cs="Arial" w:eastAsia="Arial" w:hAnsi="Arial"/>
                <w:sz w:val="9"/>
                <w:szCs w:val="9"/>
                <w:color w:val="auto"/>
                <w:w w:val="78"/>
              </w:rPr>
              <w:t>$</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50,066</w:t>
            </w:r>
          </w:p>
        </w:tc>
        <w:tc>
          <w:tcPr>
            <w:tcW w:w="80" w:type="dxa"/>
            <w:vAlign w:val="bottom"/>
          </w:tcPr>
          <w:p>
            <w:pPr>
              <w:spacing w:after="0"/>
              <w:rPr>
                <w:sz w:val="11"/>
                <w:szCs w:val="11"/>
                <w:color w:val="auto"/>
              </w:rPr>
            </w:pPr>
          </w:p>
        </w:tc>
        <w:tc>
          <w:tcPr>
            <w:tcW w:w="100" w:type="dxa"/>
            <w:vAlign w:val="bottom"/>
          </w:tcPr>
          <w:p>
            <w:pPr>
              <w:jc w:val="right"/>
              <w:spacing w:after="0" w:line="135" w:lineRule="exact"/>
              <w:rPr>
                <w:sz w:val="20"/>
                <w:szCs w:val="20"/>
                <w:color w:val="auto"/>
              </w:rPr>
            </w:pPr>
            <w:r>
              <w:rPr>
                <w:rFonts w:ascii="Arial" w:cs="Arial" w:eastAsia="Arial" w:hAnsi="Arial"/>
                <w:sz w:val="12"/>
                <w:szCs w:val="12"/>
                <w:color w:val="auto"/>
                <w:w w:val="89"/>
              </w:rPr>
              <w:t>$</w:t>
            </w:r>
          </w:p>
        </w:tc>
        <w:tc>
          <w:tcPr>
            <w:tcW w:w="72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52,508</w:t>
            </w:r>
          </w:p>
        </w:tc>
        <w:tc>
          <w:tcPr>
            <w:tcW w:w="100" w:type="dxa"/>
            <w:vAlign w:val="bottom"/>
          </w:tcPr>
          <w:p>
            <w:pPr>
              <w:spacing w:after="0"/>
              <w:rPr>
                <w:sz w:val="11"/>
                <w:szCs w:val="11"/>
                <w:color w:val="auto"/>
              </w:rPr>
            </w:pPr>
          </w:p>
        </w:tc>
        <w:tc>
          <w:tcPr>
            <w:tcW w:w="120" w:type="dxa"/>
            <w:vAlign w:val="bottom"/>
          </w:tcPr>
          <w:p>
            <w:pPr>
              <w:jc w:val="right"/>
              <w:spacing w:after="0" w:line="135" w:lineRule="exact"/>
              <w:rPr>
                <w:sz w:val="20"/>
                <w:szCs w:val="20"/>
                <w:color w:val="auto"/>
              </w:rPr>
            </w:pPr>
            <w:r>
              <w:rPr>
                <w:rFonts w:ascii="Arial" w:cs="Arial" w:eastAsia="Arial" w:hAnsi="Arial"/>
                <w:sz w:val="12"/>
                <w:szCs w:val="12"/>
                <w:color w:val="auto"/>
                <w:w w:val="89"/>
              </w:rPr>
              <w:t>$</w:t>
            </w:r>
          </w:p>
        </w:tc>
        <w:tc>
          <w:tcPr>
            <w:tcW w:w="72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jc w:val="right"/>
              <w:spacing w:after="0" w:line="135" w:lineRule="exact"/>
              <w:rPr>
                <w:sz w:val="20"/>
                <w:szCs w:val="20"/>
                <w:color w:val="auto"/>
              </w:rPr>
            </w:pPr>
            <w:r>
              <w:rPr>
                <w:rFonts w:ascii="Arial" w:cs="Arial" w:eastAsia="Arial" w:hAnsi="Arial"/>
                <w:sz w:val="12"/>
                <w:szCs w:val="12"/>
                <w:color w:val="auto"/>
                <w:w w:val="89"/>
              </w:rPr>
              <w:t>$</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153,153</w:t>
            </w:r>
          </w:p>
        </w:tc>
        <w:tc>
          <w:tcPr>
            <w:tcW w:w="100" w:type="dxa"/>
            <w:vAlign w:val="bottom"/>
          </w:tcPr>
          <w:p>
            <w:pPr>
              <w:spacing w:after="0"/>
              <w:rPr>
                <w:sz w:val="11"/>
                <w:szCs w:val="11"/>
                <w:color w:val="auto"/>
              </w:rPr>
            </w:pPr>
          </w:p>
        </w:tc>
        <w:tc>
          <w:tcPr>
            <w:tcW w:w="100" w:type="dxa"/>
            <w:vAlign w:val="bottom"/>
          </w:tcPr>
          <w:p>
            <w:pPr>
              <w:jc w:val="right"/>
              <w:spacing w:after="0" w:line="135" w:lineRule="exact"/>
              <w:rPr>
                <w:sz w:val="20"/>
                <w:szCs w:val="20"/>
                <w:color w:val="auto"/>
              </w:rPr>
            </w:pPr>
            <w:r>
              <w:rPr>
                <w:rFonts w:ascii="Arial" w:cs="Arial" w:eastAsia="Arial" w:hAnsi="Arial"/>
                <w:sz w:val="12"/>
                <w:szCs w:val="12"/>
                <w:color w:val="auto"/>
                <w:w w:val="89"/>
              </w:rPr>
              <w:t>$</w:t>
            </w:r>
          </w:p>
        </w:tc>
        <w:tc>
          <w:tcPr>
            <w:tcW w:w="700" w:type="dxa"/>
            <w:vAlign w:val="bottom"/>
            <w:gridSpan w:val="2"/>
          </w:tcPr>
          <w:p>
            <w:pPr>
              <w:jc w:val="center"/>
              <w:ind w:right="160"/>
              <w:spacing w:after="0" w:line="135" w:lineRule="exact"/>
              <w:rPr>
                <w:sz w:val="20"/>
                <w:szCs w:val="20"/>
                <w:color w:val="auto"/>
              </w:rPr>
            </w:pPr>
            <w:r>
              <w:rPr>
                <w:rFonts w:ascii="Arial" w:cs="Arial" w:eastAsia="Arial" w:hAnsi="Arial"/>
                <w:sz w:val="12"/>
                <w:szCs w:val="12"/>
                <w:color w:val="auto"/>
                <w:w w:val="82"/>
              </w:rPr>
              <w:t>—</w:t>
            </w:r>
          </w:p>
        </w:tc>
        <w:tc>
          <w:tcPr>
            <w:tcW w:w="10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152,929</w:t>
            </w:r>
          </w:p>
        </w:tc>
        <w:tc>
          <w:tcPr>
            <w:tcW w:w="100" w:type="dxa"/>
            <w:vAlign w:val="bottom"/>
          </w:tcPr>
          <w:p>
            <w:pPr>
              <w:spacing w:after="0"/>
              <w:rPr>
                <w:sz w:val="11"/>
                <w:szCs w:val="11"/>
                <w:color w:val="auto"/>
              </w:rPr>
            </w:pPr>
          </w:p>
        </w:tc>
        <w:tc>
          <w:tcPr>
            <w:tcW w:w="120" w:type="dxa"/>
            <w:vAlign w:val="bottom"/>
          </w:tcPr>
          <w:p>
            <w:pPr>
              <w:jc w:val="right"/>
              <w:spacing w:after="0" w:line="135" w:lineRule="exact"/>
              <w:rPr>
                <w:sz w:val="20"/>
                <w:szCs w:val="20"/>
                <w:color w:val="auto"/>
              </w:rPr>
            </w:pPr>
            <w:r>
              <w:rPr>
                <w:rFonts w:ascii="Arial" w:cs="Arial" w:eastAsia="Arial" w:hAnsi="Arial"/>
                <w:sz w:val="12"/>
                <w:szCs w:val="12"/>
                <w:color w:val="auto"/>
                <w:w w:val="89"/>
              </w:rPr>
              <w:t>$</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r>
      <w:tr>
        <w:trPr>
          <w:trHeight w:val="135"/>
        </w:trPr>
        <w:tc>
          <w:tcPr>
            <w:tcW w:w="272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2"/>
                <w:szCs w:val="12"/>
                <w:color w:val="auto"/>
              </w:rPr>
              <w:t>New vehicles</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638,903</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766,779</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7"/>
              </w:rPr>
              <w:t>2,095,644</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7"/>
              </w:rPr>
              <w:t>2,303,317</w:t>
            </w:r>
          </w:p>
        </w:tc>
        <w:tc>
          <w:tcPr>
            <w:tcW w:w="20" w:type="dxa"/>
            <w:vAlign w:val="bottom"/>
          </w:tcPr>
          <w:p>
            <w:pPr>
              <w:spacing w:after="0"/>
              <w:rPr>
                <w:sz w:val="11"/>
                <w:szCs w:val="11"/>
                <w:color w:val="auto"/>
              </w:rPr>
            </w:pPr>
          </w:p>
        </w:tc>
      </w:tr>
      <w:tr>
        <w:trPr>
          <w:trHeight w:val="135"/>
        </w:trPr>
        <w:tc>
          <w:tcPr>
            <w:tcW w:w="2720" w:type="dxa"/>
            <w:vAlign w:val="bottom"/>
            <w:gridSpan w:val="2"/>
          </w:tcPr>
          <w:p>
            <w:pPr>
              <w:ind w:left="120"/>
              <w:spacing w:after="0" w:line="135" w:lineRule="exact"/>
              <w:rPr>
                <w:sz w:val="20"/>
                <w:szCs w:val="20"/>
                <w:color w:val="auto"/>
              </w:rPr>
            </w:pPr>
            <w:r>
              <w:rPr>
                <w:rFonts w:ascii="Arial" w:cs="Arial" w:eastAsia="Arial" w:hAnsi="Arial"/>
                <w:sz w:val="12"/>
                <w:szCs w:val="12"/>
                <w:color w:val="auto"/>
              </w:rPr>
              <w:t>Used vehicles</w:t>
            </w:r>
          </w:p>
        </w:tc>
        <w:tc>
          <w:tcPr>
            <w:tcW w:w="80" w:type="dxa"/>
            <w:vAlign w:val="bottom"/>
          </w:tcPr>
          <w:p>
            <w:pPr>
              <w:spacing w:after="0"/>
              <w:rPr>
                <w:sz w:val="11"/>
                <w:szCs w:val="11"/>
                <w:color w:val="auto"/>
              </w:rPr>
            </w:pPr>
          </w:p>
        </w:tc>
        <w:tc>
          <w:tcPr>
            <w:tcW w:w="66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518,490</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589,092</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560" w:type="dxa"/>
            <w:vAlign w:val="bottom"/>
          </w:tcPr>
          <w:p>
            <w:pPr>
              <w:jc w:val="center"/>
              <w:spacing w:after="0" w:line="135" w:lineRule="exact"/>
              <w:rPr>
                <w:sz w:val="20"/>
                <w:szCs w:val="20"/>
                <w:color w:val="auto"/>
              </w:rPr>
            </w:pPr>
            <w:r>
              <w:rPr>
                <w:rFonts w:ascii="Arial" w:cs="Arial" w:eastAsia="Arial" w:hAnsi="Arial"/>
                <w:sz w:val="12"/>
                <w:szCs w:val="12"/>
                <w:color w:val="auto"/>
                <w:w w:val="97"/>
              </w:rPr>
              <w:t>1,502,592</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w w:val="97"/>
              </w:rPr>
              <w:t>1,583,714</w:t>
            </w:r>
          </w:p>
        </w:tc>
        <w:tc>
          <w:tcPr>
            <w:tcW w:w="20" w:type="dxa"/>
            <w:vAlign w:val="bottom"/>
          </w:tcPr>
          <w:p>
            <w:pPr>
              <w:spacing w:after="0"/>
              <w:rPr>
                <w:sz w:val="11"/>
                <w:szCs w:val="11"/>
                <w:color w:val="auto"/>
              </w:rPr>
            </w:pPr>
          </w:p>
        </w:tc>
      </w:tr>
      <w:tr>
        <w:trPr>
          <w:trHeight w:val="135"/>
        </w:trPr>
        <w:tc>
          <w:tcPr>
            <w:tcW w:w="272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2"/>
                <w:szCs w:val="12"/>
                <w:color w:val="auto"/>
              </w:rPr>
              <w:t>Products, service and other</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208,993</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208,634</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6"/>
              </w:rPr>
              <w:t>584,976</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596,516</w:t>
            </w:r>
          </w:p>
        </w:tc>
        <w:tc>
          <w:tcPr>
            <w:tcW w:w="20" w:type="dxa"/>
            <w:vAlign w:val="bottom"/>
          </w:tcPr>
          <w:p>
            <w:pPr>
              <w:spacing w:after="0"/>
              <w:rPr>
                <w:sz w:val="11"/>
                <w:szCs w:val="11"/>
                <w:color w:val="auto"/>
              </w:rPr>
            </w:pPr>
          </w:p>
        </w:tc>
      </w:tr>
      <w:tr>
        <w:trPr>
          <w:trHeight w:val="135"/>
        </w:trPr>
        <w:tc>
          <w:tcPr>
            <w:tcW w:w="2720" w:type="dxa"/>
            <w:vAlign w:val="bottom"/>
            <w:gridSpan w:val="2"/>
          </w:tcPr>
          <w:p>
            <w:pPr>
              <w:ind w:left="120"/>
              <w:spacing w:after="0" w:line="135" w:lineRule="exact"/>
              <w:rPr>
                <w:sz w:val="20"/>
                <w:szCs w:val="20"/>
                <w:color w:val="auto"/>
              </w:rPr>
            </w:pPr>
            <w:r>
              <w:rPr>
                <w:rFonts w:ascii="Arial" w:cs="Arial" w:eastAsia="Arial" w:hAnsi="Arial"/>
                <w:sz w:val="12"/>
                <w:szCs w:val="12"/>
                <w:color w:val="auto"/>
              </w:rPr>
              <w:t>Finance and insurance, net</w:t>
            </w:r>
          </w:p>
        </w:tc>
        <w:tc>
          <w:tcPr>
            <w:tcW w:w="80" w:type="dxa"/>
            <w:vAlign w:val="bottom"/>
          </w:tcPr>
          <w:p>
            <w:pPr>
              <w:spacing w:after="0"/>
              <w:rPr>
                <w:sz w:val="11"/>
                <w:szCs w:val="11"/>
                <w:color w:val="auto"/>
              </w:rPr>
            </w:pPr>
          </w:p>
        </w:tc>
        <w:tc>
          <w:tcPr>
            <w:tcW w:w="66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147,479</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178,297</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560" w:type="dxa"/>
            <w:vAlign w:val="bottom"/>
          </w:tcPr>
          <w:p>
            <w:pPr>
              <w:jc w:val="center"/>
              <w:spacing w:after="0" w:line="135" w:lineRule="exact"/>
              <w:rPr>
                <w:sz w:val="20"/>
                <w:szCs w:val="20"/>
                <w:color w:val="auto"/>
              </w:rPr>
            </w:pPr>
            <w:r>
              <w:rPr>
                <w:rFonts w:ascii="Arial" w:cs="Arial" w:eastAsia="Arial" w:hAnsi="Arial"/>
                <w:sz w:val="12"/>
                <w:szCs w:val="12"/>
                <w:color w:val="auto"/>
                <w:w w:val="96"/>
              </w:rPr>
              <w:t>495,256</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528,162</w:t>
            </w:r>
          </w:p>
        </w:tc>
        <w:tc>
          <w:tcPr>
            <w:tcW w:w="20" w:type="dxa"/>
            <w:vAlign w:val="bottom"/>
          </w:tcPr>
          <w:p>
            <w:pPr>
              <w:spacing w:after="0"/>
              <w:rPr>
                <w:sz w:val="11"/>
                <w:szCs w:val="11"/>
                <w:color w:val="auto"/>
              </w:rPr>
            </w:pPr>
          </w:p>
        </w:tc>
      </w:tr>
      <w:tr>
        <w:trPr>
          <w:trHeight w:val="135"/>
        </w:trPr>
        <w:tc>
          <w:tcPr>
            <w:tcW w:w="272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2"/>
                <w:szCs w:val="12"/>
                <w:color w:val="auto"/>
              </w:rPr>
              <w:t>Good Sam Club</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18,979</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10,808</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2"/>
              </w:rPr>
              <w:t>39,933</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30,952</w:t>
            </w:r>
          </w:p>
        </w:tc>
        <w:tc>
          <w:tcPr>
            <w:tcW w:w="20" w:type="dxa"/>
            <w:vAlign w:val="bottom"/>
          </w:tcPr>
          <w:p>
            <w:pPr>
              <w:spacing w:after="0"/>
              <w:rPr>
                <w:sz w:val="11"/>
                <w:szCs w:val="11"/>
                <w:color w:val="auto"/>
              </w:rPr>
            </w:pPr>
          </w:p>
        </w:tc>
      </w:tr>
      <w:tr>
        <w:trPr>
          <w:trHeight w:val="135"/>
        </w:trPr>
        <w:tc>
          <w:tcPr>
            <w:tcW w:w="2720" w:type="dxa"/>
            <w:vAlign w:val="bottom"/>
            <w:tcBorders>
              <w:bottom w:val="single" w:sz="8" w:color="CCEEFF"/>
            </w:tcBorders>
            <w:gridSpan w:val="2"/>
          </w:tcPr>
          <w:p>
            <w:pPr>
              <w:ind w:left="120"/>
              <w:spacing w:after="0" w:line="135" w:lineRule="exact"/>
              <w:rPr>
                <w:sz w:val="20"/>
                <w:szCs w:val="20"/>
                <w:color w:val="auto"/>
              </w:rPr>
            </w:pPr>
            <w:r>
              <w:rPr>
                <w:rFonts w:ascii="Arial" w:cs="Arial" w:eastAsia="Arial" w:hAnsi="Arial"/>
                <w:sz w:val="11"/>
                <w:szCs w:val="11"/>
                <w:color w:val="auto"/>
              </w:rPr>
              <w:t>Intersegment revenue</w:t>
            </w:r>
            <w:r>
              <w:rPr>
                <w:rFonts w:ascii="Arial" w:cs="Arial" w:eastAsia="Arial" w:hAnsi="Arial"/>
                <w:sz w:val="15"/>
                <w:szCs w:val="15"/>
                <w:color w:val="auto"/>
                <w:vertAlign w:val="superscript"/>
              </w:rPr>
              <w:t>(1)</w:t>
            </w: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31</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1,160</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164</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3,501</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1,050</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center"/>
              <w:spacing w:after="0" w:line="135" w:lineRule="exact"/>
              <w:rPr>
                <w:sz w:val="20"/>
                <w:szCs w:val="20"/>
                <w:color w:val="auto"/>
              </w:rPr>
            </w:pPr>
            <w:r>
              <w:rPr>
                <w:rFonts w:ascii="Arial" w:cs="Arial" w:eastAsia="Arial" w:hAnsi="Arial"/>
                <w:sz w:val="12"/>
                <w:szCs w:val="12"/>
                <w:color w:val="auto"/>
                <w:w w:val="99"/>
              </w:rPr>
              <w:t>4,080</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1,060</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10,161</w:t>
            </w:r>
          </w:p>
        </w:tc>
        <w:tc>
          <w:tcPr>
            <w:tcW w:w="20" w:type="dxa"/>
            <w:vAlign w:val="bottom"/>
          </w:tcPr>
          <w:p>
            <w:pPr>
              <w:spacing w:after="0"/>
              <w:rPr>
                <w:sz w:val="11"/>
                <w:szCs w:val="11"/>
                <w:color w:val="auto"/>
              </w:rPr>
            </w:pPr>
          </w:p>
        </w:tc>
      </w:tr>
      <w:tr>
        <w:trPr>
          <w:trHeight w:val="128"/>
        </w:trPr>
        <w:tc>
          <w:tcPr>
            <w:tcW w:w="2720" w:type="dxa"/>
            <w:vAlign w:val="bottom"/>
            <w:gridSpan w:val="2"/>
            <w:shd w:val="clear" w:color="auto" w:fill="CCEEFF"/>
          </w:tcPr>
          <w:p>
            <w:pPr>
              <w:ind w:left="20"/>
              <w:spacing w:after="0" w:line="129" w:lineRule="exact"/>
              <w:rPr>
                <w:sz w:val="20"/>
                <w:szCs w:val="20"/>
                <w:color w:val="auto"/>
              </w:rPr>
            </w:pPr>
            <w:r>
              <w:rPr>
                <w:rFonts w:ascii="Arial" w:cs="Arial" w:eastAsia="Arial" w:hAnsi="Arial"/>
                <w:sz w:val="12"/>
                <w:szCs w:val="12"/>
                <w:color w:val="auto"/>
              </w:rPr>
              <w:t>Total revenue before intersegment eliminations</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50,097</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97"/>
              </w:rPr>
              <w:t>1,534,004</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52,672</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97"/>
              </w:rPr>
              <w:t>1,757,111</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154,203</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97"/>
              </w:rPr>
              <w:t>4,722,481</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153,989</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97"/>
              </w:rPr>
              <w:t>5,052,822</w:t>
            </w:r>
          </w:p>
        </w:tc>
        <w:tc>
          <w:tcPr>
            <w:tcW w:w="20" w:type="dxa"/>
            <w:vAlign w:val="bottom"/>
          </w:tcPr>
          <w:p>
            <w:pPr>
              <w:spacing w:after="0"/>
              <w:rPr>
                <w:sz w:val="11"/>
                <w:szCs w:val="11"/>
                <w:color w:val="auto"/>
              </w:rPr>
            </w:pPr>
          </w:p>
        </w:tc>
      </w:tr>
      <w:tr>
        <w:trPr>
          <w:trHeight w:val="135"/>
        </w:trPr>
        <w:tc>
          <w:tcPr>
            <w:tcW w:w="2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272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2"/>
                <w:szCs w:val="12"/>
                <w:b w:val="1"/>
                <w:bCs w:val="1"/>
                <w:color w:val="auto"/>
              </w:rPr>
              <w:t>Segment expenses:</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2720" w:type="dxa"/>
            <w:vAlign w:val="bottom"/>
            <w:gridSpan w:val="2"/>
          </w:tcPr>
          <w:p>
            <w:pPr>
              <w:ind w:left="120"/>
              <w:spacing w:after="0" w:line="135" w:lineRule="exact"/>
              <w:rPr>
                <w:sz w:val="20"/>
                <w:szCs w:val="20"/>
                <w:color w:val="auto"/>
              </w:rPr>
            </w:pPr>
            <w:r>
              <w:rPr>
                <w:rFonts w:ascii="Arial" w:cs="Arial" w:eastAsia="Arial" w:hAnsi="Arial"/>
                <w:sz w:val="11"/>
                <w:szCs w:val="11"/>
                <w:color w:val="auto"/>
              </w:rPr>
              <w:t>Adjusted costs applicable to revenue</w:t>
            </w:r>
            <w:r>
              <w:rPr>
                <w:rFonts w:ascii="Arial" w:cs="Arial" w:eastAsia="Arial" w:hAnsi="Arial"/>
                <w:sz w:val="15"/>
                <w:szCs w:val="15"/>
                <w:color w:val="auto"/>
                <w:vertAlign w:val="superscript"/>
              </w:rPr>
              <w:t>(2)</w:t>
            </w: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18,826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w w:val="97"/>
              </w:rPr>
              <w:t>1,129,692</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22,740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w w:val="97"/>
              </w:rPr>
              <w:t>1,266,227</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58,527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center"/>
              <w:spacing w:after="0" w:line="135" w:lineRule="exact"/>
              <w:rPr>
                <w:sz w:val="20"/>
                <w:szCs w:val="20"/>
                <w:color w:val="auto"/>
              </w:rPr>
            </w:pPr>
            <w:r>
              <w:rPr>
                <w:rFonts w:ascii="Arial" w:cs="Arial" w:eastAsia="Arial" w:hAnsi="Arial"/>
                <w:sz w:val="12"/>
                <w:szCs w:val="12"/>
                <w:color w:val="auto"/>
                <w:w w:val="97"/>
              </w:rPr>
              <w:t>3,436,658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62,353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w w:val="97"/>
              </w:rPr>
              <w:t>3,593,978</w:t>
            </w:r>
          </w:p>
        </w:tc>
        <w:tc>
          <w:tcPr>
            <w:tcW w:w="20" w:type="dxa"/>
            <w:vAlign w:val="bottom"/>
          </w:tcPr>
          <w:p>
            <w:pPr>
              <w:spacing w:after="0"/>
              <w:rPr>
                <w:sz w:val="11"/>
                <w:szCs w:val="11"/>
                <w:color w:val="auto"/>
              </w:rPr>
            </w:pPr>
          </w:p>
        </w:tc>
      </w:tr>
      <w:tr>
        <w:trPr>
          <w:trHeight w:val="135"/>
        </w:trPr>
        <w:tc>
          <w:tcPr>
            <w:tcW w:w="272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1"/>
                <w:szCs w:val="11"/>
                <w:color w:val="auto"/>
              </w:rPr>
              <w:t>Intersegment costs applicable to revenue</w:t>
            </w:r>
            <w:r>
              <w:rPr>
                <w:rFonts w:ascii="Arial" w:cs="Arial" w:eastAsia="Arial" w:hAnsi="Arial"/>
                <w:sz w:val="15"/>
                <w:szCs w:val="15"/>
                <w:color w:val="auto"/>
                <w:vertAlign w:val="superscript"/>
              </w:rPr>
              <w:t>(3)</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(226)</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2,397</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78</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3,327</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446</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9"/>
              </w:rPr>
              <w:t>7,138</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705</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9,744</w:t>
            </w:r>
          </w:p>
        </w:tc>
        <w:tc>
          <w:tcPr>
            <w:tcW w:w="20" w:type="dxa"/>
            <w:vAlign w:val="bottom"/>
          </w:tcPr>
          <w:p>
            <w:pPr>
              <w:spacing w:after="0"/>
              <w:rPr>
                <w:sz w:val="11"/>
                <w:szCs w:val="11"/>
                <w:color w:val="auto"/>
              </w:rPr>
            </w:pPr>
          </w:p>
        </w:tc>
      </w:tr>
      <w:tr>
        <w:trPr>
          <w:trHeight w:val="135"/>
        </w:trPr>
        <w:tc>
          <w:tcPr>
            <w:tcW w:w="2720" w:type="dxa"/>
            <w:vAlign w:val="bottom"/>
            <w:gridSpan w:val="2"/>
          </w:tcPr>
          <w:p>
            <w:pPr>
              <w:ind w:left="120"/>
              <w:spacing w:after="0" w:line="135" w:lineRule="exact"/>
              <w:rPr>
                <w:sz w:val="20"/>
                <w:szCs w:val="20"/>
                <w:color w:val="auto"/>
              </w:rPr>
            </w:pPr>
            <w:r>
              <w:rPr>
                <w:rFonts w:ascii="Arial" w:cs="Arial" w:eastAsia="Arial" w:hAnsi="Arial"/>
                <w:sz w:val="11"/>
                <w:szCs w:val="11"/>
                <w:color w:val="auto"/>
              </w:rPr>
              <w:t>Adjusted selling, general, and administrative</w:t>
            </w:r>
            <w:r>
              <w:rPr>
                <w:rFonts w:ascii="Arial" w:cs="Arial" w:eastAsia="Arial" w:hAnsi="Arial"/>
                <w:sz w:val="15"/>
                <w:szCs w:val="15"/>
                <w:color w:val="auto"/>
                <w:vertAlign w:val="superscript"/>
              </w:rPr>
              <w:t>(4)</w:t>
            </w: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10,086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368,477</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8,263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392,346</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26,827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center"/>
              <w:spacing w:after="0" w:line="135" w:lineRule="exact"/>
              <w:rPr>
                <w:sz w:val="20"/>
                <w:szCs w:val="20"/>
                <w:color w:val="auto"/>
              </w:rPr>
            </w:pPr>
            <w:r>
              <w:rPr>
                <w:rFonts w:ascii="Arial" w:cs="Arial" w:eastAsia="Arial" w:hAnsi="Arial"/>
                <w:sz w:val="12"/>
                <w:szCs w:val="12"/>
                <w:color w:val="auto"/>
                <w:w w:val="97"/>
              </w:rPr>
              <w:t>1,105,412</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23,072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w w:val="97"/>
              </w:rPr>
              <w:t>1,179,591</w:t>
            </w:r>
          </w:p>
        </w:tc>
        <w:tc>
          <w:tcPr>
            <w:tcW w:w="20" w:type="dxa"/>
            <w:vAlign w:val="bottom"/>
          </w:tcPr>
          <w:p>
            <w:pPr>
              <w:spacing w:after="0"/>
              <w:rPr>
                <w:sz w:val="11"/>
                <w:szCs w:val="11"/>
                <w:color w:val="auto"/>
              </w:rPr>
            </w:pPr>
          </w:p>
        </w:tc>
      </w:tr>
      <w:tr>
        <w:trPr>
          <w:trHeight w:val="135"/>
        </w:trPr>
        <w:tc>
          <w:tcPr>
            <w:tcW w:w="272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2"/>
                <w:szCs w:val="12"/>
                <w:color w:val="auto"/>
              </w:rPr>
              <w:t>Floor plan interest expense</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15,159</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18,061</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2"/>
              </w:rPr>
              <w:t>56,830</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57,356</w:t>
            </w:r>
          </w:p>
        </w:tc>
        <w:tc>
          <w:tcPr>
            <w:tcW w:w="20" w:type="dxa"/>
            <w:vAlign w:val="bottom"/>
          </w:tcPr>
          <w:p>
            <w:pPr>
              <w:spacing w:after="0"/>
              <w:rPr>
                <w:sz w:val="11"/>
                <w:szCs w:val="11"/>
                <w:color w:val="auto"/>
              </w:rPr>
            </w:pPr>
          </w:p>
        </w:tc>
      </w:tr>
      <w:tr>
        <w:trPr>
          <w:trHeight w:val="135"/>
        </w:trPr>
        <w:tc>
          <w:tcPr>
            <w:tcW w:w="2720" w:type="dxa"/>
            <w:vAlign w:val="bottom"/>
            <w:gridSpan w:val="2"/>
          </w:tcPr>
          <w:p>
            <w:pPr>
              <w:ind w:left="120"/>
              <w:spacing w:after="0" w:line="135" w:lineRule="exact"/>
              <w:rPr>
                <w:sz w:val="20"/>
                <w:szCs w:val="20"/>
                <w:color w:val="auto"/>
              </w:rPr>
            </w:pPr>
            <w:r>
              <w:rPr>
                <w:rFonts w:ascii="Arial" w:cs="Arial" w:eastAsia="Arial" w:hAnsi="Arial"/>
                <w:sz w:val="11"/>
                <w:szCs w:val="11"/>
                <w:color w:val="auto"/>
              </w:rPr>
              <w:t>Other segment items</w:t>
            </w:r>
            <w:r>
              <w:rPr>
                <w:rFonts w:ascii="Arial" w:cs="Arial" w:eastAsia="Arial" w:hAnsi="Arial"/>
                <w:sz w:val="15"/>
                <w:szCs w:val="15"/>
                <w:color w:val="auto"/>
                <w:vertAlign w:val="superscript"/>
              </w:rPr>
              <w:t>(5)</w:t>
            </w:r>
          </w:p>
        </w:tc>
        <w:tc>
          <w:tcPr>
            <w:tcW w:w="80" w:type="dxa"/>
            <w:vAlign w:val="bottom"/>
          </w:tcPr>
          <w:p>
            <w:pPr>
              <w:spacing w:after="0"/>
              <w:rPr>
                <w:sz w:val="11"/>
                <w:szCs w:val="11"/>
                <w:color w:val="auto"/>
              </w:rPr>
            </w:pPr>
          </w:p>
        </w:tc>
        <w:tc>
          <w:tcPr>
            <w:tcW w:w="66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97</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72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(9)</w:t>
            </w:r>
          </w:p>
        </w:tc>
        <w:tc>
          <w:tcPr>
            <w:tcW w:w="80" w:type="dxa"/>
            <w:vAlign w:val="bottom"/>
          </w:tcPr>
          <w:p>
            <w:pPr>
              <w:spacing w:after="0"/>
              <w:rPr>
                <w:sz w:val="11"/>
                <w:szCs w:val="11"/>
                <w:color w:val="auto"/>
              </w:rPr>
            </w:pPr>
          </w:p>
        </w:tc>
        <w:tc>
          <w:tcPr>
            <w:tcW w:w="68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560" w:type="dxa"/>
            <w:vAlign w:val="bottom"/>
          </w:tcPr>
          <w:p>
            <w:pPr>
              <w:jc w:val="center"/>
              <w:spacing w:after="0" w:line="135" w:lineRule="exact"/>
              <w:rPr>
                <w:sz w:val="20"/>
                <w:szCs w:val="20"/>
                <w:color w:val="auto"/>
              </w:rPr>
            </w:pPr>
            <w:r>
              <w:rPr>
                <w:rFonts w:ascii="Arial" w:cs="Arial" w:eastAsia="Arial" w:hAnsi="Arial"/>
                <w:sz w:val="12"/>
                <w:szCs w:val="12"/>
                <w:color w:val="auto"/>
                <w:w w:val="92"/>
              </w:rPr>
              <w:t>(139)</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(29)</w:t>
            </w:r>
          </w:p>
        </w:tc>
        <w:tc>
          <w:tcPr>
            <w:tcW w:w="20" w:type="dxa"/>
            <w:vAlign w:val="bottom"/>
          </w:tcPr>
          <w:p>
            <w:pPr>
              <w:spacing w:after="0"/>
              <w:rPr>
                <w:sz w:val="11"/>
                <w:szCs w:val="11"/>
                <w:color w:val="auto"/>
              </w:rPr>
            </w:pPr>
          </w:p>
        </w:tc>
      </w:tr>
      <w:tr>
        <w:trPr>
          <w:trHeight w:val="128"/>
        </w:trPr>
        <w:tc>
          <w:tcPr>
            <w:tcW w:w="2720" w:type="dxa"/>
            <w:vAlign w:val="bottom"/>
            <w:tcBorders>
              <w:top w:val="single" w:sz="8" w:color="CCEEFF"/>
              <w:bottom w:val="single" w:sz="8" w:color="CCEEFF"/>
            </w:tcBorders>
            <w:gridSpan w:val="2"/>
            <w:shd w:val="clear" w:color="auto" w:fill="CCEEFF"/>
          </w:tcPr>
          <w:p>
            <w:pPr>
              <w:ind w:left="20"/>
              <w:spacing w:after="0" w:line="129" w:lineRule="exact"/>
              <w:rPr>
                <w:sz w:val="20"/>
                <w:szCs w:val="20"/>
                <w:color w:val="auto"/>
              </w:rPr>
            </w:pPr>
            <w:r>
              <w:rPr>
                <w:rFonts w:ascii="Arial" w:cs="Arial" w:eastAsia="Arial" w:hAnsi="Arial"/>
                <w:sz w:val="12"/>
                <w:szCs w:val="12"/>
                <w:b w:val="1"/>
                <w:bCs w:val="1"/>
                <w:color w:val="auto"/>
              </w:rPr>
              <w:t>Segment Adjusted EBITDA</w:t>
            </w:r>
          </w:p>
        </w:tc>
        <w:tc>
          <w:tcPr>
            <w:tcW w:w="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9"/>
                <w:szCs w:val="9"/>
                <w:color w:val="auto"/>
                <w:w w:val="78"/>
              </w:rPr>
              <w:t>$</w:t>
            </w: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21,411</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w w:val="89"/>
              </w:rPr>
              <w:t>$</w:t>
            </w: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18,182</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w:t>
            </w: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21,591</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w w:val="89"/>
              </w:rPr>
              <w:t>$</w:t>
            </w: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77,159</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w w:val="89"/>
              </w:rPr>
              <w:t>$</w:t>
            </w: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68,403</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w w:val="89"/>
              </w:rPr>
              <w:t>$</w:t>
            </w:r>
          </w:p>
        </w:tc>
        <w:tc>
          <w:tcPr>
            <w:tcW w:w="560" w:type="dxa"/>
            <w:vAlign w:val="bottom"/>
            <w:tcBorders>
              <w:top w:val="single" w:sz="8" w:color="auto"/>
              <w:bottom w:val="single" w:sz="8" w:color="auto"/>
            </w:tcBorders>
            <w:shd w:val="clear" w:color="auto" w:fill="CCEEFF"/>
          </w:tcPr>
          <w:p>
            <w:pPr>
              <w:jc w:val="center"/>
              <w:spacing w:after="0" w:line="129" w:lineRule="exact"/>
              <w:rPr>
                <w:sz w:val="20"/>
                <w:szCs w:val="20"/>
                <w:color w:val="auto"/>
              </w:rPr>
            </w:pPr>
            <w:r>
              <w:rPr>
                <w:rFonts w:ascii="Arial" w:cs="Arial" w:eastAsia="Arial" w:hAnsi="Arial"/>
                <w:sz w:val="12"/>
                <w:szCs w:val="12"/>
                <w:color w:val="auto"/>
                <w:w w:val="96"/>
              </w:rPr>
              <w:t>116,582</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w:t>
            </w: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67,859</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w w:val="89"/>
              </w:rPr>
              <w:t>$</w:t>
            </w: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212,182</w:t>
            </w:r>
          </w:p>
        </w:tc>
        <w:tc>
          <w:tcPr>
            <w:tcW w:w="20" w:type="dxa"/>
            <w:vAlign w:val="bottom"/>
          </w:tcPr>
          <w:p>
            <w:pPr>
              <w:spacing w:after="0"/>
              <w:rPr>
                <w:sz w:val="11"/>
                <w:szCs w:val="11"/>
                <w:color w:val="auto"/>
              </w:rPr>
            </w:pPr>
          </w:p>
        </w:tc>
      </w:tr>
      <w:tr>
        <w:trPr>
          <w:trHeight w:val="20"/>
        </w:trPr>
        <w:tc>
          <w:tcPr>
            <w:tcW w:w="2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31" w:lineRule="exact"/>
        <w:rPr>
          <w:sz w:val="20"/>
          <w:szCs w:val="20"/>
          <w:color w:val="auto"/>
        </w:rPr>
      </w:pPr>
    </w:p>
    <w:p>
      <w:pPr>
        <w:ind w:left="460" w:hanging="329"/>
        <w:spacing w:after="0"/>
        <w:tabs>
          <w:tab w:leader="none" w:pos="460" w:val="left"/>
        </w:tabs>
        <w:numPr>
          <w:ilvl w:val="0"/>
          <w:numId w:val="22"/>
        </w:numPr>
        <w:rPr>
          <w:rFonts w:ascii="Arial" w:cs="Arial" w:eastAsia="Arial" w:hAnsi="Arial"/>
          <w:sz w:val="22"/>
          <w:szCs w:val="22"/>
          <w:color w:val="231F20"/>
          <w:vertAlign w:val="superscript"/>
        </w:rPr>
      </w:pPr>
      <w:r>
        <w:rPr>
          <w:rFonts w:ascii="Arial" w:cs="Arial" w:eastAsia="Arial" w:hAnsi="Arial"/>
          <w:sz w:val="14"/>
          <w:szCs w:val="14"/>
          <w:color w:val="auto"/>
        </w:rPr>
        <w:t>Intersegment revenue consists of segment revenue that is eliminated in our condensed consolidated statements of operations.</w:t>
      </w:r>
    </w:p>
    <w:p>
      <w:pPr>
        <w:spacing w:after="0" w:line="93" w:lineRule="exact"/>
        <w:rPr>
          <w:rFonts w:ascii="Arial" w:cs="Arial" w:eastAsia="Arial" w:hAnsi="Arial"/>
          <w:sz w:val="22"/>
          <w:szCs w:val="22"/>
          <w:color w:val="231F20"/>
          <w:vertAlign w:val="superscript"/>
        </w:rPr>
      </w:pPr>
    </w:p>
    <w:p>
      <w:pPr>
        <w:ind w:left="460" w:hanging="329"/>
        <w:spacing w:after="0" w:line="183" w:lineRule="auto"/>
        <w:tabs>
          <w:tab w:leader="none" w:pos="460" w:val="left"/>
        </w:tabs>
        <w:numPr>
          <w:ilvl w:val="0"/>
          <w:numId w:val="22"/>
        </w:numPr>
        <w:rPr>
          <w:rFonts w:ascii="Arial" w:cs="Arial" w:eastAsia="Arial" w:hAnsi="Arial"/>
          <w:sz w:val="20"/>
          <w:szCs w:val="20"/>
          <w:color w:val="231F20"/>
          <w:vertAlign w:val="superscript"/>
        </w:rPr>
      </w:pPr>
      <w:r>
        <w:rPr>
          <w:rFonts w:ascii="Arial" w:cs="Arial" w:eastAsia="Arial" w:hAnsi="Arial"/>
          <w:sz w:val="14"/>
          <w:szCs w:val="14"/>
          <w:color w:val="auto"/>
        </w:rPr>
        <w:t>Adjusted costs applicable to revenue exclude SBC expense and intersegment costs applicable to revenue.</w:t>
      </w:r>
    </w:p>
    <w:p>
      <w:pPr>
        <w:spacing w:after="0" w:line="94" w:lineRule="exact"/>
        <w:rPr>
          <w:rFonts w:ascii="Arial" w:cs="Arial" w:eastAsia="Arial" w:hAnsi="Arial"/>
          <w:sz w:val="20"/>
          <w:szCs w:val="20"/>
          <w:color w:val="231F20"/>
          <w:vertAlign w:val="superscript"/>
        </w:rPr>
      </w:pPr>
    </w:p>
    <w:p>
      <w:pPr>
        <w:ind w:left="460" w:right="79" w:hanging="329"/>
        <w:spacing w:after="0" w:line="196" w:lineRule="auto"/>
        <w:tabs>
          <w:tab w:leader="none" w:pos="460" w:val="left"/>
        </w:tabs>
        <w:numPr>
          <w:ilvl w:val="0"/>
          <w:numId w:val="22"/>
        </w:numPr>
        <w:rPr>
          <w:rFonts w:ascii="Arial" w:cs="Arial" w:eastAsia="Arial" w:hAnsi="Arial"/>
          <w:sz w:val="22"/>
          <w:szCs w:val="22"/>
          <w:color w:val="231F20"/>
          <w:vertAlign w:val="superscript"/>
        </w:rPr>
      </w:pPr>
      <w:r>
        <w:rPr>
          <w:rFonts w:ascii="Arial" w:cs="Arial" w:eastAsia="Arial" w:hAnsi="Arial"/>
          <w:sz w:val="14"/>
          <w:szCs w:val="14"/>
          <w:color w:val="auto"/>
        </w:rPr>
        <w:t>Intersegment costs applicable to revenue consist of segment costs applicable to revenue that are eliminated in our condensed consolidated statements of operations.</w:t>
      </w:r>
    </w:p>
    <w:p>
      <w:pPr>
        <w:spacing w:after="0" w:line="17" w:lineRule="exact"/>
        <w:rPr>
          <w:rFonts w:ascii="Arial" w:cs="Arial" w:eastAsia="Arial" w:hAnsi="Arial"/>
          <w:sz w:val="22"/>
          <w:szCs w:val="22"/>
          <w:color w:val="231F20"/>
          <w:vertAlign w:val="superscript"/>
        </w:rPr>
      </w:pPr>
    </w:p>
    <w:p>
      <w:pPr>
        <w:ind w:left="460" w:hanging="329"/>
        <w:spacing w:after="0"/>
        <w:tabs>
          <w:tab w:leader="none" w:pos="460" w:val="left"/>
        </w:tabs>
        <w:numPr>
          <w:ilvl w:val="0"/>
          <w:numId w:val="22"/>
        </w:numPr>
        <w:rPr>
          <w:rFonts w:ascii="Arial" w:cs="Arial" w:eastAsia="Arial" w:hAnsi="Arial"/>
          <w:sz w:val="22"/>
          <w:szCs w:val="22"/>
          <w:color w:val="231F20"/>
          <w:vertAlign w:val="superscript"/>
        </w:rPr>
      </w:pPr>
      <w:r>
        <w:rPr>
          <w:rFonts w:ascii="Arial" w:cs="Arial" w:eastAsia="Arial" w:hAnsi="Arial"/>
          <w:sz w:val="14"/>
          <w:szCs w:val="14"/>
          <w:color w:val="auto"/>
        </w:rPr>
        <w:t>Adjusted SG&amp;A expenses exclude SBC expense and intersegment operating expenses.</w:t>
      </w:r>
    </w:p>
    <w:p>
      <w:pPr>
        <w:spacing w:after="0" w:line="93" w:lineRule="exact"/>
        <w:rPr>
          <w:rFonts w:ascii="Arial" w:cs="Arial" w:eastAsia="Arial" w:hAnsi="Arial"/>
          <w:sz w:val="22"/>
          <w:szCs w:val="22"/>
          <w:color w:val="231F20"/>
          <w:vertAlign w:val="superscript"/>
        </w:rPr>
      </w:pPr>
    </w:p>
    <w:p>
      <w:pPr>
        <w:ind w:left="460" w:right="79" w:hanging="329"/>
        <w:spacing w:after="0" w:line="196" w:lineRule="auto"/>
        <w:tabs>
          <w:tab w:leader="none" w:pos="460" w:val="left"/>
        </w:tabs>
        <w:numPr>
          <w:ilvl w:val="0"/>
          <w:numId w:val="22"/>
        </w:numPr>
        <w:rPr>
          <w:rFonts w:ascii="Arial" w:cs="Arial" w:eastAsia="Arial" w:hAnsi="Arial"/>
          <w:sz w:val="22"/>
          <w:szCs w:val="22"/>
          <w:color w:val="231F20"/>
          <w:vertAlign w:val="superscript"/>
        </w:rPr>
      </w:pPr>
      <w:r>
        <w:rPr>
          <w:rFonts w:ascii="Arial" w:cs="Arial" w:eastAsia="Arial" w:hAnsi="Arial"/>
          <w:sz w:val="14"/>
          <w:szCs w:val="14"/>
          <w:color w:val="auto"/>
        </w:rPr>
        <w:t>Other segment items include (i) intersegment operating expenses, which are eliminated in our condensed consolidated statements of operations, and (ii) other expense, net excluding loss and/or impairment on investments in equity securities.</w:t>
      </w:r>
    </w:p>
    <w:p>
      <w:pPr>
        <w:spacing w:after="0" w:line="390" w:lineRule="exact"/>
        <w:rPr>
          <w:sz w:val="20"/>
          <w:szCs w:val="20"/>
          <w:color w:val="auto"/>
        </w:rPr>
      </w:pPr>
    </w:p>
    <w:tbl>
      <w:tblPr>
        <w:tblLayout w:type="fixed"/>
        <w:tblInd w:w="60" w:type="dxa"/>
        <w:tblCellMar>
          <w:top w:w="0" w:type="dxa"/>
          <w:left w:w="0" w:type="dxa"/>
          <w:bottom w:w="0" w:type="dxa"/>
          <w:right w:w="0" w:type="dxa"/>
        </w:tblCellMar>
      </w:tblPr>
      <w:tr>
        <w:trPr>
          <w:trHeight w:val="145"/>
        </w:trPr>
        <w:tc>
          <w:tcPr>
            <w:tcW w:w="4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tcBorders>
              <w:bottom w:val="single" w:sz="8" w:color="auto"/>
            </w:tcBorders>
            <w:gridSpan w:val="6"/>
          </w:tcPr>
          <w:p>
            <w:pPr>
              <w:ind w:left="60"/>
              <w:spacing w:after="0"/>
              <w:rPr>
                <w:sz w:val="20"/>
                <w:szCs w:val="20"/>
                <w:color w:val="auto"/>
              </w:rPr>
            </w:pPr>
            <w:r>
              <w:rPr>
                <w:rFonts w:ascii="Arial" w:cs="Arial" w:eastAsia="Arial" w:hAnsi="Arial"/>
                <w:sz w:val="12"/>
                <w:szCs w:val="12"/>
                <w:b w:val="1"/>
                <w:bCs w:val="1"/>
                <w:color w:val="auto"/>
                <w:w w:val="96"/>
              </w:rPr>
              <w:t>Three Months Ended September 30,</w:t>
            </w:r>
          </w:p>
        </w:tc>
        <w:tc>
          <w:tcPr>
            <w:tcW w:w="60" w:type="dxa"/>
            <w:vAlign w:val="bottom"/>
            <w:tcBorders>
              <w:bottom w:val="single" w:sz="8" w:color="auto"/>
            </w:tcBorders>
          </w:tcPr>
          <w:p>
            <w:pPr>
              <w:spacing w:after="0"/>
              <w:rPr>
                <w:sz w:val="12"/>
                <w:szCs w:val="12"/>
                <w:color w:val="auto"/>
              </w:rPr>
            </w:pPr>
          </w:p>
        </w:tc>
        <w:tc>
          <w:tcPr>
            <w:tcW w:w="2020" w:type="dxa"/>
            <w:vAlign w:val="bottom"/>
            <w:tcBorders>
              <w:bottom w:val="single" w:sz="8" w:color="auto"/>
            </w:tcBorders>
            <w:gridSpan w:val="5"/>
          </w:tcPr>
          <w:p>
            <w:pPr>
              <w:jc w:val="right"/>
              <w:spacing w:after="0"/>
              <w:rPr>
                <w:sz w:val="20"/>
                <w:szCs w:val="20"/>
                <w:color w:val="auto"/>
              </w:rPr>
            </w:pPr>
            <w:r>
              <w:rPr>
                <w:rFonts w:ascii="Arial" w:cs="Arial" w:eastAsia="Arial" w:hAnsi="Arial"/>
                <w:sz w:val="12"/>
                <w:szCs w:val="12"/>
                <w:b w:val="1"/>
                <w:bCs w:val="1"/>
                <w:color w:val="auto"/>
                <w:w w:val="98"/>
              </w:rPr>
              <w:t>Nine Months Ended September 30,</w:t>
            </w:r>
          </w:p>
        </w:tc>
      </w:tr>
      <w:tr>
        <w:trPr>
          <w:trHeight w:val="142"/>
        </w:trPr>
        <w:tc>
          <w:tcPr>
            <w:tcW w:w="4680" w:type="dxa"/>
            <w:vAlign w:val="bottom"/>
          </w:tcPr>
          <w:p>
            <w:pPr>
              <w:spacing w:after="0"/>
              <w:rPr>
                <w:sz w:val="20"/>
                <w:szCs w:val="20"/>
                <w:color w:val="auto"/>
              </w:rPr>
            </w:pPr>
            <w:r>
              <w:rPr>
                <w:rFonts w:ascii="Arial" w:cs="Arial" w:eastAsia="Arial" w:hAnsi="Arial"/>
                <w:sz w:val="12"/>
                <w:szCs w:val="12"/>
                <w:color w:val="auto"/>
              </w:rPr>
              <w:t>($ in thousands)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ind w:right="269"/>
              <w:spacing w:after="0"/>
              <w:rPr>
                <w:sz w:val="20"/>
                <w:szCs w:val="20"/>
                <w:color w:val="auto"/>
              </w:rPr>
            </w:pPr>
            <w:r>
              <w:rPr>
                <w:rFonts w:ascii="Arial" w:cs="Arial" w:eastAsia="Arial" w:hAnsi="Arial"/>
                <w:sz w:val="12"/>
                <w:szCs w:val="12"/>
                <w:b w:val="1"/>
                <w:bCs w:val="1"/>
                <w:color w:val="auto"/>
              </w:rPr>
              <w:t>2026</w:t>
            </w:r>
          </w:p>
        </w:tc>
        <w:tc>
          <w:tcPr>
            <w:tcW w:w="260" w:type="dxa"/>
            <w:vAlign w:val="bottom"/>
            <w:gridSpan w:val="2"/>
          </w:tcPr>
          <w:p>
            <w:pPr>
              <w:jc w:val="right"/>
              <w:ind w:right="68"/>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269"/>
              <w:spacing w:after="0"/>
              <w:rPr>
                <w:sz w:val="20"/>
                <w:szCs w:val="20"/>
                <w:color w:val="auto"/>
              </w:rPr>
            </w:pPr>
            <w:r>
              <w:rPr>
                <w:rFonts w:ascii="Arial" w:cs="Arial" w:eastAsia="Arial" w:hAnsi="Arial"/>
                <w:sz w:val="12"/>
                <w:szCs w:val="12"/>
                <w:b w:val="1"/>
                <w:bCs w:val="1"/>
                <w:color w:val="auto"/>
              </w:rPr>
              <w:t>2025</w:t>
            </w:r>
          </w:p>
        </w:tc>
        <w:tc>
          <w:tcPr>
            <w:tcW w:w="60" w:type="dxa"/>
            <w:vAlign w:val="bottom"/>
          </w:tcPr>
          <w:p>
            <w:pPr>
              <w:spacing w:after="0"/>
              <w:rPr>
                <w:sz w:val="12"/>
                <w:szCs w:val="12"/>
                <w:color w:val="auto"/>
              </w:rPr>
            </w:pPr>
          </w:p>
        </w:tc>
        <w:tc>
          <w:tcPr>
            <w:tcW w:w="220" w:type="dxa"/>
            <w:vAlign w:val="bottom"/>
            <w:gridSpan w:val="2"/>
          </w:tcPr>
          <w:p>
            <w:pPr>
              <w:jc w:val="right"/>
              <w:ind w:right="95"/>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289"/>
              <w:spacing w:after="0"/>
              <w:rPr>
                <w:sz w:val="20"/>
                <w:szCs w:val="20"/>
                <w:color w:val="auto"/>
              </w:rPr>
            </w:pPr>
            <w:r>
              <w:rPr>
                <w:rFonts w:ascii="Arial" w:cs="Arial" w:eastAsia="Arial" w:hAnsi="Arial"/>
                <w:sz w:val="12"/>
                <w:szCs w:val="12"/>
                <w:b w:val="1"/>
                <w:bCs w:val="1"/>
                <w:color w:val="auto"/>
              </w:rPr>
              <w:t>2026</w:t>
            </w:r>
          </w:p>
        </w:tc>
        <w:tc>
          <w:tcPr>
            <w:tcW w:w="260" w:type="dxa"/>
            <w:vAlign w:val="bottom"/>
            <w:gridSpan w:val="2"/>
          </w:tcPr>
          <w:p>
            <w:pPr>
              <w:jc w:val="right"/>
              <w:ind w:right="68"/>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289"/>
              <w:spacing w:after="0"/>
              <w:rPr>
                <w:sz w:val="20"/>
                <w:szCs w:val="20"/>
                <w:color w:val="auto"/>
              </w:rPr>
            </w:pPr>
            <w:r>
              <w:rPr>
                <w:rFonts w:ascii="Arial" w:cs="Arial" w:eastAsia="Arial" w:hAnsi="Arial"/>
                <w:sz w:val="12"/>
                <w:szCs w:val="12"/>
                <w:b w:val="1"/>
                <w:bCs w:val="1"/>
                <w:color w:val="auto"/>
              </w:rPr>
              <w:t>2025</w:t>
            </w:r>
          </w:p>
        </w:tc>
      </w:tr>
      <w:tr>
        <w:trPr>
          <w:trHeight w:val="155"/>
        </w:trPr>
        <w:tc>
          <w:tcPr>
            <w:tcW w:w="468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Revenue:</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r>
      <w:tr>
        <w:trPr>
          <w:trHeight w:val="162"/>
        </w:trPr>
        <w:tc>
          <w:tcPr>
            <w:tcW w:w="4680" w:type="dxa"/>
            <w:vAlign w:val="bottom"/>
          </w:tcPr>
          <w:p>
            <w:pPr>
              <w:ind w:left="100"/>
              <w:spacing w:after="0"/>
              <w:rPr>
                <w:sz w:val="20"/>
                <w:szCs w:val="20"/>
                <w:color w:val="auto"/>
              </w:rPr>
            </w:pPr>
            <w:r>
              <w:rPr>
                <w:rFonts w:ascii="Arial" w:cs="Arial" w:eastAsia="Arial" w:hAnsi="Arial"/>
                <w:sz w:val="14"/>
                <w:szCs w:val="14"/>
                <w:color w:val="auto"/>
              </w:rPr>
              <w:t>Good Sam Services and Plans Segment</w:t>
            </w:r>
          </w:p>
        </w:tc>
        <w:tc>
          <w:tcPr>
            <w:tcW w:w="260" w:type="dxa"/>
            <w:vAlign w:val="bottom"/>
            <w:gridSpan w:val="2"/>
          </w:tcPr>
          <w:p>
            <w:pPr>
              <w:jc w:val="right"/>
              <w:ind w:right="15"/>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50,097</w:t>
            </w:r>
          </w:p>
        </w:tc>
        <w:tc>
          <w:tcPr>
            <w:tcW w:w="26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52,672</w:t>
            </w:r>
          </w:p>
        </w:tc>
        <w:tc>
          <w:tcPr>
            <w:tcW w:w="60" w:type="dxa"/>
            <w:vAlign w:val="bottom"/>
          </w:tcPr>
          <w:p>
            <w:pPr>
              <w:spacing w:after="0"/>
              <w:rPr>
                <w:sz w:val="14"/>
                <w:szCs w:val="14"/>
                <w:color w:val="auto"/>
              </w:rPr>
            </w:pPr>
          </w:p>
        </w:tc>
        <w:tc>
          <w:tcPr>
            <w:tcW w:w="220" w:type="dxa"/>
            <w:vAlign w:val="bottom"/>
            <w:gridSpan w:val="2"/>
          </w:tcPr>
          <w:p>
            <w:pPr>
              <w:jc w:val="right"/>
              <w:ind w:right="15"/>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154,203</w:t>
            </w:r>
          </w:p>
        </w:tc>
        <w:tc>
          <w:tcPr>
            <w:tcW w:w="26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153,989</w:t>
            </w:r>
          </w:p>
        </w:tc>
      </w:tr>
      <w:tr>
        <w:trPr>
          <w:trHeight w:val="162"/>
        </w:trPr>
        <w:tc>
          <w:tcPr>
            <w:tcW w:w="46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RV and Outdoor Retail Segment</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1,534,004</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1,757,111</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4,722,481</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5,052,822</w:t>
            </w:r>
          </w:p>
        </w:tc>
      </w:tr>
      <w:tr>
        <w:trPr>
          <w:trHeight w:val="155"/>
        </w:trPr>
        <w:tc>
          <w:tcPr>
            <w:tcW w:w="4680" w:type="dxa"/>
            <w:vAlign w:val="bottom"/>
          </w:tcPr>
          <w:p>
            <w:pPr>
              <w:spacing w:after="0" w:line="155" w:lineRule="exact"/>
              <w:rPr>
                <w:sz w:val="20"/>
                <w:szCs w:val="20"/>
                <w:color w:val="auto"/>
              </w:rPr>
            </w:pPr>
            <w:r>
              <w:rPr>
                <w:rFonts w:ascii="Arial" w:cs="Arial" w:eastAsia="Arial" w:hAnsi="Arial"/>
                <w:sz w:val="14"/>
                <w:szCs w:val="14"/>
                <w:color w:val="auto"/>
              </w:rPr>
              <w:t>Total segment revenue</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1,584,101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1,809,783</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4,876,684</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5,206,811</w:t>
            </w:r>
          </w:p>
        </w:tc>
      </w:tr>
      <w:tr>
        <w:trPr>
          <w:trHeight w:val="162"/>
        </w:trPr>
        <w:tc>
          <w:tcPr>
            <w:tcW w:w="46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Intersegment eliminations</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(1,191)</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(3,665)</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(5,130)</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(11,221)</w:t>
            </w:r>
          </w:p>
        </w:tc>
      </w:tr>
      <w:tr>
        <w:trPr>
          <w:trHeight w:val="155"/>
        </w:trPr>
        <w:tc>
          <w:tcPr>
            <w:tcW w:w="4680" w:type="dxa"/>
            <w:vAlign w:val="bottom"/>
          </w:tcPr>
          <w:p>
            <w:pPr>
              <w:spacing w:after="0" w:line="155" w:lineRule="exact"/>
              <w:rPr>
                <w:sz w:val="20"/>
                <w:szCs w:val="20"/>
                <w:color w:val="auto"/>
              </w:rPr>
            </w:pPr>
            <w:r>
              <w:rPr>
                <w:rFonts w:ascii="Arial" w:cs="Arial" w:eastAsia="Arial" w:hAnsi="Arial"/>
                <w:sz w:val="14"/>
                <w:szCs w:val="14"/>
                <w:color w:val="auto"/>
              </w:rPr>
              <w:t>Total revenue</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1,582,910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1,806,118</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4,871,554</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5,195,590</w:t>
            </w:r>
          </w:p>
        </w:tc>
      </w:tr>
      <w:tr>
        <w:trPr>
          <w:trHeight w:val="162"/>
        </w:trPr>
        <w:tc>
          <w:tcPr>
            <w:tcW w:w="46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Segment Adjusted EBITDA:</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62"/>
        </w:trPr>
        <w:tc>
          <w:tcPr>
            <w:tcW w:w="4680" w:type="dxa"/>
            <w:vAlign w:val="bottom"/>
          </w:tcPr>
          <w:p>
            <w:pPr>
              <w:ind w:left="100"/>
              <w:spacing w:after="0"/>
              <w:rPr>
                <w:sz w:val="20"/>
                <w:szCs w:val="20"/>
                <w:color w:val="auto"/>
              </w:rPr>
            </w:pPr>
            <w:r>
              <w:rPr>
                <w:rFonts w:ascii="Arial" w:cs="Arial" w:eastAsia="Arial" w:hAnsi="Arial"/>
                <w:sz w:val="14"/>
                <w:szCs w:val="14"/>
                <w:color w:val="auto"/>
              </w:rPr>
              <w:t>Good Sam Services and Plans Segment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21,411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21,591</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68,403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67,859</w:t>
            </w:r>
          </w:p>
        </w:tc>
      </w:tr>
      <w:tr>
        <w:trPr>
          <w:trHeight w:val="162"/>
        </w:trPr>
        <w:tc>
          <w:tcPr>
            <w:tcW w:w="46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RV and Outdoor Retail Segment</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18,182</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77,159</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116,582</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212,182</w:t>
            </w:r>
          </w:p>
        </w:tc>
      </w:tr>
      <w:tr>
        <w:trPr>
          <w:trHeight w:val="155"/>
        </w:trPr>
        <w:tc>
          <w:tcPr>
            <w:tcW w:w="4680" w:type="dxa"/>
            <w:vAlign w:val="bottom"/>
          </w:tcPr>
          <w:p>
            <w:pPr>
              <w:spacing w:after="0" w:line="155" w:lineRule="exact"/>
              <w:rPr>
                <w:sz w:val="20"/>
                <w:szCs w:val="20"/>
                <w:color w:val="auto"/>
              </w:rPr>
            </w:pPr>
            <w:r>
              <w:rPr>
                <w:rFonts w:ascii="Arial" w:cs="Arial" w:eastAsia="Arial" w:hAnsi="Arial"/>
                <w:sz w:val="14"/>
                <w:szCs w:val="14"/>
                <w:color w:val="auto"/>
              </w:rPr>
              <w:t>Total Segment Adjusted EBITDA</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39,593</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98,750</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184,985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280,041</w:t>
            </w:r>
          </w:p>
        </w:tc>
      </w:tr>
      <w:tr>
        <w:trPr>
          <w:trHeight w:val="162"/>
        </w:trPr>
        <w:tc>
          <w:tcPr>
            <w:tcW w:w="4680" w:type="dxa"/>
            <w:vAlign w:val="bottom"/>
            <w:shd w:val="clear" w:color="auto" w:fill="CCEEFF"/>
          </w:tcPr>
          <w:p>
            <w:pPr>
              <w:ind w:left="100"/>
              <w:spacing w:after="0" w:line="162" w:lineRule="exact"/>
              <w:rPr>
                <w:sz w:val="20"/>
                <w:szCs w:val="20"/>
                <w:color w:val="auto"/>
              </w:rPr>
            </w:pPr>
            <w:r>
              <w:rPr>
                <w:rFonts w:ascii="Arial" w:cs="Arial" w:eastAsia="Arial" w:hAnsi="Arial"/>
                <w:sz w:val="13"/>
                <w:szCs w:val="13"/>
                <w:color w:val="auto"/>
              </w:rPr>
              <w:t>Corporate SG&amp;A excluding SBC</w:t>
            </w:r>
            <w:r>
              <w:rPr>
                <w:rFonts w:ascii="Arial" w:cs="Arial" w:eastAsia="Arial" w:hAnsi="Arial"/>
                <w:sz w:val="18"/>
                <w:szCs w:val="18"/>
                <w:color w:val="auto"/>
                <w:vertAlign w:val="superscript"/>
              </w:rPr>
              <w:t>(1)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(5,054)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(2,770)</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(11,644)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(10,161)</w:t>
            </w:r>
          </w:p>
        </w:tc>
      </w:tr>
      <w:tr>
        <w:trPr>
          <w:trHeight w:val="162"/>
        </w:trPr>
        <w:tc>
          <w:tcPr>
            <w:tcW w:w="4680" w:type="dxa"/>
            <w:vAlign w:val="bottom"/>
          </w:tcPr>
          <w:p>
            <w:pPr>
              <w:ind w:left="100"/>
              <w:spacing w:after="0"/>
              <w:rPr>
                <w:sz w:val="20"/>
                <w:szCs w:val="20"/>
                <w:color w:val="auto"/>
              </w:rPr>
            </w:pPr>
            <w:r>
              <w:rPr>
                <w:rFonts w:ascii="Arial" w:cs="Arial" w:eastAsia="Arial" w:hAnsi="Arial"/>
                <w:sz w:val="14"/>
                <w:szCs w:val="14"/>
                <w:color w:val="auto"/>
              </w:rPr>
              <w:t>Depreciation and amortization</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(26,967)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(25,654)</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(74,319)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(71,617)</w:t>
            </w:r>
          </w:p>
        </w:tc>
      </w:tr>
      <w:tr>
        <w:trPr>
          <w:trHeight w:val="162"/>
        </w:trPr>
        <w:tc>
          <w:tcPr>
            <w:tcW w:w="46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Loss and expense on debt restructure</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62"/>
        </w:trPr>
        <w:tc>
          <w:tcPr>
            <w:tcW w:w="4680" w:type="dxa"/>
            <w:vAlign w:val="bottom"/>
          </w:tcPr>
          <w:p>
            <w:pPr>
              <w:ind w:left="100"/>
              <w:spacing w:after="0"/>
              <w:rPr>
                <w:sz w:val="20"/>
                <w:szCs w:val="20"/>
                <w:color w:val="auto"/>
              </w:rPr>
            </w:pPr>
            <w:r>
              <w:rPr>
                <w:rFonts w:ascii="Arial" w:cs="Arial" w:eastAsia="Arial" w:hAnsi="Arial"/>
                <w:sz w:val="14"/>
                <w:szCs w:val="14"/>
                <w:color w:val="auto"/>
              </w:rPr>
              <w:t>Goodwill impairment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(286,748)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(286,748)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62"/>
        </w:trPr>
        <w:tc>
          <w:tcPr>
            <w:tcW w:w="46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Long-lived asset impairment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(6,668)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(617)</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(19,767)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(1,237)</w:t>
            </w:r>
          </w:p>
        </w:tc>
      </w:tr>
      <w:tr>
        <w:trPr>
          <w:trHeight w:val="162"/>
        </w:trPr>
        <w:tc>
          <w:tcPr>
            <w:tcW w:w="4680" w:type="dxa"/>
            <w:vAlign w:val="bottom"/>
          </w:tcPr>
          <w:p>
            <w:pPr>
              <w:ind w:left="100"/>
              <w:spacing w:after="0"/>
              <w:rPr>
                <w:sz w:val="20"/>
                <w:szCs w:val="20"/>
                <w:color w:val="auto"/>
              </w:rPr>
            </w:pPr>
            <w:r>
              <w:rPr>
                <w:rFonts w:ascii="Arial" w:cs="Arial" w:eastAsia="Arial" w:hAnsi="Arial"/>
                <w:sz w:val="14"/>
                <w:szCs w:val="14"/>
                <w:color w:val="auto"/>
              </w:rPr>
              <w:t>(Loss) gain on lease termination and/or remeasurement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(76)</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31</w:t>
            </w:r>
          </w:p>
        </w:tc>
      </w:tr>
      <w:tr>
        <w:trPr>
          <w:trHeight w:val="162"/>
        </w:trPr>
        <w:tc>
          <w:tcPr>
            <w:tcW w:w="46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Gain (loss) on sale or disposal of assets</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(534)</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w:t>
            </w:r>
          </w:p>
        </w:tc>
      </w:tr>
      <w:tr>
        <w:trPr>
          <w:trHeight w:val="162"/>
        </w:trPr>
        <w:tc>
          <w:tcPr>
            <w:tcW w:w="4680" w:type="dxa"/>
            <w:vAlign w:val="bottom"/>
          </w:tcPr>
          <w:p>
            <w:pPr>
              <w:ind w:left="100"/>
              <w:spacing w:after="0" w:line="162" w:lineRule="exact"/>
              <w:rPr>
                <w:sz w:val="20"/>
                <w:szCs w:val="20"/>
                <w:color w:val="auto"/>
              </w:rPr>
            </w:pPr>
            <w:r>
              <w:rPr>
                <w:rFonts w:ascii="Arial" w:cs="Arial" w:eastAsia="Arial" w:hAnsi="Arial"/>
                <w:sz w:val="13"/>
                <w:szCs w:val="13"/>
                <w:color w:val="auto"/>
              </w:rPr>
              <w:t>Stock-based compensation</w:t>
            </w:r>
            <w:r>
              <w:rPr>
                <w:rFonts w:ascii="Arial" w:cs="Arial" w:eastAsia="Arial" w:hAnsi="Arial"/>
                <w:sz w:val="18"/>
                <w:szCs w:val="18"/>
                <w:color w:val="auto"/>
                <w:vertAlign w:val="superscript"/>
              </w:rPr>
              <w:t>(2)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(3,600)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(7,750)</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(12,758)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(23,464)</w:t>
            </w:r>
          </w:p>
        </w:tc>
      </w:tr>
      <w:tr>
        <w:trPr>
          <w:trHeight w:val="162"/>
        </w:trPr>
        <w:tc>
          <w:tcPr>
            <w:tcW w:w="4680" w:type="dxa"/>
            <w:vAlign w:val="bottom"/>
            <w:shd w:val="clear" w:color="auto" w:fill="CCEEFF"/>
          </w:tcPr>
          <w:p>
            <w:pPr>
              <w:ind w:left="100"/>
              <w:spacing w:after="0" w:line="162" w:lineRule="exact"/>
              <w:rPr>
                <w:sz w:val="20"/>
                <w:szCs w:val="20"/>
                <w:color w:val="auto"/>
              </w:rPr>
            </w:pPr>
            <w:r>
              <w:rPr>
                <w:rFonts w:ascii="Arial" w:cs="Arial" w:eastAsia="Arial" w:hAnsi="Arial"/>
                <w:sz w:val="13"/>
                <w:szCs w:val="13"/>
                <w:color w:val="auto"/>
              </w:rPr>
              <w:t>Loss and impairment on investments in equity securities</w:t>
            </w:r>
            <w:r>
              <w:rPr>
                <w:rFonts w:ascii="Arial" w:cs="Arial" w:eastAsia="Arial" w:hAnsi="Arial"/>
                <w:sz w:val="18"/>
                <w:szCs w:val="18"/>
                <w:color w:val="auto"/>
                <w:vertAlign w:val="superscript"/>
              </w:rPr>
              <w:t>(3)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(1,163)</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(3,920)</w:t>
            </w:r>
          </w:p>
        </w:tc>
      </w:tr>
      <w:tr>
        <w:trPr>
          <w:trHeight w:val="162"/>
        </w:trPr>
        <w:tc>
          <w:tcPr>
            <w:tcW w:w="4680" w:type="dxa"/>
            <w:vAlign w:val="bottom"/>
          </w:tcPr>
          <w:p>
            <w:pPr>
              <w:ind w:left="100"/>
              <w:spacing w:after="0"/>
              <w:rPr>
                <w:sz w:val="20"/>
                <w:szCs w:val="20"/>
                <w:color w:val="auto"/>
              </w:rPr>
            </w:pPr>
            <w:r>
              <w:rPr>
                <w:rFonts w:ascii="Arial" w:cs="Arial" w:eastAsia="Arial" w:hAnsi="Arial"/>
                <w:sz w:val="14"/>
                <w:szCs w:val="14"/>
                <w:color w:val="auto"/>
              </w:rPr>
              <w:t>Other interest expense, net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(27,409)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(30,982)</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(81,170)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(92,349)</w:t>
            </w:r>
          </w:p>
        </w:tc>
      </w:tr>
      <w:tr>
        <w:trPr>
          <w:trHeight w:val="162"/>
        </w:trPr>
        <w:tc>
          <w:tcPr>
            <w:tcW w:w="46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Tax Receivable Agreement liability adjustment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149,172</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149,172</w:t>
            </w:r>
          </w:p>
        </w:tc>
      </w:tr>
      <w:tr>
        <w:trPr>
          <w:trHeight w:val="162"/>
        </w:trPr>
        <w:tc>
          <w:tcPr>
            <w:tcW w:w="4680" w:type="dxa"/>
            <w:vAlign w:val="bottom"/>
            <w:tcBorders>
              <w:bottom w:val="single" w:sz="8" w:color="CCEEFF"/>
            </w:tcBorders>
          </w:tcPr>
          <w:p>
            <w:pPr>
              <w:ind w:left="100"/>
              <w:spacing w:after="0" w:line="162" w:lineRule="exact"/>
              <w:rPr>
                <w:sz w:val="20"/>
                <w:szCs w:val="20"/>
                <w:color w:val="auto"/>
              </w:rPr>
            </w:pPr>
            <w:r>
              <w:rPr>
                <w:rFonts w:ascii="Arial" w:cs="Arial" w:eastAsia="Arial" w:hAnsi="Arial"/>
                <w:sz w:val="13"/>
                <w:szCs w:val="13"/>
                <w:color w:val="auto"/>
              </w:rPr>
              <w:t>Intersegment eliminations</w:t>
            </w:r>
            <w:r>
              <w:rPr>
                <w:rFonts w:ascii="Arial" w:cs="Arial" w:eastAsia="Arial" w:hAnsi="Arial"/>
                <w:sz w:val="18"/>
                <w:szCs w:val="18"/>
                <w:color w:val="auto"/>
                <w:vertAlign w:val="superscript"/>
              </w:rPr>
              <w:t>(4)</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1,077</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(268)</w:t>
            </w:r>
          </w:p>
        </w:tc>
        <w:tc>
          <w:tcPr>
            <w:tcW w:w="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2,315</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(801)</w:t>
            </w:r>
          </w:p>
        </w:tc>
      </w:tr>
      <w:tr>
        <w:trPr>
          <w:trHeight w:val="155"/>
        </w:trPr>
        <w:tc>
          <w:tcPr>
            <w:tcW w:w="4680" w:type="dxa"/>
            <w:vAlign w:val="bottom"/>
            <w:tcBorders>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(Loss) income before income taxes</w:t>
            </w: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15"/>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(319,099)</w:t>
            </w: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178,108</w:t>
            </w:r>
          </w:p>
        </w:tc>
        <w:tc>
          <w:tcPr>
            <w:tcW w:w="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15"/>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(300,760)</w:t>
            </w: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225,799</w:t>
            </w:r>
          </w:p>
        </w:tc>
      </w:tr>
      <w:tr>
        <w:trPr>
          <w:trHeight w:val="20"/>
        </w:trPr>
        <w:tc>
          <w:tcPr>
            <w:tcW w:w="4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both"/>
        <w:ind w:left="440" w:right="79" w:hanging="322"/>
        <w:spacing w:after="0"/>
        <w:tabs>
          <w:tab w:leader="none" w:pos="440" w:val="left"/>
        </w:tabs>
        <w:numPr>
          <w:ilvl w:val="0"/>
          <w:numId w:val="23"/>
        </w:numPr>
        <w:rPr>
          <w:rFonts w:ascii="Arial" w:cs="Arial" w:eastAsia="Arial" w:hAnsi="Arial"/>
          <w:sz w:val="22"/>
          <w:szCs w:val="22"/>
          <w:color w:val="231F20"/>
          <w:vertAlign w:val="superscript"/>
        </w:rPr>
      </w:pPr>
      <w:r>
        <w:rPr>
          <w:rFonts w:ascii="Arial" w:cs="Arial" w:eastAsia="Arial" w:hAnsi="Arial"/>
          <w:sz w:val="14"/>
          <w:szCs w:val="14"/>
          <w:color w:val="auto"/>
        </w:rPr>
        <w:t>Corporate SG&amp;A excluding SBC represents corporate SG&amp;A expenses that are not allocated to the segments and are comprised primarily of the costs associated with being a public company. This amount excludes the SBC relating to the Board of Directors for their service as board members that is not allocated to the segments, since it is presented as part of the SBC reconciling line item in this table.</w:t>
      </w:r>
    </w:p>
    <w:p>
      <w:pPr>
        <w:spacing w:after="0" w:line="154" w:lineRule="exact"/>
        <w:rPr>
          <w:rFonts w:ascii="Arial" w:cs="Arial" w:eastAsia="Arial" w:hAnsi="Arial"/>
          <w:sz w:val="22"/>
          <w:szCs w:val="22"/>
          <w:color w:val="231F20"/>
          <w:vertAlign w:val="superscript"/>
        </w:rPr>
      </w:pPr>
    </w:p>
    <w:p>
      <w:pPr>
        <w:ind w:left="440" w:right="79" w:hanging="322"/>
        <w:spacing w:after="0" w:line="204" w:lineRule="auto"/>
        <w:tabs>
          <w:tab w:leader="none" w:pos="440" w:val="left"/>
        </w:tabs>
        <w:numPr>
          <w:ilvl w:val="0"/>
          <w:numId w:val="23"/>
        </w:numPr>
        <w:rPr>
          <w:rFonts w:ascii="Arial" w:cs="Arial" w:eastAsia="Arial" w:hAnsi="Arial"/>
          <w:sz w:val="22"/>
          <w:szCs w:val="22"/>
          <w:color w:val="231F20"/>
          <w:vertAlign w:val="superscript"/>
        </w:rPr>
      </w:pPr>
      <w:r>
        <w:rPr>
          <w:rFonts w:ascii="Arial" w:cs="Arial" w:eastAsia="Arial" w:hAnsi="Arial"/>
          <w:sz w:val="14"/>
          <w:szCs w:val="14"/>
          <w:color w:val="auto"/>
        </w:rPr>
        <w:t>This SBC amount includes SBC allocated to the segments and SBC relating to the Board of Directors for their service as board members that is not allocated to the segments (See Note 17 — Stock-Based Compensation Plans).</w:t>
      </w:r>
    </w:p>
    <w:p>
      <w:pPr>
        <w:spacing w:after="0" w:line="39" w:lineRule="exact"/>
        <w:rPr>
          <w:rFonts w:ascii="Arial" w:cs="Arial" w:eastAsia="Arial" w:hAnsi="Arial"/>
          <w:sz w:val="22"/>
          <w:szCs w:val="22"/>
          <w:color w:val="231F20"/>
          <w:vertAlign w:val="superscript"/>
        </w:rPr>
      </w:pPr>
    </w:p>
    <w:p>
      <w:pPr>
        <w:ind w:left="440" w:right="79" w:hanging="322"/>
        <w:spacing w:after="0" w:line="204" w:lineRule="auto"/>
        <w:tabs>
          <w:tab w:leader="none" w:pos="440" w:val="left"/>
        </w:tabs>
        <w:numPr>
          <w:ilvl w:val="0"/>
          <w:numId w:val="23"/>
        </w:numPr>
        <w:rPr>
          <w:rFonts w:ascii="Arial" w:cs="Arial" w:eastAsia="Arial" w:hAnsi="Arial"/>
          <w:sz w:val="22"/>
          <w:szCs w:val="22"/>
          <w:color w:val="231F20"/>
          <w:vertAlign w:val="superscript"/>
        </w:rPr>
      </w:pPr>
      <w:r>
        <w:rPr>
          <w:rFonts w:ascii="Arial" w:cs="Arial" w:eastAsia="Arial" w:hAnsi="Arial"/>
          <w:sz w:val="14"/>
          <w:szCs w:val="14"/>
          <w:color w:val="auto"/>
        </w:rPr>
        <w:t>Represents loss and/or impairment on investments in equity securities and interest income relating to any notes receivable with those investments. These amounts are included in other expense, net in the condensed consolidated statements of operations.</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36" w:name="page37"/>
    <w:bookmarkEnd w:id="3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40" w:hanging="322"/>
        <w:spacing w:after="0"/>
        <w:tabs>
          <w:tab w:leader="none" w:pos="440" w:val="left"/>
        </w:tabs>
        <w:numPr>
          <w:ilvl w:val="0"/>
          <w:numId w:val="24"/>
        </w:numPr>
        <w:rPr>
          <w:rFonts w:ascii="Arial" w:cs="Arial" w:eastAsia="Arial" w:hAnsi="Arial"/>
          <w:sz w:val="22"/>
          <w:szCs w:val="22"/>
          <w:color w:val="231F20"/>
          <w:vertAlign w:val="superscript"/>
        </w:rPr>
      </w:pPr>
      <w:r>
        <w:rPr>
          <w:rFonts w:ascii="Arial" w:cs="Arial" w:eastAsia="Arial" w:hAnsi="Arial"/>
          <w:sz w:val="14"/>
          <w:szCs w:val="14"/>
          <w:color w:val="auto"/>
        </w:rPr>
        <w:t>Represents the net impact of intersegment eliminations on income (loss) before income taxes.</w:t>
      </w:r>
    </w:p>
    <w:p>
      <w:pPr>
        <w:spacing w:after="0" w:line="255" w:lineRule="exact"/>
        <w:rPr>
          <w:sz w:val="20"/>
          <w:szCs w:val="20"/>
          <w:color w:val="auto"/>
        </w:rPr>
      </w:pPr>
    </w:p>
    <w:tbl>
      <w:tblPr>
        <w:tblLayout w:type="fixed"/>
        <w:tblInd w:w="60" w:type="dxa"/>
        <w:tblCellMar>
          <w:top w:w="0" w:type="dxa"/>
          <w:left w:w="0" w:type="dxa"/>
          <w:bottom w:w="0" w:type="dxa"/>
          <w:right w:w="0" w:type="dxa"/>
        </w:tblCellMar>
      </w:tblPr>
      <w:tr>
        <w:trPr>
          <w:trHeight w:val="145"/>
        </w:trPr>
        <w:tc>
          <w:tcPr>
            <w:tcW w:w="4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460" w:type="dxa"/>
            <w:vAlign w:val="bottom"/>
            <w:tcBorders>
              <w:bottom w:val="single" w:sz="8" w:color="auto"/>
            </w:tcBorders>
            <w:gridSpan w:val="15"/>
          </w:tcPr>
          <w:p>
            <w:pPr>
              <w:jc w:val="center"/>
              <w:ind w:right="405"/>
              <w:spacing w:after="0"/>
              <w:rPr>
                <w:sz w:val="20"/>
                <w:szCs w:val="20"/>
                <w:color w:val="auto"/>
              </w:rPr>
            </w:pPr>
            <w:r>
              <w:rPr>
                <w:rFonts w:ascii="Arial" w:cs="Arial" w:eastAsia="Arial" w:hAnsi="Arial"/>
                <w:sz w:val="12"/>
                <w:szCs w:val="12"/>
                <w:b w:val="1"/>
                <w:bCs w:val="1"/>
                <w:color w:val="auto"/>
                <w:w w:val="97"/>
              </w:rPr>
              <w:t>Three Months Ended September 30,</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460" w:type="dxa"/>
            <w:vAlign w:val="bottom"/>
            <w:tcBorders>
              <w:bottom w:val="single" w:sz="8" w:color="auto"/>
            </w:tcBorders>
            <w:gridSpan w:val="13"/>
          </w:tcPr>
          <w:p>
            <w:pPr>
              <w:jc w:val="right"/>
              <w:ind w:right="480"/>
              <w:spacing w:after="0"/>
              <w:rPr>
                <w:sz w:val="20"/>
                <w:szCs w:val="20"/>
                <w:color w:val="auto"/>
              </w:rPr>
            </w:pPr>
            <w:r>
              <w:rPr>
                <w:rFonts w:ascii="Arial" w:cs="Arial" w:eastAsia="Arial" w:hAnsi="Arial"/>
                <w:sz w:val="12"/>
                <w:szCs w:val="12"/>
                <w:b w:val="1"/>
                <w:bCs w:val="1"/>
                <w:color w:val="auto"/>
                <w:w w:val="99"/>
              </w:rPr>
              <w:t>Nine Months Ended September 30,</w:t>
            </w:r>
          </w:p>
        </w:tc>
        <w:tc>
          <w:tcPr>
            <w:tcW w:w="0" w:type="dxa"/>
            <w:vAlign w:val="bottom"/>
          </w:tcPr>
          <w:p>
            <w:pPr>
              <w:spacing w:after="0"/>
              <w:rPr>
                <w:sz w:val="1"/>
                <w:szCs w:val="1"/>
                <w:color w:val="auto"/>
              </w:rPr>
            </w:pPr>
          </w:p>
        </w:tc>
      </w:tr>
      <w:tr>
        <w:trPr>
          <w:trHeight w:val="183"/>
        </w:trPr>
        <w:tc>
          <w:tcPr>
            <w:tcW w:w="2760" w:type="dxa"/>
            <w:vAlign w:val="bottom"/>
            <w:gridSpan w:val="3"/>
          </w:tcPr>
          <w:p>
            <w:pPr>
              <w:spacing w:after="0"/>
              <w:rPr>
                <w:sz w:val="20"/>
                <w:szCs w:val="20"/>
                <w:color w:val="auto"/>
              </w:rPr>
            </w:pPr>
            <w:r>
              <w:rPr>
                <w:rFonts w:ascii="Arial" w:cs="Arial" w:eastAsia="Arial" w:hAnsi="Arial"/>
                <w:sz w:val="12"/>
                <w:szCs w:val="12"/>
                <w:color w:val="auto"/>
              </w:rPr>
              <w:t>($ in thousands)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gridSpan w:val="2"/>
          </w:tcPr>
          <w:p>
            <w:pPr>
              <w:jc w:val="right"/>
              <w:spacing w:after="0"/>
              <w:rPr>
                <w:sz w:val="20"/>
                <w:szCs w:val="20"/>
                <w:color w:val="auto"/>
              </w:rPr>
            </w:pPr>
            <w:r>
              <w:rPr>
                <w:rFonts w:ascii="Arial" w:cs="Arial" w:eastAsia="Arial" w:hAnsi="Arial"/>
                <w:sz w:val="12"/>
                <w:szCs w:val="12"/>
                <w:b w:val="1"/>
                <w:bCs w:val="1"/>
                <w:color w:val="auto"/>
              </w:rPr>
              <w:t>2026</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gridSpan w:val="3"/>
          </w:tcPr>
          <w:p>
            <w:pPr>
              <w:jc w:val="center"/>
              <w:ind w:right="548"/>
              <w:spacing w:after="0"/>
              <w:rPr>
                <w:sz w:val="20"/>
                <w:szCs w:val="20"/>
                <w:color w:val="auto"/>
              </w:rPr>
            </w:pPr>
            <w:r>
              <w:rPr>
                <w:rFonts w:ascii="Arial" w:cs="Arial" w:eastAsia="Arial" w:hAnsi="Arial"/>
                <w:sz w:val="12"/>
                <w:szCs w:val="12"/>
                <w:color w:val="auto"/>
              </w:rPr>
              <w:t>​​​</w:t>
            </w:r>
          </w:p>
        </w:tc>
        <w:tc>
          <w:tcPr>
            <w:tcW w:w="300" w:type="dxa"/>
            <w:vAlign w:val="bottom"/>
            <w:gridSpan w:val="4"/>
          </w:tcPr>
          <w:p>
            <w:pPr>
              <w:jc w:val="right"/>
              <w:spacing w:after="0"/>
              <w:rPr>
                <w:sz w:val="20"/>
                <w:szCs w:val="20"/>
                <w:color w:val="auto"/>
              </w:rPr>
            </w:pPr>
            <w:r>
              <w:rPr>
                <w:rFonts w:ascii="Arial" w:cs="Arial" w:eastAsia="Arial" w:hAnsi="Arial"/>
                <w:sz w:val="12"/>
                <w:szCs w:val="12"/>
                <w:b w:val="1"/>
                <w:bCs w:val="1"/>
                <w:color w:val="auto"/>
                <w:w w:val="89"/>
              </w:rPr>
              <w:t>2025</w:t>
            </w: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gridSpan w:val="3"/>
          </w:tcPr>
          <w:p>
            <w:pPr>
              <w:jc w:val="right"/>
              <w:ind w:right="189"/>
              <w:spacing w:after="0"/>
              <w:rPr>
                <w:sz w:val="20"/>
                <w:szCs w:val="20"/>
                <w:color w:val="auto"/>
              </w:rPr>
            </w:pPr>
            <w:r>
              <w:rPr>
                <w:rFonts w:ascii="Arial" w:cs="Arial" w:eastAsia="Arial" w:hAnsi="Arial"/>
                <w:sz w:val="12"/>
                <w:szCs w:val="12"/>
                <w:color w:val="auto"/>
              </w:rPr>
              <w:t>​​​</w:t>
            </w:r>
          </w:p>
        </w:tc>
        <w:tc>
          <w:tcPr>
            <w:tcW w:w="600" w:type="dxa"/>
            <w:vAlign w:val="bottom"/>
            <w:gridSpan w:val="4"/>
          </w:tcPr>
          <w:p>
            <w:pPr>
              <w:jc w:val="right"/>
              <w:ind w:right="20"/>
              <w:spacing w:after="0"/>
              <w:rPr>
                <w:sz w:val="20"/>
                <w:szCs w:val="20"/>
                <w:color w:val="auto"/>
              </w:rPr>
            </w:pPr>
            <w:r>
              <w:rPr>
                <w:rFonts w:ascii="Arial" w:cs="Arial" w:eastAsia="Arial" w:hAnsi="Arial"/>
                <w:sz w:val="12"/>
                <w:szCs w:val="12"/>
                <w:b w:val="1"/>
                <w:bCs w:val="1"/>
                <w:color w:val="auto"/>
              </w:rPr>
              <w:t>2026</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ind w:right="31"/>
              <w:spacing w:after="0"/>
              <w:rPr>
                <w:sz w:val="20"/>
                <w:szCs w:val="20"/>
                <w:color w:val="auto"/>
              </w:rPr>
            </w:pPr>
            <w:r>
              <w:rPr>
                <w:rFonts w:ascii="Arial" w:cs="Arial" w:eastAsia="Arial" w:hAnsi="Arial"/>
                <w:sz w:val="12"/>
                <w:szCs w:val="12"/>
                <w:b w:val="1"/>
                <w:bCs w:val="1"/>
                <w:color w:val="auto"/>
              </w:rPr>
              <w:t>2025</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760" w:type="dxa"/>
            <w:vAlign w:val="bottom"/>
            <w:tcBorders>
              <w:top w:val="single" w:sz="8" w:color="auto"/>
            </w:tcBorders>
            <w:gridSpan w:val="3"/>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Depreciation and amortization:</w:t>
            </w: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760" w:type="dxa"/>
            <w:vAlign w:val="bottom"/>
            <w:gridSpan w:val="3"/>
          </w:tcPr>
          <w:p>
            <w:pPr>
              <w:ind w:left="100"/>
              <w:spacing w:after="0"/>
              <w:rPr>
                <w:sz w:val="20"/>
                <w:szCs w:val="20"/>
                <w:color w:val="auto"/>
              </w:rPr>
            </w:pPr>
            <w:r>
              <w:rPr>
                <w:rFonts w:ascii="Arial" w:cs="Arial" w:eastAsia="Arial" w:hAnsi="Arial"/>
                <w:sz w:val="14"/>
                <w:szCs w:val="14"/>
                <w:color w:val="auto"/>
              </w:rPr>
              <w:t>Good Sam Services and Plans</w:t>
            </w:r>
          </w:p>
        </w:tc>
        <w:tc>
          <w:tcPr>
            <w:tcW w:w="560" w:type="dxa"/>
            <w:vAlign w:val="bottom"/>
            <w:gridSpan w:val="3"/>
          </w:tcPr>
          <w:p>
            <w:pPr>
              <w:jc w:val="right"/>
              <w:ind w:right="28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3"/>
          </w:tcPr>
          <w:p>
            <w:pPr>
              <w:jc w:val="right"/>
              <w:spacing w:after="0"/>
              <w:rPr>
                <w:sz w:val="20"/>
                <w:szCs w:val="20"/>
                <w:color w:val="auto"/>
              </w:rPr>
            </w:pPr>
            <w:r>
              <w:rPr>
                <w:rFonts w:ascii="Arial" w:cs="Arial" w:eastAsia="Arial" w:hAnsi="Arial"/>
                <w:sz w:val="14"/>
                <w:szCs w:val="14"/>
                <w:color w:val="auto"/>
              </w:rPr>
              <w:t>1,822</w:t>
            </w:r>
          </w:p>
        </w:tc>
        <w:tc>
          <w:tcPr>
            <w:tcW w:w="60" w:type="dxa"/>
            <w:vAlign w:val="bottom"/>
          </w:tcPr>
          <w:p>
            <w:pPr>
              <w:spacing w:after="0"/>
              <w:rPr>
                <w:sz w:val="14"/>
                <w:szCs w:val="14"/>
                <w:color w:val="auto"/>
              </w:rPr>
            </w:pPr>
          </w:p>
        </w:tc>
        <w:tc>
          <w:tcPr>
            <w:tcW w:w="720" w:type="dxa"/>
            <w:vAlign w:val="bottom"/>
            <w:gridSpan w:val="3"/>
          </w:tcPr>
          <w:p>
            <w:pPr>
              <w:jc w:val="right"/>
              <w:ind w:right="36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gridSpan w:val="2"/>
          </w:tcPr>
          <w:p>
            <w:pPr>
              <w:jc w:val="right"/>
              <w:ind w:right="5"/>
              <w:spacing w:after="0"/>
              <w:rPr>
                <w:sz w:val="20"/>
                <w:szCs w:val="20"/>
                <w:color w:val="auto"/>
              </w:rPr>
            </w:pPr>
            <w:r>
              <w:rPr>
                <w:rFonts w:ascii="Arial" w:cs="Arial" w:eastAsia="Arial" w:hAnsi="Arial"/>
                <w:sz w:val="14"/>
                <w:szCs w:val="14"/>
                <w:color w:val="auto"/>
              </w:rPr>
              <w:t>1,552</w:t>
            </w:r>
          </w:p>
        </w:tc>
        <w:tc>
          <w:tcPr>
            <w:tcW w:w="20" w:type="dxa"/>
            <w:vAlign w:val="bottom"/>
          </w:tcPr>
          <w:p>
            <w:pPr>
              <w:spacing w:after="0"/>
              <w:rPr>
                <w:sz w:val="14"/>
                <w:szCs w:val="14"/>
                <w:color w:val="auto"/>
              </w:rPr>
            </w:pPr>
          </w:p>
        </w:tc>
        <w:tc>
          <w:tcPr>
            <w:tcW w:w="440" w:type="dxa"/>
            <w:vAlign w:val="bottom"/>
            <w:gridSpan w:val="3"/>
          </w:tcPr>
          <w:p>
            <w:pPr>
              <w:jc w:val="right"/>
              <w:ind w:right="69"/>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3"/>
          </w:tcPr>
          <w:p>
            <w:pPr>
              <w:jc w:val="right"/>
              <w:ind w:right="5"/>
              <w:spacing w:after="0"/>
              <w:rPr>
                <w:sz w:val="20"/>
                <w:szCs w:val="20"/>
                <w:color w:val="auto"/>
              </w:rPr>
            </w:pPr>
            <w:r>
              <w:rPr>
                <w:rFonts w:ascii="Arial" w:cs="Arial" w:eastAsia="Arial" w:hAnsi="Arial"/>
                <w:sz w:val="14"/>
                <w:szCs w:val="14"/>
                <w:color w:val="auto"/>
              </w:rPr>
              <w:t>4,992</w:t>
            </w:r>
          </w:p>
        </w:tc>
        <w:tc>
          <w:tcPr>
            <w:tcW w:w="200" w:type="dxa"/>
            <w:vAlign w:val="bottom"/>
          </w:tcPr>
          <w:p>
            <w:pPr>
              <w:spacing w:after="0"/>
              <w:rPr>
                <w:sz w:val="14"/>
                <w:szCs w:val="14"/>
                <w:color w:val="auto"/>
              </w:rPr>
            </w:pPr>
          </w:p>
        </w:tc>
        <w:tc>
          <w:tcPr>
            <w:tcW w:w="180" w:type="dxa"/>
            <w:vAlign w:val="bottom"/>
            <w:gridSpan w:val="3"/>
          </w:tcPr>
          <w:p>
            <w:pPr>
              <w:jc w:val="right"/>
              <w:ind w:right="42"/>
              <w:spacing w:after="0"/>
              <w:rPr>
                <w:sz w:val="20"/>
                <w:szCs w:val="20"/>
                <w:color w:val="auto"/>
              </w:rPr>
            </w:pPr>
            <w:r>
              <w:rPr>
                <w:rFonts w:ascii="Arial" w:cs="Arial" w:eastAsia="Arial" w:hAnsi="Arial"/>
                <w:sz w:val="14"/>
                <w:szCs w:val="14"/>
                <w:color w:val="auto"/>
                <w:w w:val="76"/>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3,578</w:t>
            </w:r>
          </w:p>
        </w:tc>
        <w:tc>
          <w:tcPr>
            <w:tcW w:w="0" w:type="dxa"/>
            <w:vAlign w:val="bottom"/>
          </w:tcPr>
          <w:p>
            <w:pPr>
              <w:spacing w:after="0"/>
              <w:rPr>
                <w:sz w:val="1"/>
                <w:szCs w:val="1"/>
                <w:color w:val="auto"/>
              </w:rPr>
            </w:pPr>
          </w:p>
        </w:tc>
      </w:tr>
      <w:tr>
        <w:trPr>
          <w:trHeight w:val="162"/>
        </w:trPr>
        <w:tc>
          <w:tcPr>
            <w:tcW w:w="27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RV and Outdoor Retail</w:t>
            </w:r>
          </w:p>
        </w:tc>
        <w:tc>
          <w:tcPr>
            <w:tcW w:w="1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25,145</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gridSpan w:val="2"/>
            <w:shd w:val="clear" w:color="auto" w:fill="CCEEFF"/>
          </w:tcPr>
          <w:p>
            <w:pPr>
              <w:jc w:val="right"/>
              <w:ind w:right="5"/>
              <w:spacing w:after="0"/>
              <w:rPr>
                <w:sz w:val="20"/>
                <w:szCs w:val="20"/>
                <w:color w:val="auto"/>
              </w:rPr>
            </w:pPr>
            <w:r>
              <w:rPr>
                <w:rFonts w:ascii="Arial" w:cs="Arial" w:eastAsia="Arial" w:hAnsi="Arial"/>
                <w:sz w:val="14"/>
                <w:szCs w:val="14"/>
                <w:color w:val="auto"/>
                <w:w w:val="97"/>
              </w:rPr>
              <w:t>24,102</w:t>
            </w: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gridSpan w:val="3"/>
            <w:shd w:val="clear" w:color="auto" w:fill="CCEEFF"/>
          </w:tcPr>
          <w:p>
            <w:pPr>
              <w:jc w:val="right"/>
              <w:ind w:right="5"/>
              <w:spacing w:after="0"/>
              <w:rPr>
                <w:sz w:val="20"/>
                <w:szCs w:val="20"/>
                <w:color w:val="auto"/>
              </w:rPr>
            </w:pPr>
            <w:r>
              <w:rPr>
                <w:rFonts w:ascii="Arial" w:cs="Arial" w:eastAsia="Arial" w:hAnsi="Arial"/>
                <w:sz w:val="14"/>
                <w:szCs w:val="14"/>
                <w:color w:val="auto"/>
              </w:rPr>
              <w:t>69,327</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68,039</w:t>
            </w:r>
          </w:p>
        </w:tc>
        <w:tc>
          <w:tcPr>
            <w:tcW w:w="0" w:type="dxa"/>
            <w:vAlign w:val="bottom"/>
          </w:tcPr>
          <w:p>
            <w:pPr>
              <w:spacing w:after="0"/>
              <w:rPr>
                <w:sz w:val="1"/>
                <w:szCs w:val="1"/>
                <w:color w:val="auto"/>
              </w:rPr>
            </w:pPr>
          </w:p>
        </w:tc>
      </w:tr>
      <w:tr>
        <w:trPr>
          <w:trHeight w:val="155"/>
        </w:trPr>
        <w:tc>
          <w:tcPr>
            <w:tcW w:w="2760" w:type="dxa"/>
            <w:vAlign w:val="bottom"/>
            <w:gridSpan w:val="3"/>
          </w:tcPr>
          <w:p>
            <w:pPr>
              <w:spacing w:after="0" w:line="155" w:lineRule="exact"/>
              <w:rPr>
                <w:sz w:val="20"/>
                <w:szCs w:val="20"/>
                <w:color w:val="auto"/>
              </w:rPr>
            </w:pPr>
            <w:r>
              <w:rPr>
                <w:rFonts w:ascii="Arial" w:cs="Arial" w:eastAsia="Arial" w:hAnsi="Arial"/>
                <w:sz w:val="14"/>
                <w:szCs w:val="14"/>
                <w:color w:val="auto"/>
              </w:rPr>
              <w:t>Total depreciation and amortization</w:t>
            </w:r>
          </w:p>
        </w:tc>
        <w:tc>
          <w:tcPr>
            <w:tcW w:w="140" w:type="dxa"/>
            <w:vAlign w:val="bottom"/>
          </w:tcPr>
          <w:p>
            <w:pPr>
              <w:spacing w:after="0"/>
              <w:rPr>
                <w:sz w:val="13"/>
                <w:szCs w:val="13"/>
                <w:color w:val="auto"/>
              </w:rPr>
            </w:pPr>
          </w:p>
        </w:tc>
        <w:tc>
          <w:tcPr>
            <w:tcW w:w="420" w:type="dxa"/>
            <w:vAlign w:val="bottom"/>
            <w:tcBorders>
              <w:bottom w:val="single" w:sz="8" w:color="auto"/>
            </w:tcBorders>
            <w:gridSpan w:val="2"/>
          </w:tcPr>
          <w:p>
            <w:pPr>
              <w:jc w:val="right"/>
              <w:ind w:right="289"/>
              <w:spacing w:after="0" w:line="155" w:lineRule="exact"/>
              <w:rPr>
                <w:sz w:val="20"/>
                <w:szCs w:val="20"/>
                <w:color w:val="auto"/>
              </w:rPr>
            </w:pPr>
            <w:r>
              <w:rPr>
                <w:rFonts w:ascii="Arial" w:cs="Arial" w:eastAsia="Arial" w:hAnsi="Arial"/>
                <w:sz w:val="14"/>
                <w:szCs w:val="14"/>
                <w:color w:val="auto"/>
                <w:w w:val="76"/>
              </w:rPr>
              <w:t>$</w:t>
            </w: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rPr>
              <w:t>26,967</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Borders>
              <w:bottom w:val="single" w:sz="8" w:color="auto"/>
            </w:tcBorders>
            <w:gridSpan w:val="2"/>
          </w:tcPr>
          <w:p>
            <w:pPr>
              <w:jc w:val="right"/>
              <w:ind w:right="368"/>
              <w:spacing w:after="0"/>
              <w:rPr>
                <w:sz w:val="20"/>
                <w:szCs w:val="20"/>
                <w:color w:val="auto"/>
              </w:rPr>
            </w:pPr>
            <w:r>
              <w:rPr>
                <w:rFonts w:ascii="Arial" w:cs="Arial" w:eastAsia="Arial" w:hAnsi="Arial"/>
                <w:sz w:val="10"/>
                <w:szCs w:val="10"/>
                <w:color w:val="auto"/>
                <w:w w:val="71"/>
              </w:rPr>
              <w:t>$</w:t>
            </w: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gridSpan w:val="2"/>
          </w:tcPr>
          <w:p>
            <w:pPr>
              <w:jc w:val="right"/>
              <w:ind w:right="5"/>
              <w:spacing w:after="0" w:line="155" w:lineRule="exact"/>
              <w:rPr>
                <w:sz w:val="20"/>
                <w:szCs w:val="20"/>
                <w:color w:val="auto"/>
              </w:rPr>
            </w:pPr>
            <w:r>
              <w:rPr>
                <w:rFonts w:ascii="Arial" w:cs="Arial" w:eastAsia="Arial" w:hAnsi="Arial"/>
                <w:sz w:val="14"/>
                <w:szCs w:val="14"/>
                <w:color w:val="auto"/>
                <w:w w:val="97"/>
              </w:rPr>
              <w:t>25,654</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Borders>
              <w:bottom w:val="single" w:sz="8" w:color="auto"/>
            </w:tcBorders>
            <w:gridSpan w:val="2"/>
          </w:tcPr>
          <w:p>
            <w:pPr>
              <w:jc w:val="right"/>
              <w:ind w:right="69"/>
              <w:spacing w:after="0"/>
              <w:rPr>
                <w:sz w:val="20"/>
                <w:szCs w:val="20"/>
                <w:color w:val="auto"/>
              </w:rPr>
            </w:pPr>
            <w:r>
              <w:rPr>
                <w:rFonts w:ascii="Arial" w:cs="Arial" w:eastAsia="Arial" w:hAnsi="Arial"/>
                <w:sz w:val="10"/>
                <w:szCs w:val="10"/>
                <w:color w:val="auto"/>
                <w:w w:val="71"/>
              </w:rPr>
              <w:t>$</w:t>
            </w: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gridSpan w:val="3"/>
          </w:tcPr>
          <w:p>
            <w:pPr>
              <w:jc w:val="right"/>
              <w:ind w:right="5"/>
              <w:spacing w:after="0" w:line="155" w:lineRule="exact"/>
              <w:rPr>
                <w:sz w:val="20"/>
                <w:szCs w:val="20"/>
                <w:color w:val="auto"/>
              </w:rPr>
            </w:pPr>
            <w:r>
              <w:rPr>
                <w:rFonts w:ascii="Arial" w:cs="Arial" w:eastAsia="Arial" w:hAnsi="Arial"/>
                <w:sz w:val="14"/>
                <w:szCs w:val="14"/>
                <w:color w:val="auto"/>
              </w:rPr>
              <w:t>74,319</w:t>
            </w:r>
          </w:p>
        </w:tc>
        <w:tc>
          <w:tcPr>
            <w:tcW w:w="2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gridSpan w:val="2"/>
          </w:tcPr>
          <w:p>
            <w:pPr>
              <w:jc w:val="right"/>
              <w:ind w:right="42"/>
              <w:spacing w:after="0"/>
              <w:rPr>
                <w:sz w:val="20"/>
                <w:szCs w:val="20"/>
                <w:color w:val="auto"/>
              </w:rPr>
            </w:pPr>
            <w:r>
              <w:rPr>
                <w:rFonts w:ascii="Arial" w:cs="Arial" w:eastAsia="Arial" w:hAnsi="Arial"/>
                <w:sz w:val="10"/>
                <w:szCs w:val="10"/>
                <w:color w:val="auto"/>
                <w:w w:val="71"/>
              </w:rPr>
              <w:t>$</w:t>
            </w: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right"/>
              <w:ind w:right="60"/>
              <w:spacing w:after="0" w:line="155" w:lineRule="exact"/>
              <w:rPr>
                <w:sz w:val="20"/>
                <w:szCs w:val="20"/>
                <w:color w:val="auto"/>
              </w:rPr>
            </w:pPr>
            <w:r>
              <w:rPr>
                <w:rFonts w:ascii="Arial" w:cs="Arial" w:eastAsia="Arial" w:hAnsi="Arial"/>
                <w:sz w:val="14"/>
                <w:szCs w:val="14"/>
                <w:color w:val="auto"/>
              </w:rPr>
              <w:t>71,617</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4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16"/>
          </w:tcPr>
          <w:p>
            <w:pPr>
              <w:jc w:val="right"/>
              <w:ind w:right="440"/>
              <w:spacing w:after="0"/>
              <w:rPr>
                <w:sz w:val="20"/>
                <w:szCs w:val="20"/>
                <w:color w:val="auto"/>
              </w:rPr>
            </w:pPr>
            <w:r>
              <w:rPr>
                <w:rFonts w:ascii="Arial" w:cs="Arial" w:eastAsia="Arial" w:hAnsi="Arial"/>
                <w:sz w:val="12"/>
                <w:szCs w:val="12"/>
                <w:b w:val="1"/>
                <w:bCs w:val="1"/>
                <w:color w:val="auto"/>
                <w:w w:val="98"/>
              </w:rPr>
              <w:t>Three Months Ended September 30,</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13"/>
          </w:tcPr>
          <w:p>
            <w:pPr>
              <w:jc w:val="right"/>
              <w:ind w:right="480"/>
              <w:spacing w:after="0"/>
              <w:rPr>
                <w:sz w:val="20"/>
                <w:szCs w:val="20"/>
                <w:color w:val="auto"/>
              </w:rPr>
            </w:pPr>
            <w:r>
              <w:rPr>
                <w:rFonts w:ascii="Arial" w:cs="Arial" w:eastAsia="Arial" w:hAnsi="Arial"/>
                <w:sz w:val="12"/>
                <w:szCs w:val="12"/>
                <w:b w:val="1"/>
                <w:bCs w:val="1"/>
                <w:color w:val="auto"/>
                <w:w w:val="99"/>
              </w:rPr>
              <w:t>Nine Months Ended September 30,</w:t>
            </w:r>
          </w:p>
        </w:tc>
        <w:tc>
          <w:tcPr>
            <w:tcW w:w="0" w:type="dxa"/>
            <w:vAlign w:val="bottom"/>
          </w:tcPr>
          <w:p>
            <w:pPr>
              <w:spacing w:after="0"/>
              <w:rPr>
                <w:sz w:val="1"/>
                <w:szCs w:val="1"/>
                <w:color w:val="auto"/>
              </w:rPr>
            </w:pPr>
          </w:p>
        </w:tc>
      </w:tr>
      <w:tr>
        <w:trPr>
          <w:trHeight w:val="182"/>
        </w:trPr>
        <w:tc>
          <w:tcPr>
            <w:tcW w:w="2760" w:type="dxa"/>
            <w:vAlign w:val="bottom"/>
            <w:gridSpan w:val="3"/>
          </w:tcPr>
          <w:p>
            <w:pPr>
              <w:spacing w:after="0"/>
              <w:rPr>
                <w:sz w:val="20"/>
                <w:szCs w:val="20"/>
                <w:color w:val="auto"/>
              </w:rPr>
            </w:pPr>
            <w:r>
              <w:rPr>
                <w:rFonts w:ascii="Arial" w:cs="Arial" w:eastAsia="Arial" w:hAnsi="Arial"/>
                <w:sz w:val="12"/>
                <w:szCs w:val="12"/>
                <w:color w:val="auto"/>
              </w:rPr>
              <w:t>($ in thousands)</w:t>
            </w:r>
          </w:p>
        </w:tc>
        <w:tc>
          <w:tcPr>
            <w:tcW w:w="22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gridSpan w:val="4"/>
          </w:tcPr>
          <w:p>
            <w:pPr>
              <w:jc w:val="right"/>
              <w:ind w:right="100"/>
              <w:spacing w:after="0"/>
              <w:rPr>
                <w:sz w:val="20"/>
                <w:szCs w:val="20"/>
                <w:color w:val="auto"/>
              </w:rPr>
            </w:pPr>
            <w:r>
              <w:rPr>
                <w:rFonts w:ascii="Arial" w:cs="Arial" w:eastAsia="Arial" w:hAnsi="Arial"/>
                <w:sz w:val="12"/>
                <w:szCs w:val="12"/>
                <w:b w:val="1"/>
                <w:bCs w:val="1"/>
                <w:color w:val="auto"/>
              </w:rPr>
              <w:t>2026</w:t>
            </w: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gridSpan w:val="3"/>
          </w:tcPr>
          <w:p>
            <w:pPr>
              <w:jc w:val="right"/>
              <w:ind w:right="488"/>
              <w:spacing w:after="0"/>
              <w:rPr>
                <w:sz w:val="20"/>
                <w:szCs w:val="20"/>
                <w:color w:val="auto"/>
              </w:rPr>
            </w:pPr>
            <w:r>
              <w:rPr>
                <w:rFonts w:ascii="Arial" w:cs="Arial" w:eastAsia="Arial" w:hAnsi="Arial"/>
                <w:sz w:val="12"/>
                <w:szCs w:val="12"/>
                <w:color w:val="auto"/>
              </w:rPr>
              <w:t>​​​</w:t>
            </w:r>
          </w:p>
        </w:tc>
        <w:tc>
          <w:tcPr>
            <w:tcW w:w="300" w:type="dxa"/>
            <w:vAlign w:val="bottom"/>
            <w:gridSpan w:val="4"/>
          </w:tcPr>
          <w:p>
            <w:pPr>
              <w:jc w:val="right"/>
              <w:spacing w:after="0"/>
              <w:rPr>
                <w:sz w:val="20"/>
                <w:szCs w:val="20"/>
                <w:color w:val="auto"/>
              </w:rPr>
            </w:pPr>
            <w:r>
              <w:rPr>
                <w:rFonts w:ascii="Arial" w:cs="Arial" w:eastAsia="Arial" w:hAnsi="Arial"/>
                <w:sz w:val="12"/>
                <w:szCs w:val="12"/>
                <w:b w:val="1"/>
                <w:bCs w:val="1"/>
                <w:color w:val="auto"/>
                <w:w w:val="97"/>
              </w:rPr>
              <w:t>2025</w:t>
            </w: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gridSpan w:val="3"/>
          </w:tcPr>
          <w:p>
            <w:pPr>
              <w:jc w:val="right"/>
              <w:ind w:right="169"/>
              <w:spacing w:after="0"/>
              <w:rPr>
                <w:sz w:val="20"/>
                <w:szCs w:val="20"/>
                <w:color w:val="auto"/>
              </w:rPr>
            </w:pPr>
            <w:r>
              <w:rPr>
                <w:rFonts w:ascii="Arial" w:cs="Arial" w:eastAsia="Arial" w:hAnsi="Arial"/>
                <w:sz w:val="12"/>
                <w:szCs w:val="12"/>
                <w:color w:val="auto"/>
              </w:rPr>
              <w:t>​​​</w:t>
            </w:r>
          </w:p>
        </w:tc>
        <w:tc>
          <w:tcPr>
            <w:tcW w:w="600" w:type="dxa"/>
            <w:vAlign w:val="bottom"/>
            <w:gridSpan w:val="4"/>
          </w:tcPr>
          <w:p>
            <w:pPr>
              <w:jc w:val="right"/>
              <w:spacing w:after="0"/>
              <w:rPr>
                <w:sz w:val="20"/>
                <w:szCs w:val="20"/>
                <w:color w:val="auto"/>
              </w:rPr>
            </w:pPr>
            <w:r>
              <w:rPr>
                <w:rFonts w:ascii="Arial" w:cs="Arial" w:eastAsia="Arial" w:hAnsi="Arial"/>
                <w:sz w:val="12"/>
                <w:szCs w:val="12"/>
                <w:b w:val="1"/>
                <w:bCs w:val="1"/>
                <w:color w:val="auto"/>
              </w:rPr>
              <w:t>2026</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ind w:right="31"/>
              <w:spacing w:after="0"/>
              <w:rPr>
                <w:sz w:val="20"/>
                <w:szCs w:val="20"/>
                <w:color w:val="auto"/>
              </w:rPr>
            </w:pPr>
            <w:r>
              <w:rPr>
                <w:rFonts w:ascii="Arial" w:cs="Arial" w:eastAsia="Arial" w:hAnsi="Arial"/>
                <w:sz w:val="12"/>
                <w:szCs w:val="12"/>
                <w:b w:val="1"/>
                <w:bCs w:val="1"/>
                <w:color w:val="auto"/>
              </w:rPr>
              <w:t>2025</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700" w:type="dxa"/>
            <w:vAlign w:val="bottom"/>
            <w:tcBorders>
              <w:top w:val="single" w:sz="8" w:color="auto"/>
            </w:tcBorders>
            <w:gridSpan w:val="2"/>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Other interest expense, net:</w:t>
            </w:r>
          </w:p>
        </w:tc>
        <w:tc>
          <w:tcPr>
            <w:tcW w:w="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760" w:type="dxa"/>
            <w:vAlign w:val="bottom"/>
            <w:gridSpan w:val="3"/>
          </w:tcPr>
          <w:p>
            <w:pPr>
              <w:spacing w:after="0"/>
              <w:rPr>
                <w:sz w:val="20"/>
                <w:szCs w:val="20"/>
                <w:color w:val="auto"/>
              </w:rPr>
            </w:pPr>
            <w:r>
              <w:rPr>
                <w:rFonts w:ascii="Arial" w:cs="Arial" w:eastAsia="Arial" w:hAnsi="Arial"/>
                <w:sz w:val="14"/>
                <w:szCs w:val="14"/>
                <w:color w:val="auto"/>
              </w:rPr>
              <w:t>Good Sam Services and Plans</w:t>
            </w:r>
          </w:p>
        </w:tc>
        <w:tc>
          <w:tcPr>
            <w:tcW w:w="560" w:type="dxa"/>
            <w:vAlign w:val="bottom"/>
            <w:gridSpan w:val="3"/>
          </w:tcPr>
          <w:p>
            <w:pPr>
              <w:jc w:val="right"/>
              <w:ind w:right="22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4"/>
          </w:tcPr>
          <w:p>
            <w:pPr>
              <w:jc w:val="right"/>
              <w:ind w:right="20"/>
              <w:spacing w:after="0"/>
              <w:rPr>
                <w:sz w:val="20"/>
                <w:szCs w:val="20"/>
                <w:color w:val="auto"/>
              </w:rPr>
            </w:pPr>
            <w:r>
              <w:rPr>
                <w:rFonts w:ascii="Arial" w:cs="Arial" w:eastAsia="Arial" w:hAnsi="Arial"/>
                <w:sz w:val="14"/>
                <w:szCs w:val="14"/>
                <w:color w:val="auto"/>
              </w:rPr>
              <w:t>(335)</w:t>
            </w:r>
          </w:p>
        </w:tc>
        <w:tc>
          <w:tcPr>
            <w:tcW w:w="720" w:type="dxa"/>
            <w:vAlign w:val="bottom"/>
            <w:gridSpan w:val="3"/>
          </w:tcPr>
          <w:p>
            <w:pPr>
              <w:ind w:lef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4"/>
                <w:szCs w:val="14"/>
                <w:color w:val="auto"/>
              </w:rPr>
              <w:t>(15)</w:t>
            </w:r>
          </w:p>
        </w:tc>
        <w:tc>
          <w:tcPr>
            <w:tcW w:w="440" w:type="dxa"/>
            <w:vAlign w:val="bottom"/>
            <w:gridSpan w:val="3"/>
          </w:tcPr>
          <w:p>
            <w:pPr>
              <w:jc w:val="right"/>
              <w:ind w:right="49"/>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3"/>
          </w:tcPr>
          <w:p>
            <w:pPr>
              <w:jc w:val="right"/>
              <w:spacing w:after="0"/>
              <w:rPr>
                <w:sz w:val="20"/>
                <w:szCs w:val="20"/>
                <w:color w:val="auto"/>
              </w:rPr>
            </w:pPr>
            <w:r>
              <w:rPr>
                <w:rFonts w:ascii="Arial" w:cs="Arial" w:eastAsia="Arial" w:hAnsi="Arial"/>
                <w:sz w:val="14"/>
                <w:szCs w:val="14"/>
                <w:color w:val="auto"/>
              </w:rPr>
              <w:t>(568)</w:t>
            </w:r>
          </w:p>
        </w:tc>
        <w:tc>
          <w:tcPr>
            <w:tcW w:w="200" w:type="dxa"/>
            <w:vAlign w:val="bottom"/>
          </w:tcPr>
          <w:p>
            <w:pPr>
              <w:spacing w:after="0"/>
              <w:rPr>
                <w:sz w:val="14"/>
                <w:szCs w:val="14"/>
                <w:color w:val="auto"/>
              </w:rPr>
            </w:pPr>
          </w:p>
        </w:tc>
        <w:tc>
          <w:tcPr>
            <w:tcW w:w="180" w:type="dxa"/>
            <w:vAlign w:val="bottom"/>
            <w:gridSpan w:val="3"/>
          </w:tcPr>
          <w:p>
            <w:pPr>
              <w:jc w:val="right"/>
              <w:ind w:right="42"/>
              <w:spacing w:after="0"/>
              <w:rPr>
                <w:sz w:val="20"/>
                <w:szCs w:val="20"/>
                <w:color w:val="auto"/>
              </w:rPr>
            </w:pPr>
            <w:r>
              <w:rPr>
                <w:rFonts w:ascii="Arial" w:cs="Arial" w:eastAsia="Arial" w:hAnsi="Arial"/>
                <w:sz w:val="14"/>
                <w:szCs w:val="14"/>
                <w:color w:val="auto"/>
                <w:w w:val="76"/>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162"/>
        </w:trPr>
        <w:tc>
          <w:tcPr>
            <w:tcW w:w="27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RV and Outdoor Retail</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5,857</w:t>
            </w:r>
          </w:p>
        </w:tc>
        <w:tc>
          <w:tcPr>
            <w:tcW w:w="60" w:type="dxa"/>
            <w:vAlign w:val="bottom"/>
            <w:tcBorders>
              <w:bottom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6,381</w:t>
            </w:r>
          </w:p>
        </w:tc>
        <w:tc>
          <w:tcPr>
            <w:tcW w:w="20" w:type="dxa"/>
            <w:vAlign w:val="bottom"/>
            <w:tcBorders>
              <w:bottom w:val="single" w:sz="8" w:color="auto"/>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gridSpan w:val="3"/>
            <w:shd w:val="clear" w:color="auto" w:fill="CCEEFF"/>
          </w:tcPr>
          <w:p>
            <w:pPr>
              <w:jc w:val="right"/>
              <w:ind w:right="5"/>
              <w:spacing w:after="0"/>
              <w:rPr>
                <w:sz w:val="20"/>
                <w:szCs w:val="20"/>
                <w:color w:val="auto"/>
              </w:rPr>
            </w:pPr>
            <w:r>
              <w:rPr>
                <w:rFonts w:ascii="Arial" w:cs="Arial" w:eastAsia="Arial" w:hAnsi="Arial"/>
                <w:sz w:val="14"/>
                <w:szCs w:val="14"/>
                <w:color w:val="auto"/>
              </w:rPr>
              <w:t>16,540</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19,090</w:t>
            </w:r>
          </w:p>
        </w:tc>
        <w:tc>
          <w:tcPr>
            <w:tcW w:w="0" w:type="dxa"/>
            <w:vAlign w:val="bottom"/>
          </w:tcPr>
          <w:p>
            <w:pPr>
              <w:spacing w:after="0"/>
              <w:rPr>
                <w:sz w:val="1"/>
                <w:szCs w:val="1"/>
                <w:color w:val="auto"/>
              </w:rPr>
            </w:pPr>
          </w:p>
        </w:tc>
      </w:tr>
      <w:tr>
        <w:trPr>
          <w:trHeight w:val="155"/>
        </w:trPr>
        <w:tc>
          <w:tcPr>
            <w:tcW w:w="2760" w:type="dxa"/>
            <w:vAlign w:val="bottom"/>
            <w:gridSpan w:val="3"/>
          </w:tcPr>
          <w:p>
            <w:pPr>
              <w:spacing w:after="0" w:line="155" w:lineRule="exact"/>
              <w:rPr>
                <w:sz w:val="20"/>
                <w:szCs w:val="20"/>
                <w:color w:val="auto"/>
              </w:rPr>
            </w:pPr>
            <w:r>
              <w:rPr>
                <w:rFonts w:ascii="Arial" w:cs="Arial" w:eastAsia="Arial" w:hAnsi="Arial"/>
                <w:sz w:val="14"/>
                <w:szCs w:val="14"/>
                <w:color w:val="auto"/>
              </w:rPr>
              <w:t>Subtotal</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5,522</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6,366</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gridSpan w:val="3"/>
          </w:tcPr>
          <w:p>
            <w:pPr>
              <w:jc w:val="right"/>
              <w:ind w:right="5"/>
              <w:spacing w:after="0" w:line="155" w:lineRule="exact"/>
              <w:rPr>
                <w:sz w:val="20"/>
                <w:szCs w:val="20"/>
                <w:color w:val="auto"/>
              </w:rPr>
            </w:pPr>
            <w:r>
              <w:rPr>
                <w:rFonts w:ascii="Arial" w:cs="Arial" w:eastAsia="Arial" w:hAnsi="Arial"/>
                <w:sz w:val="14"/>
                <w:szCs w:val="14"/>
                <w:color w:val="auto"/>
              </w:rPr>
              <w:t>15,972</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19,002</w:t>
            </w:r>
          </w:p>
        </w:tc>
        <w:tc>
          <w:tcPr>
            <w:tcW w:w="0" w:type="dxa"/>
            <w:vAlign w:val="bottom"/>
          </w:tcPr>
          <w:p>
            <w:pPr>
              <w:spacing w:after="0"/>
              <w:rPr>
                <w:sz w:val="1"/>
                <w:szCs w:val="1"/>
                <w:color w:val="auto"/>
              </w:rPr>
            </w:pPr>
          </w:p>
        </w:tc>
      </w:tr>
      <w:tr>
        <w:trPr>
          <w:trHeight w:val="162"/>
        </w:trPr>
        <w:tc>
          <w:tcPr>
            <w:tcW w:w="27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Corporate &amp; other</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21,887</w:t>
            </w:r>
          </w:p>
        </w:tc>
        <w:tc>
          <w:tcPr>
            <w:tcW w:w="60" w:type="dxa"/>
            <w:vAlign w:val="bottom"/>
            <w:tcBorders>
              <w:bottom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24,616</w:t>
            </w:r>
          </w:p>
        </w:tc>
        <w:tc>
          <w:tcPr>
            <w:tcW w:w="20" w:type="dxa"/>
            <w:vAlign w:val="bottom"/>
            <w:tcBorders>
              <w:bottom w:val="single" w:sz="8" w:color="auto"/>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gridSpan w:val="3"/>
            <w:shd w:val="clear" w:color="auto" w:fill="CCEEFF"/>
          </w:tcPr>
          <w:p>
            <w:pPr>
              <w:jc w:val="right"/>
              <w:ind w:right="5"/>
              <w:spacing w:after="0"/>
              <w:rPr>
                <w:sz w:val="20"/>
                <w:szCs w:val="20"/>
                <w:color w:val="auto"/>
              </w:rPr>
            </w:pPr>
            <w:r>
              <w:rPr>
                <w:rFonts w:ascii="Arial" w:cs="Arial" w:eastAsia="Arial" w:hAnsi="Arial"/>
                <w:sz w:val="14"/>
                <w:szCs w:val="14"/>
                <w:color w:val="auto"/>
              </w:rPr>
              <w:t>65,198</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73,347</w:t>
            </w:r>
          </w:p>
        </w:tc>
        <w:tc>
          <w:tcPr>
            <w:tcW w:w="0" w:type="dxa"/>
            <w:vAlign w:val="bottom"/>
          </w:tcPr>
          <w:p>
            <w:pPr>
              <w:spacing w:after="0"/>
              <w:rPr>
                <w:sz w:val="1"/>
                <w:szCs w:val="1"/>
                <w:color w:val="auto"/>
              </w:rPr>
            </w:pPr>
          </w:p>
        </w:tc>
      </w:tr>
      <w:tr>
        <w:trPr>
          <w:trHeight w:val="155"/>
        </w:trPr>
        <w:tc>
          <w:tcPr>
            <w:tcW w:w="2760" w:type="dxa"/>
            <w:vAlign w:val="bottom"/>
            <w:gridSpan w:val="3"/>
          </w:tcPr>
          <w:p>
            <w:pPr>
              <w:spacing w:after="0" w:line="155" w:lineRule="exact"/>
              <w:rPr>
                <w:sz w:val="20"/>
                <w:szCs w:val="20"/>
                <w:color w:val="auto"/>
              </w:rPr>
            </w:pPr>
            <w:r>
              <w:rPr>
                <w:rFonts w:ascii="Arial" w:cs="Arial" w:eastAsia="Arial" w:hAnsi="Arial"/>
                <w:sz w:val="14"/>
                <w:szCs w:val="14"/>
                <w:color w:val="auto"/>
              </w:rPr>
              <w:t>Total other interest expense, net</w:t>
            </w:r>
          </w:p>
        </w:tc>
        <w:tc>
          <w:tcPr>
            <w:tcW w:w="220" w:type="dxa"/>
            <w:vAlign w:val="bottom"/>
            <w:gridSpan w:val="2"/>
          </w:tcPr>
          <w:p>
            <w:pPr>
              <w:spacing w:after="0"/>
              <w:rPr>
                <w:sz w:val="13"/>
                <w:szCs w:val="13"/>
                <w:color w:val="auto"/>
              </w:rPr>
            </w:pPr>
          </w:p>
        </w:tc>
        <w:tc>
          <w:tcPr>
            <w:tcW w:w="340" w:type="dxa"/>
            <w:vAlign w:val="bottom"/>
            <w:tcBorders>
              <w:bottom w:val="single" w:sz="8" w:color="auto"/>
            </w:tcBorders>
          </w:tcPr>
          <w:p>
            <w:pPr>
              <w:jc w:val="right"/>
              <w:ind w:right="229"/>
              <w:spacing w:after="0"/>
              <w:rPr>
                <w:sz w:val="20"/>
                <w:szCs w:val="20"/>
                <w:color w:val="auto"/>
              </w:rPr>
            </w:pPr>
            <w:r>
              <w:rPr>
                <w:rFonts w:ascii="Arial" w:cs="Arial" w:eastAsia="Arial" w:hAnsi="Arial"/>
                <w:sz w:val="10"/>
                <w:szCs w:val="10"/>
                <w:color w:val="auto"/>
                <w:w w:val="71"/>
              </w:rPr>
              <w:t>$</w:t>
            </w: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rPr>
              <w:t>27,409</w:t>
            </w:r>
          </w:p>
        </w:tc>
        <w:tc>
          <w:tcPr>
            <w:tcW w:w="60" w:type="dxa"/>
            <w:vAlign w:val="bottom"/>
            <w:tcBorders>
              <w:bottom w:val="single" w:sz="8" w:color="auto"/>
            </w:tcBorders>
          </w:tcPr>
          <w:p>
            <w:pPr>
              <w:spacing w:after="0"/>
              <w:rPr>
                <w:sz w:val="13"/>
                <w:szCs w:val="13"/>
                <w:color w:val="auto"/>
              </w:rPr>
            </w:pPr>
          </w:p>
        </w:tc>
        <w:tc>
          <w:tcPr>
            <w:tcW w:w="240" w:type="dxa"/>
            <w:vAlign w:val="bottom"/>
            <w:gridSpan w:val="2"/>
          </w:tcPr>
          <w:p>
            <w:pPr>
              <w:spacing w:after="0"/>
              <w:rPr>
                <w:sz w:val="13"/>
                <w:szCs w:val="13"/>
                <w:color w:val="auto"/>
              </w:rPr>
            </w:pPr>
          </w:p>
        </w:tc>
        <w:tc>
          <w:tcPr>
            <w:tcW w:w="4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30,982</w:t>
            </w:r>
          </w:p>
        </w:tc>
        <w:tc>
          <w:tcPr>
            <w:tcW w:w="20" w:type="dxa"/>
            <w:vAlign w:val="bottom"/>
            <w:tcBorders>
              <w:bottom w:val="single" w:sz="8" w:color="auto"/>
            </w:tcBorders>
          </w:tcPr>
          <w:p>
            <w:pPr>
              <w:spacing w:after="0"/>
              <w:rPr>
                <w:sz w:val="13"/>
                <w:szCs w:val="13"/>
                <w:color w:val="auto"/>
              </w:rPr>
            </w:pPr>
          </w:p>
        </w:tc>
        <w:tc>
          <w:tcPr>
            <w:tcW w:w="280" w:type="dxa"/>
            <w:vAlign w:val="bottom"/>
            <w:gridSpan w:val="2"/>
          </w:tcPr>
          <w:p>
            <w:pPr>
              <w:spacing w:after="0"/>
              <w:rPr>
                <w:sz w:val="13"/>
                <w:szCs w:val="13"/>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gridSpan w:val="3"/>
          </w:tcPr>
          <w:p>
            <w:pPr>
              <w:jc w:val="right"/>
              <w:ind w:right="5"/>
              <w:spacing w:after="0" w:line="155" w:lineRule="exact"/>
              <w:rPr>
                <w:sz w:val="20"/>
                <w:szCs w:val="20"/>
                <w:color w:val="auto"/>
              </w:rPr>
            </w:pPr>
            <w:r>
              <w:rPr>
                <w:rFonts w:ascii="Arial" w:cs="Arial" w:eastAsia="Arial" w:hAnsi="Arial"/>
                <w:sz w:val="14"/>
                <w:szCs w:val="14"/>
                <w:color w:val="auto"/>
              </w:rPr>
              <w:t>81,170</w:t>
            </w:r>
          </w:p>
        </w:tc>
        <w:tc>
          <w:tcPr>
            <w:tcW w:w="2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gridSpan w:val="2"/>
          </w:tcPr>
          <w:p>
            <w:pPr>
              <w:jc w:val="right"/>
              <w:ind w:right="42"/>
              <w:spacing w:after="0"/>
              <w:rPr>
                <w:sz w:val="20"/>
                <w:szCs w:val="20"/>
                <w:color w:val="auto"/>
              </w:rPr>
            </w:pPr>
            <w:r>
              <w:rPr>
                <w:rFonts w:ascii="Arial" w:cs="Arial" w:eastAsia="Arial" w:hAnsi="Arial"/>
                <w:sz w:val="10"/>
                <w:szCs w:val="10"/>
                <w:color w:val="auto"/>
                <w:w w:val="71"/>
              </w:rPr>
              <w:t>$</w:t>
            </w: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right"/>
              <w:ind w:right="60"/>
              <w:spacing w:after="0" w:line="155" w:lineRule="exact"/>
              <w:rPr>
                <w:sz w:val="20"/>
                <w:szCs w:val="20"/>
                <w:color w:val="auto"/>
              </w:rPr>
            </w:pPr>
            <w:r>
              <w:rPr>
                <w:rFonts w:ascii="Arial" w:cs="Arial" w:eastAsia="Arial" w:hAnsi="Arial"/>
                <w:sz w:val="14"/>
                <w:szCs w:val="14"/>
                <w:color w:val="auto"/>
              </w:rPr>
              <w:t>92,349</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4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5"/>
          </w:tcPr>
          <w:p>
            <w:pPr>
              <w:jc w:val="right"/>
              <w:ind w:right="228"/>
              <w:spacing w:after="0"/>
              <w:rPr>
                <w:sz w:val="20"/>
                <w:szCs w:val="20"/>
                <w:color w:val="auto"/>
              </w:rPr>
            </w:pPr>
            <w:r>
              <w:rPr>
                <w:rFonts w:ascii="Arial" w:cs="Arial" w:eastAsia="Arial" w:hAnsi="Arial"/>
                <w:sz w:val="12"/>
                <w:szCs w:val="12"/>
                <w:b w:val="1"/>
                <w:bCs w:val="1"/>
                <w:color w:val="auto"/>
                <w:w w:val="99"/>
              </w:rPr>
              <w:t>September 30,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gridSpan w:val="9"/>
          </w:tcPr>
          <w:p>
            <w:pPr>
              <w:jc w:val="right"/>
              <w:ind w:right="460"/>
              <w:spacing w:after="0"/>
              <w:rPr>
                <w:sz w:val="20"/>
                <w:szCs w:val="20"/>
                <w:color w:val="auto"/>
              </w:rPr>
            </w:pPr>
            <w:r>
              <w:rPr>
                <w:rFonts w:ascii="Arial" w:cs="Arial" w:eastAsia="Arial" w:hAnsi="Arial"/>
                <w:sz w:val="12"/>
                <w:szCs w:val="12"/>
                <w:b w:val="1"/>
                <w:bCs w:val="1"/>
                <w:color w:val="auto"/>
              </w:rPr>
              <w:t>December 31,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80" w:type="dxa"/>
            <w:vAlign w:val="bottom"/>
            <w:gridSpan w:val="9"/>
          </w:tcPr>
          <w:p>
            <w:pPr>
              <w:jc w:val="right"/>
              <w:ind w:right="800"/>
              <w:spacing w:after="0"/>
              <w:rPr>
                <w:sz w:val="20"/>
                <w:szCs w:val="20"/>
                <w:color w:val="auto"/>
              </w:rPr>
            </w:pPr>
            <w:r>
              <w:rPr>
                <w:rFonts w:ascii="Arial" w:cs="Arial" w:eastAsia="Arial" w:hAnsi="Arial"/>
                <w:sz w:val="12"/>
                <w:szCs w:val="12"/>
                <w:b w:val="1"/>
                <w:bCs w:val="1"/>
                <w:color w:val="auto"/>
              </w:rPr>
              <w:t>September 30,</w:t>
            </w:r>
          </w:p>
        </w:tc>
        <w:tc>
          <w:tcPr>
            <w:tcW w:w="0" w:type="dxa"/>
            <w:vAlign w:val="bottom"/>
          </w:tcPr>
          <w:p>
            <w:pPr>
              <w:spacing w:after="0"/>
              <w:rPr>
                <w:sz w:val="1"/>
                <w:szCs w:val="1"/>
                <w:color w:val="auto"/>
              </w:rPr>
            </w:pPr>
          </w:p>
        </w:tc>
      </w:tr>
      <w:tr>
        <w:trPr>
          <w:trHeight w:val="145"/>
        </w:trPr>
        <w:tc>
          <w:tcPr>
            <w:tcW w:w="2760" w:type="dxa"/>
            <w:vAlign w:val="bottom"/>
            <w:gridSpan w:val="3"/>
          </w:tcPr>
          <w:p>
            <w:pPr>
              <w:ind w:left="440"/>
              <w:spacing w:after="0"/>
              <w:rPr>
                <w:sz w:val="20"/>
                <w:szCs w:val="20"/>
                <w:color w:val="auto"/>
              </w:rPr>
            </w:pPr>
            <w:r>
              <w:rPr>
                <w:rFonts w:ascii="Arial" w:cs="Arial" w:eastAsia="Arial" w:hAnsi="Arial"/>
                <w:sz w:val="12"/>
                <w:szCs w:val="12"/>
                <w:color w:val="auto"/>
              </w:rPr>
              <w:t>($ in thousands)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gridSpan w:val="2"/>
          </w:tcPr>
          <w:p>
            <w:pPr>
              <w:jc w:val="right"/>
              <w:ind w:right="149"/>
              <w:spacing w:after="0"/>
              <w:rPr>
                <w:sz w:val="20"/>
                <w:szCs w:val="20"/>
                <w:color w:val="auto"/>
              </w:rPr>
            </w:pPr>
            <w:r>
              <w:rPr>
                <w:rFonts w:ascii="Arial" w:cs="Arial" w:eastAsia="Arial" w:hAnsi="Arial"/>
                <w:sz w:val="12"/>
                <w:szCs w:val="12"/>
                <w:color w:val="auto"/>
              </w:rPr>
              <w:t>​​​</w:t>
            </w:r>
          </w:p>
        </w:tc>
        <w:tc>
          <w:tcPr>
            <w:tcW w:w="800" w:type="dxa"/>
            <w:vAlign w:val="bottom"/>
            <w:gridSpan w:val="5"/>
          </w:tcPr>
          <w:p>
            <w:pPr>
              <w:jc w:val="center"/>
              <w:ind w:left="389"/>
              <w:spacing w:after="0"/>
              <w:rPr>
                <w:sz w:val="20"/>
                <w:szCs w:val="20"/>
                <w:color w:val="auto"/>
              </w:rPr>
            </w:pPr>
            <w:r>
              <w:rPr>
                <w:rFonts w:ascii="Arial" w:cs="Arial" w:eastAsia="Arial" w:hAnsi="Arial"/>
                <w:sz w:val="12"/>
                <w:szCs w:val="12"/>
                <w:b w:val="1"/>
                <w:bCs w:val="1"/>
                <w:color w:val="auto"/>
                <w:w w:val="97"/>
              </w:rPr>
              <w:t>2026</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gridSpan w:val="3"/>
          </w:tcPr>
          <w:p>
            <w:pPr>
              <w:jc w:val="right"/>
              <w:ind w:right="49"/>
              <w:spacing w:after="0"/>
              <w:rPr>
                <w:sz w:val="20"/>
                <w:szCs w:val="20"/>
                <w:color w:val="auto"/>
              </w:rPr>
            </w:pPr>
            <w:r>
              <w:rPr>
                <w:rFonts w:ascii="Arial" w:cs="Arial" w:eastAsia="Arial" w:hAnsi="Arial"/>
                <w:sz w:val="12"/>
                <w:szCs w:val="12"/>
                <w:b w:val="1"/>
                <w:bCs w:val="1"/>
                <w:color w:val="auto"/>
              </w:rPr>
              <w:t>2025</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4"/>
          </w:tcPr>
          <w:p>
            <w:pPr>
              <w:jc w:val="right"/>
              <w:ind w:right="542"/>
              <w:spacing w:after="0"/>
              <w:rPr>
                <w:sz w:val="20"/>
                <w:szCs w:val="20"/>
                <w:color w:val="auto"/>
              </w:rPr>
            </w:pPr>
            <w:r>
              <w:rPr>
                <w:rFonts w:ascii="Arial" w:cs="Arial" w:eastAsia="Arial" w:hAnsi="Arial"/>
                <w:sz w:val="12"/>
                <w:szCs w:val="12"/>
                <w:color w:val="auto"/>
              </w:rPr>
              <w:t>​​​</w:t>
            </w:r>
          </w:p>
        </w:tc>
        <w:tc>
          <w:tcPr>
            <w:tcW w:w="340" w:type="dxa"/>
            <w:vAlign w:val="bottom"/>
            <w:gridSpan w:val="5"/>
          </w:tcPr>
          <w:p>
            <w:pPr>
              <w:jc w:val="right"/>
              <w:spacing w:after="0"/>
              <w:rPr>
                <w:sz w:val="20"/>
                <w:szCs w:val="20"/>
                <w:color w:val="auto"/>
              </w:rPr>
            </w:pPr>
            <w:r>
              <w:rPr>
                <w:rFonts w:ascii="Arial" w:cs="Arial" w:eastAsia="Arial" w:hAnsi="Arial"/>
                <w:sz w:val="12"/>
                <w:szCs w:val="12"/>
                <w:b w:val="1"/>
                <w:bCs w:val="1"/>
                <w:color w:val="auto"/>
              </w:rPr>
              <w:t>2025</w:t>
            </w: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40" w:type="dxa"/>
            <w:vAlign w:val="bottom"/>
          </w:tcPr>
          <w:p>
            <w:pPr>
              <w:spacing w:after="0"/>
              <w:rPr>
                <w:sz w:val="13"/>
                <w:szCs w:val="13"/>
                <w:color w:val="auto"/>
              </w:rPr>
            </w:pPr>
          </w:p>
        </w:tc>
        <w:tc>
          <w:tcPr>
            <w:tcW w:w="2320" w:type="dxa"/>
            <w:vAlign w:val="bottom"/>
            <w:tcBorders>
              <w:top w:val="single" w:sz="8" w:color="auto"/>
            </w:tcBorders>
            <w:gridSpan w:val="2"/>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Assets:</w:t>
            </w:r>
          </w:p>
        </w:tc>
        <w:tc>
          <w:tcPr>
            <w:tcW w:w="1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40" w:type="dxa"/>
            <w:vAlign w:val="bottom"/>
          </w:tcPr>
          <w:p>
            <w:pPr>
              <w:spacing w:after="0"/>
              <w:rPr>
                <w:sz w:val="14"/>
                <w:szCs w:val="14"/>
                <w:color w:val="auto"/>
              </w:rPr>
            </w:pPr>
          </w:p>
        </w:tc>
        <w:tc>
          <w:tcPr>
            <w:tcW w:w="2320" w:type="dxa"/>
            <w:vAlign w:val="bottom"/>
            <w:gridSpan w:val="2"/>
          </w:tcPr>
          <w:p>
            <w:pPr>
              <w:ind w:left="100"/>
              <w:spacing w:after="0"/>
              <w:rPr>
                <w:sz w:val="20"/>
                <w:szCs w:val="20"/>
                <w:color w:val="auto"/>
              </w:rPr>
            </w:pPr>
            <w:r>
              <w:rPr>
                <w:rFonts w:ascii="Arial" w:cs="Arial" w:eastAsia="Arial" w:hAnsi="Arial"/>
                <w:sz w:val="14"/>
                <w:szCs w:val="14"/>
                <w:color w:val="auto"/>
              </w:rPr>
              <w:t>Good Sam Services and Plans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3"/>
          </w:tcPr>
          <w:p>
            <w:pPr>
              <w:jc w:val="right"/>
              <w:spacing w:after="0"/>
              <w:rPr>
                <w:sz w:val="20"/>
                <w:szCs w:val="20"/>
                <w:color w:val="auto"/>
              </w:rPr>
            </w:pPr>
            <w:r>
              <w:rPr>
                <w:rFonts w:ascii="Arial" w:cs="Arial" w:eastAsia="Arial" w:hAnsi="Arial"/>
                <w:sz w:val="14"/>
                <w:szCs w:val="14"/>
                <w:color w:val="auto"/>
              </w:rPr>
              <w:t>107,149</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gridSpan w:val="2"/>
          </w:tcPr>
          <w:p>
            <w:pPr>
              <w:jc w:val="right"/>
              <w:ind w:right="365"/>
              <w:spacing w:after="0"/>
              <w:rPr>
                <w:sz w:val="20"/>
                <w:szCs w:val="20"/>
                <w:color w:val="auto"/>
              </w:rPr>
            </w:pPr>
            <w:r>
              <w:rPr>
                <w:rFonts w:ascii="Arial" w:cs="Arial" w:eastAsia="Arial" w:hAnsi="Arial"/>
                <w:sz w:val="14"/>
                <w:szCs w:val="14"/>
                <w:color w:val="auto"/>
                <w:w w:val="76"/>
              </w:rPr>
              <w:t>$</w:t>
            </w:r>
          </w:p>
        </w:tc>
        <w:tc>
          <w:tcPr>
            <w:tcW w:w="20" w:type="dxa"/>
            <w:vAlign w:val="bottom"/>
          </w:tcPr>
          <w:p>
            <w:pPr>
              <w:spacing w:after="0"/>
              <w:rPr>
                <w:sz w:val="14"/>
                <w:szCs w:val="14"/>
                <w:color w:val="auto"/>
              </w:rPr>
            </w:pPr>
          </w:p>
        </w:tc>
        <w:tc>
          <w:tcPr>
            <w:tcW w:w="940" w:type="dxa"/>
            <w:vAlign w:val="bottom"/>
            <w:gridSpan w:val="6"/>
          </w:tcPr>
          <w:p>
            <w:pPr>
              <w:jc w:val="right"/>
              <w:spacing w:after="0"/>
              <w:rPr>
                <w:sz w:val="20"/>
                <w:szCs w:val="20"/>
                <w:color w:val="auto"/>
              </w:rPr>
            </w:pPr>
            <w:r>
              <w:rPr>
                <w:rFonts w:ascii="Arial" w:cs="Arial" w:eastAsia="Arial" w:hAnsi="Arial"/>
                <w:sz w:val="14"/>
                <w:szCs w:val="14"/>
                <w:color w:val="auto"/>
              </w:rPr>
              <w:t>127,282</w:t>
            </w:r>
          </w:p>
        </w:tc>
        <w:tc>
          <w:tcPr>
            <w:tcW w:w="100" w:type="dxa"/>
            <w:vAlign w:val="bottom"/>
          </w:tcPr>
          <w:p>
            <w:pPr>
              <w:spacing w:after="0"/>
              <w:rPr>
                <w:sz w:val="14"/>
                <w:szCs w:val="14"/>
                <w:color w:val="auto"/>
              </w:rPr>
            </w:pPr>
          </w:p>
        </w:tc>
        <w:tc>
          <w:tcPr>
            <w:tcW w:w="520" w:type="dxa"/>
            <w:vAlign w:val="bottom"/>
            <w:gridSpan w:val="3"/>
          </w:tcPr>
          <w:p>
            <w:pPr>
              <w:jc w:val="right"/>
              <w:ind w:right="225"/>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85,476</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0" w:type="dxa"/>
            <w:vAlign w:val="bottom"/>
          </w:tcPr>
          <w:p>
            <w:pPr>
              <w:spacing w:after="0"/>
              <w:rPr>
                <w:sz w:val="14"/>
                <w:szCs w:val="14"/>
                <w:color w:val="auto"/>
              </w:rPr>
            </w:pPr>
          </w:p>
        </w:tc>
        <w:tc>
          <w:tcPr>
            <w:tcW w:w="23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RV and Outdoor Retail</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4,313,567</w:t>
            </w: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gridSpan w:val="6"/>
            <w:shd w:val="clear" w:color="auto" w:fill="CCEEFF"/>
          </w:tcPr>
          <w:p>
            <w:pPr>
              <w:jc w:val="right"/>
              <w:spacing w:after="0"/>
              <w:rPr>
                <w:sz w:val="20"/>
                <w:szCs w:val="20"/>
                <w:color w:val="auto"/>
              </w:rPr>
            </w:pPr>
            <w:r>
              <w:rPr>
                <w:rFonts w:ascii="Arial" w:cs="Arial" w:eastAsia="Arial" w:hAnsi="Arial"/>
                <w:sz w:val="14"/>
                <w:szCs w:val="14"/>
                <w:color w:val="auto"/>
              </w:rPr>
              <w:t>4,906,137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gridSpan w:val="6"/>
            <w:shd w:val="clear" w:color="auto" w:fill="CCEEFF"/>
          </w:tcPr>
          <w:p>
            <w:pPr>
              <w:jc w:val="right"/>
              <w:spacing w:after="0"/>
              <w:rPr>
                <w:sz w:val="20"/>
                <w:szCs w:val="20"/>
                <w:color w:val="auto"/>
              </w:rPr>
            </w:pPr>
            <w:r>
              <w:rPr>
                <w:rFonts w:ascii="Arial" w:cs="Arial" w:eastAsia="Arial" w:hAnsi="Arial"/>
                <w:sz w:val="14"/>
                <w:szCs w:val="14"/>
                <w:color w:val="auto"/>
              </w:rPr>
              <w:t>4,902,471</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40" w:type="dxa"/>
            <w:vAlign w:val="bottom"/>
          </w:tcPr>
          <w:p>
            <w:pPr>
              <w:spacing w:after="0"/>
              <w:rPr>
                <w:sz w:val="13"/>
                <w:szCs w:val="13"/>
                <w:color w:val="auto"/>
              </w:rPr>
            </w:pPr>
          </w:p>
        </w:tc>
        <w:tc>
          <w:tcPr>
            <w:tcW w:w="2320" w:type="dxa"/>
            <w:vAlign w:val="bottom"/>
            <w:gridSpan w:val="2"/>
          </w:tcPr>
          <w:p>
            <w:pPr>
              <w:ind w:left="100"/>
              <w:spacing w:after="0" w:line="155" w:lineRule="exact"/>
              <w:rPr>
                <w:sz w:val="20"/>
                <w:szCs w:val="20"/>
                <w:color w:val="auto"/>
              </w:rPr>
            </w:pPr>
            <w:r>
              <w:rPr>
                <w:rFonts w:ascii="Arial" w:cs="Arial" w:eastAsia="Arial" w:hAnsi="Arial"/>
                <w:sz w:val="14"/>
                <w:szCs w:val="14"/>
                <w:color w:val="auto"/>
              </w:rPr>
              <w:t>Subtotal</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4,420,716</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gridSpan w:val="6"/>
          </w:tcPr>
          <w:p>
            <w:pPr>
              <w:jc w:val="right"/>
              <w:spacing w:after="0" w:line="155" w:lineRule="exact"/>
              <w:rPr>
                <w:sz w:val="20"/>
                <w:szCs w:val="20"/>
                <w:color w:val="auto"/>
              </w:rPr>
            </w:pPr>
            <w:r>
              <w:rPr>
                <w:rFonts w:ascii="Arial" w:cs="Arial" w:eastAsia="Arial" w:hAnsi="Arial"/>
                <w:sz w:val="14"/>
                <w:szCs w:val="14"/>
                <w:color w:val="auto"/>
              </w:rPr>
              <w:t>5,033,419</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6"/>
          </w:tcPr>
          <w:p>
            <w:pPr>
              <w:jc w:val="right"/>
              <w:spacing w:after="0" w:line="155" w:lineRule="exact"/>
              <w:rPr>
                <w:sz w:val="20"/>
                <w:szCs w:val="20"/>
                <w:color w:val="auto"/>
              </w:rPr>
            </w:pPr>
            <w:r>
              <w:rPr>
                <w:rFonts w:ascii="Arial" w:cs="Arial" w:eastAsia="Arial" w:hAnsi="Arial"/>
                <w:sz w:val="14"/>
                <w:szCs w:val="14"/>
                <w:color w:val="auto"/>
              </w:rPr>
              <w:t>4,987,947</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40" w:type="dxa"/>
            <w:vAlign w:val="bottom"/>
          </w:tcPr>
          <w:p>
            <w:pPr>
              <w:spacing w:after="0"/>
              <w:rPr>
                <w:sz w:val="14"/>
                <w:szCs w:val="14"/>
                <w:color w:val="auto"/>
              </w:rPr>
            </w:pPr>
          </w:p>
        </w:tc>
        <w:tc>
          <w:tcPr>
            <w:tcW w:w="23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Corporate &amp; other</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7,943</w:t>
            </w: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w w:val="97"/>
              </w:rPr>
              <w:t>10,915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11,020</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40" w:type="dxa"/>
            <w:vAlign w:val="bottom"/>
          </w:tcPr>
          <w:p>
            <w:pPr>
              <w:spacing w:after="0"/>
              <w:rPr>
                <w:sz w:val="13"/>
                <w:szCs w:val="13"/>
                <w:color w:val="auto"/>
              </w:rPr>
            </w:pPr>
          </w:p>
        </w:tc>
        <w:tc>
          <w:tcPr>
            <w:tcW w:w="2320" w:type="dxa"/>
            <w:vAlign w:val="bottom"/>
            <w:gridSpan w:val="2"/>
          </w:tcPr>
          <w:p>
            <w:pPr>
              <w:ind w:left="100"/>
              <w:spacing w:after="0" w:line="155" w:lineRule="exact"/>
              <w:rPr>
                <w:sz w:val="20"/>
                <w:szCs w:val="20"/>
                <w:color w:val="auto"/>
              </w:rPr>
            </w:pPr>
            <w:r>
              <w:rPr>
                <w:rFonts w:ascii="Arial" w:cs="Arial" w:eastAsia="Arial" w:hAnsi="Arial"/>
                <w:sz w:val="14"/>
                <w:szCs w:val="14"/>
                <w:color w:val="auto"/>
              </w:rPr>
              <w:t>Total assets</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rPr>
              <w:t>4,428,659</w:t>
            </w: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Borders>
              <w:bottom w:val="single" w:sz="8" w:color="auto"/>
            </w:tcBorders>
          </w:tcPr>
          <w:p>
            <w:pPr>
              <w:jc w:val="right"/>
              <w:ind w:right="365"/>
              <w:spacing w:after="0"/>
              <w:rPr>
                <w:sz w:val="20"/>
                <w:szCs w:val="20"/>
                <w:color w:val="auto"/>
              </w:rPr>
            </w:pPr>
            <w:r>
              <w:rPr>
                <w:rFonts w:ascii="Arial" w:cs="Arial" w:eastAsia="Arial" w:hAnsi="Arial"/>
                <w:sz w:val="10"/>
                <w:szCs w:val="10"/>
                <w:color w:val="auto"/>
                <w:w w:val="71"/>
              </w:rPr>
              <w:t>$</w:t>
            </w:r>
          </w:p>
        </w:tc>
        <w:tc>
          <w:tcPr>
            <w:tcW w:w="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6"/>
          </w:tcPr>
          <w:p>
            <w:pPr>
              <w:jc w:val="right"/>
              <w:spacing w:after="0" w:line="155" w:lineRule="exact"/>
              <w:rPr>
                <w:sz w:val="20"/>
                <w:szCs w:val="20"/>
                <w:color w:val="auto"/>
              </w:rPr>
            </w:pPr>
            <w:r>
              <w:rPr>
                <w:rFonts w:ascii="Arial" w:cs="Arial" w:eastAsia="Arial" w:hAnsi="Arial"/>
                <w:sz w:val="14"/>
                <w:szCs w:val="14"/>
                <w:color w:val="auto"/>
              </w:rPr>
              <w:t>5,044,334</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ind w:right="225"/>
              <w:spacing w:after="0"/>
              <w:rPr>
                <w:sz w:val="20"/>
                <w:szCs w:val="20"/>
                <w:color w:val="auto"/>
              </w:rPr>
            </w:pPr>
            <w:r>
              <w:rPr>
                <w:rFonts w:ascii="Arial" w:cs="Arial" w:eastAsia="Arial" w:hAnsi="Arial"/>
                <w:sz w:val="10"/>
                <w:szCs w:val="10"/>
                <w:color w:val="auto"/>
                <w:w w:val="71"/>
              </w:rPr>
              <w:t>$</w:t>
            </w: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6"/>
          </w:tcPr>
          <w:p>
            <w:pPr>
              <w:jc w:val="right"/>
              <w:spacing w:after="0" w:line="155" w:lineRule="exact"/>
              <w:rPr>
                <w:sz w:val="20"/>
                <w:szCs w:val="20"/>
                <w:color w:val="auto"/>
              </w:rPr>
            </w:pPr>
            <w:r>
              <w:rPr>
                <w:rFonts w:ascii="Arial" w:cs="Arial" w:eastAsia="Arial" w:hAnsi="Arial"/>
                <w:sz w:val="14"/>
                <w:szCs w:val="14"/>
                <w:color w:val="auto"/>
              </w:rPr>
              <w:t>4,998,967</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6"/>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40" w:type="dxa"/>
            <w:vAlign w:val="bottom"/>
            <w:tcBorders>
              <w:bottom w:val="single" w:sz="8" w:color="auto"/>
            </w:tcBorders>
            <w:gridSpan w:val="5"/>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580" w:type="dxa"/>
            <w:vAlign w:val="bottom"/>
            <w:tcBorders>
              <w:bottom w:val="single" w:sz="8" w:color="auto"/>
            </w:tcBorders>
            <w:gridSpan w:val="4"/>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0" w:type="dxa"/>
            <w:vAlign w:val="bottom"/>
            <w:tcBorders>
              <w:bottom w:val="single" w:sz="8" w:color="auto"/>
            </w:tcBorders>
            <w:gridSpan w:val="15"/>
          </w:tcPr>
          <w:p>
            <w:pPr>
              <w:jc w:val="right"/>
              <w:ind w:right="149"/>
              <w:spacing w:after="0"/>
              <w:rPr>
                <w:sz w:val="20"/>
                <w:szCs w:val="20"/>
                <w:color w:val="auto"/>
              </w:rPr>
            </w:pPr>
            <w:r>
              <w:rPr>
                <w:rFonts w:ascii="Arial" w:cs="Arial" w:eastAsia="Arial" w:hAnsi="Arial"/>
                <w:sz w:val="12"/>
                <w:szCs w:val="12"/>
                <w:b w:val="1"/>
                <w:bCs w:val="1"/>
                <w:color w:val="auto"/>
              </w:rPr>
              <w:t>Three Months Ended September 30,</w:t>
            </w:r>
          </w:p>
        </w:tc>
        <w:tc>
          <w:tcPr>
            <w:tcW w:w="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460" w:type="dxa"/>
            <w:vAlign w:val="bottom"/>
            <w:tcBorders>
              <w:bottom w:val="single" w:sz="8" w:color="auto"/>
            </w:tcBorders>
            <w:gridSpan w:val="13"/>
          </w:tcPr>
          <w:p>
            <w:pPr>
              <w:jc w:val="right"/>
              <w:ind w:right="300"/>
              <w:spacing w:after="0"/>
              <w:rPr>
                <w:sz w:val="20"/>
                <w:szCs w:val="20"/>
                <w:color w:val="auto"/>
              </w:rPr>
            </w:pPr>
            <w:r>
              <w:rPr>
                <w:rFonts w:ascii="Arial" w:cs="Arial" w:eastAsia="Arial" w:hAnsi="Arial"/>
                <w:sz w:val="12"/>
                <w:szCs w:val="12"/>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2760" w:type="dxa"/>
            <w:vAlign w:val="bottom"/>
            <w:gridSpan w:val="3"/>
          </w:tcPr>
          <w:p>
            <w:pPr>
              <w:spacing w:after="0"/>
              <w:rPr>
                <w:sz w:val="20"/>
                <w:szCs w:val="20"/>
                <w:color w:val="auto"/>
              </w:rPr>
            </w:pPr>
            <w:r>
              <w:rPr>
                <w:rFonts w:ascii="Arial" w:cs="Arial" w:eastAsia="Arial" w:hAnsi="Arial"/>
                <w:sz w:val="12"/>
                <w:szCs w:val="12"/>
                <w:color w:val="auto"/>
              </w:rPr>
              <w:t>($ in thousands)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3"/>
          </w:tcPr>
          <w:p>
            <w:pPr>
              <w:jc w:val="right"/>
              <w:ind w:right="368"/>
              <w:spacing w:after="0"/>
              <w:rPr>
                <w:sz w:val="20"/>
                <w:szCs w:val="20"/>
                <w:color w:val="auto"/>
              </w:rPr>
            </w:pPr>
            <w:r>
              <w:rPr>
                <w:rFonts w:ascii="Arial" w:cs="Arial" w:eastAsia="Arial" w:hAnsi="Arial"/>
                <w:sz w:val="12"/>
                <w:szCs w:val="12"/>
                <w:b w:val="1"/>
                <w:bCs w:val="1"/>
                <w:color w:val="auto"/>
                <w:w w:val="97"/>
              </w:rPr>
              <w:t>2026</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gridSpan w:val="2"/>
          </w:tcPr>
          <w:p>
            <w:pPr>
              <w:jc w:val="right"/>
              <w:ind w:right="95"/>
              <w:spacing w:after="0"/>
              <w:rPr>
                <w:sz w:val="20"/>
                <w:szCs w:val="20"/>
                <w:color w:val="auto"/>
              </w:rPr>
            </w:pPr>
            <w:r>
              <w:rPr>
                <w:rFonts w:ascii="Arial" w:cs="Arial" w:eastAsia="Arial" w:hAnsi="Arial"/>
                <w:sz w:val="12"/>
                <w:szCs w:val="12"/>
                <w:b w:val="1"/>
                <w:bCs w:val="1"/>
                <w:color w:val="auto"/>
              </w:rPr>
              <w:t>​​</w:t>
            </w:r>
          </w:p>
        </w:tc>
        <w:tc>
          <w:tcPr>
            <w:tcW w:w="780" w:type="dxa"/>
            <w:vAlign w:val="bottom"/>
            <w:gridSpan w:val="4"/>
          </w:tcPr>
          <w:p>
            <w:pPr>
              <w:jc w:val="right"/>
              <w:ind w:right="151"/>
              <w:spacing w:after="0"/>
              <w:rPr>
                <w:sz w:val="20"/>
                <w:szCs w:val="20"/>
                <w:color w:val="auto"/>
              </w:rPr>
            </w:pPr>
            <w:r>
              <w:rPr>
                <w:rFonts w:ascii="Arial" w:cs="Arial" w:eastAsia="Arial" w:hAnsi="Arial"/>
                <w:sz w:val="12"/>
                <w:szCs w:val="12"/>
                <w:b w:val="1"/>
                <w:bCs w:val="1"/>
                <w:color w:val="auto"/>
              </w:rPr>
              <w:t>2025</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3"/>
          </w:tcPr>
          <w:p>
            <w:pPr>
              <w:jc w:val="right"/>
              <w:ind w:right="420"/>
              <w:spacing w:after="0"/>
              <w:rPr>
                <w:sz w:val="20"/>
                <w:szCs w:val="20"/>
                <w:color w:val="auto"/>
              </w:rPr>
            </w:pPr>
            <w:r>
              <w:rPr>
                <w:rFonts w:ascii="Arial" w:cs="Arial" w:eastAsia="Arial" w:hAnsi="Arial"/>
                <w:sz w:val="12"/>
                <w:szCs w:val="12"/>
                <w:color w:val="auto"/>
              </w:rPr>
              <w:t>​​</w:t>
            </w:r>
          </w:p>
        </w:tc>
        <w:tc>
          <w:tcPr>
            <w:tcW w:w="520" w:type="dxa"/>
            <w:vAlign w:val="bottom"/>
            <w:gridSpan w:val="3"/>
          </w:tcPr>
          <w:p>
            <w:pPr>
              <w:jc w:val="right"/>
              <w:ind w:right="165"/>
              <w:spacing w:after="0"/>
              <w:rPr>
                <w:sz w:val="20"/>
                <w:szCs w:val="20"/>
                <w:color w:val="auto"/>
              </w:rPr>
            </w:pPr>
            <w:r>
              <w:rPr>
                <w:rFonts w:ascii="Arial" w:cs="Arial" w:eastAsia="Arial" w:hAnsi="Arial"/>
                <w:sz w:val="12"/>
                <w:szCs w:val="12"/>
                <w:b w:val="1"/>
                <w:bCs w:val="1"/>
                <w:color w:val="auto"/>
              </w:rPr>
              <w:t>2026</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gridSpan w:val="3"/>
          </w:tcPr>
          <w:p>
            <w:pPr>
              <w:jc w:val="right"/>
              <w:ind w:right="129"/>
              <w:spacing w:after="0"/>
              <w:rPr>
                <w:sz w:val="20"/>
                <w:szCs w:val="20"/>
                <w:color w:val="auto"/>
              </w:rPr>
            </w:pPr>
            <w:r>
              <w:rPr>
                <w:rFonts w:ascii="Arial" w:cs="Arial" w:eastAsia="Arial" w:hAnsi="Arial"/>
                <w:sz w:val="12"/>
                <w:szCs w:val="12"/>
                <w:b w:val="1"/>
                <w:bCs w:val="1"/>
                <w:color w:val="auto"/>
              </w:rPr>
              <w:t>​​</w:t>
            </w:r>
          </w:p>
        </w:tc>
        <w:tc>
          <w:tcPr>
            <w:tcW w:w="560" w:type="dxa"/>
            <w:vAlign w:val="bottom"/>
          </w:tcPr>
          <w:p>
            <w:pPr>
              <w:jc w:val="right"/>
              <w:spacing w:after="0"/>
              <w:rPr>
                <w:sz w:val="20"/>
                <w:szCs w:val="20"/>
                <w:color w:val="auto"/>
              </w:rPr>
            </w:pPr>
            <w:r>
              <w:rPr>
                <w:rFonts w:ascii="Arial" w:cs="Arial" w:eastAsia="Arial" w:hAnsi="Arial"/>
                <w:sz w:val="12"/>
                <w:szCs w:val="12"/>
                <w:b w:val="1"/>
                <w:bCs w:val="1"/>
                <w:color w:val="auto"/>
              </w:rPr>
              <w:t>2025</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760" w:type="dxa"/>
            <w:vAlign w:val="bottom"/>
            <w:tcBorders>
              <w:top w:val="single" w:sz="8" w:color="auto"/>
            </w:tcBorders>
            <w:gridSpan w:val="3"/>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Capital expenditures:</w:t>
            </w:r>
          </w:p>
        </w:tc>
        <w:tc>
          <w:tcPr>
            <w:tcW w:w="1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760" w:type="dxa"/>
            <w:vAlign w:val="bottom"/>
            <w:gridSpan w:val="3"/>
          </w:tcPr>
          <w:p>
            <w:pPr>
              <w:ind w:left="100"/>
              <w:spacing w:after="0"/>
              <w:rPr>
                <w:sz w:val="20"/>
                <w:szCs w:val="20"/>
                <w:color w:val="auto"/>
              </w:rPr>
            </w:pPr>
            <w:r>
              <w:rPr>
                <w:rFonts w:ascii="Arial" w:cs="Arial" w:eastAsia="Arial" w:hAnsi="Arial"/>
                <w:sz w:val="14"/>
                <w:szCs w:val="14"/>
                <w:color w:val="auto"/>
              </w:rPr>
              <w:t>Good Sam Services and Plans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3"/>
          </w:tcPr>
          <w:p>
            <w:pPr>
              <w:jc w:val="right"/>
              <w:ind w:right="217"/>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720" w:type="dxa"/>
            <w:vAlign w:val="bottom"/>
            <w:gridSpan w:val="3"/>
          </w:tcPr>
          <w:p>
            <w:pPr>
              <w:jc w:val="right"/>
              <w:spacing w:after="0"/>
              <w:rPr>
                <w:sz w:val="20"/>
                <w:szCs w:val="20"/>
                <w:color w:val="auto"/>
              </w:rPr>
            </w:pPr>
            <w:r>
              <w:rPr>
                <w:rFonts w:ascii="Arial" w:cs="Arial" w:eastAsia="Arial" w:hAnsi="Arial"/>
                <w:sz w:val="14"/>
                <w:szCs w:val="14"/>
                <w:color w:val="auto"/>
              </w:rPr>
              <w:t>3,127</w:t>
            </w:r>
          </w:p>
        </w:tc>
        <w:tc>
          <w:tcPr>
            <w:tcW w:w="30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gridSpan w:val="3"/>
          </w:tcPr>
          <w:p>
            <w:pPr>
              <w:jc w:val="right"/>
              <w:spacing w:after="0"/>
              <w:rPr>
                <w:sz w:val="20"/>
                <w:szCs w:val="20"/>
                <w:color w:val="auto"/>
              </w:rPr>
            </w:pPr>
            <w:r>
              <w:rPr>
                <w:rFonts w:ascii="Arial" w:cs="Arial" w:eastAsia="Arial" w:hAnsi="Arial"/>
                <w:sz w:val="14"/>
                <w:szCs w:val="14"/>
                <w:color w:val="auto"/>
              </w:rPr>
              <w:t>2,581</w:t>
            </w:r>
          </w:p>
        </w:tc>
        <w:tc>
          <w:tcPr>
            <w:tcW w:w="500" w:type="dxa"/>
            <w:vAlign w:val="bottom"/>
            <w:gridSpan w:val="3"/>
          </w:tcPr>
          <w:p>
            <w:pPr>
              <w:jc w:val="right"/>
              <w:ind w:right="15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20" w:type="dxa"/>
            <w:vAlign w:val="bottom"/>
            <w:gridSpan w:val="4"/>
          </w:tcPr>
          <w:p>
            <w:pPr>
              <w:jc w:val="right"/>
              <w:spacing w:after="0"/>
              <w:rPr>
                <w:sz w:val="20"/>
                <w:szCs w:val="20"/>
                <w:color w:val="auto"/>
              </w:rPr>
            </w:pPr>
            <w:r>
              <w:rPr>
                <w:rFonts w:ascii="Arial" w:cs="Arial" w:eastAsia="Arial" w:hAnsi="Arial"/>
                <w:sz w:val="14"/>
                <w:szCs w:val="14"/>
                <w:color w:val="auto"/>
              </w:rPr>
              <w:t>12,283</w:t>
            </w:r>
          </w:p>
        </w:tc>
        <w:tc>
          <w:tcPr>
            <w:tcW w:w="340" w:type="dxa"/>
            <w:vAlign w:val="bottom"/>
            <w:gridSpan w:val="5"/>
          </w:tcPr>
          <w:p>
            <w:pPr>
              <w:jc w:val="right"/>
              <w:ind w:right="29"/>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7,699</w:t>
            </w:r>
          </w:p>
        </w:tc>
        <w:tc>
          <w:tcPr>
            <w:tcW w:w="0" w:type="dxa"/>
            <w:vAlign w:val="bottom"/>
          </w:tcPr>
          <w:p>
            <w:pPr>
              <w:spacing w:after="0"/>
              <w:rPr>
                <w:sz w:val="1"/>
                <w:szCs w:val="1"/>
                <w:color w:val="auto"/>
              </w:rPr>
            </w:pPr>
          </w:p>
        </w:tc>
      </w:tr>
      <w:tr>
        <w:trPr>
          <w:trHeight w:val="162"/>
        </w:trPr>
        <w:tc>
          <w:tcPr>
            <w:tcW w:w="27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RV and Outdoor Retail</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gridSpan w:val="3"/>
            <w:shd w:val="clear" w:color="auto" w:fill="CCEEFF"/>
          </w:tcPr>
          <w:p>
            <w:pPr>
              <w:ind w:left="240"/>
              <w:spacing w:after="0"/>
              <w:rPr>
                <w:sz w:val="20"/>
                <w:szCs w:val="20"/>
                <w:color w:val="auto"/>
              </w:rPr>
            </w:pPr>
            <w:r>
              <w:rPr>
                <w:rFonts w:ascii="Arial" w:cs="Arial" w:eastAsia="Arial" w:hAnsi="Arial"/>
                <w:sz w:val="14"/>
                <w:szCs w:val="14"/>
                <w:color w:val="auto"/>
              </w:rPr>
              <w:t>23,378</w:t>
            </w: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w w:val="97"/>
              </w:rPr>
              <w:t>82,309</w:t>
            </w:r>
          </w:p>
        </w:tc>
        <w:tc>
          <w:tcPr>
            <w:tcW w:w="60" w:type="dxa"/>
            <w:vAlign w:val="bottom"/>
            <w:tcBorders>
              <w:bottom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4"/>
                <w:szCs w:val="14"/>
                <w:color w:val="auto"/>
              </w:rPr>
              <w:t>79,819</w:t>
            </w: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199,273</w:t>
            </w:r>
          </w:p>
        </w:tc>
        <w:tc>
          <w:tcPr>
            <w:tcW w:w="0" w:type="dxa"/>
            <w:vAlign w:val="bottom"/>
          </w:tcPr>
          <w:p>
            <w:pPr>
              <w:spacing w:after="0"/>
              <w:rPr>
                <w:sz w:val="1"/>
                <w:szCs w:val="1"/>
                <w:color w:val="auto"/>
              </w:rPr>
            </w:pPr>
          </w:p>
        </w:tc>
      </w:tr>
      <w:tr>
        <w:trPr>
          <w:trHeight w:val="155"/>
        </w:trPr>
        <w:tc>
          <w:tcPr>
            <w:tcW w:w="2760" w:type="dxa"/>
            <w:vAlign w:val="bottom"/>
            <w:gridSpan w:val="3"/>
          </w:tcPr>
          <w:p>
            <w:pPr>
              <w:ind w:left="100"/>
              <w:spacing w:after="0" w:line="155" w:lineRule="exact"/>
              <w:rPr>
                <w:sz w:val="20"/>
                <w:szCs w:val="20"/>
                <w:color w:val="auto"/>
              </w:rPr>
            </w:pPr>
            <w:r>
              <w:rPr>
                <w:rFonts w:ascii="Arial" w:cs="Arial" w:eastAsia="Arial" w:hAnsi="Arial"/>
                <w:sz w:val="14"/>
                <w:szCs w:val="14"/>
                <w:color w:val="auto"/>
              </w:rPr>
              <w:t>Total capital expenditures</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jc w:val="right"/>
              <w:ind w:right="217"/>
              <w:spacing w:after="0" w:line="155" w:lineRule="exact"/>
              <w:rPr>
                <w:sz w:val="20"/>
                <w:szCs w:val="20"/>
                <w:color w:val="auto"/>
              </w:rPr>
            </w:pPr>
            <w:r>
              <w:rPr>
                <w:rFonts w:ascii="Arial" w:cs="Arial" w:eastAsia="Arial" w:hAnsi="Arial"/>
                <w:sz w:val="14"/>
                <w:szCs w:val="14"/>
                <w:color w:val="auto"/>
                <w:w w:val="76"/>
              </w:rPr>
              <w:t>$</w:t>
            </w:r>
          </w:p>
        </w:tc>
        <w:tc>
          <w:tcPr>
            <w:tcW w:w="60" w:type="dxa"/>
            <w:vAlign w:val="bottom"/>
          </w:tcPr>
          <w:p>
            <w:pPr>
              <w:spacing w:after="0"/>
              <w:rPr>
                <w:sz w:val="13"/>
                <w:szCs w:val="13"/>
                <w:color w:val="auto"/>
              </w:rPr>
            </w:pPr>
          </w:p>
        </w:tc>
        <w:tc>
          <w:tcPr>
            <w:tcW w:w="720" w:type="dxa"/>
            <w:vAlign w:val="bottom"/>
            <w:gridSpan w:val="3"/>
          </w:tcPr>
          <w:p>
            <w:pPr>
              <w:ind w:left="240"/>
              <w:spacing w:after="0" w:line="155" w:lineRule="exact"/>
              <w:rPr>
                <w:sz w:val="20"/>
                <w:szCs w:val="20"/>
                <w:color w:val="auto"/>
              </w:rPr>
            </w:pPr>
            <w:r>
              <w:rPr>
                <w:rFonts w:ascii="Arial" w:cs="Arial" w:eastAsia="Arial" w:hAnsi="Arial"/>
                <w:sz w:val="14"/>
                <w:szCs w:val="14"/>
                <w:color w:val="auto"/>
              </w:rPr>
              <w:t>26,505</w:t>
            </w: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14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gridSpan w:val="3"/>
          </w:tcPr>
          <w:p>
            <w:pPr>
              <w:jc w:val="right"/>
              <w:spacing w:after="0" w:line="155" w:lineRule="exact"/>
              <w:rPr>
                <w:sz w:val="20"/>
                <w:szCs w:val="20"/>
                <w:color w:val="auto"/>
              </w:rPr>
            </w:pPr>
            <w:r>
              <w:rPr>
                <w:rFonts w:ascii="Arial" w:cs="Arial" w:eastAsia="Arial" w:hAnsi="Arial"/>
                <w:sz w:val="14"/>
                <w:szCs w:val="14"/>
                <w:color w:val="auto"/>
                <w:w w:val="97"/>
              </w:rPr>
              <w:t>84,890</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jc w:val="right"/>
              <w:ind w:right="158"/>
              <w:spacing w:after="0" w:line="155" w:lineRule="exact"/>
              <w:rPr>
                <w:sz w:val="20"/>
                <w:szCs w:val="20"/>
                <w:color w:val="auto"/>
              </w:rPr>
            </w:pPr>
            <w:r>
              <w:rPr>
                <w:rFonts w:ascii="Arial" w:cs="Arial" w:eastAsia="Arial" w:hAnsi="Arial"/>
                <w:sz w:val="14"/>
                <w:szCs w:val="14"/>
                <w:color w:val="auto"/>
                <w:w w:val="76"/>
              </w:rPr>
              <w:t>$</w:t>
            </w:r>
          </w:p>
        </w:tc>
        <w:tc>
          <w:tcPr>
            <w:tcW w:w="100" w:type="dxa"/>
            <w:vAlign w:val="bottom"/>
          </w:tcPr>
          <w:p>
            <w:pPr>
              <w:spacing w:after="0"/>
              <w:rPr>
                <w:sz w:val="13"/>
                <w:szCs w:val="13"/>
                <w:color w:val="auto"/>
              </w:rPr>
            </w:pPr>
          </w:p>
        </w:tc>
        <w:tc>
          <w:tcPr>
            <w:tcW w:w="72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92,102</w:t>
            </w:r>
          </w:p>
        </w:tc>
        <w:tc>
          <w:tcPr>
            <w:tcW w:w="40" w:type="dxa"/>
            <w:vAlign w:val="bottom"/>
            <w:gridSpan w:val="2"/>
          </w:tcPr>
          <w:p>
            <w:pPr>
              <w:spacing w:after="0"/>
              <w:rPr>
                <w:sz w:val="13"/>
                <w:szCs w:val="13"/>
                <w:color w:val="auto"/>
              </w:rPr>
            </w:pPr>
          </w:p>
        </w:tc>
        <w:tc>
          <w:tcPr>
            <w:tcW w:w="160" w:type="dxa"/>
            <w:vAlign w:val="bottom"/>
            <w:gridSpan w:val="2"/>
          </w:tcPr>
          <w:p>
            <w:pPr>
              <w:spacing w:after="0"/>
              <w:rPr>
                <w:sz w:val="13"/>
                <w:szCs w:val="13"/>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206,972</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98"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196"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our condensed consolidated financial statements and related notes included in Part I, Item 1 of this Form 10-Q, as well as our Annual Report on Form 10-K for the year ended December 31, 2025, filed with the SEC on February 27, 2026 (the “Annual Report”). This discussion contains forward-looking statements based upon current plans, expectations and beliefs involving risks and uncertainties. Our actual results may differ materially from those anticipated in these forward-looking statements as a result of various important factors, including those set forth under “Risk Factors” included in Part I, Item 1A of our Annual Report and Part II, Item 1A of this Form 10-Q, the “Cautionary Note Regarding Forward-Looking Statements” in this Form 10-Q and in other parts of this Form 10-Q. Except to the extent that differences among reportable segments are material to an understanding of our business taken as a whole, we present the discussion in Management’s Discussion and Analysis of Financial Condition and Results of Operations on a consolidated basis.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12"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Camping World Holdings, Inc. (together with its subsidiaries) is America’s largest retailer of RVs and related products and services. Through our Camping World and Good Sam brands, our vision is to make it easy for everyone to enjoy RVing and empower our customers’ joy of travel. We strive to build long-term value for our customers, employees, and stockholders by combining a comprehensive offering of RV products and services with a national network of RV dealerships, service centers and customer support centers. We also believe that our Good Sam organization and family of highly specialized services and plans, including roadside</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37" w:name="page38"/>
    <w:bookmarkEnd w:id="3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assistance, protection plans and insurance, uniquely enable us to protect our customers on the road ahead. As of September 30, 2026, we operated a total of 197 locations, with all of them selling and/or servicing RVs. See Note 1 — Summary of Significant Accounting Policies to our condensed consolidated financial statements included in Part I, Item 1 of this Form 10-Q.</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 summary of the changes in quantities and types of retail stores and changes in same stores from</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September 30, 2025 to September 30, 2026 is presented in the table below:</w:t>
      </w:r>
    </w:p>
    <w:p>
      <w:pPr>
        <w:spacing w:after="0" w:line="95"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3740" w:type="dxa"/>
            <w:vAlign w:val="bottom"/>
          </w:tcPr>
          <w:p>
            <w:pPr>
              <w:spacing w:after="0"/>
              <w:rPr>
                <w:sz w:val="12"/>
                <w:szCs w:val="12"/>
                <w:color w:val="auto"/>
              </w:rPr>
            </w:pPr>
          </w:p>
        </w:tc>
        <w:tc>
          <w:tcPr>
            <w:tcW w:w="1000" w:type="dxa"/>
            <w:vAlign w:val="bottom"/>
          </w:tcPr>
          <w:p>
            <w:pPr>
              <w:jc w:val="center"/>
              <w:ind w:left="222"/>
              <w:spacing w:after="0"/>
              <w:rPr>
                <w:sz w:val="20"/>
                <w:szCs w:val="20"/>
                <w:color w:val="auto"/>
              </w:rPr>
            </w:pPr>
            <w:r>
              <w:rPr>
                <w:rFonts w:ascii="Arial" w:cs="Arial" w:eastAsia="Arial" w:hAnsi="Arial"/>
                <w:sz w:val="12"/>
                <w:szCs w:val="12"/>
                <w:b w:val="1"/>
                <w:bCs w:val="1"/>
                <w:color w:val="auto"/>
                <w:w w:val="95"/>
              </w:rPr>
              <w:t>RV</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ind w:left="2"/>
              <w:spacing w:after="0"/>
              <w:rPr>
                <w:sz w:val="20"/>
                <w:szCs w:val="20"/>
                <w:color w:val="auto"/>
              </w:rPr>
            </w:pPr>
            <w:r>
              <w:rPr>
                <w:rFonts w:ascii="Arial" w:cs="Arial" w:eastAsia="Arial" w:hAnsi="Arial"/>
                <w:sz w:val="12"/>
                <w:szCs w:val="12"/>
                <w:b w:val="1"/>
                <w:bCs w:val="1"/>
                <w:color w:val="auto"/>
                <w:w w:val="96"/>
              </w:rPr>
              <w:t>RV Service &amp;</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right"/>
              <w:ind w:right="355"/>
              <w:spacing w:after="0"/>
              <w:rPr>
                <w:sz w:val="20"/>
                <w:szCs w:val="20"/>
                <w:color w:val="auto"/>
              </w:rPr>
            </w:pPr>
            <w:r>
              <w:rPr>
                <w:rFonts w:ascii="Arial" w:cs="Arial" w:eastAsia="Arial" w:hAnsi="Arial"/>
                <w:sz w:val="12"/>
                <w:szCs w:val="12"/>
                <w:b w:val="1"/>
                <w:bCs w:val="1"/>
                <w:color w:val="auto"/>
              </w:rPr>
              <w:t>Same</w:t>
            </w:r>
          </w:p>
        </w:tc>
      </w:tr>
      <w:tr>
        <w:trPr>
          <w:trHeight w:val="155"/>
        </w:trPr>
        <w:tc>
          <w:tcPr>
            <w:tcW w:w="374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center"/>
              <w:ind w:left="242"/>
              <w:spacing w:after="0"/>
              <w:rPr>
                <w:sz w:val="20"/>
                <w:szCs w:val="20"/>
                <w:color w:val="auto"/>
              </w:rPr>
            </w:pPr>
            <w:r>
              <w:rPr>
                <w:rFonts w:ascii="Arial" w:cs="Arial" w:eastAsia="Arial" w:hAnsi="Arial"/>
                <w:sz w:val="12"/>
                <w:szCs w:val="12"/>
                <w:b w:val="1"/>
                <w:bCs w:val="1"/>
                <w:color w:val="auto"/>
                <w:w w:val="96"/>
              </w:rPr>
              <w:t>Dealerships</w:t>
            </w:r>
          </w:p>
        </w:tc>
        <w:tc>
          <w:tcPr>
            <w:tcW w:w="2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left="2"/>
              <w:spacing w:after="0"/>
              <w:rPr>
                <w:sz w:val="20"/>
                <w:szCs w:val="20"/>
                <w:color w:val="auto"/>
              </w:rPr>
            </w:pPr>
            <w:r>
              <w:rPr>
                <w:rFonts w:ascii="Arial" w:cs="Arial" w:eastAsia="Arial" w:hAnsi="Arial"/>
                <w:sz w:val="12"/>
                <w:szCs w:val="12"/>
                <w:b w:val="1"/>
                <w:bCs w:val="1"/>
                <w:color w:val="auto"/>
                <w:w w:val="99"/>
              </w:rPr>
              <w:t>Retail Centers</w:t>
            </w: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ind w:left="440"/>
              <w:spacing w:after="0"/>
              <w:rPr>
                <w:sz w:val="20"/>
                <w:szCs w:val="20"/>
                <w:color w:val="auto"/>
              </w:rPr>
            </w:pPr>
            <w:r>
              <w:rPr>
                <w:rFonts w:ascii="Arial" w:cs="Arial" w:eastAsia="Arial" w:hAnsi="Arial"/>
                <w:sz w:val="12"/>
                <w:szCs w:val="12"/>
                <w:b w:val="1"/>
                <w:bCs w:val="1"/>
                <w:color w:val="auto"/>
              </w:rPr>
              <w:t>Total</w:t>
            </w:r>
          </w:p>
        </w:tc>
        <w:tc>
          <w:tcPr>
            <w:tcW w:w="3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295"/>
              <w:spacing w:after="0" w:line="155" w:lineRule="exact"/>
              <w:rPr>
                <w:sz w:val="20"/>
                <w:szCs w:val="20"/>
                <w:color w:val="auto"/>
              </w:rPr>
            </w:pPr>
            <w:r>
              <w:rPr>
                <w:rFonts w:ascii="Arial" w:cs="Arial" w:eastAsia="Arial" w:hAnsi="Arial"/>
                <w:sz w:val="12"/>
                <w:szCs w:val="12"/>
                <w:b w:val="1"/>
                <w:bCs w:val="1"/>
                <w:color w:val="auto"/>
              </w:rPr>
              <w:t>Store</w:t>
            </w:r>
            <w:r>
              <w:rPr>
                <w:rFonts w:ascii="Arial" w:cs="Arial" w:eastAsia="Arial" w:hAnsi="Arial"/>
                <w:sz w:val="17"/>
                <w:szCs w:val="17"/>
                <w:color w:val="auto"/>
                <w:vertAlign w:val="superscript"/>
              </w:rPr>
              <w:t>(1)</w:t>
            </w:r>
          </w:p>
        </w:tc>
      </w:tr>
      <w:tr>
        <w:trPr>
          <w:trHeight w:val="142"/>
        </w:trPr>
        <w:tc>
          <w:tcPr>
            <w:tcW w:w="374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color w:val="auto"/>
              </w:rPr>
              <w:t>Number of store locations as of September 30, 2025</w:t>
            </w:r>
          </w:p>
        </w:tc>
        <w:tc>
          <w:tcPr>
            <w:tcW w:w="100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196</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1</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197</w:t>
            </w:r>
          </w:p>
        </w:tc>
        <w:tc>
          <w:tcPr>
            <w:tcW w:w="16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176</w:t>
            </w:r>
          </w:p>
        </w:tc>
      </w:tr>
      <w:tr>
        <w:trPr>
          <w:trHeight w:val="148"/>
        </w:trPr>
        <w:tc>
          <w:tcPr>
            <w:tcW w:w="4740" w:type="dxa"/>
            <w:vAlign w:val="bottom"/>
            <w:gridSpan w:val="2"/>
          </w:tcPr>
          <w:p>
            <w:pPr>
              <w:ind w:left="120"/>
              <w:spacing w:after="0"/>
              <w:rPr>
                <w:sz w:val="20"/>
                <w:szCs w:val="20"/>
                <w:color w:val="auto"/>
              </w:rPr>
            </w:pPr>
            <w:r>
              <w:rPr>
                <w:rFonts w:ascii="Arial" w:cs="Arial" w:eastAsia="Arial" w:hAnsi="Arial"/>
                <w:sz w:val="13"/>
                <w:szCs w:val="13"/>
                <w:color w:val="auto"/>
              </w:rPr>
              <w:t>Opened</w:t>
            </w:r>
          </w:p>
        </w:tc>
        <w:tc>
          <w:tcPr>
            <w:tcW w:w="280" w:type="dxa"/>
            <w:vAlign w:val="bottom"/>
          </w:tcPr>
          <w:p>
            <w:pPr>
              <w:jc w:val="right"/>
              <w:spacing w:after="0"/>
              <w:rPr>
                <w:sz w:val="20"/>
                <w:szCs w:val="20"/>
                <w:color w:val="auto"/>
              </w:rPr>
            </w:pPr>
            <w:r>
              <w:rPr>
                <w:rFonts w:ascii="Arial" w:cs="Arial" w:eastAsia="Arial" w:hAnsi="Arial"/>
                <w:sz w:val="13"/>
                <w:szCs w:val="13"/>
                <w:color w:val="auto"/>
              </w:rPr>
              <w:t>4</w:t>
            </w: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60" w:type="dxa"/>
            <w:vAlign w:val="bottom"/>
            <w:gridSpan w:val="3"/>
          </w:tcPr>
          <w:p>
            <w:pPr>
              <w:jc w:val="right"/>
              <w:ind w:right="922"/>
              <w:spacing w:after="0"/>
              <w:rPr>
                <w:sz w:val="20"/>
                <w:szCs w:val="20"/>
                <w:color w:val="auto"/>
              </w:rPr>
            </w:pPr>
            <w:r>
              <w:rPr>
                <w:rFonts w:ascii="Arial" w:cs="Arial" w:eastAsia="Arial" w:hAnsi="Arial"/>
                <w:sz w:val="13"/>
                <w:szCs w:val="13"/>
                <w:color w:val="auto"/>
              </w:rPr>
              <w:t>—</w:t>
            </w:r>
          </w:p>
        </w:tc>
        <w:tc>
          <w:tcPr>
            <w:tcW w:w="360" w:type="dxa"/>
            <w:vAlign w:val="bottom"/>
          </w:tcPr>
          <w:p>
            <w:pPr>
              <w:jc w:val="right"/>
              <w:spacing w:after="0"/>
              <w:rPr>
                <w:sz w:val="20"/>
                <w:szCs w:val="20"/>
                <w:color w:val="auto"/>
              </w:rPr>
            </w:pPr>
            <w:r>
              <w:rPr>
                <w:rFonts w:ascii="Arial" w:cs="Arial" w:eastAsia="Arial" w:hAnsi="Arial"/>
                <w:sz w:val="13"/>
                <w:szCs w:val="13"/>
                <w:color w:val="auto"/>
              </w:rPr>
              <w:t>4</w:t>
            </w:r>
          </w:p>
        </w:tc>
        <w:tc>
          <w:tcPr>
            <w:tcW w:w="16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49"/>
        </w:trPr>
        <w:tc>
          <w:tcPr>
            <w:tcW w:w="474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Re-opened</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jc w:val="right"/>
              <w:ind w:right="922"/>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6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48"/>
        </w:trPr>
        <w:tc>
          <w:tcPr>
            <w:tcW w:w="4740" w:type="dxa"/>
            <w:vAlign w:val="bottom"/>
            <w:gridSpan w:val="2"/>
          </w:tcPr>
          <w:p>
            <w:pPr>
              <w:ind w:left="120"/>
              <w:spacing w:after="0"/>
              <w:rPr>
                <w:sz w:val="20"/>
                <w:szCs w:val="20"/>
                <w:color w:val="auto"/>
              </w:rPr>
            </w:pPr>
            <w:r>
              <w:rPr>
                <w:rFonts w:ascii="Arial" w:cs="Arial" w:eastAsia="Arial" w:hAnsi="Arial"/>
                <w:sz w:val="13"/>
                <w:szCs w:val="13"/>
                <w:color w:val="auto"/>
              </w:rPr>
              <w:t>Temporarily closed</w:t>
            </w:r>
          </w:p>
        </w:tc>
        <w:tc>
          <w:tcPr>
            <w:tcW w:w="440" w:type="dxa"/>
            <w:vAlign w:val="bottom"/>
            <w:gridSpan w:val="2"/>
          </w:tcPr>
          <w:p>
            <w:pPr>
              <w:jc w:val="right"/>
              <w:ind w:right="160"/>
              <w:spacing w:after="0"/>
              <w:rPr>
                <w:sz w:val="20"/>
                <w:szCs w:val="20"/>
                <w:color w:val="auto"/>
              </w:rPr>
            </w:pPr>
            <w:r>
              <w:rPr>
                <w:rFonts w:ascii="Arial" w:cs="Arial" w:eastAsia="Arial" w:hAnsi="Arial"/>
                <w:sz w:val="13"/>
                <w:szCs w:val="13"/>
                <w:color w:val="auto"/>
              </w:rPr>
              <w:t>(1)</w:t>
            </w:r>
          </w:p>
        </w:tc>
        <w:tc>
          <w:tcPr>
            <w:tcW w:w="900" w:type="dxa"/>
            <w:vAlign w:val="bottom"/>
          </w:tcPr>
          <w:p>
            <w:pPr>
              <w:spacing w:after="0"/>
              <w:rPr>
                <w:sz w:val="12"/>
                <w:szCs w:val="12"/>
                <w:color w:val="auto"/>
              </w:rPr>
            </w:pPr>
          </w:p>
        </w:tc>
        <w:tc>
          <w:tcPr>
            <w:tcW w:w="1160" w:type="dxa"/>
            <w:vAlign w:val="bottom"/>
            <w:gridSpan w:val="3"/>
          </w:tcPr>
          <w:p>
            <w:pPr>
              <w:jc w:val="right"/>
              <w:ind w:right="922"/>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160"/>
              <w:spacing w:after="0"/>
              <w:rPr>
                <w:sz w:val="20"/>
                <w:szCs w:val="20"/>
                <w:color w:val="auto"/>
              </w:rPr>
            </w:pPr>
            <w:r>
              <w:rPr>
                <w:rFonts w:ascii="Arial" w:cs="Arial" w:eastAsia="Arial" w:hAnsi="Arial"/>
                <w:sz w:val="13"/>
                <w:szCs w:val="13"/>
                <w:color w:val="auto"/>
              </w:rPr>
              <w:t>(1)</w:t>
            </w:r>
          </w:p>
        </w:tc>
        <w:tc>
          <w:tcPr>
            <w:tcW w:w="1140" w:type="dxa"/>
            <w:vAlign w:val="bottom"/>
          </w:tcPr>
          <w:p>
            <w:pPr>
              <w:jc w:val="right"/>
              <w:spacing w:after="0"/>
              <w:rPr>
                <w:sz w:val="20"/>
                <w:szCs w:val="20"/>
                <w:color w:val="auto"/>
              </w:rPr>
            </w:pPr>
            <w:r>
              <w:rPr>
                <w:rFonts w:ascii="Arial" w:cs="Arial" w:eastAsia="Arial" w:hAnsi="Arial"/>
                <w:sz w:val="13"/>
                <w:szCs w:val="13"/>
                <w:color w:val="auto"/>
              </w:rPr>
              <w:t>(1)</w:t>
            </w:r>
          </w:p>
        </w:tc>
      </w:tr>
      <w:tr>
        <w:trPr>
          <w:trHeight w:val="148"/>
        </w:trPr>
        <w:tc>
          <w:tcPr>
            <w:tcW w:w="474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Closed</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(4)</w:t>
            </w:r>
          </w:p>
        </w:tc>
        <w:tc>
          <w:tcPr>
            <w:tcW w:w="90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jc w:val="right"/>
              <w:ind w:right="922"/>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(4)</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r>
      <w:tr>
        <w:trPr>
          <w:trHeight w:val="148"/>
        </w:trPr>
        <w:tc>
          <w:tcPr>
            <w:tcW w:w="3740" w:type="dxa"/>
            <w:vAlign w:val="bottom"/>
            <w:tcBorders>
              <w:bottom w:val="single" w:sz="8" w:color="CCEEFF"/>
            </w:tcBorders>
          </w:tcPr>
          <w:p>
            <w:pPr>
              <w:ind w:left="120"/>
              <w:spacing w:after="0" w:line="149" w:lineRule="exact"/>
              <w:rPr>
                <w:sz w:val="20"/>
                <w:szCs w:val="20"/>
                <w:color w:val="auto"/>
              </w:rPr>
            </w:pPr>
            <w:r>
              <w:rPr>
                <w:rFonts w:ascii="Arial" w:cs="Arial" w:eastAsia="Arial" w:hAnsi="Arial"/>
                <w:sz w:val="12"/>
                <w:szCs w:val="12"/>
                <w:color w:val="auto"/>
              </w:rPr>
              <w:t xml:space="preserve">Achieved designation of same store </w:t>
            </w:r>
            <w:r>
              <w:rPr>
                <w:rFonts w:ascii="Arial" w:cs="Arial" w:eastAsia="Arial" w:hAnsi="Arial"/>
                <w:sz w:val="17"/>
                <w:szCs w:val="17"/>
                <w:color w:val="auto"/>
                <w:vertAlign w:val="superscript"/>
              </w:rPr>
              <w:t>(1)</w:t>
            </w:r>
          </w:p>
        </w:tc>
        <w:tc>
          <w:tcPr>
            <w:tcW w:w="10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w:t>
            </w:r>
          </w:p>
        </w:tc>
      </w:tr>
      <w:tr>
        <w:trPr>
          <w:trHeight w:val="142"/>
        </w:trPr>
        <w:tc>
          <w:tcPr>
            <w:tcW w:w="4740" w:type="dxa"/>
            <w:vAlign w:val="bottom"/>
            <w:gridSpan w:val="2"/>
            <w:shd w:val="clear" w:color="auto" w:fill="CCEEFF"/>
          </w:tcPr>
          <w:p>
            <w:pPr>
              <w:ind w:left="20"/>
              <w:spacing w:after="0" w:line="142" w:lineRule="exact"/>
              <w:rPr>
                <w:sz w:val="20"/>
                <w:szCs w:val="20"/>
                <w:color w:val="auto"/>
              </w:rPr>
            </w:pPr>
            <w:r>
              <w:rPr>
                <w:rFonts w:ascii="Arial" w:cs="Arial" w:eastAsia="Arial" w:hAnsi="Arial"/>
                <w:sz w:val="13"/>
                <w:szCs w:val="13"/>
                <w:color w:val="auto"/>
              </w:rPr>
              <w:t>Number of store locations as of September 30, 2026</w:t>
            </w:r>
          </w:p>
        </w:tc>
        <w:tc>
          <w:tcPr>
            <w:tcW w:w="2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196</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1</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197</w:t>
            </w:r>
          </w:p>
        </w:tc>
        <w:tc>
          <w:tcPr>
            <w:tcW w:w="16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183</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36" w:lineRule="exact"/>
        <w:rPr>
          <w:sz w:val="20"/>
          <w:szCs w:val="20"/>
          <w:color w:val="auto"/>
        </w:rPr>
      </w:pPr>
    </w:p>
    <w:p>
      <w:pPr>
        <w:ind w:left="380" w:right="79" w:hanging="330"/>
        <w:spacing w:after="0" w:line="281" w:lineRule="auto"/>
        <w:tabs>
          <w:tab w:leader="none" w:pos="3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Our same store revenue and units calculations for a given period include only those stores that were open both at the end of the corresponding period and at the beginning of the preceding fiscal year.</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Industry Trends</w:t>
      </w:r>
    </w:p>
    <w:p>
      <w:pPr>
        <w:spacing w:after="0" w:line="212"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According to the RV Industry Association’s (“RVIA”) survey of manufacturers, which almost entirely focuses on North America, the latest Fall 2026 edition of RV RoadSigns presented a 7.7% downward revision of its median forecast of 2026 wholesale shipments of new RVs from its previous Summer 2026 report. The 290,000 unit median of its revised forecast of 2026 wholesale shipments of new RVs was 15.3% lower than 2025 shipment levels. The Fall 2026 edition also presented a median forecast of 285,000 units for 2027 wholesale shipments of new RVs.</w:t>
      </w:r>
    </w:p>
    <w:p>
      <w:pPr>
        <w:spacing w:after="0" w:line="179"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RV wholesale shipments for the first nine months of 2026 totaled 230,511 units, a decrease of 13.7% compared to the same period in the prior year per the September 2026 survey of manufacturers prepared by the RVIA. According to Statistical Surveys, Inc. (“SSI”) aggregation of North American RV retail transactions, new RV registrations in the U.S. declined by 15.9% to 198,736 registrations for the year-to-date period ended August 31, 2026 compared to the comparable period ended August 31, 2025. Used RV registrations increased 0.7% to 524,007 over the same period. Additionally, SSI reported a decrease of new RV registrations in the U.S. of 18.0% and 19.1% for July and August 2026, respectively, compared to the same periods of 2025.</w:t>
      </w:r>
    </w:p>
    <w:p>
      <w:pPr>
        <w:spacing w:after="0" w:line="185"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The above decreases in projected RV wholesale shipments and new RV registrations have been largely impacted by economic conditions and the subsequent declines in consumer sentiment year to date, likely driven by geopolitical events in the Middle East, including the U.S. and Israeli military conflict with Iran (described below); high fuel prices; and the persistence of a high-interest-rate environment, including the U.S. Federal Reserve’s increase in its target federal funds rate in September 2026. For instance, the University of Michigan’s surveys of consumers reported decreases in the index of consumer sentiment of 9.1% and 12.7% as of September 2026 compared to December 2025 and September 2025, respectively.</w:t>
      </w:r>
    </w:p>
    <w:p>
      <w:pPr>
        <w:spacing w:after="0" w:line="185"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The U.S. and Israeli military conflict with Iran, which began on February 28, 2026, has resulted in an increase in the price of gasoline, with the U.S. average retail price of gasoline approximately 31% higher in the third quarter of 2026 than in the third quarter of 2025 according to the U.S. Energy Information Administration, which has negatively impacted demand for new RVs as discussed above. Additionally, the U.S. average retail price of diesel fuel was approximately 48% higher in the third quarter of 2026 than in the third quarter of 2025, and reached a record high of $6.53 per gallon in September 2026, according to the U.S. Energy Information Administration. If high fuel prices continue for an extended period, it could apply downward pressure on average selling prices of RVs from additional reductions in consumer discretionary spending and/or further negatively impact consumer demand for RVs. Additionally, as a result of the conflict, the related increase in energy costs and other disruptions to the global supply chain could continue to increase inflation, which may result in further increases in interest rates, following the U.S. Federal Reserve’s increase in interest rates in September 2026, as the U.S. Federal Reserve attempts to counteract inflationary pressures. A higher cost of consumer credit could negatively impact demand for RVs and average selling price as interest expense becomes a higher proportion of the customer’s monthly payment.</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38" w:name="page39"/>
    <w:bookmarkEnd w:id="3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We are closely monitoring U.S. trade policy developments with countries from which we source product and equipment, such as China, Mexico, and Canada. There is uncertainty as to the extent and duration of additional tariffs that have been or may be imposed on imports from these countries, including additional tariffs on steel and aluminum, which are core materials for RVs, enacted in April 2026 and subsequently modified in June 2026. We benefit from the U.S. assembly of new vehicles, which are not subject to tariffs on the assembled product unlike other similar industries that may have their products assembled in China, Mexico, or Canada. However, many of our U.S.-based suppliers source some of their components from these countries, which has resulted, and may continue to result, in higher procurement costs. For the year ended December 31, 2025, our costs applicable to revenue included directly sourced inventory from China, Mexico, and Canada of approximately $ 37.6 million, $10.5 million and $2.3 million, respectively. In February 2026, the U.S. Supreme Court ruled that tariffs imposed under the International Emergency Economic Powers Act were not authorized. As of September 30, 2026, refunds received for tariffs that were previously imposed under the International Emergency Economic Powers Act have been less than $2.0 million and further refunds are not expected to be material.</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Financial Institutions</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We maintain the majority of our cash and cash equivalents in accounts with major U.S. and multi-national financial institutions, and our deposits at certain of these institutions exceed insured limits. Market conditions can impact the viability of these institutions. In the event of failure of any of the financial institutions where we maintain our cash and cash equivalents, there can be no assurance that we will be able to access uninsured funds in a timely manner or 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9" w:name="page40"/>
    <w:bookmarkEnd w:id="3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10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Three Months Ended September 30, 2026 Compared to Three Months Ended September 30, 2025</w:t>
      </w:r>
    </w:p>
    <w:p>
      <w:pPr>
        <w:spacing w:after="0" w:line="102" w:lineRule="exact"/>
        <w:rPr>
          <w:sz w:val="20"/>
          <w:szCs w:val="20"/>
          <w:color w:val="auto"/>
        </w:rPr>
      </w:pPr>
    </w:p>
    <w:p>
      <w:pPr>
        <w:jc w:val="both"/>
        <w:ind w:left="60" w:right="79" w:firstLine="648"/>
        <w:spacing w:after="0" w:line="247" w:lineRule="auto"/>
        <w:rPr>
          <w:sz w:val="20"/>
          <w:szCs w:val="20"/>
          <w:color w:val="auto"/>
        </w:rPr>
      </w:pPr>
      <w:r>
        <w:rPr>
          <w:rFonts w:ascii="Arial" w:cs="Arial" w:eastAsia="Arial" w:hAnsi="Arial"/>
          <w:sz w:val="18"/>
          <w:szCs w:val="18"/>
          <w:color w:val="auto"/>
        </w:rPr>
        <w:t>Unless otherwise indicated, all financial comparisons in this section of Results of Operations compare our financial results for the three months ended September 30, 2026 to our financial results from the three months ended September 30, 2025. The following table sets forth information comparing the components of net loss for the three months ended September 30, 2026 and 2025:</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145"/>
        </w:trPr>
        <w:tc>
          <w:tcPr>
            <w:tcW w:w="3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gridSpan w:val="6"/>
          </w:tcPr>
          <w:p>
            <w:pPr>
              <w:ind w:left="80"/>
              <w:spacing w:after="0"/>
              <w:rPr>
                <w:sz w:val="20"/>
                <w:szCs w:val="20"/>
                <w:color w:val="auto"/>
              </w:rPr>
            </w:pPr>
            <w:r>
              <w:rPr>
                <w:rFonts w:ascii="Arial" w:cs="Arial" w:eastAsia="Arial" w:hAnsi="Arial"/>
                <w:sz w:val="12"/>
                <w:szCs w:val="12"/>
                <w:b w:val="1"/>
                <w:bCs w:val="1"/>
                <w:color w:val="auto"/>
              </w:rPr>
              <w:t>Three Months Ended</w:t>
            </w: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gridSpan w:val="5"/>
          </w:tcPr>
          <w:p>
            <w:pPr>
              <w:ind w:left="140"/>
              <w:spacing w:after="0" w:line="129" w:lineRule="exact"/>
              <w:rPr>
                <w:sz w:val="20"/>
                <w:szCs w:val="20"/>
                <w:color w:val="auto"/>
              </w:rPr>
            </w:pPr>
            <w:r>
              <w:rPr>
                <w:rFonts w:ascii="Arial" w:cs="Arial" w:eastAsia="Arial" w:hAnsi="Arial"/>
                <w:sz w:val="12"/>
                <w:szCs w:val="12"/>
                <w:b w:val="1"/>
                <w:bCs w:val="1"/>
                <w:color w:val="auto"/>
              </w:rPr>
              <w:t>September 30, 2026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4"/>
          </w:tcPr>
          <w:p>
            <w:pPr>
              <w:jc w:val="right"/>
              <w:ind w:right="149"/>
              <w:spacing w:after="0" w:line="129" w:lineRule="exact"/>
              <w:rPr>
                <w:sz w:val="20"/>
                <w:szCs w:val="20"/>
                <w:color w:val="auto"/>
              </w:rPr>
            </w:pPr>
            <w:r>
              <w:rPr>
                <w:rFonts w:ascii="Arial" w:cs="Arial" w:eastAsia="Arial" w:hAnsi="Arial"/>
                <w:sz w:val="12"/>
                <w:szCs w:val="12"/>
                <w:b w:val="1"/>
                <w:bCs w:val="1"/>
                <w:color w:val="auto"/>
              </w:rPr>
              <w:t>September 30, 2025</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6"/>
            <w:vMerge w:val="restart"/>
          </w:tcPr>
          <w:p>
            <w:pPr>
              <w:jc w:val="right"/>
              <w:ind w:right="8"/>
              <w:spacing w:after="0"/>
              <w:rPr>
                <w:sz w:val="20"/>
                <w:szCs w:val="20"/>
                <w:color w:val="auto"/>
              </w:rPr>
            </w:pPr>
            <w:r>
              <w:rPr>
                <w:rFonts w:ascii="Arial" w:cs="Arial" w:eastAsia="Arial" w:hAnsi="Arial"/>
                <w:sz w:val="12"/>
                <w:szCs w:val="12"/>
                <w:b w:val="1"/>
                <w:bCs w:val="1"/>
                <w:color w:val="auto"/>
              </w:rPr>
              <w:t>Favorable/ (Unfavorable)</w:t>
            </w: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2"/>
                <w:szCs w:val="12"/>
                <w:b w:val="1"/>
                <w:bCs w:val="1"/>
                <w:color w:val="auto"/>
                <w:w w:val="95"/>
              </w:rPr>
              <w:t>Percent of</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2"/>
                <w:szCs w:val="12"/>
                <w:b w:val="1"/>
                <w:bCs w:val="1"/>
                <w:color w:val="auto"/>
                <w:w w:val="95"/>
              </w:rPr>
              <w:t>Percent of</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tcBorders>
              <w:bottom w:val="single" w:sz="8" w:color="auto"/>
            </w:tcBorders>
            <w:gridSpan w:val="6"/>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860" w:type="dxa"/>
            <w:vAlign w:val="bottom"/>
          </w:tcPr>
          <w:p>
            <w:pPr>
              <w:ind w:left="20"/>
              <w:spacing w:after="0" w:line="129" w:lineRule="exact"/>
              <w:rPr>
                <w:sz w:val="20"/>
                <w:szCs w:val="20"/>
                <w:color w:val="auto"/>
              </w:rPr>
            </w:pPr>
            <w:r>
              <w:rPr>
                <w:rFonts w:ascii="Arial" w:cs="Arial" w:eastAsia="Arial" w:hAnsi="Arial"/>
                <w:sz w:val="12"/>
                <w:szCs w:val="12"/>
                <w:color w:val="auto"/>
              </w:rPr>
              <w:t>($ in thousands)</w:t>
            </w:r>
          </w:p>
        </w:tc>
        <w:tc>
          <w:tcPr>
            <w:tcW w:w="240" w:type="dxa"/>
            <w:vAlign w:val="bottom"/>
            <w:gridSpan w:val="2"/>
          </w:tcPr>
          <w:p>
            <w:pPr>
              <w:jc w:val="right"/>
              <w:ind w:right="8"/>
              <w:spacing w:after="0"/>
              <w:rPr>
                <w:sz w:val="20"/>
                <w:szCs w:val="20"/>
                <w:color w:val="auto"/>
              </w:rPr>
            </w:pPr>
            <w:r>
              <w:rPr>
                <w:rFonts w:ascii="Arial" w:cs="Arial" w:eastAsia="Arial" w:hAnsi="Arial"/>
                <w:sz w:val="11"/>
                <w:szCs w:val="11"/>
                <w:color w:val="auto"/>
              </w:rPr>
              <w:t>​​​</w:t>
            </w: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Amount</w:t>
            </w:r>
          </w:p>
        </w:tc>
        <w:tc>
          <w:tcPr>
            <w:tcW w:w="760" w:type="dxa"/>
            <w:vAlign w:val="bottom"/>
            <w:gridSpan w:val="3"/>
          </w:tcPr>
          <w:p>
            <w:pPr>
              <w:ind w:left="40"/>
              <w:spacing w:after="0" w:line="129" w:lineRule="exact"/>
              <w:rPr>
                <w:sz w:val="20"/>
                <w:szCs w:val="20"/>
                <w:color w:val="auto"/>
              </w:rPr>
            </w:pPr>
            <w:r>
              <w:rPr>
                <w:rFonts w:ascii="Arial" w:cs="Arial" w:eastAsia="Arial" w:hAnsi="Arial"/>
                <w:sz w:val="12"/>
                <w:szCs w:val="12"/>
                <w:color w:val="auto"/>
              </w:rPr>
              <w:t xml:space="preserve">​​​ </w:t>
            </w:r>
            <w:r>
              <w:rPr>
                <w:rFonts w:ascii="Arial" w:cs="Arial" w:eastAsia="Arial" w:hAnsi="Arial"/>
                <w:sz w:val="12"/>
                <w:szCs w:val="12"/>
                <w:b w:val="1"/>
                <w:bCs w:val="1"/>
                <w:color w:val="auto"/>
              </w:rPr>
              <w:t>Revenue</w:t>
            </w:r>
          </w:p>
        </w:tc>
        <w:tc>
          <w:tcPr>
            <w:tcW w:w="200" w:type="dxa"/>
            <w:vAlign w:val="bottom"/>
            <w:gridSpan w:val="2"/>
          </w:tcPr>
          <w:p>
            <w:pPr>
              <w:jc w:val="right"/>
              <w:ind w:right="8"/>
              <w:spacing w:after="0" w:line="129" w:lineRule="exact"/>
              <w:rPr>
                <w:sz w:val="20"/>
                <w:szCs w:val="20"/>
                <w:color w:val="auto"/>
              </w:rPr>
            </w:pPr>
            <w:r>
              <w:rPr>
                <w:rFonts w:ascii="Arial" w:cs="Arial" w:eastAsia="Arial" w:hAnsi="Arial"/>
                <w:sz w:val="12"/>
                <w:szCs w:val="12"/>
                <w:color w:val="auto"/>
              </w:rPr>
              <w:t>​​​</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Amount</w:t>
            </w:r>
          </w:p>
        </w:tc>
        <w:tc>
          <w:tcPr>
            <w:tcW w:w="720" w:type="dxa"/>
            <w:vAlign w:val="bottom"/>
            <w:gridSpan w:val="3"/>
          </w:tcPr>
          <w:p>
            <w:pPr>
              <w:jc w:val="right"/>
              <w:ind w:right="80"/>
              <w:spacing w:after="0" w:line="129" w:lineRule="exact"/>
              <w:rPr>
                <w:sz w:val="20"/>
                <w:szCs w:val="20"/>
                <w:color w:val="auto"/>
              </w:rPr>
            </w:pPr>
            <w:r>
              <w:rPr>
                <w:rFonts w:ascii="Arial" w:cs="Arial" w:eastAsia="Arial" w:hAnsi="Arial"/>
                <w:sz w:val="12"/>
                <w:szCs w:val="12"/>
                <w:color w:val="auto"/>
              </w:rPr>
              <w:t xml:space="preserve">​​​ </w:t>
            </w:r>
            <w:r>
              <w:rPr>
                <w:rFonts w:ascii="Arial" w:cs="Arial" w:eastAsia="Arial" w:hAnsi="Arial"/>
                <w:sz w:val="12"/>
                <w:szCs w:val="12"/>
                <w:b w:val="1"/>
                <w:bCs w:val="1"/>
                <w:color w:val="auto"/>
              </w:rPr>
              <w:t>Revenue</w:t>
            </w:r>
          </w:p>
        </w:tc>
        <w:tc>
          <w:tcPr>
            <w:tcW w:w="220" w:type="dxa"/>
            <w:vAlign w:val="bottom"/>
            <w:gridSpan w:val="3"/>
          </w:tcPr>
          <w:p>
            <w:pPr>
              <w:jc w:val="right"/>
              <w:ind w:right="100"/>
              <w:spacing w:after="0" w:line="129" w:lineRule="exact"/>
              <w:rPr>
                <w:sz w:val="20"/>
                <w:szCs w:val="20"/>
                <w:color w:val="auto"/>
              </w:rPr>
            </w:pPr>
            <w:r>
              <w:rPr>
                <w:rFonts w:ascii="Arial" w:cs="Arial" w:eastAsia="Arial" w:hAnsi="Arial"/>
                <w:sz w:val="12"/>
                <w:szCs w:val="12"/>
                <w:color w:val="auto"/>
              </w:rPr>
              <w:t>​​​</w:t>
            </w:r>
          </w:p>
        </w:tc>
        <w:tc>
          <w:tcPr>
            <w:tcW w:w="640" w:type="dxa"/>
            <w:vAlign w:val="bottom"/>
          </w:tcPr>
          <w:p>
            <w:pPr>
              <w:jc w:val="right"/>
              <w:ind w:right="268"/>
              <w:spacing w:after="0" w:line="129" w:lineRule="exact"/>
              <w:rPr>
                <w:sz w:val="20"/>
                <w:szCs w:val="20"/>
                <w:color w:val="auto"/>
              </w:rPr>
            </w:pPr>
            <w:r>
              <w:rPr>
                <w:rFonts w:ascii="Arial" w:cs="Arial" w:eastAsia="Arial" w:hAnsi="Arial"/>
                <w:sz w:val="12"/>
                <w:szCs w:val="12"/>
                <w:b w:val="1"/>
                <w:bCs w:val="1"/>
                <w:color w:val="auto"/>
              </w:rPr>
              <w:t>$</w:t>
            </w:r>
          </w:p>
        </w:tc>
        <w:tc>
          <w:tcPr>
            <w:tcW w:w="40" w:type="dxa"/>
            <w:vAlign w:val="bottom"/>
          </w:tcPr>
          <w:p>
            <w:pPr>
              <w:spacing w:after="0"/>
              <w:rPr>
                <w:sz w:val="11"/>
                <w:szCs w:val="11"/>
                <w:color w:val="auto"/>
              </w:rPr>
            </w:pPr>
          </w:p>
        </w:tc>
        <w:tc>
          <w:tcPr>
            <w:tcW w:w="720" w:type="dxa"/>
            <w:vAlign w:val="bottom"/>
            <w:gridSpan w:val="2"/>
          </w:tcPr>
          <w:p>
            <w:pPr>
              <w:jc w:val="right"/>
              <w:ind w:right="188"/>
              <w:spacing w:after="0" w:line="129" w:lineRule="exact"/>
              <w:rPr>
                <w:sz w:val="20"/>
                <w:szCs w:val="20"/>
                <w:color w:val="auto"/>
              </w:rPr>
            </w:pPr>
            <w:r>
              <w:rPr>
                <w:rFonts w:ascii="Arial" w:cs="Arial" w:eastAsia="Arial" w:hAnsi="Arial"/>
                <w:sz w:val="12"/>
                <w:szCs w:val="12"/>
                <w:color w:val="auto"/>
                <w:w w:val="93"/>
              </w:rPr>
              <w:t>​​​</w:t>
            </w:r>
            <w:r>
              <w:rPr>
                <w:rFonts w:ascii="Arial" w:cs="Arial" w:eastAsia="Arial" w:hAnsi="Arial"/>
                <w:sz w:val="12"/>
                <w:szCs w:val="12"/>
                <w:b w:val="1"/>
                <w:bCs w:val="1"/>
                <w:color w:val="auto"/>
                <w:w w:val="93"/>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3860" w:type="dxa"/>
            <w:vAlign w:val="bottom"/>
            <w:tcBorders>
              <w:top w:val="single" w:sz="8" w:color="auto"/>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Revenue:</w:t>
            </w: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60" w:type="dxa"/>
            <w:vAlign w:val="bottom"/>
          </w:tcPr>
          <w:p>
            <w:pPr>
              <w:ind w:left="120"/>
              <w:spacing w:after="0"/>
              <w:rPr>
                <w:sz w:val="20"/>
                <w:szCs w:val="20"/>
                <w:color w:val="auto"/>
              </w:rPr>
            </w:pPr>
            <w:r>
              <w:rPr>
                <w:rFonts w:ascii="Arial" w:cs="Arial" w:eastAsia="Arial" w:hAnsi="Arial"/>
                <w:sz w:val="14"/>
                <w:szCs w:val="14"/>
                <w:color w:val="auto"/>
              </w:rPr>
              <w:t>Good Sam Services and Plans</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50,066</w:t>
            </w:r>
          </w:p>
        </w:tc>
        <w:tc>
          <w:tcPr>
            <w:tcW w:w="2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3.2%</w:t>
            </w:r>
          </w:p>
        </w:tc>
        <w:tc>
          <w:tcPr>
            <w:tcW w:w="40" w:type="dxa"/>
            <w:vAlign w:val="bottom"/>
          </w:tcPr>
          <w:p>
            <w:pPr>
              <w:spacing w:after="0"/>
              <w:rPr>
                <w:sz w:val="14"/>
                <w:szCs w:val="14"/>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52,508</w:t>
            </w:r>
          </w:p>
        </w:tc>
        <w:tc>
          <w:tcPr>
            <w:tcW w:w="4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2.9%</w:t>
            </w:r>
          </w:p>
        </w:tc>
        <w:tc>
          <w:tcPr>
            <w:tcW w:w="40" w:type="dxa"/>
            <w:vAlign w:val="bottom"/>
          </w:tcPr>
          <w:p>
            <w:pPr>
              <w:spacing w:after="0"/>
              <w:rPr>
                <w:sz w:val="14"/>
                <w:szCs w:val="14"/>
                <w:color w:val="auto"/>
              </w:rPr>
            </w:pPr>
          </w:p>
        </w:tc>
        <w:tc>
          <w:tcPr>
            <w:tcW w:w="22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(2,442)</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(4.7%)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RV and Outdoor Retail</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60" w:type="dxa"/>
            <w:vAlign w:val="bottom"/>
          </w:tcPr>
          <w:p>
            <w:pPr>
              <w:ind w:left="220"/>
              <w:spacing w:after="0"/>
              <w:rPr>
                <w:sz w:val="20"/>
                <w:szCs w:val="20"/>
                <w:color w:val="auto"/>
              </w:rPr>
            </w:pPr>
            <w:r>
              <w:rPr>
                <w:rFonts w:ascii="Arial" w:cs="Arial" w:eastAsia="Arial" w:hAnsi="Arial"/>
                <w:sz w:val="14"/>
                <w:szCs w:val="14"/>
                <w:color w:val="auto"/>
              </w:rPr>
              <w:t>New vehicles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638,903</w:t>
            </w:r>
          </w:p>
        </w:tc>
        <w:tc>
          <w:tcPr>
            <w:tcW w:w="2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40.4%</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766,779</w:t>
            </w:r>
          </w:p>
        </w:tc>
        <w:tc>
          <w:tcPr>
            <w:tcW w:w="4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42.5%</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(127,876)</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(16.7%)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Used vehicles</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518,490</w:t>
            </w:r>
          </w:p>
        </w:tc>
        <w:tc>
          <w:tcPr>
            <w:tcW w:w="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32.8%</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589,092</w:t>
            </w:r>
          </w:p>
        </w:tc>
        <w:tc>
          <w:tcPr>
            <w:tcW w:w="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32.6%</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(70,602)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60" w:type="dxa"/>
            <w:vAlign w:val="bottom"/>
          </w:tcPr>
          <w:p>
            <w:pPr>
              <w:ind w:left="220"/>
              <w:spacing w:after="0"/>
              <w:rPr>
                <w:sz w:val="20"/>
                <w:szCs w:val="20"/>
                <w:color w:val="auto"/>
              </w:rPr>
            </w:pPr>
            <w:r>
              <w:rPr>
                <w:rFonts w:ascii="Arial" w:cs="Arial" w:eastAsia="Arial" w:hAnsi="Arial"/>
                <w:sz w:val="14"/>
                <w:szCs w:val="14"/>
                <w:color w:val="auto"/>
              </w:rPr>
              <w:t>Products, service and other</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208,993</w:t>
            </w:r>
          </w:p>
        </w:tc>
        <w:tc>
          <w:tcPr>
            <w:tcW w:w="2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13.2%</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208,634</w:t>
            </w:r>
          </w:p>
        </w:tc>
        <w:tc>
          <w:tcPr>
            <w:tcW w:w="4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11.6%</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359</w:t>
            </w:r>
          </w:p>
        </w:tc>
        <w:tc>
          <w:tcPr>
            <w:tcW w:w="4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0.2%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Finance and insurance, net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147,479</w:t>
            </w:r>
          </w:p>
        </w:tc>
        <w:tc>
          <w:tcPr>
            <w:tcW w:w="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178,297</w:t>
            </w:r>
          </w:p>
        </w:tc>
        <w:tc>
          <w:tcPr>
            <w:tcW w:w="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(30,818)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60" w:type="dxa"/>
            <w:vAlign w:val="bottom"/>
          </w:tcPr>
          <w:p>
            <w:pPr>
              <w:ind w:left="220"/>
              <w:spacing w:after="0"/>
              <w:rPr>
                <w:sz w:val="20"/>
                <w:szCs w:val="20"/>
                <w:color w:val="auto"/>
              </w:rPr>
            </w:pPr>
            <w:r>
              <w:rPr>
                <w:rFonts w:ascii="Arial" w:cs="Arial" w:eastAsia="Arial" w:hAnsi="Arial"/>
                <w:sz w:val="14"/>
                <w:szCs w:val="14"/>
                <w:color w:val="auto"/>
              </w:rPr>
              <w:t>Good Sam Club</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18,979</w:t>
            </w:r>
          </w:p>
        </w:tc>
        <w:tc>
          <w:tcPr>
            <w:tcW w:w="2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1.2%</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10,808</w:t>
            </w:r>
          </w:p>
        </w:tc>
        <w:tc>
          <w:tcPr>
            <w:tcW w:w="4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0.6%</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8,171</w:t>
            </w:r>
          </w:p>
        </w:tc>
        <w:tc>
          <w:tcPr>
            <w:tcW w:w="4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75.6%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860" w:type="dxa"/>
            <w:vAlign w:val="bottom"/>
            <w:tcBorders>
              <w:top w:val="single" w:sz="8" w:color="CCEEFF"/>
            </w:tcBorders>
            <w:shd w:val="clear" w:color="auto" w:fill="CCEEFF"/>
          </w:tcPr>
          <w:p>
            <w:pPr>
              <w:ind w:left="220"/>
              <w:spacing w:after="0" w:line="155" w:lineRule="exact"/>
              <w:rPr>
                <w:sz w:val="20"/>
                <w:szCs w:val="20"/>
                <w:color w:val="auto"/>
              </w:rPr>
            </w:pPr>
            <w:r>
              <w:rPr>
                <w:rFonts w:ascii="Arial" w:cs="Arial" w:eastAsia="Arial" w:hAnsi="Arial"/>
                <w:sz w:val="14"/>
                <w:szCs w:val="14"/>
                <w:color w:val="auto"/>
              </w:rPr>
              <w:t>Subtotal</w:t>
            </w: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1,532,844</w:t>
            </w: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96.8%</w:t>
            </w: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1,753,610</w:t>
            </w: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97.1%</w:t>
            </w: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40" w:type="dxa"/>
            <w:vAlign w:val="bottom"/>
            <w:tcBorders>
              <w:top w:val="single" w:sz="8" w:color="auto"/>
              <w:bottom w:val="single" w:sz="8" w:color="auto"/>
            </w:tcBorders>
            <w:shd w:val="clear" w:color="auto" w:fill="CCEEFF"/>
          </w:tcPr>
          <w:p>
            <w:pPr>
              <w:spacing w:after="0"/>
              <w:rPr>
                <w:sz w:val="13"/>
                <w:szCs w:val="13"/>
                <w:color w:val="auto"/>
              </w:rPr>
            </w:pPr>
          </w:p>
        </w:tc>
        <w:tc>
          <w:tcPr>
            <w:tcW w:w="6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(220,766)</w:t>
            </w: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(12.6%)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860" w:type="dxa"/>
            <w:vAlign w:val="bottom"/>
          </w:tcPr>
          <w:p>
            <w:pPr>
              <w:ind w:left="20"/>
              <w:spacing w:after="0" w:line="155" w:lineRule="exact"/>
              <w:rPr>
                <w:sz w:val="20"/>
                <w:szCs w:val="20"/>
                <w:color w:val="auto"/>
              </w:rPr>
            </w:pPr>
            <w:r>
              <w:rPr>
                <w:rFonts w:ascii="Arial" w:cs="Arial" w:eastAsia="Arial" w:hAnsi="Arial"/>
                <w:sz w:val="14"/>
                <w:szCs w:val="14"/>
                <w:color w:val="auto"/>
              </w:rPr>
              <w:t>Total revenue</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1,582,910</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100.0%</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1,806,118</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100.0%</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(223,208)</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(12.4%)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860" w:type="dxa"/>
            <w:vAlign w:val="bottom"/>
          </w:tcPr>
          <w:p>
            <w:pPr>
              <w:ind w:left="20"/>
              <w:spacing w:after="0" w:line="153" w:lineRule="exact"/>
              <w:rPr>
                <w:sz w:val="20"/>
                <w:szCs w:val="20"/>
                <w:color w:val="auto"/>
              </w:rPr>
            </w:pPr>
            <w:r>
              <w:rPr>
                <w:rFonts w:ascii="Arial" w:cs="Arial" w:eastAsia="Arial" w:hAnsi="Arial"/>
                <w:sz w:val="14"/>
                <w:szCs w:val="14"/>
                <w:color w:val="auto"/>
              </w:rPr>
              <w:t>Gross profit (exclusive of depreciation and amortization</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860" w:type="dxa"/>
            <w:vAlign w:val="bottom"/>
          </w:tcPr>
          <w:p>
            <w:pPr>
              <w:ind w:left="20"/>
              <w:spacing w:after="0"/>
              <w:rPr>
                <w:sz w:val="20"/>
                <w:szCs w:val="20"/>
                <w:color w:val="auto"/>
              </w:rPr>
            </w:pPr>
            <w:r>
              <w:rPr>
                <w:rFonts w:ascii="Arial" w:cs="Arial" w:eastAsia="Arial" w:hAnsi="Arial"/>
                <w:sz w:val="14"/>
                <w:szCs w:val="14"/>
                <w:color w:val="auto"/>
              </w:rPr>
              <w:t>shown separately below):</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Good Sam Services and Plans</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31,192</w:t>
            </w:r>
          </w:p>
        </w:tc>
        <w:tc>
          <w:tcPr>
            <w:tcW w:w="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29,736</w:t>
            </w:r>
          </w:p>
        </w:tc>
        <w:tc>
          <w:tcPr>
            <w:tcW w:w="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1,456</w:t>
            </w:r>
          </w:p>
        </w:tc>
        <w:tc>
          <w:tcPr>
            <w:tcW w:w="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60" w:type="dxa"/>
            <w:vAlign w:val="bottom"/>
          </w:tcPr>
          <w:p>
            <w:pPr>
              <w:ind w:left="120"/>
              <w:spacing w:after="0"/>
              <w:rPr>
                <w:sz w:val="20"/>
                <w:szCs w:val="20"/>
                <w:color w:val="auto"/>
              </w:rPr>
            </w:pPr>
            <w:r>
              <w:rPr>
                <w:rFonts w:ascii="Arial" w:cs="Arial" w:eastAsia="Arial" w:hAnsi="Arial"/>
                <w:sz w:val="14"/>
                <w:szCs w:val="14"/>
                <w:color w:val="auto"/>
              </w:rPr>
              <w:t>RV and Outdoor Retail</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New vehicles</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65,011</w:t>
            </w:r>
          </w:p>
        </w:tc>
        <w:tc>
          <w:tcPr>
            <w:tcW w:w="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97,364</w:t>
            </w:r>
          </w:p>
        </w:tc>
        <w:tc>
          <w:tcPr>
            <w:tcW w:w="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(32,353)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(33.2%)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60" w:type="dxa"/>
            <w:vAlign w:val="bottom"/>
          </w:tcPr>
          <w:p>
            <w:pPr>
              <w:ind w:left="220"/>
              <w:spacing w:after="0"/>
              <w:rPr>
                <w:sz w:val="20"/>
                <w:szCs w:val="20"/>
                <w:color w:val="auto"/>
              </w:rPr>
            </w:pPr>
            <w:r>
              <w:rPr>
                <w:rFonts w:ascii="Arial" w:cs="Arial" w:eastAsia="Arial" w:hAnsi="Arial"/>
                <w:sz w:val="14"/>
                <w:szCs w:val="14"/>
                <w:color w:val="auto"/>
              </w:rPr>
              <w:t>Used vehicles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93,100</w:t>
            </w:r>
          </w:p>
        </w:tc>
        <w:tc>
          <w:tcPr>
            <w:tcW w:w="2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5.9%</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107,875</w:t>
            </w:r>
          </w:p>
        </w:tc>
        <w:tc>
          <w:tcPr>
            <w:tcW w:w="4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6.0%</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(14,775)</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(13.7%)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Products, service and other</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79,947</w:t>
            </w:r>
          </w:p>
        </w:tc>
        <w:tc>
          <w:tcPr>
            <w:tcW w:w="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94,207</w:t>
            </w:r>
          </w:p>
        </w:tc>
        <w:tc>
          <w:tcPr>
            <w:tcW w:w="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(14,260)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60" w:type="dxa"/>
            <w:vAlign w:val="bottom"/>
          </w:tcPr>
          <w:p>
            <w:pPr>
              <w:ind w:left="220"/>
              <w:spacing w:after="0"/>
              <w:rPr>
                <w:sz w:val="20"/>
                <w:szCs w:val="20"/>
                <w:color w:val="auto"/>
              </w:rPr>
            </w:pPr>
            <w:r>
              <w:rPr>
                <w:rFonts w:ascii="Arial" w:cs="Arial" w:eastAsia="Arial" w:hAnsi="Arial"/>
                <w:sz w:val="14"/>
                <w:szCs w:val="14"/>
                <w:color w:val="auto"/>
              </w:rPr>
              <w:t>Finance and insurance, net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147,479</w:t>
            </w:r>
          </w:p>
        </w:tc>
        <w:tc>
          <w:tcPr>
            <w:tcW w:w="2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9.3%</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178,297</w:t>
            </w:r>
          </w:p>
        </w:tc>
        <w:tc>
          <w:tcPr>
            <w:tcW w:w="4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9.9%</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(30,818)</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(17.3%)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Good Sam Club</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17,530</w:t>
            </w:r>
          </w:p>
        </w:tc>
        <w:tc>
          <w:tcPr>
            <w:tcW w:w="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9,554</w:t>
            </w:r>
          </w:p>
        </w:tc>
        <w:tc>
          <w:tcPr>
            <w:tcW w:w="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7,976</w:t>
            </w:r>
          </w:p>
        </w:tc>
        <w:tc>
          <w:tcPr>
            <w:tcW w:w="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83.5%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860" w:type="dxa"/>
            <w:vAlign w:val="bottom"/>
            <w:tcBorders>
              <w:bottom w:val="single" w:sz="8" w:color="CCEEFF"/>
            </w:tcBorders>
          </w:tcPr>
          <w:p>
            <w:pPr>
              <w:ind w:left="220"/>
              <w:spacing w:after="0" w:line="155" w:lineRule="exact"/>
              <w:rPr>
                <w:sz w:val="20"/>
                <w:szCs w:val="20"/>
                <w:color w:val="auto"/>
              </w:rPr>
            </w:pPr>
            <w:r>
              <w:rPr>
                <w:rFonts w:ascii="Arial" w:cs="Arial" w:eastAsia="Arial" w:hAnsi="Arial"/>
                <w:sz w:val="14"/>
                <w:szCs w:val="14"/>
                <w:color w:val="auto"/>
              </w:rPr>
              <w:t>Subtotal</w:t>
            </w:r>
          </w:p>
        </w:tc>
        <w:tc>
          <w:tcPr>
            <w:tcW w:w="14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403,067</w:t>
            </w:r>
          </w:p>
        </w:tc>
        <w:tc>
          <w:tcPr>
            <w:tcW w:w="2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25.5%</w:t>
            </w:r>
          </w:p>
        </w:tc>
        <w:tc>
          <w:tcPr>
            <w:tcW w:w="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487,297</w:t>
            </w:r>
          </w:p>
        </w:tc>
        <w:tc>
          <w:tcPr>
            <w:tcW w:w="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27.0%</w:t>
            </w:r>
          </w:p>
        </w:tc>
        <w:tc>
          <w:tcPr>
            <w:tcW w:w="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(84,230)</w:t>
            </w:r>
          </w:p>
        </w:tc>
        <w:tc>
          <w:tcPr>
            <w:tcW w:w="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86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Total gross profit</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434,259</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27.4%</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517,033</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28.6%</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(82,774)</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(16.0%)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60" w:type="dxa"/>
            <w:vAlign w:val="bottom"/>
          </w:tcPr>
          <w:p>
            <w:pPr>
              <w:ind w:left="220"/>
              <w:spacing w:after="0"/>
              <w:rPr>
                <w:sz w:val="20"/>
                <w:szCs w:val="20"/>
                <w:color w:val="auto"/>
              </w:rPr>
            </w:pPr>
            <w:r>
              <w:rPr>
                <w:rFonts w:ascii="Arial" w:cs="Arial" w:eastAsia="Arial" w:hAnsi="Arial"/>
                <w:sz w:val="14"/>
                <w:szCs w:val="14"/>
                <w:color w:val="auto"/>
              </w:rPr>
              <w:t>Selling, general, and administrative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387,084</w:t>
            </w:r>
          </w:p>
        </w:tc>
        <w:tc>
          <w:tcPr>
            <w:tcW w:w="2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24.5%</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411,011</w:t>
            </w:r>
          </w:p>
        </w:tc>
        <w:tc>
          <w:tcPr>
            <w:tcW w:w="4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22.8%</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23,927</w:t>
            </w:r>
          </w:p>
        </w:tc>
        <w:tc>
          <w:tcPr>
            <w:tcW w:w="4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5.8%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Debt restructure expense</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510</w:t>
            </w:r>
          </w:p>
        </w:tc>
        <w:tc>
          <w:tcPr>
            <w:tcW w:w="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(510)</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n/m</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60" w:type="dxa"/>
            <w:vAlign w:val="bottom"/>
          </w:tcPr>
          <w:p>
            <w:pPr>
              <w:ind w:left="220"/>
              <w:spacing w:after="0"/>
              <w:rPr>
                <w:sz w:val="20"/>
                <w:szCs w:val="20"/>
                <w:color w:val="auto"/>
              </w:rPr>
            </w:pPr>
            <w:r>
              <w:rPr>
                <w:rFonts w:ascii="Arial" w:cs="Arial" w:eastAsia="Arial" w:hAnsi="Arial"/>
                <w:sz w:val="14"/>
                <w:szCs w:val="14"/>
                <w:color w:val="auto"/>
              </w:rPr>
              <w:t>Depreciation and amortization</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26,967</w:t>
            </w:r>
          </w:p>
        </w:tc>
        <w:tc>
          <w:tcPr>
            <w:tcW w:w="2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1.7%</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25,654</w:t>
            </w:r>
          </w:p>
        </w:tc>
        <w:tc>
          <w:tcPr>
            <w:tcW w:w="4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1.4%</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(1,313)</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(5.1%)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Goodwill impairment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286,748</w:t>
            </w:r>
          </w:p>
        </w:tc>
        <w:tc>
          <w:tcPr>
            <w:tcW w:w="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18.1%</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(286,748)</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n/m</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60" w:type="dxa"/>
            <w:vAlign w:val="bottom"/>
          </w:tcPr>
          <w:p>
            <w:pPr>
              <w:ind w:left="220"/>
              <w:spacing w:after="0"/>
              <w:rPr>
                <w:sz w:val="20"/>
                <w:szCs w:val="20"/>
                <w:color w:val="auto"/>
              </w:rPr>
            </w:pPr>
            <w:r>
              <w:rPr>
                <w:rFonts w:ascii="Arial" w:cs="Arial" w:eastAsia="Arial" w:hAnsi="Arial"/>
                <w:sz w:val="14"/>
                <w:szCs w:val="14"/>
                <w:color w:val="auto"/>
              </w:rPr>
              <w:t>Long-lived asset impairment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6,668</w:t>
            </w:r>
          </w:p>
        </w:tc>
        <w:tc>
          <w:tcPr>
            <w:tcW w:w="2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0.4%</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617</w:t>
            </w:r>
          </w:p>
        </w:tc>
        <w:tc>
          <w:tcPr>
            <w:tcW w:w="4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0.0%</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(6,051)</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n/m</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Loss (gain) on lease termination and/or remeasurement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32.9%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60" w:type="dxa"/>
            <w:vAlign w:val="bottom"/>
          </w:tcPr>
          <w:p>
            <w:pPr>
              <w:ind w:left="220"/>
              <w:spacing w:after="0"/>
              <w:rPr>
                <w:sz w:val="20"/>
                <w:szCs w:val="20"/>
                <w:color w:val="auto"/>
              </w:rPr>
            </w:pPr>
            <w:r>
              <w:rPr>
                <w:rFonts w:ascii="Arial" w:cs="Arial" w:eastAsia="Arial" w:hAnsi="Arial"/>
                <w:sz w:val="14"/>
                <w:szCs w:val="14"/>
                <w:color w:val="auto"/>
              </w:rPr>
              <w:t>(Gain) loss on sale or disposal of assets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(25)</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(0.0%)</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534</w:t>
            </w:r>
          </w:p>
        </w:tc>
        <w:tc>
          <w:tcPr>
            <w:tcW w:w="4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0.0%</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559</w:t>
            </w:r>
          </w:p>
        </w:tc>
        <w:tc>
          <w:tcPr>
            <w:tcW w:w="4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104.7%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860" w:type="dxa"/>
            <w:vAlign w:val="bottom"/>
            <w:tcBorders>
              <w:top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Total operating expenses</w:t>
            </w: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708,003</w:t>
            </w: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44.7%</w:t>
            </w: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437,892</w:t>
            </w: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24.2%</w:t>
            </w: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auto"/>
              <w:bottom w:val="single" w:sz="8" w:color="auto"/>
            </w:tcBorders>
            <w:shd w:val="clear" w:color="auto" w:fill="CCEEFF"/>
          </w:tcPr>
          <w:p>
            <w:pPr>
              <w:spacing w:after="0"/>
              <w:rPr>
                <w:sz w:val="13"/>
                <w:szCs w:val="13"/>
                <w:color w:val="auto"/>
              </w:rPr>
            </w:pPr>
          </w:p>
        </w:tc>
        <w:tc>
          <w:tcPr>
            <w:tcW w:w="6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(270,111)</w:t>
            </w: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(61.7%)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860" w:type="dxa"/>
            <w:vAlign w:val="bottom"/>
          </w:tcPr>
          <w:p>
            <w:pPr>
              <w:ind w:left="20"/>
              <w:spacing w:after="0" w:line="155" w:lineRule="exact"/>
              <w:rPr>
                <w:sz w:val="20"/>
                <w:szCs w:val="20"/>
                <w:color w:val="auto"/>
              </w:rPr>
            </w:pPr>
            <w:r>
              <w:rPr>
                <w:rFonts w:ascii="Arial" w:cs="Arial" w:eastAsia="Arial" w:hAnsi="Arial"/>
                <w:sz w:val="14"/>
                <w:szCs w:val="14"/>
                <w:color w:val="auto"/>
              </w:rPr>
              <w:t>(Loss) income from operations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(273,744)</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(17.3%)</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79,141</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4.4%</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(352,885)</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n/m</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(expense) income:</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60" w:type="dxa"/>
            <w:vAlign w:val="bottom"/>
          </w:tcPr>
          <w:p>
            <w:pPr>
              <w:ind w:left="120"/>
              <w:spacing w:after="0"/>
              <w:rPr>
                <w:sz w:val="20"/>
                <w:szCs w:val="20"/>
                <w:color w:val="auto"/>
              </w:rPr>
            </w:pPr>
            <w:r>
              <w:rPr>
                <w:rFonts w:ascii="Arial" w:cs="Arial" w:eastAsia="Arial" w:hAnsi="Arial"/>
                <w:sz w:val="14"/>
                <w:szCs w:val="14"/>
                <w:color w:val="auto"/>
              </w:rPr>
              <w:t>Floor plan interest expense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(15,159)</w:t>
            </w:r>
          </w:p>
        </w:tc>
        <w:tc>
          <w:tcPr>
            <w:tcW w:w="760" w:type="dxa"/>
            <w:vAlign w:val="bottom"/>
            <w:gridSpan w:val="3"/>
          </w:tcPr>
          <w:p>
            <w:pPr>
              <w:jc w:val="right"/>
              <w:ind w:right="40"/>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(18,061)</w:t>
            </w:r>
          </w:p>
        </w:tc>
        <w:tc>
          <w:tcPr>
            <w:tcW w:w="720" w:type="dxa"/>
            <w:vAlign w:val="bottom"/>
            <w:gridSpan w:val="3"/>
          </w:tcPr>
          <w:p>
            <w:pPr>
              <w:jc w:val="right"/>
              <w:ind w:right="40"/>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2,902</w:t>
            </w:r>
          </w:p>
        </w:tc>
        <w:tc>
          <w:tcPr>
            <w:tcW w:w="4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16.1%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interest expense, net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(27,409)</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(30,982)</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3,573</w:t>
            </w:r>
          </w:p>
        </w:tc>
        <w:tc>
          <w:tcPr>
            <w:tcW w:w="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60" w:type="dxa"/>
            <w:vAlign w:val="bottom"/>
          </w:tcPr>
          <w:p>
            <w:pPr>
              <w:ind w:left="120"/>
              <w:spacing w:after="0"/>
              <w:rPr>
                <w:sz w:val="20"/>
                <w:szCs w:val="20"/>
                <w:color w:val="auto"/>
              </w:rPr>
            </w:pPr>
            <w:r>
              <w:rPr>
                <w:rFonts w:ascii="Arial" w:cs="Arial" w:eastAsia="Arial" w:hAnsi="Arial"/>
                <w:sz w:val="14"/>
                <w:szCs w:val="14"/>
                <w:color w:val="auto"/>
              </w:rPr>
              <w:t>Loss on debt restructure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(329)</w:t>
            </w:r>
          </w:p>
        </w:tc>
        <w:tc>
          <w:tcPr>
            <w:tcW w:w="760" w:type="dxa"/>
            <w:vAlign w:val="bottom"/>
            <w:gridSpan w:val="3"/>
          </w:tcPr>
          <w:p>
            <w:pPr>
              <w:jc w:val="right"/>
              <w:ind w:right="40"/>
              <w:spacing w:after="0"/>
              <w:rPr>
                <w:sz w:val="20"/>
                <w:szCs w:val="20"/>
                <w:color w:val="auto"/>
              </w:rPr>
            </w:pPr>
            <w:r>
              <w:rPr>
                <w:rFonts w:ascii="Arial" w:cs="Arial" w:eastAsia="Arial" w:hAnsi="Arial"/>
                <w:sz w:val="14"/>
                <w:szCs w:val="14"/>
                <w:color w:val="auto"/>
              </w:rPr>
              <w:t>(0.0%)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(329)</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n/m</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Tax Receivable Agreement liability adjustment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149,172</w:t>
            </w:r>
          </w:p>
        </w:tc>
        <w:tc>
          <w:tcPr>
            <w:tcW w:w="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(149,172)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60" w:type="dxa"/>
            <w:vAlign w:val="bottom"/>
          </w:tcPr>
          <w:p>
            <w:pPr>
              <w:ind w:left="120"/>
              <w:spacing w:after="0"/>
              <w:rPr>
                <w:sz w:val="20"/>
                <w:szCs w:val="20"/>
                <w:color w:val="auto"/>
              </w:rPr>
            </w:pPr>
            <w:r>
              <w:rPr>
                <w:rFonts w:ascii="Arial" w:cs="Arial" w:eastAsia="Arial" w:hAnsi="Arial"/>
                <w:sz w:val="14"/>
                <w:szCs w:val="14"/>
                <w:color w:val="auto"/>
              </w:rPr>
              <w:t>Other expense, net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(2,458)</w:t>
            </w:r>
          </w:p>
        </w:tc>
        <w:tc>
          <w:tcPr>
            <w:tcW w:w="760" w:type="dxa"/>
            <w:vAlign w:val="bottom"/>
            <w:gridSpan w:val="3"/>
          </w:tcPr>
          <w:p>
            <w:pPr>
              <w:jc w:val="right"/>
              <w:ind w:right="40"/>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(1,162)</w:t>
            </w:r>
          </w:p>
        </w:tc>
        <w:tc>
          <w:tcPr>
            <w:tcW w:w="720" w:type="dxa"/>
            <w:vAlign w:val="bottom"/>
            <w:gridSpan w:val="3"/>
          </w:tcPr>
          <w:p>
            <w:pPr>
              <w:jc w:val="right"/>
              <w:ind w:right="40"/>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(1,296)</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(111.5%)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860" w:type="dxa"/>
            <w:vAlign w:val="bottom"/>
            <w:tcBorders>
              <w:top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Total other (expense) income</w:t>
            </w: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(45,355)</w:t>
            </w: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(2.9%)</w:t>
            </w: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98,967</w:t>
            </w: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5.5%</w:t>
            </w: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40" w:type="dxa"/>
            <w:vAlign w:val="bottom"/>
            <w:tcBorders>
              <w:top w:val="single" w:sz="8" w:color="auto"/>
              <w:bottom w:val="single" w:sz="8" w:color="auto"/>
            </w:tcBorders>
            <w:shd w:val="clear" w:color="auto" w:fill="CCEEFF"/>
          </w:tcPr>
          <w:p>
            <w:pPr>
              <w:spacing w:after="0"/>
              <w:rPr>
                <w:sz w:val="13"/>
                <w:szCs w:val="13"/>
                <w:color w:val="auto"/>
              </w:rPr>
            </w:pPr>
          </w:p>
        </w:tc>
        <w:tc>
          <w:tcPr>
            <w:tcW w:w="6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(144,322)</w:t>
            </w: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n/m</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860" w:type="dxa"/>
            <w:vAlign w:val="bottom"/>
          </w:tcPr>
          <w:p>
            <w:pPr>
              <w:ind w:left="20"/>
              <w:spacing w:after="0" w:line="155" w:lineRule="exact"/>
              <w:rPr>
                <w:sz w:val="20"/>
                <w:szCs w:val="20"/>
                <w:color w:val="auto"/>
              </w:rPr>
            </w:pPr>
            <w:r>
              <w:rPr>
                <w:rFonts w:ascii="Arial" w:cs="Arial" w:eastAsia="Arial" w:hAnsi="Arial"/>
                <w:sz w:val="14"/>
                <w:szCs w:val="14"/>
                <w:color w:val="auto"/>
              </w:rPr>
              <w:t>(Loss) income before income taxes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(319,099)</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(20.2%)</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178,108</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9.9%</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(497,207)</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n/m</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(988)</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(207,459)</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(11.5%)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206,471</w:t>
            </w:r>
          </w:p>
        </w:tc>
        <w:tc>
          <w:tcPr>
            <w:tcW w:w="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99.5%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860" w:type="dxa"/>
            <w:vAlign w:val="bottom"/>
          </w:tcPr>
          <w:p>
            <w:pPr>
              <w:ind w:left="20"/>
              <w:spacing w:after="0" w:line="155" w:lineRule="exact"/>
              <w:rPr>
                <w:sz w:val="20"/>
                <w:szCs w:val="20"/>
                <w:color w:val="auto"/>
              </w:rPr>
            </w:pPr>
            <w:r>
              <w:rPr>
                <w:rFonts w:ascii="Arial" w:cs="Arial" w:eastAsia="Arial" w:hAnsi="Arial"/>
                <w:sz w:val="14"/>
                <w:szCs w:val="14"/>
                <w:color w:val="auto"/>
              </w:rPr>
              <w:t>Net loss</w:t>
            </w:r>
          </w:p>
        </w:tc>
        <w:tc>
          <w:tcPr>
            <w:tcW w:w="1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(320,087)</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(20.2%)</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(29,351)</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(1.6%)</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(290,736)</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n/m</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net loss attributable to non-controlling interests</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123,068</w:t>
            </w:r>
          </w:p>
        </w:tc>
        <w:tc>
          <w:tcPr>
            <w:tcW w:w="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(11,087)</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134,155</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n/m</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860" w:type="dxa"/>
            <w:vAlign w:val="bottom"/>
          </w:tcPr>
          <w:p>
            <w:pPr>
              <w:ind w:left="20"/>
              <w:spacing w:after="0" w:line="155" w:lineRule="exact"/>
              <w:rPr>
                <w:sz w:val="20"/>
                <w:szCs w:val="20"/>
                <w:color w:val="auto"/>
              </w:rPr>
            </w:pPr>
            <w:r>
              <w:rPr>
                <w:rFonts w:ascii="Arial" w:cs="Arial" w:eastAsia="Arial" w:hAnsi="Arial"/>
                <w:sz w:val="14"/>
                <w:szCs w:val="14"/>
                <w:color w:val="auto"/>
              </w:rPr>
              <w:t>Net loss attributable to Camping World Holdings, Inc.</w:t>
            </w:r>
          </w:p>
        </w:tc>
        <w:tc>
          <w:tcPr>
            <w:tcW w:w="1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(197,019)</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(12.4%)</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(40,438)</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Borders>
              <w:top w:val="single" w:sz="8" w:color="auto"/>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rPr>
              <w:t>$ (156,581)</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(387.2%)</w:t>
            </w: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60"/>
        <w:spacing w:after="0"/>
        <w:rPr>
          <w:sz w:val="20"/>
          <w:szCs w:val="20"/>
          <w:color w:val="auto"/>
        </w:rPr>
      </w:pPr>
      <w:r>
        <w:rPr>
          <w:rFonts w:ascii="Arial" w:cs="Arial" w:eastAsia="Arial" w:hAnsi="Arial"/>
          <w:sz w:val="14"/>
          <w:szCs w:val="14"/>
          <w:color w:val="auto"/>
        </w:rPr>
        <w:t>n/m- not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0" w:name="page41"/>
    <w:bookmarkEnd w:id="4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3920" w:type="dxa"/>
            <w:vAlign w:val="bottom"/>
            <w:gridSpan w:val="16"/>
          </w:tcPr>
          <w:p>
            <w:pPr>
              <w:ind w:left="20"/>
              <w:spacing w:after="0"/>
              <w:rPr>
                <w:sz w:val="20"/>
                <w:szCs w:val="20"/>
                <w:color w:val="auto"/>
              </w:rPr>
            </w:pPr>
            <w:r>
              <w:rPr>
                <w:rFonts w:ascii="Arial" w:cs="Arial" w:eastAsia="Arial" w:hAnsi="Arial"/>
                <w:sz w:val="14"/>
                <w:szCs w:val="14"/>
                <w:b w:val="1"/>
                <w:bCs w:val="1"/>
                <w:color w:val="auto"/>
              </w:rPr>
              <w:t>Supplemental Data</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2"/>
          </w:tcPr>
          <w:p>
            <w:pPr>
              <w:jc w:val="right"/>
              <w:ind w:right="368"/>
              <w:spacing w:after="0"/>
              <w:rPr>
                <w:sz w:val="20"/>
                <w:szCs w:val="20"/>
                <w:color w:val="auto"/>
              </w:rPr>
            </w:pPr>
            <w:r>
              <w:rPr>
                <w:rFonts w:ascii="Arial" w:cs="Arial" w:eastAsia="Arial" w:hAnsi="Arial"/>
                <w:sz w:val="14"/>
                <w:szCs w:val="14"/>
                <w:b w:val="1"/>
                <w:bCs w:val="1"/>
                <w:color w:val="auto"/>
              </w:rPr>
              <w:t>Increase</w:t>
            </w:r>
          </w:p>
        </w:tc>
        <w:tc>
          <w:tcPr>
            <w:tcW w:w="160" w:type="dxa"/>
            <w:vAlign w:val="bottom"/>
          </w:tcPr>
          <w:p>
            <w:pPr>
              <w:spacing w:after="0"/>
              <w:rPr>
                <w:sz w:val="24"/>
                <w:szCs w:val="24"/>
                <w:color w:val="auto"/>
              </w:rPr>
            </w:pPr>
          </w:p>
        </w:tc>
        <w:tc>
          <w:tcPr>
            <w:tcW w:w="780" w:type="dxa"/>
            <w:vAlign w:val="bottom"/>
            <w:gridSpan w:val="2"/>
          </w:tcPr>
          <w:p>
            <w:pPr>
              <w:ind w:left="12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ind w:right="328"/>
              <w:spacing w:after="0" w:line="155" w:lineRule="exact"/>
              <w:rPr>
                <w:sz w:val="20"/>
                <w:szCs w:val="20"/>
                <w:color w:val="auto"/>
              </w:rPr>
            </w:pPr>
            <w:r>
              <w:rPr>
                <w:rFonts w:ascii="Arial" w:cs="Arial" w:eastAsia="Arial" w:hAnsi="Arial"/>
                <w:sz w:val="14"/>
                <w:szCs w:val="14"/>
                <w:b w:val="1"/>
                <w:bCs w:val="1"/>
                <w:color w:val="auto"/>
              </w:rPr>
              <w:t>2026</w:t>
            </w:r>
          </w:p>
        </w:tc>
        <w:tc>
          <w:tcPr>
            <w:tcW w:w="220" w:type="dxa"/>
            <w:vAlign w:val="bottom"/>
          </w:tcPr>
          <w:p>
            <w:pPr>
              <w:ind w:left="80"/>
              <w:spacing w:after="0" w:line="155"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900" w:type="dxa"/>
            <w:vAlign w:val="bottom"/>
          </w:tcPr>
          <w:p>
            <w:pPr>
              <w:jc w:val="right"/>
              <w:ind w:right="348"/>
              <w:spacing w:after="0" w:line="155" w:lineRule="exact"/>
              <w:rPr>
                <w:sz w:val="20"/>
                <w:szCs w:val="20"/>
                <w:color w:val="auto"/>
              </w:rPr>
            </w:pPr>
            <w:r>
              <w:rPr>
                <w:rFonts w:ascii="Arial" w:cs="Arial" w:eastAsia="Arial" w:hAnsi="Arial"/>
                <w:sz w:val="14"/>
                <w:szCs w:val="14"/>
                <w:b w:val="1"/>
                <w:bCs w:val="1"/>
                <w:color w:val="auto"/>
              </w:rPr>
              <w:t>2025</w:t>
            </w:r>
          </w:p>
        </w:tc>
        <w:tc>
          <w:tcPr>
            <w:tcW w:w="2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308"/>
              <w:spacing w:after="0" w:line="155" w:lineRule="exact"/>
              <w:rPr>
                <w:sz w:val="20"/>
                <w:szCs w:val="20"/>
                <w:color w:val="auto"/>
              </w:rPr>
            </w:pPr>
            <w:r>
              <w:rPr>
                <w:rFonts w:ascii="Arial" w:cs="Arial" w:eastAsia="Arial" w:hAnsi="Arial"/>
                <w:sz w:val="14"/>
                <w:szCs w:val="14"/>
                <w:b w:val="1"/>
                <w:bCs w:val="1"/>
                <w:color w:val="auto"/>
                <w:w w:val="99"/>
              </w:rPr>
              <w:t>(decrease)</w:t>
            </w:r>
          </w:p>
        </w:tc>
        <w:tc>
          <w:tcPr>
            <w:tcW w:w="940" w:type="dxa"/>
            <w:vAlign w:val="bottom"/>
            <w:gridSpan w:val="3"/>
          </w:tcPr>
          <w:p>
            <w:pPr>
              <w:ind w:left="80"/>
              <w:spacing w:after="0" w:line="155" w:lineRule="exact"/>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ind w:left="80"/>
              <w:spacing w:after="0"/>
              <w:rPr>
                <w:sz w:val="20"/>
                <w:szCs w:val="20"/>
                <w:color w:val="auto"/>
              </w:rPr>
            </w:pPr>
            <w:r>
              <w:rPr>
                <w:rFonts w:ascii="Arial" w:cs="Arial" w:eastAsia="Arial" w:hAnsi="Arial"/>
                <w:sz w:val="14"/>
                <w:szCs w:val="14"/>
                <w:color w:val="auto"/>
              </w:rPr>
              <w:t>​​​</w:t>
            </w: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920" w:type="dxa"/>
            <w:vAlign w:val="bottom"/>
            <w:gridSpan w:val="16"/>
            <w:shd w:val="clear" w:color="auto" w:fill="CCEEFF"/>
          </w:tcPr>
          <w:p>
            <w:pPr>
              <w:ind w:left="20"/>
              <w:spacing w:after="0" w:line="142" w:lineRule="exact"/>
              <w:rPr>
                <w:sz w:val="20"/>
                <w:szCs w:val="20"/>
                <w:color w:val="auto"/>
              </w:rPr>
            </w:pPr>
            <w:r>
              <w:rPr>
                <w:rFonts w:ascii="Arial" w:cs="Arial" w:eastAsia="Arial" w:hAnsi="Arial"/>
                <w:sz w:val="14"/>
                <w:szCs w:val="14"/>
                <w:color w:val="auto"/>
              </w:rPr>
              <w:t>Unit sales</w:t>
            </w:r>
          </w:p>
        </w:tc>
        <w:tc>
          <w:tcPr>
            <w:tcW w:w="420" w:type="dxa"/>
            <w:vAlign w:val="bottom"/>
            <w:gridSpan w:val="2"/>
            <w:shd w:val="clear" w:color="auto" w:fill="CCEEFF"/>
          </w:tcPr>
          <w:p>
            <w:pPr>
              <w:ind w:left="80"/>
              <w:spacing w:after="0" w:line="142"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spacing w:after="0"/>
              <w:rPr>
                <w:sz w:val="12"/>
                <w:szCs w:val="12"/>
                <w:color w:val="auto"/>
              </w:rPr>
            </w:pPr>
          </w:p>
        </w:tc>
        <w:tc>
          <w:tcPr>
            <w:tcW w:w="220" w:type="dxa"/>
            <w:vAlign w:val="bottom"/>
            <w:vMerge w:val="continue"/>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80"/>
              <w:spacing w:after="0" w:line="142"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900" w:type="dxa"/>
            <w:vAlign w:val="bottom"/>
            <w:gridSpan w:val="15"/>
          </w:tcPr>
          <w:p>
            <w:pPr>
              <w:ind w:left="100"/>
              <w:spacing w:after="0" w:line="155" w:lineRule="exact"/>
              <w:rPr>
                <w:sz w:val="20"/>
                <w:szCs w:val="20"/>
                <w:color w:val="auto"/>
              </w:rPr>
            </w:pPr>
            <w:r>
              <w:rPr>
                <w:rFonts w:ascii="Arial" w:cs="Arial" w:eastAsia="Arial" w:hAnsi="Arial"/>
                <w:sz w:val="14"/>
                <w:szCs w:val="14"/>
                <w:color w:val="auto"/>
              </w:rPr>
              <w:t>New vehicles</w:t>
            </w: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15,126</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20,286</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right"/>
              <w:ind w:right="228"/>
              <w:spacing w:after="0" w:line="155" w:lineRule="exact"/>
              <w:rPr>
                <w:sz w:val="20"/>
                <w:szCs w:val="20"/>
                <w:color w:val="auto"/>
              </w:rPr>
            </w:pPr>
            <w:r>
              <w:rPr>
                <w:rFonts w:ascii="Arial" w:cs="Arial" w:eastAsia="Arial" w:hAnsi="Arial"/>
                <w:sz w:val="14"/>
                <w:szCs w:val="14"/>
                <w:color w:val="auto"/>
              </w:rPr>
              <w:t>(5,160)</w:t>
            </w:r>
          </w:p>
        </w:tc>
        <w:tc>
          <w:tcPr>
            <w:tcW w:w="9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(25.4%)</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3900" w:type="dxa"/>
            <w:vAlign w:val="bottom"/>
            <w:gridSpan w:val="15"/>
            <w:shd w:val="clear" w:color="auto" w:fill="CCEEFF"/>
          </w:tcPr>
          <w:p>
            <w:pPr>
              <w:ind w:left="100"/>
              <w:spacing w:after="0"/>
              <w:rPr>
                <w:sz w:val="20"/>
                <w:szCs w:val="20"/>
                <w:color w:val="auto"/>
              </w:rPr>
            </w:pPr>
            <w:r>
              <w:rPr>
                <w:rFonts w:ascii="Arial" w:cs="Arial" w:eastAsia="Arial" w:hAnsi="Arial"/>
                <w:sz w:val="14"/>
                <w:szCs w:val="14"/>
                <w:color w:val="auto"/>
              </w:rPr>
              <w:t>Used vehicles</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17,176</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18,694</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8"/>
              <w:spacing w:after="0"/>
              <w:rPr>
                <w:sz w:val="20"/>
                <w:szCs w:val="20"/>
                <w:color w:val="auto"/>
              </w:rPr>
            </w:pPr>
            <w:r>
              <w:rPr>
                <w:rFonts w:ascii="Arial" w:cs="Arial" w:eastAsia="Arial" w:hAnsi="Arial"/>
                <w:sz w:val="14"/>
                <w:szCs w:val="14"/>
                <w:color w:val="auto"/>
              </w:rPr>
              <w:t>(1,518)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00" w:type="dxa"/>
            <w:vAlign w:val="bottom"/>
            <w:gridSpan w:val="15"/>
          </w:tcPr>
          <w:p>
            <w:pPr>
              <w:ind w:left="100"/>
              <w:spacing w:after="0" w:line="155" w:lineRule="exact"/>
              <w:rPr>
                <w:sz w:val="20"/>
                <w:szCs w:val="20"/>
                <w:color w:val="auto"/>
              </w:rPr>
            </w:pPr>
            <w:r>
              <w:rPr>
                <w:rFonts w:ascii="Arial" w:cs="Arial" w:eastAsia="Arial" w:hAnsi="Arial"/>
                <w:sz w:val="14"/>
                <w:szCs w:val="14"/>
                <w:color w:val="auto"/>
              </w:rPr>
              <w:t>Total</w:t>
            </w:r>
          </w:p>
        </w:tc>
        <w:tc>
          <w:tcPr>
            <w:tcW w:w="1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32,302</w:t>
            </w:r>
          </w:p>
        </w:tc>
        <w:tc>
          <w:tcPr>
            <w:tcW w:w="2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38,980</w:t>
            </w: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(6,678)</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(17.1%)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920" w:type="dxa"/>
            <w:vAlign w:val="bottom"/>
            <w:gridSpan w:val="16"/>
          </w:tcPr>
          <w:p>
            <w:pPr>
              <w:ind w:left="20"/>
              <w:spacing w:after="0" w:line="149" w:lineRule="exact"/>
              <w:rPr>
                <w:sz w:val="20"/>
                <w:szCs w:val="20"/>
                <w:color w:val="auto"/>
              </w:rPr>
            </w:pPr>
            <w:r>
              <w:rPr>
                <w:rFonts w:ascii="Arial" w:cs="Arial" w:eastAsia="Arial" w:hAnsi="Arial"/>
                <w:sz w:val="14"/>
                <w:szCs w:val="14"/>
                <w:color w:val="auto"/>
              </w:rPr>
              <w:t>Average selling price</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1320" w:type="dxa"/>
            <w:vAlign w:val="bottom"/>
            <w:tcBorders>
              <w:top w:val="single" w:sz="8" w:color="auto"/>
            </w:tcBorders>
            <w:gridSpan w:val="5"/>
            <w:shd w:val="clear" w:color="auto" w:fill="CCEEFF"/>
          </w:tcPr>
          <w:p>
            <w:pPr>
              <w:ind w:left="100"/>
              <w:spacing w:after="0" w:line="155" w:lineRule="exact"/>
              <w:rPr>
                <w:sz w:val="20"/>
                <w:szCs w:val="20"/>
                <w:color w:val="auto"/>
              </w:rPr>
            </w:pPr>
            <w:r>
              <w:rPr>
                <w:rFonts w:ascii="Arial" w:cs="Arial" w:eastAsia="Arial" w:hAnsi="Arial"/>
                <w:sz w:val="14"/>
                <w:szCs w:val="14"/>
                <w:color w:val="auto"/>
              </w:rPr>
              <w:t>New vehicles</w:t>
            </w:r>
          </w:p>
        </w:tc>
        <w:tc>
          <w:tcPr>
            <w:tcW w:w="2580" w:type="dxa"/>
            <w:vAlign w:val="bottom"/>
            <w:gridSpan w:val="10"/>
            <w:shd w:val="clear" w:color="auto" w:fill="CCEEFF"/>
          </w:tcPr>
          <w:p>
            <w:pPr>
              <w:spacing w:after="0"/>
              <w:rPr>
                <w:sz w:val="13"/>
                <w:szCs w:val="13"/>
                <w:color w:val="auto"/>
              </w:rPr>
            </w:pPr>
          </w:p>
        </w:tc>
        <w:tc>
          <w:tcPr>
            <w:tcW w:w="420" w:type="dxa"/>
            <w:vAlign w:val="bottom"/>
            <w:gridSpan w:val="2"/>
            <w:shd w:val="clear" w:color="auto" w:fill="CCEEFF"/>
          </w:tcPr>
          <w:p>
            <w:pPr>
              <w:ind w:left="180"/>
              <w:spacing w:after="0" w:line="155"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42,239</w:t>
            </w:r>
          </w:p>
        </w:tc>
        <w:tc>
          <w:tcPr>
            <w:tcW w:w="480" w:type="dxa"/>
            <w:vAlign w:val="bottom"/>
            <w:gridSpan w:val="2"/>
            <w:shd w:val="clear" w:color="auto" w:fill="CCEEFF"/>
          </w:tcPr>
          <w:p>
            <w:pPr>
              <w:jc w:val="right"/>
              <w:ind w:right="108"/>
              <w:spacing w:after="0" w:line="155"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37,798</w:t>
            </w:r>
          </w:p>
        </w:tc>
        <w:tc>
          <w:tcPr>
            <w:tcW w:w="26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4,441</w:t>
            </w:r>
          </w:p>
        </w:tc>
        <w:tc>
          <w:tcPr>
            <w:tcW w:w="3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11.7%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00" w:type="dxa"/>
            <w:vAlign w:val="bottom"/>
            <w:gridSpan w:val="15"/>
          </w:tcPr>
          <w:p>
            <w:pPr>
              <w:ind w:left="100"/>
              <w:spacing w:after="0"/>
              <w:rPr>
                <w:sz w:val="20"/>
                <w:szCs w:val="20"/>
                <w:color w:val="auto"/>
              </w:rPr>
            </w:pPr>
            <w:r>
              <w:rPr>
                <w:rFonts w:ascii="Arial" w:cs="Arial" w:eastAsia="Arial" w:hAnsi="Arial"/>
                <w:sz w:val="14"/>
                <w:szCs w:val="14"/>
                <w:color w:val="auto"/>
              </w:rPr>
              <w:t>Used vehicles</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30,187</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31,512</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228"/>
              <w:spacing w:after="0"/>
              <w:rPr>
                <w:sz w:val="20"/>
                <w:szCs w:val="20"/>
                <w:color w:val="auto"/>
              </w:rPr>
            </w:pPr>
            <w:r>
              <w:rPr>
                <w:rFonts w:ascii="Arial" w:cs="Arial" w:eastAsia="Arial" w:hAnsi="Arial"/>
                <w:sz w:val="14"/>
                <w:szCs w:val="14"/>
                <w:color w:val="auto"/>
              </w:rPr>
              <w:t>(1,325)</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(4.2%)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1400" w:type="dxa"/>
            <w:vAlign w:val="bottom"/>
            <w:gridSpan w:val="7"/>
            <w:vMerge w:val="restart"/>
          </w:tcPr>
          <w:p>
            <w:pPr>
              <w:ind w:left="20"/>
              <w:spacing w:after="0" w:line="149" w:lineRule="exact"/>
              <w:rPr>
                <w:sz w:val="20"/>
                <w:szCs w:val="20"/>
                <w:color w:val="auto"/>
              </w:rPr>
            </w:pPr>
            <w:r>
              <w:rPr>
                <w:rFonts w:ascii="Arial" w:cs="Arial" w:eastAsia="Arial" w:hAnsi="Arial"/>
                <w:sz w:val="14"/>
                <w:szCs w:val="14"/>
                <w:color w:val="auto"/>
              </w:rPr>
              <w:t>Same store unit sales</w:t>
            </w:r>
          </w:p>
        </w:tc>
        <w:tc>
          <w:tcPr>
            <w:tcW w:w="120" w:type="dxa"/>
            <w:vAlign w:val="bottom"/>
            <w:tcBorders>
              <w:bottom w:val="single" w:sz="8" w:color="auto"/>
            </w:tcBorders>
            <w:gridSpan w:val="2"/>
          </w:tcPr>
          <w:p>
            <w:pPr>
              <w:jc w:val="right"/>
              <w:spacing w:after="0" w:line="75" w:lineRule="exact"/>
              <w:rPr>
                <w:sz w:val="20"/>
                <w:szCs w:val="20"/>
                <w:color w:val="auto"/>
              </w:rPr>
            </w:pPr>
            <w:r>
              <w:rPr>
                <w:rFonts w:ascii="Arial" w:cs="Arial" w:eastAsia="Arial" w:hAnsi="Arial"/>
                <w:sz w:val="8"/>
                <w:szCs w:val="8"/>
                <w:color w:val="auto"/>
              </w:rPr>
              <w:t>(1)</w:t>
            </w:r>
          </w:p>
        </w:tc>
        <w:tc>
          <w:tcPr>
            <w:tcW w:w="140" w:type="dxa"/>
            <w:vAlign w:val="bottom"/>
            <w:vMerge w:val="restart"/>
          </w:tcPr>
          <w:p>
            <w:pPr>
              <w:spacing w:after="0"/>
              <w:rPr>
                <w:sz w:val="8"/>
                <w:szCs w:val="8"/>
                <w:color w:val="auto"/>
              </w:rPr>
            </w:pPr>
          </w:p>
        </w:tc>
        <w:tc>
          <w:tcPr>
            <w:tcW w:w="14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340" w:type="dxa"/>
            <w:vAlign w:val="bottom"/>
            <w:vMerge w:val="restart"/>
          </w:tcPr>
          <w:p>
            <w:pPr>
              <w:spacing w:after="0"/>
              <w:rPr>
                <w:sz w:val="8"/>
                <w:szCs w:val="8"/>
                <w:color w:val="auto"/>
              </w:rPr>
            </w:pPr>
          </w:p>
        </w:tc>
        <w:tc>
          <w:tcPr>
            <w:tcW w:w="440" w:type="dxa"/>
            <w:vAlign w:val="bottom"/>
            <w:vMerge w:val="restart"/>
          </w:tcPr>
          <w:p>
            <w:pPr>
              <w:spacing w:after="0"/>
              <w:rPr>
                <w:sz w:val="8"/>
                <w:szCs w:val="8"/>
                <w:color w:val="auto"/>
              </w:rPr>
            </w:pPr>
          </w:p>
        </w:tc>
        <w:tc>
          <w:tcPr>
            <w:tcW w:w="320" w:type="dxa"/>
            <w:vAlign w:val="bottom"/>
            <w:vMerge w:val="restart"/>
          </w:tcPr>
          <w:p>
            <w:pPr>
              <w:spacing w:after="0"/>
              <w:rPr>
                <w:sz w:val="8"/>
                <w:szCs w:val="8"/>
                <w:color w:val="auto"/>
              </w:rPr>
            </w:pPr>
          </w:p>
        </w:tc>
        <w:tc>
          <w:tcPr>
            <w:tcW w:w="1000" w:type="dxa"/>
            <w:vAlign w:val="bottom"/>
            <w:vMerge w:val="restart"/>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4"/>
        </w:trPr>
        <w:tc>
          <w:tcPr>
            <w:tcW w:w="1400" w:type="dxa"/>
            <w:vAlign w:val="bottom"/>
            <w:gridSpan w:val="7"/>
            <w:vMerge w:val="continue"/>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340" w:type="dxa"/>
            <w:vAlign w:val="bottom"/>
            <w:vMerge w:val="continue"/>
          </w:tcPr>
          <w:p>
            <w:pPr>
              <w:spacing w:after="0"/>
              <w:rPr>
                <w:sz w:val="2"/>
                <w:szCs w:val="2"/>
                <w:color w:val="auto"/>
              </w:rPr>
            </w:pPr>
          </w:p>
        </w:tc>
        <w:tc>
          <w:tcPr>
            <w:tcW w:w="440" w:type="dxa"/>
            <w:vAlign w:val="bottom"/>
            <w:vMerge w:val="continue"/>
          </w:tcPr>
          <w:p>
            <w:pPr>
              <w:spacing w:after="0"/>
              <w:rPr>
                <w:sz w:val="2"/>
                <w:szCs w:val="2"/>
                <w:color w:val="auto"/>
              </w:rPr>
            </w:pPr>
          </w:p>
        </w:tc>
        <w:tc>
          <w:tcPr>
            <w:tcW w:w="320" w:type="dxa"/>
            <w:vAlign w:val="bottom"/>
            <w:vMerge w:val="continue"/>
          </w:tcPr>
          <w:p>
            <w:pPr>
              <w:spacing w:after="0"/>
              <w:rPr>
                <w:sz w:val="2"/>
                <w:szCs w:val="2"/>
                <w:color w:val="auto"/>
              </w:rPr>
            </w:pPr>
          </w:p>
        </w:tc>
        <w:tc>
          <w:tcPr>
            <w:tcW w:w="100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1380" w:type="dxa"/>
            <w:vAlign w:val="bottom"/>
            <w:tcBorders>
              <w:top w:val="single" w:sz="8" w:color="auto"/>
            </w:tcBorders>
            <w:gridSpan w:val="6"/>
            <w:shd w:val="clear" w:color="auto" w:fill="CCEEFF"/>
          </w:tcPr>
          <w:p>
            <w:pPr>
              <w:ind w:left="100"/>
              <w:spacing w:after="0" w:line="155" w:lineRule="exact"/>
              <w:rPr>
                <w:sz w:val="20"/>
                <w:szCs w:val="20"/>
                <w:color w:val="auto"/>
              </w:rPr>
            </w:pPr>
            <w:r>
              <w:rPr>
                <w:rFonts w:ascii="Arial" w:cs="Arial" w:eastAsia="Arial" w:hAnsi="Arial"/>
                <w:sz w:val="14"/>
                <w:szCs w:val="14"/>
                <w:color w:val="auto"/>
              </w:rPr>
              <w:t>New vehicles</w:t>
            </w:r>
          </w:p>
        </w:tc>
        <w:tc>
          <w:tcPr>
            <w:tcW w:w="2520" w:type="dxa"/>
            <w:vAlign w:val="bottom"/>
            <w:gridSpan w:val="9"/>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14,009</w:t>
            </w: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19,040</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28"/>
              <w:spacing w:after="0" w:line="155" w:lineRule="exact"/>
              <w:rPr>
                <w:sz w:val="20"/>
                <w:szCs w:val="20"/>
                <w:color w:val="auto"/>
              </w:rPr>
            </w:pPr>
            <w:r>
              <w:rPr>
                <w:rFonts w:ascii="Arial" w:cs="Arial" w:eastAsia="Arial" w:hAnsi="Arial"/>
                <w:sz w:val="14"/>
                <w:szCs w:val="14"/>
                <w:color w:val="auto"/>
              </w:rPr>
              <w:t>(5,031)</w:t>
            </w:r>
          </w:p>
        </w:tc>
        <w:tc>
          <w:tcPr>
            <w:tcW w:w="92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(26.4%)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00" w:type="dxa"/>
            <w:vAlign w:val="bottom"/>
            <w:gridSpan w:val="15"/>
          </w:tcPr>
          <w:p>
            <w:pPr>
              <w:ind w:left="100"/>
              <w:spacing w:after="0"/>
              <w:rPr>
                <w:sz w:val="20"/>
                <w:szCs w:val="20"/>
                <w:color w:val="auto"/>
              </w:rPr>
            </w:pPr>
            <w:r>
              <w:rPr>
                <w:rFonts w:ascii="Arial" w:cs="Arial" w:eastAsia="Arial" w:hAnsi="Arial"/>
                <w:sz w:val="14"/>
                <w:szCs w:val="14"/>
                <w:color w:val="auto"/>
              </w:rPr>
              <w:t>Used vehicles</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16,251</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17,779</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228"/>
              <w:spacing w:after="0"/>
              <w:rPr>
                <w:sz w:val="20"/>
                <w:szCs w:val="20"/>
                <w:color w:val="auto"/>
              </w:rPr>
            </w:pPr>
            <w:r>
              <w:rPr>
                <w:rFonts w:ascii="Arial" w:cs="Arial" w:eastAsia="Arial" w:hAnsi="Arial"/>
                <w:sz w:val="14"/>
                <w:szCs w:val="14"/>
                <w:color w:val="auto"/>
              </w:rPr>
              <w:t>(1,528)</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(8.6%)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Borders>
              <w:top w:val="single" w:sz="8" w:color="CCEEFF"/>
            </w:tcBorders>
            <w:shd w:val="clear" w:color="auto" w:fill="CCEEFF"/>
          </w:tcPr>
          <w:p>
            <w:pPr>
              <w:spacing w:after="0"/>
              <w:rPr>
                <w:sz w:val="13"/>
                <w:szCs w:val="13"/>
                <w:color w:val="auto"/>
              </w:rPr>
            </w:pPr>
          </w:p>
        </w:tc>
        <w:tc>
          <w:tcPr>
            <w:tcW w:w="3900" w:type="dxa"/>
            <w:vAlign w:val="bottom"/>
            <w:tcBorders>
              <w:top w:val="single" w:sz="8" w:color="CCEEFF"/>
            </w:tcBorders>
            <w:gridSpan w:val="15"/>
            <w:shd w:val="clear" w:color="auto" w:fill="CCEEFF"/>
          </w:tcPr>
          <w:p>
            <w:pPr>
              <w:ind w:left="100"/>
              <w:spacing w:after="0" w:line="155" w:lineRule="exact"/>
              <w:rPr>
                <w:sz w:val="20"/>
                <w:szCs w:val="20"/>
                <w:color w:val="auto"/>
              </w:rPr>
            </w:pPr>
            <w:r>
              <w:rPr>
                <w:rFonts w:ascii="Arial" w:cs="Arial" w:eastAsia="Arial" w:hAnsi="Arial"/>
                <w:sz w:val="14"/>
                <w:szCs w:val="14"/>
                <w:color w:val="auto"/>
              </w:rPr>
              <w:t>Total</w:t>
            </w:r>
          </w:p>
        </w:tc>
        <w:tc>
          <w:tcPr>
            <w:tcW w:w="1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30,260</w:t>
            </w:r>
          </w:p>
        </w:tc>
        <w:tc>
          <w:tcPr>
            <w:tcW w:w="2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36,819</w:t>
            </w:r>
          </w:p>
        </w:tc>
        <w:tc>
          <w:tcPr>
            <w:tcW w:w="1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(6,559)</w:t>
            </w:r>
          </w:p>
        </w:tc>
        <w:tc>
          <w:tcPr>
            <w:tcW w:w="3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(17.8%)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1300" w:type="dxa"/>
            <w:vAlign w:val="bottom"/>
            <w:tcBorders>
              <w:bottom w:val="single" w:sz="8" w:color="CCEEFF"/>
            </w:tcBorders>
            <w:gridSpan w:val="5"/>
            <w:vMerge w:val="restart"/>
            <w:shd w:val="clear" w:color="auto" w:fill="CCEEFF"/>
          </w:tcPr>
          <w:p>
            <w:pPr>
              <w:ind w:left="20"/>
              <w:spacing w:after="0" w:line="149" w:lineRule="exact"/>
              <w:rPr>
                <w:sz w:val="20"/>
                <w:szCs w:val="20"/>
                <w:color w:val="auto"/>
              </w:rPr>
            </w:pPr>
            <w:r>
              <w:rPr>
                <w:rFonts w:ascii="Arial" w:cs="Arial" w:eastAsia="Arial" w:hAnsi="Arial"/>
                <w:sz w:val="14"/>
                <w:szCs w:val="14"/>
                <w:color w:val="auto"/>
                <w:w w:val="99"/>
              </w:rPr>
              <w:t>Same store revenue</w:t>
            </w:r>
          </w:p>
        </w:tc>
        <w:tc>
          <w:tcPr>
            <w:tcW w:w="140" w:type="dxa"/>
            <w:vAlign w:val="bottom"/>
            <w:tcBorders>
              <w:bottom w:val="single" w:sz="8" w:color="auto"/>
            </w:tcBorders>
            <w:gridSpan w:val="3"/>
            <w:shd w:val="clear" w:color="auto" w:fill="CCEEFF"/>
          </w:tcPr>
          <w:p>
            <w:pPr>
              <w:jc w:val="right"/>
              <w:spacing w:after="0" w:line="75" w:lineRule="exact"/>
              <w:rPr>
                <w:sz w:val="20"/>
                <w:szCs w:val="20"/>
                <w:color w:val="auto"/>
              </w:rPr>
            </w:pPr>
            <w:r>
              <w:rPr>
                <w:rFonts w:ascii="Arial" w:cs="Arial" w:eastAsia="Arial" w:hAnsi="Arial"/>
                <w:sz w:val="8"/>
                <w:szCs w:val="8"/>
                <w:color w:val="auto"/>
              </w:rPr>
              <w:t>(1)</w:t>
            </w:r>
          </w:p>
        </w:tc>
        <w:tc>
          <w:tcPr>
            <w:tcW w:w="2480" w:type="dxa"/>
            <w:vAlign w:val="bottom"/>
            <w:tcBorders>
              <w:bottom w:val="single" w:sz="8" w:color="CCEEFF"/>
            </w:tcBorders>
            <w:gridSpan w:val="8"/>
            <w:vMerge w:val="restart"/>
            <w:shd w:val="clear" w:color="auto" w:fill="CCEEFF"/>
          </w:tcPr>
          <w:p>
            <w:pPr>
              <w:ind w:left="40"/>
              <w:spacing w:after="0" w:line="149" w:lineRule="exact"/>
              <w:rPr>
                <w:sz w:val="20"/>
                <w:szCs w:val="20"/>
                <w:color w:val="auto"/>
              </w:rPr>
            </w:pPr>
            <w:r>
              <w:rPr>
                <w:rFonts w:ascii="Arial" w:cs="Arial" w:eastAsia="Arial" w:hAnsi="Arial"/>
                <w:sz w:val="14"/>
                <w:szCs w:val="14"/>
                <w:color w:val="auto"/>
              </w:rPr>
              <w:t>($ in 000s)</w:t>
            </w:r>
          </w:p>
        </w:tc>
        <w:tc>
          <w:tcPr>
            <w:tcW w:w="180" w:type="dxa"/>
            <w:vAlign w:val="bottom"/>
            <w:tcBorders>
              <w:bottom w:val="single" w:sz="8" w:color="CCEEFF"/>
            </w:tcBorders>
            <w:shd w:val="clear" w:color="auto" w:fill="CCEEFF"/>
          </w:tcPr>
          <w:p>
            <w:pPr>
              <w:spacing w:after="0"/>
              <w:rPr>
                <w:sz w:val="8"/>
                <w:szCs w:val="8"/>
                <w:color w:val="auto"/>
              </w:rPr>
            </w:pPr>
          </w:p>
        </w:tc>
        <w:tc>
          <w:tcPr>
            <w:tcW w:w="240" w:type="dxa"/>
            <w:vAlign w:val="bottom"/>
            <w:tcBorders>
              <w:bottom w:val="single" w:sz="8" w:color="CCEEFF"/>
            </w:tcBorders>
            <w:shd w:val="clear" w:color="auto" w:fill="CCEEFF"/>
          </w:tcPr>
          <w:p>
            <w:pPr>
              <w:spacing w:after="0"/>
              <w:rPr>
                <w:sz w:val="8"/>
                <w:szCs w:val="8"/>
                <w:color w:val="auto"/>
              </w:rPr>
            </w:pPr>
          </w:p>
        </w:tc>
        <w:tc>
          <w:tcPr>
            <w:tcW w:w="900" w:type="dxa"/>
            <w:vAlign w:val="bottom"/>
            <w:tcBorders>
              <w:bottom w:val="single" w:sz="8" w:color="CCEEFF"/>
            </w:tcBorders>
            <w:shd w:val="clear" w:color="auto" w:fill="CCEEFF"/>
          </w:tcPr>
          <w:p>
            <w:pPr>
              <w:spacing w:after="0"/>
              <w:rPr>
                <w:sz w:val="8"/>
                <w:szCs w:val="8"/>
                <w:color w:val="auto"/>
              </w:rPr>
            </w:pPr>
          </w:p>
        </w:tc>
        <w:tc>
          <w:tcPr>
            <w:tcW w:w="220" w:type="dxa"/>
            <w:vAlign w:val="bottom"/>
            <w:tcBorders>
              <w:bottom w:val="single" w:sz="8" w:color="CCEEFF"/>
            </w:tcBorders>
            <w:shd w:val="clear" w:color="auto" w:fill="CCEEFF"/>
          </w:tcPr>
          <w:p>
            <w:pPr>
              <w:spacing w:after="0"/>
              <w:rPr>
                <w:sz w:val="8"/>
                <w:szCs w:val="8"/>
                <w:color w:val="auto"/>
              </w:rPr>
            </w:pPr>
          </w:p>
        </w:tc>
        <w:tc>
          <w:tcPr>
            <w:tcW w:w="260" w:type="dxa"/>
            <w:vAlign w:val="bottom"/>
            <w:tcBorders>
              <w:bottom w:val="single" w:sz="8" w:color="CCEEFF"/>
            </w:tcBorders>
            <w:shd w:val="clear" w:color="auto" w:fill="CCEEFF"/>
          </w:tcPr>
          <w:p>
            <w:pPr>
              <w:spacing w:after="0"/>
              <w:rPr>
                <w:sz w:val="8"/>
                <w:szCs w:val="8"/>
                <w:color w:val="auto"/>
              </w:rPr>
            </w:pPr>
          </w:p>
        </w:tc>
        <w:tc>
          <w:tcPr>
            <w:tcW w:w="90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800" w:type="dxa"/>
            <w:vAlign w:val="bottom"/>
            <w:tcBorders>
              <w:bottom w:val="single" w:sz="8" w:color="CCEEFF"/>
            </w:tcBorders>
            <w:shd w:val="clear" w:color="auto" w:fill="CCEEFF"/>
          </w:tcPr>
          <w:p>
            <w:pPr>
              <w:spacing w:after="0"/>
              <w:rPr>
                <w:sz w:val="8"/>
                <w:szCs w:val="8"/>
                <w:color w:val="auto"/>
              </w:rPr>
            </w:pPr>
          </w:p>
        </w:tc>
        <w:tc>
          <w:tcPr>
            <w:tcW w:w="30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760" w:type="dxa"/>
            <w:vAlign w:val="bottom"/>
            <w:tcBorders>
              <w:bottom w:val="single" w:sz="8" w:color="CCEEFF"/>
            </w:tcBorders>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4"/>
        </w:trPr>
        <w:tc>
          <w:tcPr>
            <w:tcW w:w="1300" w:type="dxa"/>
            <w:vAlign w:val="bottom"/>
            <w:gridSpan w:val="5"/>
            <w:vMerge w:val="continue"/>
            <w:shd w:val="clear" w:color="auto" w:fill="CCEEFF"/>
          </w:tcPr>
          <w:p>
            <w:pPr>
              <w:spacing w:after="0"/>
              <w:rPr>
                <w:sz w:val="2"/>
                <w:szCs w:val="2"/>
                <w:color w:val="auto"/>
              </w:rPr>
            </w:pPr>
          </w:p>
        </w:tc>
        <w:tc>
          <w:tcPr>
            <w:tcW w:w="140" w:type="dxa"/>
            <w:vAlign w:val="bottom"/>
            <w:gridSpan w:val="3"/>
            <w:shd w:val="clear" w:color="auto" w:fill="CCEEFF"/>
          </w:tcPr>
          <w:p>
            <w:pPr>
              <w:spacing w:after="0"/>
              <w:rPr>
                <w:sz w:val="2"/>
                <w:szCs w:val="2"/>
                <w:color w:val="auto"/>
              </w:rPr>
            </w:pPr>
          </w:p>
        </w:tc>
        <w:tc>
          <w:tcPr>
            <w:tcW w:w="2480" w:type="dxa"/>
            <w:vAlign w:val="bottom"/>
            <w:gridSpan w:val="8"/>
            <w:vMerge w:val="continue"/>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0" w:type="dxa"/>
            <w:vAlign w:val="bottom"/>
            <w:tcBorders>
              <w:top w:val="single" w:sz="8" w:color="CCEEFF"/>
            </w:tcBorders>
          </w:tcPr>
          <w:p>
            <w:pPr>
              <w:spacing w:after="0"/>
              <w:rPr>
                <w:sz w:val="13"/>
                <w:szCs w:val="13"/>
                <w:color w:val="auto"/>
              </w:rPr>
            </w:pPr>
          </w:p>
        </w:tc>
        <w:tc>
          <w:tcPr>
            <w:tcW w:w="1280" w:type="dxa"/>
            <w:vAlign w:val="bottom"/>
            <w:tcBorders>
              <w:top w:val="single" w:sz="8" w:color="auto"/>
            </w:tcBorders>
            <w:gridSpan w:val="4"/>
          </w:tcPr>
          <w:p>
            <w:pPr>
              <w:ind w:left="100"/>
              <w:spacing w:after="0" w:line="155" w:lineRule="exact"/>
              <w:rPr>
                <w:sz w:val="20"/>
                <w:szCs w:val="20"/>
                <w:color w:val="auto"/>
              </w:rPr>
            </w:pPr>
            <w:r>
              <w:rPr>
                <w:rFonts w:ascii="Arial" w:cs="Arial" w:eastAsia="Arial" w:hAnsi="Arial"/>
                <w:sz w:val="14"/>
                <w:szCs w:val="14"/>
                <w:color w:val="auto"/>
              </w:rPr>
              <w:t>New vehicles</w:t>
            </w:r>
          </w:p>
        </w:tc>
        <w:tc>
          <w:tcPr>
            <w:tcW w:w="140" w:type="dxa"/>
            <w:vAlign w:val="bottom"/>
            <w:tcBorders>
              <w:top w:val="single" w:sz="8" w:color="CCEEFF"/>
            </w:tcBorders>
            <w:gridSpan w:val="3"/>
          </w:tcPr>
          <w:p>
            <w:pPr>
              <w:spacing w:after="0"/>
              <w:rPr>
                <w:sz w:val="13"/>
                <w:szCs w:val="13"/>
                <w:color w:val="auto"/>
              </w:rPr>
            </w:pPr>
          </w:p>
        </w:tc>
        <w:tc>
          <w:tcPr>
            <w:tcW w:w="720" w:type="dxa"/>
            <w:vAlign w:val="bottom"/>
            <w:tcBorders>
              <w:top w:val="single" w:sz="8" w:color="auto"/>
            </w:tcBorders>
            <w:gridSpan w:val="5"/>
          </w:tcPr>
          <w:p>
            <w:pPr>
              <w:spacing w:after="0"/>
              <w:rPr>
                <w:sz w:val="13"/>
                <w:szCs w:val="13"/>
                <w:color w:val="auto"/>
              </w:rPr>
            </w:pPr>
          </w:p>
        </w:tc>
        <w:tc>
          <w:tcPr>
            <w:tcW w:w="1760" w:type="dxa"/>
            <w:vAlign w:val="bottom"/>
            <w:tcBorders>
              <w:top w:val="single" w:sz="8" w:color="CCEEFF"/>
            </w:tcBorders>
            <w:gridSpan w:val="3"/>
          </w:tcPr>
          <w:p>
            <w:pPr>
              <w:spacing w:after="0"/>
              <w:rPr>
                <w:sz w:val="13"/>
                <w:szCs w:val="13"/>
                <w:color w:val="auto"/>
              </w:rPr>
            </w:pPr>
          </w:p>
        </w:tc>
        <w:tc>
          <w:tcPr>
            <w:tcW w:w="420" w:type="dxa"/>
            <w:vAlign w:val="bottom"/>
            <w:tcBorders>
              <w:top w:val="single" w:sz="8" w:color="CCEEFF"/>
            </w:tcBorders>
            <w:gridSpan w:val="2"/>
          </w:tcPr>
          <w:p>
            <w:pPr>
              <w:ind w:left="180"/>
              <w:spacing w:after="0" w:line="155" w:lineRule="exact"/>
              <w:rPr>
                <w:sz w:val="20"/>
                <w:szCs w:val="20"/>
                <w:color w:val="auto"/>
              </w:rPr>
            </w:pPr>
            <w:r>
              <w:rPr>
                <w:rFonts w:ascii="Arial" w:cs="Arial" w:eastAsia="Arial" w:hAnsi="Arial"/>
                <w:sz w:val="14"/>
                <w:szCs w:val="14"/>
                <w:color w:val="auto"/>
              </w:rPr>
              <w:t>$</w:t>
            </w:r>
          </w:p>
        </w:tc>
        <w:tc>
          <w:tcPr>
            <w:tcW w:w="900" w:type="dxa"/>
            <w:vAlign w:val="bottom"/>
            <w:tcBorders>
              <w:top w:val="single" w:sz="8" w:color="CCEEFF"/>
            </w:tcBorders>
          </w:tcPr>
          <w:p>
            <w:pPr>
              <w:jc w:val="right"/>
              <w:spacing w:after="0" w:line="155" w:lineRule="exact"/>
              <w:rPr>
                <w:sz w:val="20"/>
                <w:szCs w:val="20"/>
                <w:color w:val="auto"/>
              </w:rPr>
            </w:pPr>
            <w:r>
              <w:rPr>
                <w:rFonts w:ascii="Arial" w:cs="Arial" w:eastAsia="Arial" w:hAnsi="Arial"/>
                <w:sz w:val="14"/>
                <w:szCs w:val="14"/>
                <w:color w:val="auto"/>
              </w:rPr>
              <w:t>589,073</w:t>
            </w:r>
          </w:p>
        </w:tc>
        <w:tc>
          <w:tcPr>
            <w:tcW w:w="480" w:type="dxa"/>
            <w:vAlign w:val="bottom"/>
            <w:tcBorders>
              <w:top w:val="single" w:sz="8" w:color="CCEEFF"/>
            </w:tcBorders>
            <w:gridSpan w:val="2"/>
          </w:tcPr>
          <w:p>
            <w:pPr>
              <w:jc w:val="right"/>
              <w:ind w:right="108"/>
              <w:spacing w:after="0" w:line="155" w:lineRule="exact"/>
              <w:rPr>
                <w:sz w:val="20"/>
                <w:szCs w:val="20"/>
                <w:color w:val="auto"/>
              </w:rPr>
            </w:pPr>
            <w:r>
              <w:rPr>
                <w:rFonts w:ascii="Arial" w:cs="Arial" w:eastAsia="Arial" w:hAnsi="Arial"/>
                <w:sz w:val="14"/>
                <w:szCs w:val="14"/>
                <w:color w:val="auto"/>
              </w:rPr>
              <w:t>$</w:t>
            </w:r>
          </w:p>
        </w:tc>
        <w:tc>
          <w:tcPr>
            <w:tcW w:w="900" w:type="dxa"/>
            <w:vAlign w:val="bottom"/>
            <w:tcBorders>
              <w:top w:val="single" w:sz="8" w:color="CCEEFF"/>
            </w:tcBorders>
          </w:tcPr>
          <w:p>
            <w:pPr>
              <w:jc w:val="right"/>
              <w:spacing w:after="0" w:line="155" w:lineRule="exact"/>
              <w:rPr>
                <w:sz w:val="20"/>
                <w:szCs w:val="20"/>
                <w:color w:val="auto"/>
              </w:rPr>
            </w:pPr>
            <w:r>
              <w:rPr>
                <w:rFonts w:ascii="Arial" w:cs="Arial" w:eastAsia="Arial" w:hAnsi="Arial"/>
                <w:sz w:val="14"/>
                <w:szCs w:val="14"/>
                <w:color w:val="auto"/>
              </w:rPr>
              <w:t>716,904</w:t>
            </w:r>
          </w:p>
        </w:tc>
        <w:tc>
          <w:tcPr>
            <w:tcW w:w="260" w:type="dxa"/>
            <w:vAlign w:val="bottom"/>
            <w:tcBorders>
              <w:top w:val="single" w:sz="8" w:color="CCEEFF"/>
            </w:tcBorders>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1100" w:type="dxa"/>
            <w:vAlign w:val="bottom"/>
            <w:tcBorders>
              <w:top w:val="single" w:sz="8" w:color="CCEEFF"/>
            </w:tcBorders>
            <w:gridSpan w:val="2"/>
          </w:tcPr>
          <w:p>
            <w:pPr>
              <w:jc w:val="right"/>
              <w:ind w:right="228"/>
              <w:spacing w:after="0" w:line="155" w:lineRule="exact"/>
              <w:rPr>
                <w:sz w:val="20"/>
                <w:szCs w:val="20"/>
                <w:color w:val="auto"/>
              </w:rPr>
            </w:pPr>
            <w:r>
              <w:rPr>
                <w:rFonts w:ascii="Arial" w:cs="Arial" w:eastAsia="Arial" w:hAnsi="Arial"/>
                <w:sz w:val="14"/>
                <w:szCs w:val="14"/>
                <w:color w:val="auto"/>
              </w:rPr>
              <w:t>(127,831)</w:t>
            </w:r>
          </w:p>
        </w:tc>
        <w:tc>
          <w:tcPr>
            <w:tcW w:w="920" w:type="dxa"/>
            <w:vAlign w:val="bottom"/>
            <w:tcBorders>
              <w:top w:val="single" w:sz="8" w:color="CCEEFF"/>
            </w:tcBorders>
            <w:gridSpan w:val="2"/>
          </w:tcPr>
          <w:p>
            <w:pPr>
              <w:jc w:val="right"/>
              <w:spacing w:after="0" w:line="155" w:lineRule="exact"/>
              <w:rPr>
                <w:sz w:val="20"/>
                <w:szCs w:val="20"/>
                <w:color w:val="auto"/>
              </w:rPr>
            </w:pPr>
            <w:r>
              <w:rPr>
                <w:rFonts w:ascii="Arial" w:cs="Arial" w:eastAsia="Arial" w:hAnsi="Arial"/>
                <w:sz w:val="14"/>
                <w:szCs w:val="14"/>
                <w:color w:val="auto"/>
              </w:rPr>
              <w:t>(17.8%)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3900" w:type="dxa"/>
            <w:vAlign w:val="bottom"/>
            <w:gridSpan w:val="15"/>
            <w:shd w:val="clear" w:color="auto" w:fill="CCEEFF"/>
          </w:tcPr>
          <w:p>
            <w:pPr>
              <w:ind w:left="100"/>
              <w:spacing w:after="0"/>
              <w:rPr>
                <w:sz w:val="20"/>
                <w:szCs w:val="20"/>
                <w:color w:val="auto"/>
              </w:rPr>
            </w:pPr>
            <w:r>
              <w:rPr>
                <w:rFonts w:ascii="Arial" w:cs="Arial" w:eastAsia="Arial" w:hAnsi="Arial"/>
                <w:sz w:val="14"/>
                <w:szCs w:val="14"/>
                <w:color w:val="auto"/>
              </w:rPr>
              <w:t>Used vehicles</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491,134</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557,487</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8"/>
              <w:spacing w:after="0"/>
              <w:rPr>
                <w:sz w:val="20"/>
                <w:szCs w:val="20"/>
                <w:color w:val="auto"/>
              </w:rPr>
            </w:pPr>
            <w:r>
              <w:rPr>
                <w:rFonts w:ascii="Arial" w:cs="Arial" w:eastAsia="Arial" w:hAnsi="Arial"/>
                <w:sz w:val="14"/>
                <w:szCs w:val="14"/>
                <w:color w:val="auto"/>
              </w:rPr>
              <w:t>(66,353)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00" w:type="dxa"/>
            <w:vAlign w:val="bottom"/>
            <w:gridSpan w:val="15"/>
          </w:tcPr>
          <w:p>
            <w:pPr>
              <w:ind w:left="100"/>
              <w:spacing w:after="0"/>
              <w:rPr>
                <w:sz w:val="20"/>
                <w:szCs w:val="20"/>
                <w:color w:val="auto"/>
              </w:rPr>
            </w:pPr>
            <w:r>
              <w:rPr>
                <w:rFonts w:ascii="Arial" w:cs="Arial" w:eastAsia="Arial" w:hAnsi="Arial"/>
                <w:sz w:val="14"/>
                <w:szCs w:val="14"/>
                <w:color w:val="auto"/>
              </w:rPr>
              <w:t>Products, service and other</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171,472</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166,883</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4,589</w:t>
            </w:r>
          </w:p>
        </w:tc>
        <w:tc>
          <w:tcPr>
            <w:tcW w:w="30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2.7%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3900" w:type="dxa"/>
            <w:vAlign w:val="bottom"/>
            <w:gridSpan w:val="15"/>
            <w:shd w:val="clear" w:color="auto" w:fill="CCEEFF"/>
          </w:tcPr>
          <w:p>
            <w:pPr>
              <w:ind w:left="100"/>
              <w:spacing w:after="0"/>
              <w:rPr>
                <w:sz w:val="20"/>
                <w:szCs w:val="20"/>
                <w:color w:val="auto"/>
              </w:rPr>
            </w:pPr>
            <w:r>
              <w:rPr>
                <w:rFonts w:ascii="Arial" w:cs="Arial" w:eastAsia="Arial" w:hAnsi="Arial"/>
                <w:sz w:val="14"/>
                <w:szCs w:val="14"/>
                <w:color w:val="auto"/>
              </w:rPr>
              <w:t>Finance and insurance, net</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138,442</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169,500</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8"/>
              <w:spacing w:after="0"/>
              <w:rPr>
                <w:sz w:val="20"/>
                <w:szCs w:val="20"/>
                <w:color w:val="auto"/>
              </w:rPr>
            </w:pPr>
            <w:r>
              <w:rPr>
                <w:rFonts w:ascii="Arial" w:cs="Arial" w:eastAsia="Arial" w:hAnsi="Arial"/>
                <w:sz w:val="14"/>
                <w:szCs w:val="14"/>
                <w:color w:val="auto"/>
              </w:rPr>
              <w:t>(31,058)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900" w:type="dxa"/>
            <w:vAlign w:val="bottom"/>
            <w:gridSpan w:val="15"/>
          </w:tcPr>
          <w:p>
            <w:pPr>
              <w:ind w:left="100"/>
              <w:spacing w:after="0" w:line="155" w:lineRule="exact"/>
              <w:rPr>
                <w:sz w:val="20"/>
                <w:szCs w:val="20"/>
                <w:color w:val="auto"/>
              </w:rPr>
            </w:pPr>
            <w:r>
              <w:rPr>
                <w:rFonts w:ascii="Arial" w:cs="Arial" w:eastAsia="Arial" w:hAnsi="Arial"/>
                <w:sz w:val="14"/>
                <w:szCs w:val="14"/>
                <w:color w:val="auto"/>
              </w:rPr>
              <w:t>Total</w:t>
            </w:r>
          </w:p>
        </w:tc>
        <w:tc>
          <w:tcPr>
            <w:tcW w:w="180" w:type="dxa"/>
            <w:vAlign w:val="bottom"/>
          </w:tcPr>
          <w:p>
            <w:pPr>
              <w:spacing w:after="0"/>
              <w:rPr>
                <w:sz w:val="13"/>
                <w:szCs w:val="13"/>
                <w:color w:val="auto"/>
              </w:rPr>
            </w:pPr>
          </w:p>
        </w:tc>
        <w:tc>
          <w:tcPr>
            <w:tcW w:w="24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1,390,121</w:t>
            </w:r>
          </w:p>
        </w:tc>
        <w:tc>
          <w:tcPr>
            <w:tcW w:w="220" w:type="dxa"/>
            <w:vAlign w:val="bottom"/>
          </w:tcPr>
          <w:p>
            <w:pPr>
              <w:spacing w:after="0"/>
              <w:rPr>
                <w:sz w:val="13"/>
                <w:szCs w:val="13"/>
                <w:color w:val="auto"/>
              </w:rPr>
            </w:pPr>
          </w:p>
        </w:tc>
        <w:tc>
          <w:tcPr>
            <w:tcW w:w="260" w:type="dxa"/>
            <w:vAlign w:val="bottom"/>
            <w:tcBorders>
              <w:top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1,610,774</w:t>
            </w:r>
          </w:p>
        </w:tc>
        <w:tc>
          <w:tcPr>
            <w:tcW w:w="180" w:type="dxa"/>
            <w:vAlign w:val="bottom"/>
          </w:tcPr>
          <w:p>
            <w:pPr>
              <w:spacing w:after="0"/>
              <w:rPr>
                <w:sz w:val="13"/>
                <w:szCs w:val="13"/>
                <w:color w:val="auto"/>
              </w:rPr>
            </w:pPr>
          </w:p>
        </w:tc>
        <w:tc>
          <w:tcPr>
            <w:tcW w:w="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(220,653)</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(13.7%)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920" w:type="dxa"/>
            <w:vAlign w:val="bottom"/>
            <w:gridSpan w:val="16"/>
          </w:tcPr>
          <w:p>
            <w:pPr>
              <w:ind w:left="20"/>
              <w:spacing w:after="0" w:line="149" w:lineRule="exact"/>
              <w:rPr>
                <w:sz w:val="20"/>
                <w:szCs w:val="20"/>
                <w:color w:val="auto"/>
              </w:rPr>
            </w:pPr>
            <w:r>
              <w:rPr>
                <w:rFonts w:ascii="Arial" w:cs="Arial" w:eastAsia="Arial" w:hAnsi="Arial"/>
                <w:sz w:val="14"/>
                <w:szCs w:val="14"/>
                <w:color w:val="auto"/>
              </w:rPr>
              <w:t>Average gross profit per unit</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1800" w:type="dxa"/>
            <w:vAlign w:val="bottom"/>
            <w:tcBorders>
              <w:top w:val="single" w:sz="8" w:color="auto"/>
            </w:tcBorders>
            <w:gridSpan w:val="11"/>
            <w:shd w:val="clear" w:color="auto" w:fill="CCEEFF"/>
          </w:tcPr>
          <w:p>
            <w:pPr>
              <w:ind w:left="100"/>
              <w:spacing w:after="0" w:line="155" w:lineRule="exact"/>
              <w:rPr>
                <w:sz w:val="20"/>
                <w:szCs w:val="20"/>
                <w:color w:val="auto"/>
              </w:rPr>
            </w:pPr>
            <w:r>
              <w:rPr>
                <w:rFonts w:ascii="Arial" w:cs="Arial" w:eastAsia="Arial" w:hAnsi="Arial"/>
                <w:sz w:val="14"/>
                <w:szCs w:val="14"/>
                <w:color w:val="auto"/>
              </w:rPr>
              <w:t>New vehicles</w:t>
            </w:r>
          </w:p>
        </w:tc>
        <w:tc>
          <w:tcPr>
            <w:tcW w:w="2100" w:type="dxa"/>
            <w:vAlign w:val="bottom"/>
            <w:gridSpan w:val="4"/>
            <w:shd w:val="clear" w:color="auto" w:fill="CCEEFF"/>
          </w:tcPr>
          <w:p>
            <w:pPr>
              <w:spacing w:after="0"/>
              <w:rPr>
                <w:sz w:val="13"/>
                <w:szCs w:val="13"/>
                <w:color w:val="auto"/>
              </w:rPr>
            </w:pPr>
          </w:p>
        </w:tc>
        <w:tc>
          <w:tcPr>
            <w:tcW w:w="420" w:type="dxa"/>
            <w:vAlign w:val="bottom"/>
            <w:gridSpan w:val="2"/>
            <w:shd w:val="clear" w:color="auto" w:fill="CCEEFF"/>
          </w:tcPr>
          <w:p>
            <w:pPr>
              <w:ind w:left="180"/>
              <w:spacing w:after="0" w:line="155"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4,298</w:t>
            </w:r>
          </w:p>
        </w:tc>
        <w:tc>
          <w:tcPr>
            <w:tcW w:w="480" w:type="dxa"/>
            <w:vAlign w:val="bottom"/>
            <w:gridSpan w:val="2"/>
            <w:shd w:val="clear" w:color="auto" w:fill="CCEEFF"/>
          </w:tcPr>
          <w:p>
            <w:pPr>
              <w:jc w:val="right"/>
              <w:ind w:right="108"/>
              <w:spacing w:after="0" w:line="155"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4,800</w:t>
            </w:r>
          </w:p>
        </w:tc>
        <w:tc>
          <w:tcPr>
            <w:tcW w:w="26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28"/>
              <w:spacing w:after="0" w:line="155" w:lineRule="exact"/>
              <w:rPr>
                <w:sz w:val="20"/>
                <w:szCs w:val="20"/>
                <w:color w:val="auto"/>
              </w:rPr>
            </w:pPr>
            <w:r>
              <w:rPr>
                <w:rFonts w:ascii="Arial" w:cs="Arial" w:eastAsia="Arial" w:hAnsi="Arial"/>
                <w:sz w:val="14"/>
                <w:szCs w:val="14"/>
                <w:color w:val="auto"/>
              </w:rPr>
              <w:t>(502)</w:t>
            </w:r>
          </w:p>
        </w:tc>
        <w:tc>
          <w:tcPr>
            <w:tcW w:w="92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(10.5%)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00" w:type="dxa"/>
            <w:vAlign w:val="bottom"/>
            <w:gridSpan w:val="15"/>
          </w:tcPr>
          <w:p>
            <w:pPr>
              <w:ind w:left="100"/>
              <w:spacing w:after="0"/>
              <w:rPr>
                <w:sz w:val="20"/>
                <w:szCs w:val="20"/>
                <w:color w:val="auto"/>
              </w:rPr>
            </w:pPr>
            <w:r>
              <w:rPr>
                <w:rFonts w:ascii="Arial" w:cs="Arial" w:eastAsia="Arial" w:hAnsi="Arial"/>
                <w:sz w:val="14"/>
                <w:szCs w:val="14"/>
                <w:color w:val="auto"/>
              </w:rPr>
              <w:t>Used vehicles</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5,420</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5,771</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228"/>
              <w:spacing w:after="0"/>
              <w:rPr>
                <w:sz w:val="20"/>
                <w:szCs w:val="20"/>
                <w:color w:val="auto"/>
              </w:rPr>
            </w:pPr>
            <w:r>
              <w:rPr>
                <w:rFonts w:ascii="Arial" w:cs="Arial" w:eastAsia="Arial" w:hAnsi="Arial"/>
                <w:sz w:val="14"/>
                <w:szCs w:val="14"/>
                <w:color w:val="auto"/>
              </w:rPr>
              <w:t>(351)</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(6.1%)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3900" w:type="dxa"/>
            <w:vAlign w:val="bottom"/>
            <w:gridSpan w:val="15"/>
            <w:shd w:val="clear" w:color="auto" w:fill="CCEEFF"/>
          </w:tcPr>
          <w:p>
            <w:pPr>
              <w:ind w:left="100"/>
              <w:spacing w:after="0"/>
              <w:rPr>
                <w:sz w:val="20"/>
                <w:szCs w:val="20"/>
                <w:color w:val="auto"/>
              </w:rPr>
            </w:pPr>
            <w:r>
              <w:rPr>
                <w:rFonts w:ascii="Arial" w:cs="Arial" w:eastAsia="Arial" w:hAnsi="Arial"/>
                <w:sz w:val="14"/>
                <w:szCs w:val="14"/>
                <w:color w:val="auto"/>
              </w:rPr>
              <w:t>Finance and insurance, net per vehicle unit</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4,566</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4,574</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8"/>
              <w:spacing w:after="0"/>
              <w:rPr>
                <w:sz w:val="20"/>
                <w:szCs w:val="20"/>
                <w:color w:val="auto"/>
              </w:rPr>
            </w:pPr>
            <w:r>
              <w:rPr>
                <w:rFonts w:ascii="Arial" w:cs="Arial" w:eastAsia="Arial" w:hAnsi="Arial"/>
                <w:sz w:val="14"/>
                <w:szCs w:val="14"/>
                <w:color w:val="auto"/>
              </w:rPr>
              <w:t>(8)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00" w:type="dxa"/>
            <w:vAlign w:val="bottom"/>
            <w:gridSpan w:val="15"/>
          </w:tcPr>
          <w:p>
            <w:pPr>
              <w:ind w:left="100"/>
              <w:spacing w:after="0" w:line="162" w:lineRule="exact"/>
              <w:rPr>
                <w:sz w:val="20"/>
                <w:szCs w:val="20"/>
                <w:color w:val="auto"/>
              </w:rPr>
            </w:pPr>
            <w:r>
              <w:rPr>
                <w:rFonts w:ascii="Arial" w:cs="Arial" w:eastAsia="Arial" w:hAnsi="Arial"/>
                <w:sz w:val="13"/>
                <w:szCs w:val="13"/>
                <w:color w:val="auto"/>
              </w:rPr>
              <w:t>Total vehicle front-end yield</w:t>
            </w:r>
            <w:r>
              <w:rPr>
                <w:rFonts w:ascii="Arial" w:cs="Arial" w:eastAsia="Arial" w:hAnsi="Arial"/>
                <w:sz w:val="18"/>
                <w:szCs w:val="18"/>
                <w:color w:val="auto"/>
                <w:vertAlign w:val="superscript"/>
              </w:rPr>
              <w:t>(2)</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9,460</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9,839</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228"/>
              <w:spacing w:after="0"/>
              <w:rPr>
                <w:sz w:val="20"/>
                <w:szCs w:val="20"/>
                <w:color w:val="auto"/>
              </w:rPr>
            </w:pPr>
            <w:r>
              <w:rPr>
                <w:rFonts w:ascii="Arial" w:cs="Arial" w:eastAsia="Arial" w:hAnsi="Arial"/>
                <w:sz w:val="14"/>
                <w:szCs w:val="14"/>
                <w:color w:val="auto"/>
              </w:rPr>
              <w:t>(379)</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(3.9%)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920" w:type="dxa"/>
            <w:vAlign w:val="bottom"/>
            <w:gridSpan w:val="16"/>
          </w:tcPr>
          <w:p>
            <w:pPr>
              <w:ind w:left="20"/>
              <w:spacing w:after="0" w:line="149" w:lineRule="exact"/>
              <w:rPr>
                <w:sz w:val="20"/>
                <w:szCs w:val="20"/>
                <w:color w:val="auto"/>
              </w:rPr>
            </w:pPr>
            <w:r>
              <w:rPr>
                <w:rFonts w:ascii="Arial" w:cs="Arial" w:eastAsia="Arial" w:hAnsi="Arial"/>
                <w:sz w:val="14"/>
                <w:szCs w:val="14"/>
                <w:color w:val="auto"/>
              </w:rPr>
              <w:t>Gross margin</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3900" w:type="dxa"/>
            <w:vAlign w:val="bottom"/>
            <w:gridSpan w:val="15"/>
            <w:shd w:val="clear" w:color="auto" w:fill="CCEEFF"/>
          </w:tcPr>
          <w:p>
            <w:pPr>
              <w:ind w:left="100"/>
              <w:spacing w:after="0" w:line="155" w:lineRule="exact"/>
              <w:rPr>
                <w:sz w:val="20"/>
                <w:szCs w:val="20"/>
                <w:color w:val="auto"/>
              </w:rPr>
            </w:pPr>
            <w:r>
              <w:rPr>
                <w:rFonts w:ascii="Arial" w:cs="Arial" w:eastAsia="Arial" w:hAnsi="Arial"/>
                <w:sz w:val="14"/>
                <w:szCs w:val="14"/>
                <w:color w:val="auto"/>
              </w:rPr>
              <w:t>Good Sam Services and Plans</w:t>
            </w:r>
          </w:p>
        </w:tc>
        <w:tc>
          <w:tcPr>
            <w:tcW w:w="1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62.3%</w:t>
            </w: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56.6%</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567 bps</w:t>
            </w: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00" w:type="dxa"/>
            <w:vAlign w:val="bottom"/>
            <w:gridSpan w:val="15"/>
          </w:tcPr>
          <w:p>
            <w:pPr>
              <w:ind w:left="100"/>
              <w:spacing w:after="0"/>
              <w:rPr>
                <w:sz w:val="20"/>
                <w:szCs w:val="20"/>
                <w:color w:val="auto"/>
              </w:rPr>
            </w:pPr>
            <w:r>
              <w:rPr>
                <w:rFonts w:ascii="Arial" w:cs="Arial" w:eastAsia="Arial" w:hAnsi="Arial"/>
                <w:sz w:val="14"/>
                <w:szCs w:val="14"/>
                <w:color w:val="auto"/>
              </w:rPr>
              <w:t>New vehicles</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10.2%</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12.7%</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(252)bps</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3900" w:type="dxa"/>
            <w:vAlign w:val="bottom"/>
            <w:gridSpan w:val="15"/>
            <w:shd w:val="clear" w:color="auto" w:fill="CCEEFF"/>
          </w:tcPr>
          <w:p>
            <w:pPr>
              <w:ind w:left="100"/>
              <w:spacing w:after="0"/>
              <w:rPr>
                <w:sz w:val="20"/>
                <w:szCs w:val="20"/>
                <w:color w:val="auto"/>
              </w:rPr>
            </w:pPr>
            <w:r>
              <w:rPr>
                <w:rFonts w:ascii="Arial" w:cs="Arial" w:eastAsia="Arial" w:hAnsi="Arial"/>
                <w:sz w:val="14"/>
                <w:szCs w:val="14"/>
                <w:color w:val="auto"/>
              </w:rPr>
              <w:t>Used vehicles</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(36)bps</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00" w:type="dxa"/>
            <w:vAlign w:val="bottom"/>
            <w:gridSpan w:val="15"/>
          </w:tcPr>
          <w:p>
            <w:pPr>
              <w:ind w:left="100"/>
              <w:spacing w:after="0"/>
              <w:rPr>
                <w:sz w:val="20"/>
                <w:szCs w:val="20"/>
                <w:color w:val="auto"/>
              </w:rPr>
            </w:pPr>
            <w:r>
              <w:rPr>
                <w:rFonts w:ascii="Arial" w:cs="Arial" w:eastAsia="Arial" w:hAnsi="Arial"/>
                <w:sz w:val="14"/>
                <w:szCs w:val="14"/>
                <w:color w:val="auto"/>
              </w:rPr>
              <w:t>Products, service and other</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38.3%</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45.2%</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(690)bps</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3900" w:type="dxa"/>
            <w:vAlign w:val="bottom"/>
            <w:gridSpan w:val="15"/>
            <w:shd w:val="clear" w:color="auto" w:fill="CCEEFF"/>
          </w:tcPr>
          <w:p>
            <w:pPr>
              <w:ind w:left="100"/>
              <w:spacing w:after="0"/>
              <w:rPr>
                <w:sz w:val="20"/>
                <w:szCs w:val="20"/>
                <w:color w:val="auto"/>
              </w:rPr>
            </w:pPr>
            <w:r>
              <w:rPr>
                <w:rFonts w:ascii="Arial" w:cs="Arial" w:eastAsia="Arial" w:hAnsi="Arial"/>
                <w:sz w:val="14"/>
                <w:szCs w:val="14"/>
                <w:color w:val="auto"/>
              </w:rPr>
              <w:t>Finance and insurance, net</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88"/>
              <w:spacing w:after="0"/>
              <w:rPr>
                <w:sz w:val="20"/>
                <w:szCs w:val="20"/>
                <w:color w:val="auto"/>
              </w:rPr>
            </w:pPr>
            <w:r>
              <w:rPr>
                <w:rFonts w:ascii="Arial" w:cs="Arial" w:eastAsia="Arial" w:hAnsi="Arial"/>
                <w:sz w:val="14"/>
                <w:szCs w:val="14"/>
                <w:color w:val="auto"/>
              </w:rPr>
              <w:t>unch</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00" w:type="dxa"/>
            <w:vAlign w:val="bottom"/>
            <w:gridSpan w:val="15"/>
          </w:tcPr>
          <w:p>
            <w:pPr>
              <w:ind w:left="100"/>
              <w:spacing w:after="0"/>
              <w:rPr>
                <w:sz w:val="20"/>
                <w:szCs w:val="20"/>
                <w:color w:val="auto"/>
              </w:rPr>
            </w:pPr>
            <w:r>
              <w:rPr>
                <w:rFonts w:ascii="Arial" w:cs="Arial" w:eastAsia="Arial" w:hAnsi="Arial"/>
                <w:sz w:val="14"/>
                <w:szCs w:val="14"/>
                <w:color w:val="auto"/>
              </w:rPr>
              <w:t>Good Sam Club</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92.4%</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88.4%</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397 bps</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shd w:val="clear" w:color="auto" w:fill="CCEEFF"/>
          </w:tcPr>
          <w:p>
            <w:pPr>
              <w:spacing w:after="0" w:line="20" w:lineRule="exact"/>
              <w:rPr>
                <w:sz w:val="1"/>
                <w:szCs w:val="1"/>
                <w:color w:val="auto"/>
              </w:rPr>
            </w:pPr>
          </w:p>
        </w:tc>
        <w:tc>
          <w:tcPr>
            <w:tcW w:w="3900" w:type="dxa"/>
            <w:vAlign w:val="bottom"/>
            <w:gridSpan w:val="15"/>
            <w:vMerge w:val="restart"/>
            <w:shd w:val="clear" w:color="auto" w:fill="CCEEFF"/>
          </w:tcPr>
          <w:p>
            <w:pPr>
              <w:ind w:left="200"/>
              <w:spacing w:after="0"/>
              <w:rPr>
                <w:sz w:val="20"/>
                <w:szCs w:val="20"/>
                <w:color w:val="auto"/>
              </w:rPr>
            </w:pPr>
            <w:r>
              <w:rPr>
                <w:rFonts w:ascii="Arial" w:cs="Arial" w:eastAsia="Arial" w:hAnsi="Arial"/>
                <w:sz w:val="14"/>
                <w:szCs w:val="14"/>
                <w:color w:val="auto"/>
              </w:rPr>
              <w:t>Subtotal RV and Outdoor Retail</w:t>
            </w: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vMerge w:val="continue"/>
            <w:shd w:val="clear" w:color="auto" w:fill="CCEEFF"/>
          </w:tcPr>
          <w:p>
            <w:pPr>
              <w:spacing w:after="0"/>
              <w:rPr>
                <w:sz w:val="13"/>
                <w:szCs w:val="13"/>
                <w:color w:val="auto"/>
              </w:rPr>
            </w:pPr>
          </w:p>
        </w:tc>
        <w:tc>
          <w:tcPr>
            <w:tcW w:w="3900" w:type="dxa"/>
            <w:vAlign w:val="bottom"/>
            <w:gridSpan w:val="15"/>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26.3%</w:t>
            </w: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27.8%</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(149)bps</w:t>
            </w: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3900" w:type="dxa"/>
            <w:vAlign w:val="bottom"/>
            <w:tcBorders>
              <w:bottom w:val="single" w:sz="8" w:color="CCEEFF"/>
            </w:tcBorders>
            <w:gridSpan w:val="15"/>
          </w:tcPr>
          <w:p>
            <w:pPr>
              <w:ind w:left="100"/>
              <w:spacing w:after="0" w:line="155" w:lineRule="exact"/>
              <w:rPr>
                <w:sz w:val="20"/>
                <w:szCs w:val="20"/>
                <w:color w:val="auto"/>
              </w:rPr>
            </w:pPr>
            <w:r>
              <w:rPr>
                <w:rFonts w:ascii="Arial" w:cs="Arial" w:eastAsia="Arial" w:hAnsi="Arial"/>
                <w:sz w:val="14"/>
                <w:szCs w:val="14"/>
                <w:color w:val="auto"/>
              </w:rPr>
              <w:t>Total gross margin</w:t>
            </w:r>
          </w:p>
        </w:tc>
        <w:tc>
          <w:tcPr>
            <w:tcW w:w="18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27.4%</w:t>
            </w:r>
          </w:p>
        </w:tc>
        <w:tc>
          <w:tcPr>
            <w:tcW w:w="22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28.6%</w:t>
            </w:r>
          </w:p>
        </w:tc>
        <w:tc>
          <w:tcPr>
            <w:tcW w:w="18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(119)</w:t>
            </w:r>
          </w:p>
        </w:tc>
        <w:tc>
          <w:tcPr>
            <w:tcW w:w="300" w:type="dxa"/>
            <w:vAlign w:val="bottom"/>
            <w:tcBorders>
              <w:bottom w:val="single" w:sz="8" w:color="CCEEFF"/>
            </w:tcBorders>
          </w:tcPr>
          <w:p>
            <w:pPr>
              <w:jc w:val="right"/>
              <w:spacing w:after="0" w:line="155" w:lineRule="exact"/>
              <w:rPr>
                <w:sz w:val="20"/>
                <w:szCs w:val="20"/>
                <w:color w:val="auto"/>
              </w:rPr>
            </w:pPr>
            <w:r>
              <w:rPr>
                <w:rFonts w:ascii="Arial" w:cs="Arial" w:eastAsia="Arial" w:hAnsi="Arial"/>
                <w:sz w:val="14"/>
                <w:szCs w:val="14"/>
                <w:color w:val="auto"/>
                <w:w w:val="97"/>
              </w:rPr>
              <w:t>bps</w:t>
            </w:r>
          </w:p>
        </w:tc>
        <w:tc>
          <w:tcPr>
            <w:tcW w:w="16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20" w:type="dxa"/>
            <w:vAlign w:val="bottom"/>
            <w:gridSpan w:val="16"/>
          </w:tcPr>
          <w:p>
            <w:pPr>
              <w:ind w:left="20"/>
              <w:spacing w:after="0" w:line="149" w:lineRule="exact"/>
              <w:rPr>
                <w:sz w:val="20"/>
                <w:szCs w:val="20"/>
                <w:color w:val="auto"/>
              </w:rPr>
            </w:pPr>
            <w:r>
              <w:rPr>
                <w:rFonts w:ascii="Arial" w:cs="Arial" w:eastAsia="Arial" w:hAnsi="Arial"/>
                <w:sz w:val="14"/>
                <w:szCs w:val="14"/>
                <w:color w:val="auto"/>
              </w:rPr>
              <w:t>Retail locations</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3900" w:type="dxa"/>
            <w:vAlign w:val="bottom"/>
            <w:gridSpan w:val="15"/>
            <w:shd w:val="clear" w:color="auto" w:fill="CCEEFF"/>
          </w:tcPr>
          <w:p>
            <w:pPr>
              <w:ind w:left="100"/>
              <w:spacing w:after="0" w:line="155" w:lineRule="exact"/>
              <w:rPr>
                <w:sz w:val="20"/>
                <w:szCs w:val="20"/>
                <w:color w:val="auto"/>
              </w:rPr>
            </w:pPr>
            <w:r>
              <w:rPr>
                <w:rFonts w:ascii="Arial" w:cs="Arial" w:eastAsia="Arial" w:hAnsi="Arial"/>
                <w:sz w:val="14"/>
                <w:szCs w:val="14"/>
                <w:color w:val="auto"/>
              </w:rPr>
              <w:t>RV dealerships</w:t>
            </w:r>
          </w:p>
        </w:tc>
        <w:tc>
          <w:tcPr>
            <w:tcW w:w="1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196</w:t>
            </w: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196</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88"/>
              <w:spacing w:after="0" w:line="155"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00" w:type="dxa"/>
            <w:vAlign w:val="bottom"/>
            <w:gridSpan w:val="15"/>
          </w:tcPr>
          <w:p>
            <w:pPr>
              <w:ind w:left="100"/>
              <w:spacing w:after="0"/>
              <w:rPr>
                <w:sz w:val="20"/>
                <w:szCs w:val="20"/>
                <w:color w:val="auto"/>
              </w:rPr>
            </w:pPr>
            <w:r>
              <w:rPr>
                <w:rFonts w:ascii="Arial" w:cs="Arial" w:eastAsia="Arial" w:hAnsi="Arial"/>
                <w:sz w:val="14"/>
                <w:szCs w:val="14"/>
                <w:color w:val="auto"/>
              </w:rPr>
              <w:t>RV service &amp; retail centers</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288"/>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3900" w:type="dxa"/>
            <w:vAlign w:val="bottom"/>
            <w:tcBorders>
              <w:top w:val="single" w:sz="8" w:color="CCEEFF"/>
              <w:bottom w:val="single" w:sz="8" w:color="CCEEFF"/>
            </w:tcBorders>
            <w:gridSpan w:val="15"/>
            <w:shd w:val="clear" w:color="auto" w:fill="CCEEFF"/>
          </w:tcPr>
          <w:p>
            <w:pPr>
              <w:ind w:left="100"/>
              <w:spacing w:after="0" w:line="155" w:lineRule="exact"/>
              <w:rPr>
                <w:sz w:val="20"/>
                <w:szCs w:val="20"/>
                <w:color w:val="auto"/>
              </w:rPr>
            </w:pPr>
            <w:r>
              <w:rPr>
                <w:rFonts w:ascii="Arial" w:cs="Arial" w:eastAsia="Arial" w:hAnsi="Arial"/>
                <w:sz w:val="14"/>
                <w:szCs w:val="14"/>
                <w:color w:val="auto"/>
              </w:rPr>
              <w:t>Total</w:t>
            </w: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197</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260" w:type="dxa"/>
            <w:vAlign w:val="bottom"/>
            <w:tcBorders>
              <w:top w:val="single" w:sz="8" w:color="auto"/>
              <w:bottom w:val="single" w:sz="8" w:color="auto"/>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197</w:t>
            </w: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8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30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7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20" w:type="dxa"/>
            <w:vAlign w:val="bottom"/>
            <w:gridSpan w:val="16"/>
            <w:shd w:val="clear" w:color="auto" w:fill="CCEEFF"/>
          </w:tcPr>
          <w:p>
            <w:pPr>
              <w:ind w:left="20"/>
              <w:spacing w:after="0" w:line="149" w:lineRule="exact"/>
              <w:rPr>
                <w:sz w:val="20"/>
                <w:szCs w:val="20"/>
                <w:color w:val="auto"/>
              </w:rPr>
            </w:pPr>
            <w:r>
              <w:rPr>
                <w:rFonts w:ascii="Arial" w:cs="Arial" w:eastAsia="Arial" w:hAnsi="Arial"/>
                <w:sz w:val="14"/>
                <w:szCs w:val="14"/>
                <w:color w:val="auto"/>
              </w:rPr>
              <w:t xml:space="preserve">RV and Outdoor Retail inventories </w:t>
            </w:r>
            <w:r>
              <w:rPr>
                <w:rFonts w:ascii="Arial" w:cs="Arial" w:eastAsia="Arial" w:hAnsi="Arial"/>
                <w:sz w:val="14"/>
                <w:szCs w:val="14"/>
                <w:u w:val="single" w:color="auto"/>
                <w:color w:val="auto"/>
              </w:rPr>
              <w:t>(</w:t>
            </w:r>
            <w:r>
              <w:rPr>
                <w:rFonts w:ascii="Arial" w:cs="Arial" w:eastAsia="Arial" w:hAnsi="Arial"/>
                <w:sz w:val="14"/>
                <w:szCs w:val="14"/>
                <w:color w:val="auto"/>
              </w:rPr>
              <w:t>$ in 000s)</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Borders>
              <w:top w:val="single" w:sz="8" w:color="CCEEFF"/>
            </w:tcBorders>
          </w:tcPr>
          <w:p>
            <w:pPr>
              <w:spacing w:after="0"/>
              <w:rPr>
                <w:sz w:val="13"/>
                <w:szCs w:val="13"/>
                <w:color w:val="auto"/>
              </w:rPr>
            </w:pPr>
          </w:p>
        </w:tc>
        <w:tc>
          <w:tcPr>
            <w:tcW w:w="2900" w:type="dxa"/>
            <w:vAlign w:val="bottom"/>
            <w:tcBorders>
              <w:top w:val="single" w:sz="8" w:color="auto"/>
            </w:tcBorders>
            <w:gridSpan w:val="14"/>
          </w:tcPr>
          <w:p>
            <w:pPr>
              <w:ind w:left="100"/>
              <w:spacing w:after="0" w:line="155" w:lineRule="exact"/>
              <w:rPr>
                <w:sz w:val="20"/>
                <w:szCs w:val="20"/>
                <w:color w:val="auto"/>
              </w:rPr>
            </w:pPr>
            <w:r>
              <w:rPr>
                <w:rFonts w:ascii="Arial" w:cs="Arial" w:eastAsia="Arial" w:hAnsi="Arial"/>
                <w:sz w:val="14"/>
                <w:szCs w:val="14"/>
                <w:color w:val="auto"/>
              </w:rPr>
              <w:t>New vehicles</w:t>
            </w:r>
          </w:p>
        </w:tc>
        <w:tc>
          <w:tcPr>
            <w:tcW w:w="1000" w:type="dxa"/>
            <w:vAlign w:val="bottom"/>
            <w:tcBorders>
              <w:top w:val="single" w:sz="8" w:color="CCEEFF"/>
            </w:tcBorders>
          </w:tcPr>
          <w:p>
            <w:pPr>
              <w:spacing w:after="0"/>
              <w:rPr>
                <w:sz w:val="13"/>
                <w:szCs w:val="13"/>
                <w:color w:val="auto"/>
              </w:rPr>
            </w:pPr>
          </w:p>
        </w:tc>
        <w:tc>
          <w:tcPr>
            <w:tcW w:w="420" w:type="dxa"/>
            <w:vAlign w:val="bottom"/>
            <w:tcBorders>
              <w:top w:val="single" w:sz="8" w:color="CCEEFF"/>
            </w:tcBorders>
            <w:gridSpan w:val="2"/>
          </w:tcPr>
          <w:p>
            <w:pPr>
              <w:ind w:left="180"/>
              <w:spacing w:after="0" w:line="155" w:lineRule="exact"/>
              <w:rPr>
                <w:sz w:val="20"/>
                <w:szCs w:val="20"/>
                <w:color w:val="auto"/>
              </w:rPr>
            </w:pPr>
            <w:r>
              <w:rPr>
                <w:rFonts w:ascii="Arial" w:cs="Arial" w:eastAsia="Arial" w:hAnsi="Arial"/>
                <w:sz w:val="14"/>
                <w:szCs w:val="14"/>
                <w:color w:val="auto"/>
              </w:rPr>
              <w:t>$</w:t>
            </w:r>
          </w:p>
        </w:tc>
        <w:tc>
          <w:tcPr>
            <w:tcW w:w="900" w:type="dxa"/>
            <w:vAlign w:val="bottom"/>
            <w:tcBorders>
              <w:top w:val="single" w:sz="8" w:color="CCEEFF"/>
            </w:tcBorders>
          </w:tcPr>
          <w:p>
            <w:pPr>
              <w:jc w:val="right"/>
              <w:spacing w:after="0" w:line="155" w:lineRule="exact"/>
              <w:rPr>
                <w:sz w:val="20"/>
                <w:szCs w:val="20"/>
                <w:color w:val="auto"/>
              </w:rPr>
            </w:pPr>
            <w:r>
              <w:rPr>
                <w:rFonts w:ascii="Arial" w:cs="Arial" w:eastAsia="Arial" w:hAnsi="Arial"/>
                <w:sz w:val="14"/>
                <w:szCs w:val="14"/>
                <w:color w:val="auto"/>
              </w:rPr>
              <w:t>1,171,969</w:t>
            </w:r>
          </w:p>
        </w:tc>
        <w:tc>
          <w:tcPr>
            <w:tcW w:w="480" w:type="dxa"/>
            <w:vAlign w:val="bottom"/>
            <w:tcBorders>
              <w:top w:val="single" w:sz="8" w:color="CCEEFF"/>
            </w:tcBorders>
            <w:gridSpan w:val="2"/>
          </w:tcPr>
          <w:p>
            <w:pPr>
              <w:jc w:val="right"/>
              <w:ind w:right="108"/>
              <w:spacing w:after="0" w:line="155" w:lineRule="exact"/>
              <w:rPr>
                <w:sz w:val="20"/>
                <w:szCs w:val="20"/>
                <w:color w:val="auto"/>
              </w:rPr>
            </w:pPr>
            <w:r>
              <w:rPr>
                <w:rFonts w:ascii="Arial" w:cs="Arial" w:eastAsia="Arial" w:hAnsi="Arial"/>
                <w:sz w:val="14"/>
                <w:szCs w:val="14"/>
                <w:color w:val="auto"/>
              </w:rPr>
              <w:t>$</w:t>
            </w:r>
          </w:p>
        </w:tc>
        <w:tc>
          <w:tcPr>
            <w:tcW w:w="900" w:type="dxa"/>
            <w:vAlign w:val="bottom"/>
            <w:tcBorders>
              <w:top w:val="single" w:sz="8" w:color="CCEEFF"/>
            </w:tcBorders>
          </w:tcPr>
          <w:p>
            <w:pPr>
              <w:jc w:val="right"/>
              <w:spacing w:after="0" w:line="155" w:lineRule="exact"/>
              <w:rPr>
                <w:sz w:val="20"/>
                <w:szCs w:val="20"/>
                <w:color w:val="auto"/>
              </w:rPr>
            </w:pPr>
            <w:r>
              <w:rPr>
                <w:rFonts w:ascii="Arial" w:cs="Arial" w:eastAsia="Arial" w:hAnsi="Arial"/>
                <w:sz w:val="14"/>
                <w:szCs w:val="14"/>
                <w:color w:val="auto"/>
              </w:rPr>
              <w:t>1,258,539</w:t>
            </w:r>
          </w:p>
        </w:tc>
        <w:tc>
          <w:tcPr>
            <w:tcW w:w="260" w:type="dxa"/>
            <w:vAlign w:val="bottom"/>
            <w:tcBorders>
              <w:top w:val="single" w:sz="8" w:color="CCEEFF"/>
            </w:tcBorders>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1100" w:type="dxa"/>
            <w:vAlign w:val="bottom"/>
            <w:tcBorders>
              <w:top w:val="single" w:sz="8" w:color="CCEEFF"/>
            </w:tcBorders>
            <w:gridSpan w:val="2"/>
          </w:tcPr>
          <w:p>
            <w:pPr>
              <w:jc w:val="right"/>
              <w:ind w:right="228"/>
              <w:spacing w:after="0" w:line="155" w:lineRule="exact"/>
              <w:rPr>
                <w:sz w:val="20"/>
                <w:szCs w:val="20"/>
                <w:color w:val="auto"/>
              </w:rPr>
            </w:pPr>
            <w:r>
              <w:rPr>
                <w:rFonts w:ascii="Arial" w:cs="Arial" w:eastAsia="Arial" w:hAnsi="Arial"/>
                <w:sz w:val="14"/>
                <w:szCs w:val="14"/>
                <w:color w:val="auto"/>
              </w:rPr>
              <w:t>(86,570)</w:t>
            </w:r>
          </w:p>
        </w:tc>
        <w:tc>
          <w:tcPr>
            <w:tcW w:w="920" w:type="dxa"/>
            <w:vAlign w:val="bottom"/>
            <w:tcBorders>
              <w:top w:val="single" w:sz="8" w:color="CCEEFF"/>
            </w:tcBorders>
            <w:gridSpan w:val="2"/>
          </w:tcPr>
          <w:p>
            <w:pPr>
              <w:jc w:val="right"/>
              <w:spacing w:after="0" w:line="155" w:lineRule="exact"/>
              <w:rPr>
                <w:sz w:val="20"/>
                <w:szCs w:val="20"/>
                <w:color w:val="auto"/>
              </w:rPr>
            </w:pPr>
            <w:r>
              <w:rPr>
                <w:rFonts w:ascii="Arial" w:cs="Arial" w:eastAsia="Arial" w:hAnsi="Arial"/>
                <w:sz w:val="14"/>
                <w:szCs w:val="14"/>
                <w:color w:val="auto"/>
              </w:rPr>
              <w:t>(6.9%)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3900" w:type="dxa"/>
            <w:vAlign w:val="bottom"/>
            <w:gridSpan w:val="15"/>
            <w:shd w:val="clear" w:color="auto" w:fill="CCEEFF"/>
          </w:tcPr>
          <w:p>
            <w:pPr>
              <w:ind w:left="100"/>
              <w:spacing w:after="0"/>
              <w:rPr>
                <w:sz w:val="20"/>
                <w:szCs w:val="20"/>
                <w:color w:val="auto"/>
              </w:rPr>
            </w:pPr>
            <w:r>
              <w:rPr>
                <w:rFonts w:ascii="Arial" w:cs="Arial" w:eastAsia="Arial" w:hAnsi="Arial"/>
                <w:sz w:val="14"/>
                <w:szCs w:val="14"/>
                <w:color w:val="auto"/>
              </w:rPr>
              <w:t>Used vehicles</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447,734</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595,055</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8"/>
              <w:spacing w:after="0"/>
              <w:rPr>
                <w:sz w:val="20"/>
                <w:szCs w:val="20"/>
                <w:color w:val="auto"/>
              </w:rPr>
            </w:pPr>
            <w:r>
              <w:rPr>
                <w:rFonts w:ascii="Arial" w:cs="Arial" w:eastAsia="Arial" w:hAnsi="Arial"/>
                <w:sz w:val="14"/>
                <w:szCs w:val="14"/>
                <w:color w:val="auto"/>
              </w:rPr>
              <w:t>(147,321)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00" w:type="dxa"/>
            <w:vAlign w:val="bottom"/>
            <w:gridSpan w:val="15"/>
          </w:tcPr>
          <w:p>
            <w:pPr>
              <w:ind w:left="100"/>
              <w:spacing w:after="0"/>
              <w:rPr>
                <w:sz w:val="20"/>
                <w:szCs w:val="20"/>
                <w:color w:val="auto"/>
              </w:rPr>
            </w:pPr>
            <w:r>
              <w:rPr>
                <w:rFonts w:ascii="Arial" w:cs="Arial" w:eastAsia="Arial" w:hAnsi="Arial"/>
                <w:sz w:val="14"/>
                <w:szCs w:val="14"/>
                <w:color w:val="auto"/>
              </w:rPr>
              <w:t>Products, parts, accessories and misc.</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148,886</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172,520</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228"/>
              <w:spacing w:after="0"/>
              <w:rPr>
                <w:sz w:val="20"/>
                <w:szCs w:val="20"/>
                <w:color w:val="auto"/>
              </w:rPr>
            </w:pPr>
            <w:r>
              <w:rPr>
                <w:rFonts w:ascii="Arial" w:cs="Arial" w:eastAsia="Arial" w:hAnsi="Arial"/>
                <w:sz w:val="14"/>
                <w:szCs w:val="14"/>
                <w:color w:val="auto"/>
              </w:rPr>
              <w:t>(23,634)</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(13.7%)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Borders>
              <w:top w:val="single" w:sz="8" w:color="CCEEFF"/>
            </w:tcBorders>
            <w:shd w:val="clear" w:color="auto" w:fill="CCEEFF"/>
          </w:tcPr>
          <w:p>
            <w:pPr>
              <w:spacing w:after="0"/>
              <w:rPr>
                <w:sz w:val="13"/>
                <w:szCs w:val="13"/>
                <w:color w:val="auto"/>
              </w:rPr>
            </w:pPr>
          </w:p>
        </w:tc>
        <w:tc>
          <w:tcPr>
            <w:tcW w:w="3900" w:type="dxa"/>
            <w:vAlign w:val="bottom"/>
            <w:tcBorders>
              <w:top w:val="single" w:sz="8" w:color="CCEEFF"/>
            </w:tcBorders>
            <w:gridSpan w:val="15"/>
            <w:shd w:val="clear" w:color="auto" w:fill="CCEEFF"/>
          </w:tcPr>
          <w:p>
            <w:pPr>
              <w:ind w:left="100"/>
              <w:spacing w:after="0" w:line="155" w:lineRule="exact"/>
              <w:rPr>
                <w:sz w:val="20"/>
                <w:szCs w:val="20"/>
                <w:color w:val="auto"/>
              </w:rPr>
            </w:pPr>
            <w:r>
              <w:rPr>
                <w:rFonts w:ascii="Arial" w:cs="Arial" w:eastAsia="Arial" w:hAnsi="Arial"/>
                <w:sz w:val="14"/>
                <w:szCs w:val="14"/>
                <w:color w:val="auto"/>
              </w:rPr>
              <w:t>Total RV and Outdoor Retail inventories</w:t>
            </w:r>
          </w:p>
        </w:tc>
        <w:tc>
          <w:tcPr>
            <w:tcW w:w="1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1,768,589</w:t>
            </w:r>
          </w:p>
        </w:tc>
        <w:tc>
          <w:tcPr>
            <w:tcW w:w="2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2,026,114</w:t>
            </w:r>
          </w:p>
        </w:tc>
        <w:tc>
          <w:tcPr>
            <w:tcW w:w="1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(257,525)</w:t>
            </w:r>
          </w:p>
        </w:tc>
        <w:tc>
          <w:tcPr>
            <w:tcW w:w="3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(12.7%)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920" w:type="dxa"/>
            <w:vAlign w:val="bottom"/>
            <w:gridSpan w:val="16"/>
            <w:shd w:val="clear" w:color="auto" w:fill="CCEEFF"/>
          </w:tcPr>
          <w:p>
            <w:pPr>
              <w:ind w:left="20"/>
              <w:spacing w:after="0" w:line="149" w:lineRule="exact"/>
              <w:rPr>
                <w:sz w:val="20"/>
                <w:szCs w:val="20"/>
                <w:color w:val="auto"/>
              </w:rPr>
            </w:pPr>
            <w:r>
              <w:rPr>
                <w:rFonts w:ascii="Arial" w:cs="Arial" w:eastAsia="Arial" w:hAnsi="Arial"/>
                <w:sz w:val="14"/>
                <w:szCs w:val="14"/>
                <w:color w:val="auto"/>
              </w:rPr>
              <w:t xml:space="preserve">Vehicle inventory per location </w:t>
            </w:r>
            <w:r>
              <w:rPr>
                <w:rFonts w:ascii="Arial" w:cs="Arial" w:eastAsia="Arial" w:hAnsi="Arial"/>
                <w:sz w:val="14"/>
                <w:szCs w:val="14"/>
                <w:u w:val="single" w:color="auto"/>
                <w:color w:val="auto"/>
              </w:rPr>
              <w:t>(</w:t>
            </w:r>
            <w:r>
              <w:rPr>
                <w:rFonts w:ascii="Arial" w:cs="Arial" w:eastAsia="Arial" w:hAnsi="Arial"/>
                <w:sz w:val="14"/>
                <w:szCs w:val="14"/>
                <w:color w:val="auto"/>
              </w:rPr>
              <w:t>$ in 000s)</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900" w:type="dxa"/>
            <w:vAlign w:val="bottom"/>
            <w:gridSpan w:val="15"/>
          </w:tcPr>
          <w:p>
            <w:pPr>
              <w:ind w:left="100"/>
              <w:spacing w:after="0" w:line="155" w:lineRule="exact"/>
              <w:rPr>
                <w:sz w:val="20"/>
                <w:szCs w:val="20"/>
                <w:color w:val="auto"/>
              </w:rPr>
            </w:pPr>
            <w:r>
              <w:rPr>
                <w:rFonts w:ascii="Arial" w:cs="Arial" w:eastAsia="Arial" w:hAnsi="Arial"/>
                <w:sz w:val="14"/>
                <w:szCs w:val="14"/>
                <w:color w:val="auto"/>
              </w:rPr>
              <w:t>New vehicle inventory per dealer location</w:t>
            </w:r>
          </w:p>
        </w:tc>
        <w:tc>
          <w:tcPr>
            <w:tcW w:w="420" w:type="dxa"/>
            <w:vAlign w:val="bottom"/>
            <w:gridSpan w:val="2"/>
          </w:tcPr>
          <w:p>
            <w:pPr>
              <w:ind w:left="180"/>
              <w:spacing w:after="0" w:line="155"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5,979</w:t>
            </w:r>
          </w:p>
        </w:tc>
        <w:tc>
          <w:tcPr>
            <w:tcW w:w="480" w:type="dxa"/>
            <w:vAlign w:val="bottom"/>
            <w:gridSpan w:val="2"/>
          </w:tcPr>
          <w:p>
            <w:pPr>
              <w:jc w:val="right"/>
              <w:ind w:right="108"/>
              <w:spacing w:after="0" w:line="155"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6,421</w:t>
            </w:r>
          </w:p>
        </w:tc>
        <w:tc>
          <w:tcPr>
            <w:tcW w:w="2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28"/>
              <w:spacing w:after="0" w:line="155" w:lineRule="exact"/>
              <w:rPr>
                <w:sz w:val="20"/>
                <w:szCs w:val="20"/>
                <w:color w:val="auto"/>
              </w:rPr>
            </w:pPr>
            <w:r>
              <w:rPr>
                <w:rFonts w:ascii="Arial" w:cs="Arial" w:eastAsia="Arial" w:hAnsi="Arial"/>
                <w:sz w:val="14"/>
                <w:szCs w:val="14"/>
                <w:color w:val="auto"/>
              </w:rPr>
              <w:t>(442)</w:t>
            </w:r>
          </w:p>
        </w:tc>
        <w:tc>
          <w:tcPr>
            <w:tcW w:w="9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(6.9%)</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3900" w:type="dxa"/>
            <w:vAlign w:val="bottom"/>
            <w:gridSpan w:val="15"/>
            <w:shd w:val="clear" w:color="auto" w:fill="CCEEFF"/>
          </w:tcPr>
          <w:p>
            <w:pPr>
              <w:ind w:left="100"/>
              <w:spacing w:after="0"/>
              <w:rPr>
                <w:sz w:val="20"/>
                <w:szCs w:val="20"/>
                <w:color w:val="auto"/>
              </w:rPr>
            </w:pPr>
            <w:r>
              <w:rPr>
                <w:rFonts w:ascii="Arial" w:cs="Arial" w:eastAsia="Arial" w:hAnsi="Arial"/>
                <w:sz w:val="14"/>
                <w:szCs w:val="14"/>
                <w:color w:val="auto"/>
              </w:rPr>
              <w:t>Used vehicle inventory per dealer location</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2,284</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3,036</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8"/>
              <w:spacing w:after="0"/>
              <w:rPr>
                <w:sz w:val="20"/>
                <w:szCs w:val="20"/>
                <w:color w:val="auto"/>
              </w:rPr>
            </w:pPr>
            <w:r>
              <w:rPr>
                <w:rFonts w:ascii="Arial" w:cs="Arial" w:eastAsia="Arial" w:hAnsi="Arial"/>
                <w:sz w:val="14"/>
                <w:szCs w:val="14"/>
                <w:color w:val="auto"/>
              </w:rPr>
              <w:t>(752)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1660" w:type="dxa"/>
            <w:vAlign w:val="bottom"/>
            <w:tcBorders>
              <w:bottom w:val="single" w:sz="8" w:color="CCEEFF"/>
            </w:tcBorders>
            <w:gridSpan w:val="10"/>
            <w:vMerge w:val="restart"/>
            <w:shd w:val="clear" w:color="auto" w:fill="CCEEFF"/>
          </w:tcPr>
          <w:p>
            <w:pPr>
              <w:ind w:left="20"/>
              <w:spacing w:after="0" w:line="149" w:lineRule="exact"/>
              <w:rPr>
                <w:sz w:val="20"/>
                <w:szCs w:val="20"/>
                <w:color w:val="auto"/>
              </w:rPr>
            </w:pPr>
            <w:r>
              <w:rPr>
                <w:rFonts w:ascii="Arial" w:cs="Arial" w:eastAsia="Arial" w:hAnsi="Arial"/>
                <w:sz w:val="14"/>
                <w:szCs w:val="14"/>
                <w:color w:val="auto"/>
              </w:rPr>
              <w:t>Vehicle inventory turnover</w:t>
            </w:r>
          </w:p>
        </w:tc>
        <w:tc>
          <w:tcPr>
            <w:tcW w:w="140" w:type="dxa"/>
            <w:vAlign w:val="bottom"/>
            <w:tcBorders>
              <w:bottom w:val="single" w:sz="8" w:color="auto"/>
            </w:tcBorders>
            <w:shd w:val="clear" w:color="auto" w:fill="CCEEFF"/>
          </w:tcPr>
          <w:p>
            <w:pPr>
              <w:jc w:val="right"/>
              <w:spacing w:after="0" w:line="75" w:lineRule="exact"/>
              <w:rPr>
                <w:sz w:val="20"/>
                <w:szCs w:val="20"/>
                <w:color w:val="auto"/>
              </w:rPr>
            </w:pPr>
            <w:r>
              <w:rPr>
                <w:rFonts w:ascii="Arial" w:cs="Arial" w:eastAsia="Arial" w:hAnsi="Arial"/>
                <w:sz w:val="8"/>
                <w:szCs w:val="8"/>
                <w:color w:val="auto"/>
              </w:rPr>
              <w:t>(3)</w:t>
            </w:r>
          </w:p>
        </w:tc>
        <w:tc>
          <w:tcPr>
            <w:tcW w:w="2120" w:type="dxa"/>
            <w:vAlign w:val="bottom"/>
            <w:tcBorders>
              <w:bottom w:val="single" w:sz="8" w:color="CCEEFF"/>
            </w:tcBorders>
            <w:gridSpan w:val="5"/>
            <w:vMerge w:val="restart"/>
            <w:shd w:val="clear" w:color="auto" w:fill="CCEEFF"/>
          </w:tcPr>
          <w:p>
            <w:pPr>
              <w:spacing w:after="0"/>
              <w:rPr>
                <w:sz w:val="8"/>
                <w:szCs w:val="8"/>
                <w:color w:val="auto"/>
              </w:rPr>
            </w:pPr>
          </w:p>
        </w:tc>
        <w:tc>
          <w:tcPr>
            <w:tcW w:w="180" w:type="dxa"/>
            <w:vAlign w:val="bottom"/>
            <w:tcBorders>
              <w:bottom w:val="single" w:sz="8" w:color="CCEEFF"/>
            </w:tcBorders>
            <w:shd w:val="clear" w:color="auto" w:fill="CCEEFF"/>
          </w:tcPr>
          <w:p>
            <w:pPr>
              <w:spacing w:after="0"/>
              <w:rPr>
                <w:sz w:val="8"/>
                <w:szCs w:val="8"/>
                <w:color w:val="auto"/>
              </w:rPr>
            </w:pPr>
          </w:p>
        </w:tc>
        <w:tc>
          <w:tcPr>
            <w:tcW w:w="240" w:type="dxa"/>
            <w:vAlign w:val="bottom"/>
            <w:tcBorders>
              <w:bottom w:val="single" w:sz="8" w:color="CCEEFF"/>
            </w:tcBorders>
            <w:shd w:val="clear" w:color="auto" w:fill="CCEEFF"/>
          </w:tcPr>
          <w:p>
            <w:pPr>
              <w:spacing w:after="0"/>
              <w:rPr>
                <w:sz w:val="8"/>
                <w:szCs w:val="8"/>
                <w:color w:val="auto"/>
              </w:rPr>
            </w:pPr>
          </w:p>
        </w:tc>
        <w:tc>
          <w:tcPr>
            <w:tcW w:w="900" w:type="dxa"/>
            <w:vAlign w:val="bottom"/>
            <w:tcBorders>
              <w:bottom w:val="single" w:sz="8" w:color="CCEEFF"/>
            </w:tcBorders>
            <w:shd w:val="clear" w:color="auto" w:fill="CCEEFF"/>
          </w:tcPr>
          <w:p>
            <w:pPr>
              <w:spacing w:after="0"/>
              <w:rPr>
                <w:sz w:val="8"/>
                <w:szCs w:val="8"/>
                <w:color w:val="auto"/>
              </w:rPr>
            </w:pPr>
          </w:p>
        </w:tc>
        <w:tc>
          <w:tcPr>
            <w:tcW w:w="220" w:type="dxa"/>
            <w:vAlign w:val="bottom"/>
            <w:tcBorders>
              <w:bottom w:val="single" w:sz="8" w:color="CCEEFF"/>
            </w:tcBorders>
            <w:shd w:val="clear" w:color="auto" w:fill="CCEEFF"/>
          </w:tcPr>
          <w:p>
            <w:pPr>
              <w:spacing w:after="0"/>
              <w:rPr>
                <w:sz w:val="8"/>
                <w:szCs w:val="8"/>
                <w:color w:val="auto"/>
              </w:rPr>
            </w:pPr>
          </w:p>
        </w:tc>
        <w:tc>
          <w:tcPr>
            <w:tcW w:w="260" w:type="dxa"/>
            <w:vAlign w:val="bottom"/>
            <w:tcBorders>
              <w:bottom w:val="single" w:sz="8" w:color="CCEEFF"/>
            </w:tcBorders>
            <w:shd w:val="clear" w:color="auto" w:fill="CCEEFF"/>
          </w:tcPr>
          <w:p>
            <w:pPr>
              <w:spacing w:after="0"/>
              <w:rPr>
                <w:sz w:val="8"/>
                <w:szCs w:val="8"/>
                <w:color w:val="auto"/>
              </w:rPr>
            </w:pPr>
          </w:p>
        </w:tc>
        <w:tc>
          <w:tcPr>
            <w:tcW w:w="90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800" w:type="dxa"/>
            <w:vAlign w:val="bottom"/>
            <w:tcBorders>
              <w:bottom w:val="single" w:sz="8" w:color="CCEEFF"/>
            </w:tcBorders>
            <w:shd w:val="clear" w:color="auto" w:fill="CCEEFF"/>
          </w:tcPr>
          <w:p>
            <w:pPr>
              <w:spacing w:after="0"/>
              <w:rPr>
                <w:sz w:val="8"/>
                <w:szCs w:val="8"/>
                <w:color w:val="auto"/>
              </w:rPr>
            </w:pPr>
          </w:p>
        </w:tc>
        <w:tc>
          <w:tcPr>
            <w:tcW w:w="30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760" w:type="dxa"/>
            <w:vAlign w:val="bottom"/>
            <w:tcBorders>
              <w:bottom w:val="single" w:sz="8" w:color="CCEEFF"/>
            </w:tcBorders>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4"/>
        </w:trPr>
        <w:tc>
          <w:tcPr>
            <w:tcW w:w="1660" w:type="dxa"/>
            <w:vAlign w:val="bottom"/>
            <w:gridSpan w:val="10"/>
            <w:vMerge w:val="continue"/>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120" w:type="dxa"/>
            <w:vAlign w:val="bottom"/>
            <w:gridSpan w:val="5"/>
            <w:vMerge w:val="continue"/>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900" w:type="dxa"/>
            <w:vAlign w:val="bottom"/>
            <w:gridSpan w:val="15"/>
          </w:tcPr>
          <w:p>
            <w:pPr>
              <w:ind w:left="100"/>
              <w:spacing w:after="0" w:line="155" w:lineRule="exact"/>
              <w:rPr>
                <w:sz w:val="20"/>
                <w:szCs w:val="20"/>
                <w:color w:val="auto"/>
              </w:rPr>
            </w:pPr>
            <w:r>
              <w:rPr>
                <w:rFonts w:ascii="Arial" w:cs="Arial" w:eastAsia="Arial" w:hAnsi="Arial"/>
                <w:sz w:val="14"/>
                <w:szCs w:val="14"/>
                <w:color w:val="auto"/>
              </w:rPr>
              <w:t>New vehicle inventory turnover</w:t>
            </w: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1.7</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1.8</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right"/>
              <w:ind w:right="228"/>
              <w:spacing w:after="0" w:line="155" w:lineRule="exact"/>
              <w:rPr>
                <w:sz w:val="20"/>
                <w:szCs w:val="20"/>
                <w:color w:val="auto"/>
              </w:rPr>
            </w:pPr>
            <w:r>
              <w:rPr>
                <w:rFonts w:ascii="Arial" w:cs="Arial" w:eastAsia="Arial" w:hAnsi="Arial"/>
                <w:sz w:val="14"/>
                <w:szCs w:val="14"/>
                <w:color w:val="auto"/>
              </w:rPr>
              <w:t>(0.1)</w:t>
            </w:r>
          </w:p>
        </w:tc>
        <w:tc>
          <w:tcPr>
            <w:tcW w:w="9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(7.4%)</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3900" w:type="dxa"/>
            <w:vAlign w:val="bottom"/>
            <w:gridSpan w:val="15"/>
            <w:shd w:val="clear" w:color="auto" w:fill="CCEEFF"/>
          </w:tcPr>
          <w:p>
            <w:pPr>
              <w:ind w:left="100"/>
              <w:spacing w:after="0"/>
              <w:rPr>
                <w:sz w:val="20"/>
                <w:szCs w:val="20"/>
                <w:color w:val="auto"/>
              </w:rPr>
            </w:pPr>
            <w:r>
              <w:rPr>
                <w:rFonts w:ascii="Arial" w:cs="Arial" w:eastAsia="Arial" w:hAnsi="Arial"/>
                <w:sz w:val="14"/>
                <w:szCs w:val="14"/>
                <w:color w:val="auto"/>
              </w:rPr>
              <w:t>Used vehicle inventory turnover</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3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920" w:type="dxa"/>
            <w:vAlign w:val="bottom"/>
            <w:gridSpan w:val="16"/>
            <w:shd w:val="clear" w:color="auto" w:fill="CCEEFF"/>
          </w:tcPr>
          <w:p>
            <w:pPr>
              <w:ind w:left="20"/>
              <w:spacing w:after="0" w:line="149" w:lineRule="exact"/>
              <w:rPr>
                <w:sz w:val="20"/>
                <w:szCs w:val="20"/>
                <w:color w:val="auto"/>
              </w:rPr>
            </w:pPr>
            <w:r>
              <w:rPr>
                <w:rFonts w:ascii="Arial" w:cs="Arial" w:eastAsia="Arial" w:hAnsi="Arial"/>
                <w:sz w:val="14"/>
                <w:szCs w:val="14"/>
                <w:color w:val="auto"/>
              </w:rPr>
              <w:t>Other data</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3900" w:type="dxa"/>
            <w:vAlign w:val="bottom"/>
            <w:gridSpan w:val="15"/>
          </w:tcPr>
          <w:p>
            <w:pPr>
              <w:ind w:left="100"/>
              <w:spacing w:after="0" w:line="156" w:lineRule="exact"/>
              <w:rPr>
                <w:sz w:val="20"/>
                <w:szCs w:val="20"/>
                <w:color w:val="auto"/>
              </w:rPr>
            </w:pPr>
            <w:r>
              <w:rPr>
                <w:rFonts w:ascii="Arial" w:cs="Arial" w:eastAsia="Arial" w:hAnsi="Arial"/>
                <w:sz w:val="13"/>
                <w:szCs w:val="13"/>
                <w:color w:val="auto"/>
              </w:rPr>
              <w:t>Active Customers</w:t>
            </w:r>
            <w:r>
              <w:rPr>
                <w:rFonts w:ascii="Arial" w:cs="Arial" w:eastAsia="Arial" w:hAnsi="Arial"/>
                <w:sz w:val="18"/>
                <w:szCs w:val="18"/>
                <w:color w:val="auto"/>
                <w:vertAlign w:val="superscript"/>
              </w:rPr>
              <w:t>(4)</w:t>
            </w: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4,039,493</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4,229,138</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right"/>
              <w:ind w:right="228"/>
              <w:spacing w:after="0" w:line="155" w:lineRule="exact"/>
              <w:rPr>
                <w:sz w:val="20"/>
                <w:szCs w:val="20"/>
                <w:color w:val="auto"/>
              </w:rPr>
            </w:pPr>
            <w:r>
              <w:rPr>
                <w:rFonts w:ascii="Arial" w:cs="Arial" w:eastAsia="Arial" w:hAnsi="Arial"/>
                <w:sz w:val="14"/>
                <w:szCs w:val="14"/>
                <w:color w:val="auto"/>
              </w:rPr>
              <w:t>(189,645)</w:t>
            </w:r>
          </w:p>
        </w:tc>
        <w:tc>
          <w:tcPr>
            <w:tcW w:w="9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(4.5%)</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3900" w:type="dxa"/>
            <w:vAlign w:val="bottom"/>
            <w:gridSpan w:val="15"/>
            <w:shd w:val="clear" w:color="auto" w:fill="CCEEFF"/>
          </w:tcPr>
          <w:p>
            <w:pPr>
              <w:ind w:left="100"/>
              <w:spacing w:after="0" w:line="162" w:lineRule="exact"/>
              <w:rPr>
                <w:sz w:val="20"/>
                <w:szCs w:val="20"/>
                <w:color w:val="auto"/>
              </w:rPr>
            </w:pPr>
            <w:r>
              <w:rPr>
                <w:rFonts w:ascii="Arial" w:cs="Arial" w:eastAsia="Arial" w:hAnsi="Arial"/>
                <w:sz w:val="13"/>
                <w:szCs w:val="13"/>
                <w:color w:val="auto"/>
              </w:rPr>
              <w:t xml:space="preserve">Good Sam Club members </w:t>
            </w:r>
            <w:r>
              <w:rPr>
                <w:rFonts w:ascii="Arial" w:cs="Arial" w:eastAsia="Arial" w:hAnsi="Arial"/>
                <w:sz w:val="18"/>
                <w:szCs w:val="18"/>
                <w:color w:val="auto"/>
                <w:vertAlign w:val="superscript"/>
              </w:rPr>
              <w:t>(5)</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1,369,725</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1,608,107</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8"/>
              <w:spacing w:after="0"/>
              <w:rPr>
                <w:sz w:val="20"/>
                <w:szCs w:val="20"/>
                <w:color w:val="auto"/>
              </w:rPr>
            </w:pPr>
            <w:r>
              <w:rPr>
                <w:rFonts w:ascii="Arial" w:cs="Arial" w:eastAsia="Arial" w:hAnsi="Arial"/>
                <w:sz w:val="14"/>
                <w:szCs w:val="14"/>
                <w:color w:val="auto"/>
              </w:rPr>
              <w:t>(238,382)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00" w:type="dxa"/>
            <w:vAlign w:val="bottom"/>
            <w:gridSpan w:val="15"/>
          </w:tcPr>
          <w:p>
            <w:pPr>
              <w:ind w:left="100"/>
              <w:spacing w:after="0" w:line="162" w:lineRule="exact"/>
              <w:rPr>
                <w:sz w:val="20"/>
                <w:szCs w:val="20"/>
                <w:color w:val="auto"/>
              </w:rPr>
            </w:pPr>
            <w:r>
              <w:rPr>
                <w:rFonts w:ascii="Arial" w:cs="Arial" w:eastAsia="Arial" w:hAnsi="Arial"/>
                <w:sz w:val="13"/>
                <w:szCs w:val="13"/>
                <w:color w:val="auto"/>
              </w:rPr>
              <w:t xml:space="preserve">Service bays </w:t>
            </w:r>
            <w:r>
              <w:rPr>
                <w:rFonts w:ascii="Arial" w:cs="Arial" w:eastAsia="Arial" w:hAnsi="Arial"/>
                <w:sz w:val="18"/>
                <w:szCs w:val="18"/>
                <w:color w:val="auto"/>
                <w:vertAlign w:val="superscript"/>
              </w:rPr>
              <w:t>(6)</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2,812</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2,811</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w:t>
            </w:r>
          </w:p>
        </w:tc>
        <w:tc>
          <w:tcPr>
            <w:tcW w:w="30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shd w:val="clear" w:color="auto" w:fill="CCEEFF"/>
          </w:tcPr>
          <w:p>
            <w:pPr>
              <w:spacing w:after="0"/>
              <w:rPr>
                <w:sz w:val="13"/>
                <w:szCs w:val="13"/>
                <w:color w:val="auto"/>
              </w:rPr>
            </w:pPr>
          </w:p>
        </w:tc>
        <w:tc>
          <w:tcPr>
            <w:tcW w:w="3900" w:type="dxa"/>
            <w:vAlign w:val="bottom"/>
            <w:gridSpan w:val="15"/>
            <w:shd w:val="clear" w:color="auto" w:fill="CCEEFF"/>
          </w:tcPr>
          <w:p>
            <w:pPr>
              <w:ind w:left="100"/>
              <w:spacing w:after="0" w:line="153" w:lineRule="exact"/>
              <w:rPr>
                <w:sz w:val="20"/>
                <w:szCs w:val="20"/>
                <w:color w:val="auto"/>
              </w:rPr>
            </w:pPr>
            <w:r>
              <w:rPr>
                <w:rFonts w:ascii="Arial" w:cs="Arial" w:eastAsia="Arial" w:hAnsi="Arial"/>
                <w:sz w:val="14"/>
                <w:szCs w:val="14"/>
                <w:color w:val="auto"/>
              </w:rPr>
              <w:t>Finance and insurance gross profit as a % of total vehicle</w:t>
            </w:r>
          </w:p>
        </w:tc>
        <w:tc>
          <w:tcPr>
            <w:tcW w:w="1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3900" w:type="dxa"/>
            <w:vAlign w:val="bottom"/>
            <w:gridSpan w:val="15"/>
            <w:shd w:val="clear" w:color="auto" w:fill="CCEEFF"/>
          </w:tcPr>
          <w:p>
            <w:pPr>
              <w:ind w:left="100"/>
              <w:spacing w:after="0"/>
              <w:rPr>
                <w:sz w:val="20"/>
                <w:szCs w:val="20"/>
                <w:color w:val="auto"/>
              </w:rPr>
            </w:pPr>
            <w:r>
              <w:rPr>
                <w:rFonts w:ascii="Arial" w:cs="Arial" w:eastAsia="Arial" w:hAnsi="Arial"/>
                <w:sz w:val="14"/>
                <w:szCs w:val="14"/>
                <w:color w:val="auto"/>
              </w:rPr>
              <w:t>revenue</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(41)bps</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n/a</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900" w:type="dxa"/>
            <w:vAlign w:val="bottom"/>
            <w:gridSpan w:val="15"/>
          </w:tcPr>
          <w:p>
            <w:pPr>
              <w:ind w:left="100"/>
              <w:spacing w:after="0"/>
              <w:rPr>
                <w:sz w:val="20"/>
                <w:szCs w:val="20"/>
                <w:color w:val="auto"/>
              </w:rPr>
            </w:pPr>
            <w:r>
              <w:rPr>
                <w:rFonts w:ascii="Arial" w:cs="Arial" w:eastAsia="Arial" w:hAnsi="Arial"/>
                <w:sz w:val="14"/>
                <w:szCs w:val="14"/>
                <w:color w:val="auto"/>
              </w:rPr>
              <w:t>Same store locations</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183</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n/a</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tcPr>
          <w:p>
            <w:pPr>
              <w:jc w:val="right"/>
              <w:ind w:right="288"/>
              <w:spacing w:after="0"/>
              <w:rPr>
                <w:sz w:val="20"/>
                <w:szCs w:val="20"/>
                <w:color w:val="auto"/>
              </w:rPr>
            </w:pPr>
            <w:r>
              <w:rPr>
                <w:rFonts w:ascii="Arial" w:cs="Arial" w:eastAsia="Arial" w:hAnsi="Arial"/>
                <w:sz w:val="14"/>
                <w:szCs w:val="14"/>
                <w:color w:val="auto"/>
              </w:rPr>
              <w:t>n/a</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n/a</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2" w:right="1440" w:bottom="1440" w:gutter="0" w:footer="0" w:header="0"/>
        </w:sectPr>
      </w:pP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41" w:name="page42"/>
    <w:bookmarkEnd w:id="4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0"/>
        <w:spacing w:after="0"/>
        <w:rPr>
          <w:sz w:val="20"/>
          <w:szCs w:val="20"/>
          <w:color w:val="auto"/>
        </w:rPr>
      </w:pPr>
      <w:r>
        <w:rPr>
          <w:rFonts w:ascii="Arial" w:cs="Arial" w:eastAsia="Arial" w:hAnsi="Arial"/>
          <w:sz w:val="14"/>
          <w:szCs w:val="14"/>
          <w:color w:val="auto"/>
        </w:rPr>
        <w:t>unch – unchanged</w:t>
      </w:r>
    </w:p>
    <w:p>
      <w:pPr>
        <w:spacing w:after="0" w:line="109" w:lineRule="exact"/>
        <w:rPr>
          <w:sz w:val="20"/>
          <w:szCs w:val="20"/>
          <w:color w:val="auto"/>
        </w:rPr>
      </w:pPr>
    </w:p>
    <w:p>
      <w:pPr>
        <w:ind w:left="60"/>
        <w:spacing w:after="0"/>
        <w:rPr>
          <w:sz w:val="20"/>
          <w:szCs w:val="20"/>
          <w:color w:val="auto"/>
        </w:rPr>
      </w:pPr>
      <w:r>
        <w:rPr>
          <w:rFonts w:ascii="Arial" w:cs="Arial" w:eastAsia="Arial" w:hAnsi="Arial"/>
          <w:sz w:val="14"/>
          <w:szCs w:val="14"/>
          <w:color w:val="auto"/>
        </w:rPr>
        <w:t>bps – basis points</w:t>
      </w:r>
    </w:p>
    <w:p>
      <w:pPr>
        <w:spacing w:after="0" w:line="109" w:lineRule="exact"/>
        <w:rPr>
          <w:sz w:val="20"/>
          <w:szCs w:val="20"/>
          <w:color w:val="auto"/>
        </w:rPr>
      </w:pPr>
    </w:p>
    <w:p>
      <w:pPr>
        <w:ind w:left="60"/>
        <w:spacing w:after="0"/>
        <w:rPr>
          <w:sz w:val="20"/>
          <w:szCs w:val="20"/>
          <w:color w:val="auto"/>
        </w:rPr>
      </w:pPr>
      <w:r>
        <w:rPr>
          <w:rFonts w:ascii="Arial" w:cs="Arial" w:eastAsia="Arial" w:hAnsi="Arial"/>
          <w:sz w:val="14"/>
          <w:szCs w:val="14"/>
          <w:color w:val="auto"/>
        </w:rPr>
        <w:t>n/a – not applicable</w:t>
      </w:r>
    </w:p>
    <w:p>
      <w:pPr>
        <w:spacing w:after="0" w:line="109" w:lineRule="exact"/>
        <w:rPr>
          <w:sz w:val="20"/>
          <w:szCs w:val="20"/>
          <w:color w:val="auto"/>
        </w:rPr>
      </w:pPr>
    </w:p>
    <w:p>
      <w:pPr>
        <w:ind w:left="380" w:right="79" w:hanging="330"/>
        <w:spacing w:after="0" w:line="204" w:lineRule="auto"/>
        <w:tabs>
          <w:tab w:leader="none" w:pos="380" w:val="left"/>
        </w:tabs>
        <w:numPr>
          <w:ilvl w:val="0"/>
          <w:numId w:val="26"/>
        </w:numPr>
        <w:rPr>
          <w:rFonts w:ascii="Arial" w:cs="Arial" w:eastAsia="Arial" w:hAnsi="Arial"/>
          <w:sz w:val="22"/>
          <w:szCs w:val="22"/>
          <w:color w:val="auto"/>
          <w:vertAlign w:val="superscript"/>
        </w:rPr>
      </w:pPr>
      <w:r>
        <w:rPr>
          <w:rFonts w:ascii="Arial" w:cs="Arial" w:eastAsia="Arial" w:hAnsi="Arial"/>
          <w:sz w:val="14"/>
          <w:szCs w:val="14"/>
          <w:color w:val="auto"/>
        </w:rPr>
        <w:t>Our same store revenue and units calculations for a given period include only those stores that were open both at the end of the corresponding period and at the beginning of the preceding fiscal year.</w:t>
      </w:r>
    </w:p>
    <w:p>
      <w:pPr>
        <w:spacing w:after="0" w:line="53" w:lineRule="exact"/>
        <w:rPr>
          <w:rFonts w:ascii="Arial" w:cs="Arial" w:eastAsia="Arial" w:hAnsi="Arial"/>
          <w:sz w:val="22"/>
          <w:szCs w:val="22"/>
          <w:color w:val="auto"/>
          <w:vertAlign w:val="superscript"/>
        </w:rPr>
      </w:pPr>
    </w:p>
    <w:p>
      <w:pPr>
        <w:ind w:left="380" w:right="79" w:hanging="330"/>
        <w:spacing w:after="0" w:line="204" w:lineRule="auto"/>
        <w:tabs>
          <w:tab w:leader="none" w:pos="380" w:val="left"/>
        </w:tabs>
        <w:numPr>
          <w:ilvl w:val="0"/>
          <w:numId w:val="26"/>
        </w:numPr>
        <w:rPr>
          <w:rFonts w:ascii="Arial" w:cs="Arial" w:eastAsia="Arial" w:hAnsi="Arial"/>
          <w:sz w:val="22"/>
          <w:szCs w:val="22"/>
          <w:color w:val="auto"/>
          <w:vertAlign w:val="superscript"/>
        </w:rPr>
      </w:pPr>
      <w:r>
        <w:rPr>
          <w:rFonts w:ascii="Arial" w:cs="Arial" w:eastAsia="Arial" w:hAnsi="Arial"/>
          <w:sz w:val="14"/>
          <w:szCs w:val="14"/>
          <w:color w:val="auto"/>
        </w:rPr>
        <w:t>Front-end yield is calculated as gross profit from new vehicles, used vehicles and finance and insurance (net), divided by combined new and used vehicle unit sales.</w:t>
      </w:r>
    </w:p>
    <w:p>
      <w:pPr>
        <w:spacing w:after="0" w:line="39" w:lineRule="exact"/>
        <w:rPr>
          <w:rFonts w:ascii="Arial" w:cs="Arial" w:eastAsia="Arial" w:hAnsi="Arial"/>
          <w:sz w:val="22"/>
          <w:szCs w:val="22"/>
          <w:color w:val="auto"/>
          <w:vertAlign w:val="superscript"/>
        </w:rPr>
      </w:pPr>
    </w:p>
    <w:p>
      <w:pPr>
        <w:ind w:left="380" w:right="79" w:hanging="330"/>
        <w:spacing w:after="0" w:line="204" w:lineRule="auto"/>
        <w:tabs>
          <w:tab w:leader="none" w:pos="380" w:val="left"/>
        </w:tabs>
        <w:numPr>
          <w:ilvl w:val="0"/>
          <w:numId w:val="26"/>
        </w:numPr>
        <w:rPr>
          <w:rFonts w:ascii="Arial" w:cs="Arial" w:eastAsia="Arial" w:hAnsi="Arial"/>
          <w:sz w:val="22"/>
          <w:szCs w:val="22"/>
          <w:color w:val="auto"/>
          <w:vertAlign w:val="superscript"/>
        </w:rPr>
      </w:pPr>
      <w:r>
        <w:rPr>
          <w:rFonts w:ascii="Arial" w:cs="Arial" w:eastAsia="Arial" w:hAnsi="Arial"/>
          <w:sz w:val="14"/>
          <w:szCs w:val="14"/>
          <w:color w:val="auto"/>
        </w:rPr>
        <w:t>Inventory turnover is calculated as vehicle costs applicable to revenue over the last twelve months divided by the average quarterly ending vehicle inventory over the last twelve months.</w:t>
      </w:r>
    </w:p>
    <w:p>
      <w:pPr>
        <w:spacing w:after="0" w:line="39" w:lineRule="exact"/>
        <w:rPr>
          <w:rFonts w:ascii="Arial" w:cs="Arial" w:eastAsia="Arial" w:hAnsi="Arial"/>
          <w:sz w:val="22"/>
          <w:szCs w:val="22"/>
          <w:color w:val="auto"/>
          <w:vertAlign w:val="superscript"/>
        </w:rPr>
      </w:pPr>
    </w:p>
    <w:p>
      <w:pPr>
        <w:ind w:left="380" w:right="79" w:hanging="330"/>
        <w:spacing w:after="0" w:line="204" w:lineRule="auto"/>
        <w:tabs>
          <w:tab w:leader="none" w:pos="380" w:val="left"/>
        </w:tabs>
        <w:numPr>
          <w:ilvl w:val="0"/>
          <w:numId w:val="26"/>
        </w:numPr>
        <w:rPr>
          <w:rFonts w:ascii="Arial" w:cs="Arial" w:eastAsia="Arial" w:hAnsi="Arial"/>
          <w:sz w:val="22"/>
          <w:szCs w:val="22"/>
          <w:color w:val="auto"/>
          <w:vertAlign w:val="superscript"/>
        </w:rPr>
      </w:pPr>
      <w:r>
        <w:rPr>
          <w:rFonts w:ascii="Arial" w:cs="Arial" w:eastAsia="Arial" w:hAnsi="Arial"/>
          <w:sz w:val="14"/>
          <w:szCs w:val="14"/>
          <w:color w:val="auto"/>
        </w:rPr>
        <w:t>An Active Customer is a customer who has transacted with us in any of the eight most recently completed fiscal quarters prior to the date of measurement.</w:t>
      </w:r>
    </w:p>
    <w:p>
      <w:pPr>
        <w:spacing w:after="0" w:line="53" w:lineRule="exact"/>
        <w:rPr>
          <w:rFonts w:ascii="Arial" w:cs="Arial" w:eastAsia="Arial" w:hAnsi="Arial"/>
          <w:sz w:val="22"/>
          <w:szCs w:val="22"/>
          <w:color w:val="auto"/>
          <w:vertAlign w:val="superscript"/>
        </w:rPr>
      </w:pPr>
    </w:p>
    <w:p>
      <w:pPr>
        <w:jc w:val="both"/>
        <w:ind w:left="380" w:right="79" w:hanging="330"/>
        <w:spacing w:after="0" w:line="214" w:lineRule="auto"/>
        <w:tabs>
          <w:tab w:leader="none" w:pos="380" w:val="left"/>
        </w:tabs>
        <w:numPr>
          <w:ilvl w:val="0"/>
          <w:numId w:val="26"/>
        </w:numPr>
        <w:rPr>
          <w:rFonts w:ascii="Arial" w:cs="Arial" w:eastAsia="Arial" w:hAnsi="Arial"/>
          <w:sz w:val="22"/>
          <w:szCs w:val="22"/>
          <w:color w:val="auto"/>
          <w:vertAlign w:val="superscript"/>
        </w:rPr>
      </w:pPr>
      <w:r>
        <w:rPr>
          <w:rFonts w:ascii="Arial" w:cs="Arial" w:eastAsia="Arial" w:hAnsi="Arial"/>
          <w:sz w:val="14"/>
          <w:szCs w:val="14"/>
          <w:color w:val="auto"/>
        </w:rPr>
        <w:t>Excludes Good Sam Club members under the free basic plan, which was introduced in November 2023 and provides for limited participation in the loyalty point program without access to the remaining member benefits. This figure represents only Good Sam Club memberships and is not representative of any policies recognized in Good Sam Services and Plans revenue.</w:t>
      </w:r>
    </w:p>
    <w:p>
      <w:pPr>
        <w:spacing w:after="0" w:line="1" w:lineRule="exact"/>
        <w:rPr>
          <w:rFonts w:ascii="Arial" w:cs="Arial" w:eastAsia="Arial" w:hAnsi="Arial"/>
          <w:sz w:val="22"/>
          <w:szCs w:val="22"/>
          <w:color w:val="auto"/>
          <w:vertAlign w:val="superscript"/>
        </w:rPr>
      </w:pPr>
    </w:p>
    <w:p>
      <w:pPr>
        <w:ind w:left="380" w:hanging="330"/>
        <w:spacing w:after="0" w:line="217" w:lineRule="auto"/>
        <w:tabs>
          <w:tab w:leader="none" w:pos="380" w:val="left"/>
        </w:tabs>
        <w:numPr>
          <w:ilvl w:val="0"/>
          <w:numId w:val="26"/>
        </w:numPr>
        <w:rPr>
          <w:rFonts w:ascii="Arial" w:cs="Arial" w:eastAsia="Arial" w:hAnsi="Arial"/>
          <w:sz w:val="22"/>
          <w:szCs w:val="22"/>
          <w:color w:val="auto"/>
          <w:vertAlign w:val="superscript"/>
        </w:rPr>
      </w:pPr>
      <w:r>
        <w:rPr>
          <w:rFonts w:ascii="Arial" w:cs="Arial" w:eastAsia="Arial" w:hAnsi="Arial"/>
          <w:sz w:val="14"/>
          <w:szCs w:val="14"/>
          <w:color w:val="auto"/>
        </w:rPr>
        <w:t>A service bay is a fully constructed bay dedicated to service, installation, and/or collision offerings.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Revenue and Gross Profit</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Good Sam Services and Plans</w:t>
      </w:r>
    </w:p>
    <w:p>
      <w:pPr>
        <w:spacing w:after="0" w:line="210"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Good Sam Services and Plans revenue decreased primarily due to reductions from the Good Sam TravelAssist programs, Good Sam Insurance Agency and the roadside assistance programs, which have been negatively impacted by the decline in overall demand for new vehicles. See “Industry Trends” above for a discussion of the impact of economic conditions and consumer sentiment on the demand for new vehicles.</w:t>
      </w:r>
    </w:p>
    <w:p>
      <w:pPr>
        <w:spacing w:after="0" w:line="174"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Good Sam Services and Plans gross profit and gross margin increased primarily due to reduced costs for roadside assistance programs.</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RV and Outdoor Retail</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color w:val="auto"/>
        </w:rPr>
        <w:t>New vehicles</w:t>
      </w:r>
    </w:p>
    <w:p>
      <w:pPr>
        <w:spacing w:after="0" w:line="21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New vehicles revenue decreased primarily due to a 25.4% decrease in new vehicles unit sales, partially offset by an 11.7% increase in the average selling price per new vehicle (discussed below). On a same store basis, new vehicles revenue decreased 17.8% to $589.1 million resulting from a 26.4% decrease in new vehicles units sold, partially offset by an 11.7% increase in the average selling price per vehicle sold.</w:t>
      </w:r>
    </w:p>
    <w:p>
      <w:pPr>
        <w:spacing w:after="0" w:line="174"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New vehicles gross profit decreased primarily due to a 25.4% decrease in new vehicles unit sales and a 252 basis point decrease in new vehicles gross margin. The new vehicles gross margin decrease was primarily driven by a 15.0% increase in the average cost per new vehicle sold, partially offset by an 11.7% increase in the average selling price per new vehicle sold. The increases in average selling price and average cost of new vehicles were largely driven by a mix shift toward higher cost fifth wheels and Class C units and away from lower cost travel trailers. See “Industry Trends” above for a discussion of the impact of economic conditions and consumer sentiment on the demand for new vehicles.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color w:val="auto"/>
        </w:rPr>
        <w:t>Used vehicles</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Used vehicles revenue decreased primarily due to an 8.1% decrease in used vehicles unit sales and a 4.2% decrease in the average selling price per used vehicle sold, particularly on the higher-priced motorized units and a small shift away from motorized units toward lower-priced towables. On a same store basis, used vehicles revenue decreased 11.9% to $491.1 million resulting from a decrease in used vehicles unit sales of 8.6% and a 3.6% decrease in average selling price per used vehicle sold.</w:t>
      </w:r>
    </w:p>
    <w:p>
      <w:pPr>
        <w:spacing w:after="0" w:line="176"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Used vehicles gross profit and gross margin decreased primarily due to a 4.2% decrease in the average selling price per used vehicle sold, partially offset by a 3.8% decrease in the average cost per used vehicle sold. The decrease in used vehicles gross profit also reflected the 8.1% decrease in used vehicles unit sales.</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42" w:name="page43"/>
    <w:bookmarkEnd w:id="4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Products, service and other</w:t>
      </w:r>
    </w:p>
    <w:p>
      <w:pPr>
        <w:spacing w:after="0" w:line="212"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Products, service and other revenue increased slightly, or 0.2%. On a same store basis, products, service and other revenue increased 2.7% to $171.5 million.</w:t>
      </w:r>
    </w:p>
    <w:p>
      <w:pPr>
        <w:spacing w:after="0" w:line="154" w:lineRule="exact"/>
        <w:rPr>
          <w:sz w:val="20"/>
          <w:szCs w:val="20"/>
          <w:color w:val="auto"/>
        </w:rPr>
      </w:pPr>
    </w:p>
    <w:p>
      <w:pPr>
        <w:jc w:val="both"/>
        <w:ind w:left="60" w:right="79" w:firstLine="648"/>
        <w:spacing w:after="0" w:line="253" w:lineRule="auto"/>
        <w:rPr>
          <w:sz w:val="20"/>
          <w:szCs w:val="20"/>
          <w:color w:val="auto"/>
        </w:rPr>
      </w:pPr>
      <w:r>
        <w:rPr>
          <w:rFonts w:ascii="Arial" w:cs="Arial" w:eastAsia="Arial" w:hAnsi="Arial"/>
          <w:sz w:val="18"/>
          <w:szCs w:val="18"/>
          <w:color w:val="auto"/>
        </w:rPr>
        <w:t>Products, service and other gross profit and gross margin decreased primarily due to a 12.8% increase in products, service and other costs applicable to revenue driven by higher service volume that was billed at lower labor rates for basic installation and maintenance services.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Finance and insurance, net</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Finance and insurance revenue and gross profit are recorded net, since the Company is acting as an agent in the transaction, and commission is recognized when a finance and insurance product contract payment has been received or financing has been arranged. The finance and insurance, net revenue decrease was driven by a 17.1% decrease in total vehicle unit sales, which resulted in fewer contracts sold, and an additional $9.0 million increase in the unfavorable adjustment to variable consideration for chargebacks based on updates to the actuarial analysis of our chargeback liabilities. Finance and insurance, net revenue as a percentage of new and used vehicle revenue was 12.7%, a 41 basis point decrease from the prior year. On a same store basis, finance and insurance, net revenue decreased 18.3%.</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color w:val="auto"/>
        </w:rPr>
        <w:t>Good Sam Club</w:t>
      </w:r>
    </w:p>
    <w:p>
      <w:pPr>
        <w:spacing w:after="0" w:line="212"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Good Sam Club revenue and gross profit increased mainly due to increased co-branded credit card revenue from a revised partner agreement that resulted in the recognition of a nonrecurring $5.3 million milestone payment for completing certain growth initiatives during the three months ended September 30, 2026, and the addition of recurring profit sharing, which was $2.3 million for the three months ended September 30, 2026. In addition, memberships provided with vehicle sales are shifting from three-year, lower-tier memberships to one-year, elite-tier memberships, which aligns with the current marketing strategy and increased annual pricing due to enhanced benefits, including loyalty points and access to unique campground stays. These gains were partially offset by a 14.8% decline in paid members (excluding free basic plan members), as higher prices contributed to lower renewal rates.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Operating Expenses and Other</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Selling, general, and administrative expenses</w:t>
      </w:r>
    </w:p>
    <w:p>
      <w:pPr>
        <w:spacing w:after="0" w:line="212"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Selling, general, and administrative expenses decreased primarily due to a $25.5 million decrease in employee cash compensation costs excluding commissions, resulting primarily from headcount reductions; a $4.2 million decrease in stock-based compensation expense (“SBC”); and a $2.3 million decrease in commission costs, partially offset by a $4.5 million increase in outside service provider fees related primarily to software, artificial intelligence (“AI”), and infrastructure maintenance expenses, and a $2.5 million increase in rent expense.</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color w:val="auto"/>
        </w:rPr>
        <w:t>Goodwill impairment</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As discussed in Note 7 ― Goodwill and Intangible Assets to our condensed consolidated financial statements included in Part I, Item 1 of this Form 10-Q, we recognized a goodwill impairment charge of $286.7 million relating to the RV and Outdoor Retail reporting unit for the three months ended September 30, 2026 as a result of an interim goodwill impairment test as of September 30, 2026. No goodwill impairment was recognized for the three months ended September 30, 2025.</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Long-lived asset impairment</w:t>
      </w:r>
    </w:p>
    <w:p>
      <w:pPr>
        <w:spacing w:after="0" w:line="21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As discussed in Note 5 ― Long-Lived Asset Impairment to our condensed consolidated financial statements included in Part I, Item 1 of this Form 10-Q, we recognized $6.7 million and $0.6 million of long-lived asset impairment charges for the three months ended September 30, 2026 and September 30, 2025,</w:t>
      </w:r>
    </w:p>
    <w:p>
      <w:pPr>
        <w:sectPr>
          <w:pgSz w:w="11900" w:h="16838" w:orient="portrait"/>
          <w:cols w:equalWidth="0" w:num="1">
            <w:col w:w="9019"/>
          </w:cols>
          <w:pgMar w:left="1440" w:top="512" w:right="1440" w:bottom="1440" w:gutter="0" w:footer="0" w:header="0"/>
        </w:sect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43" w:name="page44"/>
    <w:bookmarkEnd w:id="4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respectively, relating to decreases in market rental rates or market value of real property for closed locations, or based on the Company’s review of location performance in the normal course of business.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color w:val="auto"/>
        </w:rPr>
        <w:t>Floor plan interest expense</w:t>
      </w:r>
    </w:p>
    <w:p>
      <w:pPr>
        <w:spacing w:after="0" w:line="21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The decrease in floor plan interest expense was primarily due to a 55 basis point decrease in the average floor plan borrowing rate and an 8.3% decrease in the average floor plan balance. The average interest rate for the Floor Plan Facility for the three months ended September 30, 2026 and September 30, 2025 was 5.93% and 6.48%, respectively.</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color w:val="auto"/>
        </w:rPr>
        <w:t>Other interest expense, net</w:t>
      </w:r>
    </w:p>
    <w:p>
      <w:pPr>
        <w:spacing w:after="0" w:line="212"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Other interest expense, net decreased primarily due to reduced interest rates and reduced borrowings on our Term Loan Facility and our Real Estate Facilities. The average interest rate for the Term Loan Facility for the three months ended September 30, 2026 and September 30, 2025 was 6.32% and 6.99%, respectively. The average interest rate on the M&amp;T Real Estate Facility (as defined in Note 8 ― Long-Term Debt to our condensed consolidated financial statements included in Part I, Item 1 of this Form 10-Q) for the three months ended September 30, 2026 and September 30, 2025 was 5.53% and 6.65%, respectively.</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color w:val="auto"/>
        </w:rPr>
        <w:t>Loss and expense on debt restructure</w:t>
      </w:r>
    </w:p>
    <w:p>
      <w:pPr>
        <w:spacing w:after="0" w:line="21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As discussed in Note 8 – Long-Term Debt to our condensed consolidated financial statements included in Part I, Item 1 of this Form 10-Q, we recognized $0.5 million of debt restructure expense for third-party refinancing costs and a $0.3 million loss on debt restructure for a portion of the unamortized finance costs resulting from exiting lenders within the refinancing of the M&amp;T Real Estate Facility in August 2026.</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Tax Receivable Agreement liability adjustment</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We recorded no Tax Receivable Agreement liability adjustment for the three months ended September 30, 2026, compared to a $149.2 million gain for the three months ended September 30, 2025, reflecting the change in the determination of the realizability of future cash tax benefits underlying the estimate of future payments under the Tax Receivable Agreement during the three months ended September 30, 2025, which resulted in a remaining total Tax Receivable Agreement liability of $1.2 million as of September 30, 2025. See Note 14 ― Income Taxes to our condensed consolidated financial statements included in Part I, Item 1 of this Form 10-Q for further details.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Income tax expense</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The decrease in income tax expense was primarily due to $175.4 million of income tax expense for establishing a full valuation allowance against the net deferred tax assets of the public holding company, CWH, during the three months ended September 30, 2025, and $37.3 million of income tax expense for the remeasurement of deferred tax assets associated with the reduction of the Tax Receivable Agreement liability, as discussed above. See Note 14 ― Income Taxes to our condensed consolidated financial statements included in Part I, Item 1 of this Form 10-Q for further details. Income tax expense for the three months ended September 30, 2026 reflects income tax provisions for certain C-Corp subsidiaries, while no income tax benefit was recognized on the losses of CWH due to its full valuation allowance.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4" w:name="page45"/>
    <w:bookmarkEnd w:id="4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Segment Results</w:t>
      </w:r>
    </w:p>
    <w:p>
      <w:pPr>
        <w:spacing w:after="0" w:line="210" w:lineRule="exact"/>
        <w:rPr>
          <w:sz w:val="20"/>
          <w:szCs w:val="20"/>
          <w:color w:val="auto"/>
        </w:rPr>
      </w:pPr>
    </w:p>
    <w:p>
      <w:pPr>
        <w:ind w:left="60" w:right="59" w:firstLine="648"/>
        <w:spacing w:after="0" w:line="271" w:lineRule="auto"/>
        <w:rPr>
          <w:sz w:val="20"/>
          <w:szCs w:val="20"/>
          <w:color w:val="auto"/>
        </w:rPr>
      </w:pPr>
      <w:r>
        <w:rPr>
          <w:rFonts w:ascii="Arial" w:cs="Arial" w:eastAsia="Arial" w:hAnsi="Arial"/>
          <w:sz w:val="18"/>
          <w:szCs w:val="18"/>
          <w:color w:val="auto"/>
        </w:rPr>
        <w:t>The following table sets forth information comparing select components of Segment Adjusted EBITDA for each of our segments for the periods presented:</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45"/>
        </w:trPr>
        <w:tc>
          <w:tcPr>
            <w:tcW w:w="4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100" w:type="dxa"/>
            <w:vAlign w:val="bottom"/>
            <w:tcBorders>
              <w:bottom w:val="single" w:sz="8" w:color="auto"/>
            </w:tcBorders>
            <w:gridSpan w:val="11"/>
          </w:tcPr>
          <w:p>
            <w:pPr>
              <w:jc w:val="right"/>
              <w:ind w:right="533"/>
              <w:spacing w:after="0"/>
              <w:rPr>
                <w:sz w:val="20"/>
                <w:szCs w:val="20"/>
                <w:color w:val="auto"/>
              </w:rPr>
            </w:pPr>
            <w:r>
              <w:rPr>
                <w:rFonts w:ascii="Arial" w:cs="Arial" w:eastAsia="Arial" w:hAnsi="Arial"/>
                <w:sz w:val="12"/>
                <w:szCs w:val="12"/>
                <w:b w:val="1"/>
                <w:bCs w:val="1"/>
                <w:color w:val="auto"/>
              </w:rPr>
              <w:t>Three Months Ended September 30,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6"/>
            <w:vMerge w:val="restart"/>
          </w:tcPr>
          <w:p>
            <w:pPr>
              <w:ind w:left="300"/>
              <w:spacing w:after="0"/>
              <w:rPr>
                <w:sz w:val="20"/>
                <w:szCs w:val="20"/>
                <w:color w:val="auto"/>
              </w:rPr>
            </w:pPr>
            <w:r>
              <w:rPr>
                <w:rFonts w:ascii="Arial" w:cs="Arial" w:eastAsia="Arial" w:hAnsi="Arial"/>
                <w:sz w:val="12"/>
                <w:szCs w:val="12"/>
                <w:b w:val="1"/>
                <w:bCs w:val="1"/>
                <w:color w:val="auto"/>
              </w:rPr>
              <w:t>Favorable /</w:t>
            </w:r>
          </w:p>
        </w:tc>
        <w:tc>
          <w:tcPr>
            <w:tcW w:w="0" w:type="dxa"/>
            <w:vAlign w:val="bottom"/>
          </w:tcPr>
          <w:p>
            <w:pPr>
              <w:spacing w:after="0"/>
              <w:rPr>
                <w:sz w:val="1"/>
                <w:szCs w:val="1"/>
                <w:color w:val="auto"/>
              </w:rPr>
            </w:pPr>
          </w:p>
        </w:tc>
      </w:tr>
      <w:tr>
        <w:trPr>
          <w:trHeight w:val="128"/>
        </w:trPr>
        <w:tc>
          <w:tcPr>
            <w:tcW w:w="4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gridSpan w:val="2"/>
          </w:tcPr>
          <w:p>
            <w:pPr>
              <w:jc w:val="right"/>
              <w:spacing w:after="0" w:line="129" w:lineRule="exact"/>
              <w:rPr>
                <w:sz w:val="20"/>
                <w:szCs w:val="20"/>
                <w:color w:val="auto"/>
              </w:rPr>
            </w:pPr>
            <w:r>
              <w:rPr>
                <w:rFonts w:ascii="Arial" w:cs="Arial" w:eastAsia="Arial" w:hAnsi="Arial"/>
                <w:sz w:val="12"/>
                <w:szCs w:val="12"/>
                <w:b w:val="1"/>
                <w:bCs w:val="1"/>
                <w:color w:val="auto"/>
              </w:rPr>
              <w:t>2026</w:t>
            </w:r>
          </w:p>
        </w:tc>
        <w:tc>
          <w:tcPr>
            <w:tcW w:w="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gridSpan w:val="2"/>
          </w:tcPr>
          <w:p>
            <w:pPr>
              <w:jc w:val="right"/>
              <w:spacing w:after="0" w:line="129" w:lineRule="exact"/>
              <w:rPr>
                <w:sz w:val="20"/>
                <w:szCs w:val="20"/>
                <w:color w:val="auto"/>
              </w:rPr>
            </w:pPr>
            <w:r>
              <w:rPr>
                <w:rFonts w:ascii="Arial" w:cs="Arial" w:eastAsia="Arial" w:hAnsi="Arial"/>
                <w:sz w:val="12"/>
                <w:szCs w:val="12"/>
                <w:b w:val="1"/>
                <w:bCs w:val="1"/>
                <w:color w:val="auto"/>
              </w:rPr>
              <w:t>2025</w:t>
            </w:r>
          </w:p>
        </w:tc>
        <w:tc>
          <w:tcPr>
            <w:tcW w:w="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Arial" w:cs="Arial" w:eastAsia="Arial" w:hAnsi="Arial"/>
                <w:sz w:val="12"/>
                <w:szCs w:val="12"/>
                <w:b w:val="1"/>
                <w:bCs w:val="1"/>
                <w:color w:val="auto"/>
                <w:w w:val="95"/>
              </w:rPr>
              <w:t>Percent of</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Arial" w:cs="Arial" w:eastAsia="Arial" w:hAnsi="Arial"/>
                <w:sz w:val="12"/>
                <w:szCs w:val="12"/>
                <w:b w:val="1"/>
                <w:bCs w:val="1"/>
                <w:color w:val="auto"/>
                <w:w w:val="95"/>
              </w:rPr>
              <w:t>Percent of</w:t>
            </w:r>
          </w:p>
        </w:tc>
        <w:tc>
          <w:tcPr>
            <w:tcW w:w="1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gridSpan w:val="5"/>
          </w:tcPr>
          <w:p>
            <w:pPr>
              <w:ind w:left="220"/>
              <w:spacing w:after="0" w:line="129" w:lineRule="exact"/>
              <w:rPr>
                <w:sz w:val="20"/>
                <w:szCs w:val="20"/>
                <w:color w:val="auto"/>
              </w:rPr>
            </w:pPr>
            <w:r>
              <w:rPr>
                <w:rFonts w:ascii="Arial" w:cs="Arial" w:eastAsia="Arial" w:hAnsi="Arial"/>
                <w:sz w:val="12"/>
                <w:szCs w:val="12"/>
                <w:b w:val="1"/>
                <w:bCs w:val="1"/>
                <w:color w:val="auto"/>
              </w:rPr>
              <w:t>(Unfavorable)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4020" w:type="dxa"/>
            <w:vAlign w:val="bottom"/>
          </w:tcPr>
          <w:p>
            <w:pPr>
              <w:spacing w:after="0"/>
              <w:rPr>
                <w:sz w:val="10"/>
                <w:szCs w:val="10"/>
                <w:color w:val="auto"/>
              </w:rPr>
            </w:pPr>
          </w:p>
        </w:tc>
        <w:tc>
          <w:tcPr>
            <w:tcW w:w="220" w:type="dxa"/>
            <w:vAlign w:val="bottom"/>
            <w:gridSpan w:val="2"/>
          </w:tcPr>
          <w:p>
            <w:pPr>
              <w:jc w:val="right"/>
              <w:ind w:right="8"/>
              <w:spacing w:after="0" w:line="119" w:lineRule="exact"/>
              <w:rPr>
                <w:sz w:val="20"/>
                <w:szCs w:val="20"/>
                <w:color w:val="auto"/>
              </w:rPr>
            </w:pPr>
            <w:r>
              <w:rPr>
                <w:rFonts w:ascii="Arial" w:cs="Arial" w:eastAsia="Arial" w:hAnsi="Arial"/>
                <w:sz w:val="12"/>
                <w:szCs w:val="12"/>
                <w:b w:val="1"/>
                <w:bCs w:val="1"/>
                <w:color w:val="auto"/>
              </w:rPr>
              <w:t>​​</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3"/>
          </w:tcPr>
          <w:p>
            <w:pPr>
              <w:jc w:val="right"/>
              <w:ind w:right="580"/>
              <w:spacing w:after="0" w:line="119" w:lineRule="exact"/>
              <w:rPr>
                <w:sz w:val="20"/>
                <w:szCs w:val="20"/>
                <w:color w:val="auto"/>
              </w:rPr>
            </w:pPr>
            <w:r>
              <w:rPr>
                <w:rFonts w:ascii="Arial" w:cs="Arial" w:eastAsia="Arial" w:hAnsi="Arial"/>
                <w:sz w:val="12"/>
                <w:szCs w:val="12"/>
                <w:b w:val="1"/>
                <w:bCs w:val="1"/>
                <w:color w:val="auto"/>
              </w:rPr>
              <w:t>​​</w:t>
            </w:r>
          </w:p>
        </w:tc>
        <w:tc>
          <w:tcPr>
            <w:tcW w:w="220" w:type="dxa"/>
            <w:vAlign w:val="bottom"/>
            <w:gridSpan w:val="2"/>
          </w:tcPr>
          <w:p>
            <w:pPr>
              <w:jc w:val="right"/>
              <w:ind w:right="8"/>
              <w:spacing w:after="0" w:line="119" w:lineRule="exact"/>
              <w:rPr>
                <w:sz w:val="20"/>
                <w:szCs w:val="20"/>
                <w:color w:val="auto"/>
              </w:rPr>
            </w:pPr>
            <w:r>
              <w:rPr>
                <w:rFonts w:ascii="Arial" w:cs="Arial" w:eastAsia="Arial" w:hAnsi="Arial"/>
                <w:sz w:val="12"/>
                <w:szCs w:val="12"/>
                <w:b w:val="1"/>
                <w:bCs w:val="1"/>
                <w:color w:val="auto"/>
              </w:rPr>
              <w:t>​​</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right"/>
              <w:ind w:right="513"/>
              <w:spacing w:after="0" w:line="119" w:lineRule="exact"/>
              <w:rPr>
                <w:sz w:val="20"/>
                <w:szCs w:val="20"/>
                <w:color w:val="auto"/>
              </w:rPr>
            </w:pPr>
            <w:r>
              <w:rPr>
                <w:rFonts w:ascii="Arial" w:cs="Arial" w:eastAsia="Arial" w:hAnsi="Arial"/>
                <w:sz w:val="12"/>
                <w:szCs w:val="12"/>
                <w:b w:val="1"/>
                <w:bCs w:val="1"/>
                <w:color w:val="auto"/>
              </w:rPr>
              <w:t>​​</w:t>
            </w:r>
          </w:p>
        </w:tc>
        <w:tc>
          <w:tcPr>
            <w:tcW w:w="240" w:type="dxa"/>
            <w:vAlign w:val="bottom"/>
            <w:gridSpan w:val="2"/>
          </w:tcPr>
          <w:p>
            <w:pPr>
              <w:jc w:val="right"/>
              <w:ind w:right="28"/>
              <w:spacing w:after="0" w:line="119" w:lineRule="exact"/>
              <w:rPr>
                <w:sz w:val="20"/>
                <w:szCs w:val="20"/>
                <w:color w:val="auto"/>
              </w:rPr>
            </w:pPr>
            <w:r>
              <w:rPr>
                <w:rFonts w:ascii="Arial" w:cs="Arial" w:eastAsia="Arial" w:hAnsi="Arial"/>
                <w:sz w:val="12"/>
                <w:szCs w:val="12"/>
                <w:b w:val="1"/>
                <w:bCs w:val="1"/>
                <w:color w:val="auto"/>
              </w:rPr>
              <w:t>​​</w:t>
            </w: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gridSpan w:val="2"/>
          </w:tcPr>
          <w:p>
            <w:pPr>
              <w:jc w:val="right"/>
              <w:ind w:right="468"/>
              <w:spacing w:after="0" w:line="119" w:lineRule="exact"/>
              <w:rPr>
                <w:sz w:val="20"/>
                <w:szCs w:val="20"/>
                <w:color w:val="auto"/>
              </w:rPr>
            </w:pPr>
            <w:r>
              <w:rPr>
                <w:rFonts w:ascii="Arial" w:cs="Arial" w:eastAsia="Arial" w:hAnsi="Arial"/>
                <w:sz w:val="12"/>
                <w:szCs w:val="12"/>
                <w:b w:val="1"/>
                <w:bCs w:val="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4020" w:type="dxa"/>
            <w:vAlign w:val="bottom"/>
          </w:tcPr>
          <w:p>
            <w:pPr>
              <w:ind w:left="20"/>
              <w:spacing w:after="0"/>
              <w:rPr>
                <w:sz w:val="20"/>
                <w:szCs w:val="20"/>
                <w:color w:val="auto"/>
              </w:rPr>
            </w:pPr>
            <w:r>
              <w:rPr>
                <w:rFonts w:ascii="Arial" w:cs="Arial" w:eastAsia="Arial" w:hAnsi="Arial"/>
                <w:sz w:val="12"/>
                <w:szCs w:val="12"/>
                <w:color w:val="auto"/>
              </w:rPr>
              <w:t>($ in thousands)</w:t>
            </w:r>
          </w:p>
        </w:tc>
        <w:tc>
          <w:tcPr>
            <w:tcW w:w="220" w:type="dxa"/>
            <w:vAlign w:val="bottom"/>
            <w:gridSpan w:val="2"/>
          </w:tcPr>
          <w:p>
            <w:pPr>
              <w:jc w:val="right"/>
              <w:ind w:right="88"/>
              <w:spacing w:after="0"/>
              <w:rPr>
                <w:sz w:val="20"/>
                <w:szCs w:val="20"/>
                <w:color w:val="auto"/>
              </w:rPr>
            </w:pPr>
            <w:r>
              <w:rPr>
                <w:rFonts w:ascii="Arial" w:cs="Arial" w:eastAsia="Arial" w:hAnsi="Arial"/>
                <w:sz w:val="12"/>
                <w:szCs w:val="12"/>
                <w:b w:val="1"/>
                <w:bCs w:val="1"/>
                <w:color w:val="auto"/>
              </w:rPr>
              <w:t>​</w:t>
            </w:r>
          </w:p>
        </w:tc>
        <w:tc>
          <w:tcPr>
            <w:tcW w:w="800" w:type="dxa"/>
            <w:vAlign w:val="bottom"/>
            <w:gridSpan w:val="2"/>
          </w:tcPr>
          <w:p>
            <w:pPr>
              <w:jc w:val="right"/>
              <w:spacing w:after="0"/>
              <w:rPr>
                <w:sz w:val="20"/>
                <w:szCs w:val="20"/>
                <w:color w:val="auto"/>
              </w:rPr>
            </w:pPr>
            <w:r>
              <w:rPr>
                <w:rFonts w:ascii="Arial" w:cs="Arial" w:eastAsia="Arial" w:hAnsi="Arial"/>
                <w:sz w:val="12"/>
                <w:szCs w:val="12"/>
                <w:b w:val="1"/>
                <w:bCs w:val="1"/>
                <w:color w:val="auto"/>
              </w:rPr>
              <w:t>Amount    ​</w:t>
            </w:r>
          </w:p>
        </w:tc>
        <w:tc>
          <w:tcPr>
            <w:tcW w:w="40" w:type="dxa"/>
            <w:vAlign w:val="bottom"/>
          </w:tcPr>
          <w:p>
            <w:pPr>
              <w:spacing w:after="0"/>
              <w:rPr>
                <w:sz w:val="12"/>
                <w:szCs w:val="12"/>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rPr>
              <w:t>Revenue</w:t>
            </w:r>
          </w:p>
        </w:tc>
        <w:tc>
          <w:tcPr>
            <w:tcW w:w="220" w:type="dxa"/>
            <w:vAlign w:val="bottom"/>
            <w:gridSpan w:val="2"/>
          </w:tcPr>
          <w:p>
            <w:pPr>
              <w:jc w:val="right"/>
              <w:ind w:right="88"/>
              <w:spacing w:after="0"/>
              <w:rPr>
                <w:sz w:val="20"/>
                <w:szCs w:val="20"/>
                <w:color w:val="auto"/>
              </w:rPr>
            </w:pPr>
            <w:r>
              <w:rPr>
                <w:rFonts w:ascii="Arial" w:cs="Arial" w:eastAsia="Arial" w:hAnsi="Arial"/>
                <w:sz w:val="12"/>
                <w:szCs w:val="12"/>
                <w:b w:val="1"/>
                <w:bCs w:val="1"/>
                <w:color w:val="auto"/>
              </w:rPr>
              <w:t>​</w:t>
            </w:r>
          </w:p>
        </w:tc>
        <w:tc>
          <w:tcPr>
            <w:tcW w:w="800" w:type="dxa"/>
            <w:vAlign w:val="bottom"/>
            <w:gridSpan w:val="2"/>
          </w:tcPr>
          <w:p>
            <w:pPr>
              <w:jc w:val="right"/>
              <w:spacing w:after="0"/>
              <w:rPr>
                <w:sz w:val="20"/>
                <w:szCs w:val="20"/>
                <w:color w:val="auto"/>
              </w:rPr>
            </w:pPr>
            <w:r>
              <w:rPr>
                <w:rFonts w:ascii="Arial" w:cs="Arial" w:eastAsia="Arial" w:hAnsi="Arial"/>
                <w:sz w:val="12"/>
                <w:szCs w:val="12"/>
                <w:b w:val="1"/>
                <w:bCs w:val="1"/>
                <w:color w:val="auto"/>
              </w:rPr>
              <w:t>Amount    ​</w:t>
            </w:r>
          </w:p>
        </w:tc>
        <w:tc>
          <w:tcPr>
            <w:tcW w:w="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b w:val="1"/>
                <w:bCs w:val="1"/>
                <w:color w:val="auto"/>
              </w:rPr>
              <w:t>Revenue</w:t>
            </w:r>
          </w:p>
        </w:tc>
        <w:tc>
          <w:tcPr>
            <w:tcW w:w="240" w:type="dxa"/>
            <w:vAlign w:val="bottom"/>
            <w:gridSpan w:val="2"/>
          </w:tcPr>
          <w:p>
            <w:pPr>
              <w:jc w:val="right"/>
              <w:ind w:right="108"/>
              <w:spacing w:after="0"/>
              <w:rPr>
                <w:sz w:val="20"/>
                <w:szCs w:val="20"/>
                <w:color w:val="auto"/>
              </w:rPr>
            </w:pPr>
            <w:r>
              <w:rPr>
                <w:rFonts w:ascii="Arial" w:cs="Arial" w:eastAsia="Arial" w:hAnsi="Arial"/>
                <w:sz w:val="12"/>
                <w:szCs w:val="12"/>
                <w:b w:val="1"/>
                <w:bCs w:val="1"/>
                <w:color w:val="auto"/>
              </w:rPr>
              <w:t>​</w:t>
            </w:r>
          </w:p>
        </w:tc>
        <w:tc>
          <w:tcPr>
            <w:tcW w:w="640" w:type="dxa"/>
            <w:vAlign w:val="bottom"/>
          </w:tcPr>
          <w:p>
            <w:pPr>
              <w:ind w:left="220"/>
              <w:spacing w:after="0"/>
              <w:rPr>
                <w:sz w:val="20"/>
                <w:szCs w:val="20"/>
                <w:color w:val="auto"/>
              </w:rPr>
            </w:pPr>
            <w:r>
              <w:rPr>
                <w:rFonts w:ascii="Arial" w:cs="Arial" w:eastAsia="Arial" w:hAnsi="Arial"/>
                <w:sz w:val="12"/>
                <w:szCs w:val="12"/>
                <w:b w:val="1"/>
                <w:bCs w:val="1"/>
                <w:color w:val="auto"/>
              </w:rPr>
              <w:t>$</w:t>
            </w:r>
          </w:p>
        </w:tc>
        <w:tc>
          <w:tcPr>
            <w:tcW w:w="20" w:type="dxa"/>
            <w:vAlign w:val="bottom"/>
          </w:tcPr>
          <w:p>
            <w:pPr>
              <w:spacing w:after="0"/>
              <w:rPr>
                <w:sz w:val="12"/>
                <w:szCs w:val="12"/>
                <w:color w:val="auto"/>
              </w:rPr>
            </w:pPr>
          </w:p>
        </w:tc>
        <w:tc>
          <w:tcPr>
            <w:tcW w:w="40" w:type="dxa"/>
            <w:vAlign w:val="bottom"/>
          </w:tcPr>
          <w:p>
            <w:pPr>
              <w:ind w:left="20"/>
              <w:spacing w:after="0"/>
              <w:rPr>
                <w:sz w:val="20"/>
                <w:szCs w:val="20"/>
                <w:color w:val="auto"/>
              </w:rPr>
            </w:pPr>
            <w:r>
              <w:rPr>
                <w:rFonts w:ascii="Arial" w:cs="Arial" w:eastAsia="Arial" w:hAnsi="Arial"/>
                <w:sz w:val="1"/>
                <w:szCs w:val="1"/>
                <w:b w:val="1"/>
                <w:bCs w:val="1"/>
                <w:color w:val="auto"/>
                <w:w w:val="4294942296"/>
              </w:rPr>
              <w:t>​</w:t>
            </w:r>
          </w:p>
        </w:tc>
        <w:tc>
          <w:tcPr>
            <w:tcW w:w="620" w:type="dxa"/>
            <w:vAlign w:val="bottom"/>
            <w:gridSpan w:val="2"/>
          </w:tcPr>
          <w:p>
            <w:pPr>
              <w:jc w:val="right"/>
              <w:ind w:right="148"/>
              <w:spacing w:after="0"/>
              <w:rPr>
                <w:sz w:val="20"/>
                <w:szCs w:val="20"/>
                <w:color w:val="auto"/>
              </w:rPr>
            </w:pPr>
            <w:r>
              <w:rPr>
                <w:rFonts w:ascii="Arial" w:cs="Arial" w:eastAsia="Arial" w:hAnsi="Arial"/>
                <w:sz w:val="12"/>
                <w:szCs w:val="12"/>
                <w:b w:val="1"/>
                <w:bCs w:val="1"/>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020" w:type="dxa"/>
            <w:vAlign w:val="bottom"/>
            <w:tcBorders>
              <w:top w:val="single" w:sz="8" w:color="auto"/>
            </w:tcBorders>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Good Sam Services and Plans:</w:t>
            </w: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020" w:type="dxa"/>
            <w:vAlign w:val="bottom"/>
          </w:tcPr>
          <w:p>
            <w:pPr>
              <w:ind w:left="120"/>
              <w:spacing w:after="0"/>
              <w:rPr>
                <w:sz w:val="20"/>
                <w:szCs w:val="20"/>
                <w:color w:val="auto"/>
              </w:rPr>
            </w:pPr>
            <w:r>
              <w:rPr>
                <w:rFonts w:ascii="Arial" w:cs="Arial" w:eastAsia="Arial" w:hAnsi="Arial"/>
                <w:sz w:val="14"/>
                <w:szCs w:val="14"/>
                <w:color w:val="auto"/>
              </w:rPr>
              <w:t>Revenue: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External revenue</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50,066</w:t>
            </w: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99.9%</w:t>
            </w:r>
          </w:p>
        </w:tc>
        <w:tc>
          <w:tcPr>
            <w:tcW w:w="2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52,508</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99.7%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(2,442)</w:t>
            </w:r>
          </w:p>
        </w:tc>
        <w:tc>
          <w:tcPr>
            <w:tcW w:w="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20" w:type="dxa"/>
            <w:vAlign w:val="bottom"/>
          </w:tcPr>
          <w:p>
            <w:pPr>
              <w:ind w:left="220"/>
              <w:spacing w:after="0" w:line="162" w:lineRule="exact"/>
              <w:rPr>
                <w:sz w:val="20"/>
                <w:szCs w:val="20"/>
                <w:color w:val="auto"/>
              </w:rPr>
            </w:pPr>
            <w:r>
              <w:rPr>
                <w:rFonts w:ascii="Arial" w:cs="Arial" w:eastAsia="Arial" w:hAnsi="Arial"/>
                <w:sz w:val="13"/>
                <w:szCs w:val="13"/>
                <w:color w:val="auto"/>
              </w:rPr>
              <w:t>Intersegment revenue</w:t>
            </w:r>
            <w:r>
              <w:rPr>
                <w:rFonts w:ascii="Arial" w:cs="Arial" w:eastAsia="Arial" w:hAnsi="Arial"/>
                <w:sz w:val="18"/>
                <w:szCs w:val="18"/>
                <w:color w:val="auto"/>
                <w:vertAlign w:val="superscript"/>
              </w:rPr>
              <w:t>(1)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31</w:t>
            </w:r>
          </w:p>
        </w:tc>
        <w:tc>
          <w:tcPr>
            <w:tcW w:w="8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0.1%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164</w:t>
            </w:r>
          </w:p>
        </w:tc>
        <w:tc>
          <w:tcPr>
            <w:tcW w:w="8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4"/>
                <w:szCs w:val="14"/>
                <w:color w:val="auto"/>
              </w:rPr>
              <w:t>(133)</w:t>
            </w:r>
          </w:p>
        </w:tc>
        <w:tc>
          <w:tcPr>
            <w:tcW w:w="4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(81.1%)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020" w:type="dxa"/>
            <w:vAlign w:val="bottom"/>
            <w:tcBorders>
              <w:top w:val="single" w:sz="8" w:color="CCEEFF"/>
            </w:tcBorders>
            <w:shd w:val="clear" w:color="auto" w:fill="CCEEFF"/>
          </w:tcPr>
          <w:p>
            <w:pPr>
              <w:ind w:left="220"/>
              <w:spacing w:after="0" w:line="155" w:lineRule="exact"/>
              <w:rPr>
                <w:sz w:val="20"/>
                <w:szCs w:val="20"/>
                <w:color w:val="auto"/>
              </w:rPr>
            </w:pPr>
            <w:r>
              <w:rPr>
                <w:rFonts w:ascii="Arial" w:cs="Arial" w:eastAsia="Arial" w:hAnsi="Arial"/>
                <w:sz w:val="14"/>
                <w:szCs w:val="14"/>
                <w:color w:val="auto"/>
              </w:rPr>
              <w:t>Total revenue before intersegment eliminations</w:t>
            </w: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50,097</w:t>
            </w:r>
          </w:p>
        </w:tc>
        <w:tc>
          <w:tcPr>
            <w:tcW w:w="8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100.0%</w:t>
            </w: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52,672</w:t>
            </w:r>
          </w:p>
        </w:tc>
        <w:tc>
          <w:tcPr>
            <w:tcW w:w="8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100.0%</w:t>
            </w: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(2,575)</w:t>
            </w: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Segment expenses:</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20" w:type="dxa"/>
            <w:vAlign w:val="bottom"/>
          </w:tcPr>
          <w:p>
            <w:pPr>
              <w:ind w:left="220"/>
              <w:spacing w:after="0" w:line="162" w:lineRule="exact"/>
              <w:rPr>
                <w:sz w:val="20"/>
                <w:szCs w:val="20"/>
                <w:color w:val="auto"/>
              </w:rPr>
            </w:pPr>
            <w:r>
              <w:rPr>
                <w:rFonts w:ascii="Arial" w:cs="Arial" w:eastAsia="Arial" w:hAnsi="Arial"/>
                <w:sz w:val="13"/>
                <w:szCs w:val="13"/>
                <w:color w:val="auto"/>
              </w:rPr>
              <w:t>Adjusted costs applicable to revenue</w:t>
            </w:r>
            <w:r>
              <w:rPr>
                <w:rFonts w:ascii="Arial" w:cs="Arial" w:eastAsia="Arial" w:hAnsi="Arial"/>
                <w:sz w:val="18"/>
                <w:szCs w:val="18"/>
                <w:color w:val="auto"/>
                <w:vertAlign w:val="superscript"/>
              </w:rPr>
              <w:t>(2)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18,826</w:t>
            </w:r>
          </w:p>
        </w:tc>
        <w:tc>
          <w:tcPr>
            <w:tcW w:w="8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37.6%</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22,740</w:t>
            </w:r>
          </w:p>
        </w:tc>
        <w:tc>
          <w:tcPr>
            <w:tcW w:w="8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43.2%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3,914</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17.2%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20" w:type="dxa"/>
            <w:vAlign w:val="bottom"/>
            <w:shd w:val="clear" w:color="auto" w:fill="CCEEFF"/>
          </w:tcPr>
          <w:p>
            <w:pPr>
              <w:ind w:left="220"/>
              <w:spacing w:after="0" w:line="162" w:lineRule="exact"/>
              <w:rPr>
                <w:sz w:val="20"/>
                <w:szCs w:val="20"/>
                <w:color w:val="auto"/>
              </w:rPr>
            </w:pPr>
            <w:r>
              <w:rPr>
                <w:rFonts w:ascii="Arial" w:cs="Arial" w:eastAsia="Arial" w:hAnsi="Arial"/>
                <w:sz w:val="13"/>
                <w:szCs w:val="13"/>
                <w:color w:val="auto"/>
              </w:rPr>
              <w:t>Intersegment costs applicable to revenue</w:t>
            </w:r>
            <w:r>
              <w:rPr>
                <w:rFonts w:ascii="Arial" w:cs="Arial" w:eastAsia="Arial" w:hAnsi="Arial"/>
                <w:sz w:val="18"/>
                <w:szCs w:val="18"/>
                <w:color w:val="auto"/>
                <w:vertAlign w:val="superscript"/>
              </w:rPr>
              <w:t>(3)</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(226)</w:t>
            </w: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n/m</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20" w:type="dxa"/>
            <w:vAlign w:val="bottom"/>
          </w:tcPr>
          <w:p>
            <w:pPr>
              <w:ind w:left="220"/>
              <w:spacing w:after="0" w:line="162" w:lineRule="exact"/>
              <w:rPr>
                <w:sz w:val="20"/>
                <w:szCs w:val="20"/>
                <w:color w:val="auto"/>
              </w:rPr>
            </w:pPr>
            <w:r>
              <w:rPr>
                <w:rFonts w:ascii="Arial" w:cs="Arial" w:eastAsia="Arial" w:hAnsi="Arial"/>
                <w:sz w:val="13"/>
                <w:szCs w:val="13"/>
                <w:color w:val="auto"/>
              </w:rPr>
              <w:t>Adjusted selling, general, and administrative</w:t>
            </w:r>
            <w:r>
              <w:rPr>
                <w:rFonts w:ascii="Arial" w:cs="Arial" w:eastAsia="Arial" w:hAnsi="Arial"/>
                <w:sz w:val="18"/>
                <w:szCs w:val="18"/>
                <w:color w:val="auto"/>
                <w:vertAlign w:val="superscript"/>
              </w:rPr>
              <w:t>(4)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10,086</w:t>
            </w:r>
          </w:p>
        </w:tc>
        <w:tc>
          <w:tcPr>
            <w:tcW w:w="8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20.1%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8,263</w:t>
            </w:r>
          </w:p>
        </w:tc>
        <w:tc>
          <w:tcPr>
            <w:tcW w:w="8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15.7%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4"/>
                <w:szCs w:val="14"/>
                <w:color w:val="auto"/>
              </w:rPr>
              <w:t>(1,823)</w:t>
            </w:r>
          </w:p>
        </w:tc>
        <w:tc>
          <w:tcPr>
            <w:tcW w:w="4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(22.1%)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020" w:type="dxa"/>
            <w:vAlign w:val="bottom"/>
            <w:tcBorders>
              <w:top w:val="single" w:sz="8" w:color="CCEEFF"/>
              <w:bottom w:val="single" w:sz="8" w:color="CCEEFF"/>
            </w:tcBorders>
            <w:shd w:val="clear" w:color="auto" w:fill="CCEEFF"/>
          </w:tcPr>
          <w:p>
            <w:pPr>
              <w:ind w:left="120"/>
              <w:spacing w:after="0" w:line="155" w:lineRule="exact"/>
              <w:rPr>
                <w:sz w:val="20"/>
                <w:szCs w:val="20"/>
                <w:color w:val="auto"/>
              </w:rPr>
            </w:pPr>
            <w:r>
              <w:rPr>
                <w:rFonts w:ascii="Arial" w:cs="Arial" w:eastAsia="Arial" w:hAnsi="Arial"/>
                <w:sz w:val="14"/>
                <w:szCs w:val="14"/>
                <w:color w:val="auto"/>
              </w:rPr>
              <w:t>Segment Adjusted EBITDA</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21,411</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5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42.7%</w:t>
            </w: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21,591</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6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41.0%</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(180)</w:t>
            </w: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5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(0.8%)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0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RV and Outdoor Retail:</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20" w:type="dxa"/>
            <w:vAlign w:val="bottom"/>
          </w:tcPr>
          <w:p>
            <w:pPr>
              <w:ind w:left="120"/>
              <w:spacing w:after="0"/>
              <w:rPr>
                <w:sz w:val="20"/>
                <w:szCs w:val="20"/>
                <w:color w:val="auto"/>
              </w:rPr>
            </w:pPr>
            <w:r>
              <w:rPr>
                <w:rFonts w:ascii="Arial" w:cs="Arial" w:eastAsia="Arial" w:hAnsi="Arial"/>
                <w:sz w:val="14"/>
                <w:szCs w:val="14"/>
                <w:color w:val="auto"/>
              </w:rPr>
              <w:t>Revenue: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External revenue</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1,532,844</w:t>
            </w: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99.9%</w:t>
            </w:r>
          </w:p>
        </w:tc>
        <w:tc>
          <w:tcPr>
            <w:tcW w:w="2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1,753,610</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99.8%</w:t>
            </w:r>
          </w:p>
        </w:tc>
        <w:tc>
          <w:tcPr>
            <w:tcW w:w="900" w:type="dxa"/>
            <w:vAlign w:val="bottom"/>
            <w:gridSpan w:val="4"/>
            <w:shd w:val="clear" w:color="auto" w:fill="CCEEFF"/>
          </w:tcPr>
          <w:p>
            <w:pPr>
              <w:jc w:val="right"/>
              <w:ind w:right="20"/>
              <w:spacing w:after="0"/>
              <w:rPr>
                <w:sz w:val="20"/>
                <w:szCs w:val="20"/>
                <w:color w:val="auto"/>
              </w:rPr>
            </w:pPr>
            <w:r>
              <w:rPr>
                <w:rFonts w:ascii="Arial" w:cs="Arial" w:eastAsia="Arial" w:hAnsi="Arial"/>
                <w:sz w:val="14"/>
                <w:szCs w:val="14"/>
                <w:color w:val="auto"/>
              </w:rPr>
              <w:t>$ (220,766)</w:t>
            </w:r>
          </w:p>
        </w:tc>
        <w:tc>
          <w:tcPr>
            <w:tcW w:w="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20" w:type="dxa"/>
            <w:vAlign w:val="bottom"/>
          </w:tcPr>
          <w:p>
            <w:pPr>
              <w:ind w:left="220"/>
              <w:spacing w:after="0" w:line="162" w:lineRule="exact"/>
              <w:rPr>
                <w:sz w:val="20"/>
                <w:szCs w:val="20"/>
                <w:color w:val="auto"/>
              </w:rPr>
            </w:pPr>
            <w:r>
              <w:rPr>
                <w:rFonts w:ascii="Arial" w:cs="Arial" w:eastAsia="Arial" w:hAnsi="Arial"/>
                <w:sz w:val="13"/>
                <w:szCs w:val="13"/>
                <w:color w:val="auto"/>
              </w:rPr>
              <w:t>Intersegment revenue</w:t>
            </w:r>
            <w:r>
              <w:rPr>
                <w:rFonts w:ascii="Arial" w:cs="Arial" w:eastAsia="Arial" w:hAnsi="Arial"/>
                <w:sz w:val="18"/>
                <w:szCs w:val="18"/>
                <w:color w:val="auto"/>
                <w:vertAlign w:val="superscript"/>
              </w:rPr>
              <w:t>(1)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1,160</w:t>
            </w:r>
          </w:p>
        </w:tc>
        <w:tc>
          <w:tcPr>
            <w:tcW w:w="8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0.1%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3,501</w:t>
            </w:r>
          </w:p>
        </w:tc>
        <w:tc>
          <w:tcPr>
            <w:tcW w:w="8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4"/>
                <w:szCs w:val="14"/>
                <w:color w:val="auto"/>
              </w:rPr>
              <w:t>(2,341)</w:t>
            </w:r>
          </w:p>
        </w:tc>
        <w:tc>
          <w:tcPr>
            <w:tcW w:w="4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(66.9%)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020" w:type="dxa"/>
            <w:vAlign w:val="bottom"/>
            <w:tcBorders>
              <w:top w:val="single" w:sz="8" w:color="CCEEFF"/>
            </w:tcBorders>
            <w:shd w:val="clear" w:color="auto" w:fill="CCEEFF"/>
          </w:tcPr>
          <w:p>
            <w:pPr>
              <w:ind w:left="220"/>
              <w:spacing w:after="0" w:line="155" w:lineRule="exact"/>
              <w:rPr>
                <w:sz w:val="20"/>
                <w:szCs w:val="20"/>
                <w:color w:val="auto"/>
              </w:rPr>
            </w:pPr>
            <w:r>
              <w:rPr>
                <w:rFonts w:ascii="Arial" w:cs="Arial" w:eastAsia="Arial" w:hAnsi="Arial"/>
                <w:sz w:val="14"/>
                <w:szCs w:val="14"/>
                <w:color w:val="auto"/>
              </w:rPr>
              <w:t>Total revenue before intersegment eliminations</w:t>
            </w: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1,534,004</w:t>
            </w:r>
          </w:p>
        </w:tc>
        <w:tc>
          <w:tcPr>
            <w:tcW w:w="8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100.0%</w:t>
            </w: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1,757,111</w:t>
            </w:r>
          </w:p>
        </w:tc>
        <w:tc>
          <w:tcPr>
            <w:tcW w:w="8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100.0%</w:t>
            </w: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(223,107)</w:t>
            </w: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(12.7%)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Segment expenses:</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20" w:type="dxa"/>
            <w:vAlign w:val="bottom"/>
          </w:tcPr>
          <w:p>
            <w:pPr>
              <w:ind w:left="220"/>
              <w:spacing w:after="0" w:line="162" w:lineRule="exact"/>
              <w:rPr>
                <w:sz w:val="20"/>
                <w:szCs w:val="20"/>
                <w:color w:val="auto"/>
              </w:rPr>
            </w:pPr>
            <w:r>
              <w:rPr>
                <w:rFonts w:ascii="Arial" w:cs="Arial" w:eastAsia="Arial" w:hAnsi="Arial"/>
                <w:sz w:val="13"/>
                <w:szCs w:val="13"/>
                <w:color w:val="auto"/>
              </w:rPr>
              <w:t>Adjusted costs applicable to revenue</w:t>
            </w:r>
            <w:r>
              <w:rPr>
                <w:rFonts w:ascii="Arial" w:cs="Arial" w:eastAsia="Arial" w:hAnsi="Arial"/>
                <w:sz w:val="18"/>
                <w:szCs w:val="18"/>
                <w:color w:val="auto"/>
                <w:vertAlign w:val="superscript"/>
              </w:rPr>
              <w:t>(2)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1,129,692</w:t>
            </w:r>
          </w:p>
        </w:tc>
        <w:tc>
          <w:tcPr>
            <w:tcW w:w="8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73.6%</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1,266,227</w:t>
            </w:r>
          </w:p>
        </w:tc>
        <w:tc>
          <w:tcPr>
            <w:tcW w:w="8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72.1%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136,535</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10.8%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20" w:type="dxa"/>
            <w:vAlign w:val="bottom"/>
            <w:shd w:val="clear" w:color="auto" w:fill="CCEEFF"/>
          </w:tcPr>
          <w:p>
            <w:pPr>
              <w:ind w:left="220"/>
              <w:spacing w:after="0" w:line="162" w:lineRule="exact"/>
              <w:rPr>
                <w:sz w:val="20"/>
                <w:szCs w:val="20"/>
                <w:color w:val="auto"/>
              </w:rPr>
            </w:pPr>
            <w:r>
              <w:rPr>
                <w:rFonts w:ascii="Arial" w:cs="Arial" w:eastAsia="Arial" w:hAnsi="Arial"/>
                <w:sz w:val="13"/>
                <w:szCs w:val="13"/>
                <w:color w:val="auto"/>
              </w:rPr>
              <w:t>Intersegment costs applicable to revenue</w:t>
            </w:r>
            <w:r>
              <w:rPr>
                <w:rFonts w:ascii="Arial" w:cs="Arial" w:eastAsia="Arial" w:hAnsi="Arial"/>
                <w:sz w:val="18"/>
                <w:szCs w:val="18"/>
                <w:color w:val="auto"/>
                <w:vertAlign w:val="superscript"/>
              </w:rPr>
              <w:t>(3)</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2,397</w:t>
            </w: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3,327</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930</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28.0%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20" w:type="dxa"/>
            <w:vAlign w:val="bottom"/>
          </w:tcPr>
          <w:p>
            <w:pPr>
              <w:ind w:left="220"/>
              <w:spacing w:after="0" w:line="162" w:lineRule="exact"/>
              <w:rPr>
                <w:sz w:val="20"/>
                <w:szCs w:val="20"/>
                <w:color w:val="auto"/>
              </w:rPr>
            </w:pPr>
            <w:r>
              <w:rPr>
                <w:rFonts w:ascii="Arial" w:cs="Arial" w:eastAsia="Arial" w:hAnsi="Arial"/>
                <w:sz w:val="13"/>
                <w:szCs w:val="13"/>
                <w:color w:val="auto"/>
              </w:rPr>
              <w:t>Adjusted selling, general, and administrative</w:t>
            </w:r>
            <w:r>
              <w:rPr>
                <w:rFonts w:ascii="Arial" w:cs="Arial" w:eastAsia="Arial" w:hAnsi="Arial"/>
                <w:sz w:val="18"/>
                <w:szCs w:val="18"/>
                <w:color w:val="auto"/>
                <w:vertAlign w:val="superscript"/>
              </w:rPr>
              <w:t>(4)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368,477</w:t>
            </w:r>
          </w:p>
        </w:tc>
        <w:tc>
          <w:tcPr>
            <w:tcW w:w="8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24.0%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392,346</w:t>
            </w:r>
          </w:p>
        </w:tc>
        <w:tc>
          <w:tcPr>
            <w:tcW w:w="8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22.3%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23,869</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6.1%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Floor plan interest expense</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15,159</w:t>
            </w: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18,061</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2,902</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20" w:type="dxa"/>
            <w:vAlign w:val="bottom"/>
          </w:tcPr>
          <w:p>
            <w:pPr>
              <w:ind w:left="220"/>
              <w:spacing w:after="0" w:line="162" w:lineRule="exact"/>
              <w:rPr>
                <w:sz w:val="20"/>
                <w:szCs w:val="20"/>
                <w:color w:val="auto"/>
              </w:rPr>
            </w:pPr>
            <w:r>
              <w:rPr>
                <w:rFonts w:ascii="Arial" w:cs="Arial" w:eastAsia="Arial" w:hAnsi="Arial"/>
                <w:sz w:val="13"/>
                <w:szCs w:val="13"/>
                <w:color w:val="auto"/>
              </w:rPr>
              <w:t>Other segment items</w:t>
            </w:r>
            <w:r>
              <w:rPr>
                <w:rFonts w:ascii="Arial" w:cs="Arial" w:eastAsia="Arial" w:hAnsi="Arial"/>
                <w:sz w:val="18"/>
                <w:szCs w:val="18"/>
                <w:color w:val="auto"/>
                <w:vertAlign w:val="superscript"/>
              </w:rPr>
              <w:t>(5)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97</w:t>
            </w:r>
          </w:p>
        </w:tc>
        <w:tc>
          <w:tcPr>
            <w:tcW w:w="8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0.0%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(9)</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(0.0%)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4"/>
                <w:szCs w:val="14"/>
                <w:color w:val="auto"/>
              </w:rPr>
              <w:t>(106)</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n/m</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020" w:type="dxa"/>
            <w:vAlign w:val="bottom"/>
            <w:tcBorders>
              <w:top w:val="single" w:sz="8" w:color="CCEEFF"/>
              <w:bottom w:val="single" w:sz="8" w:color="CCEEFF"/>
            </w:tcBorders>
            <w:shd w:val="clear" w:color="auto" w:fill="CCEEFF"/>
          </w:tcPr>
          <w:p>
            <w:pPr>
              <w:ind w:left="120"/>
              <w:spacing w:after="0" w:line="155" w:lineRule="exact"/>
              <w:rPr>
                <w:sz w:val="20"/>
                <w:szCs w:val="20"/>
                <w:color w:val="auto"/>
              </w:rPr>
            </w:pPr>
            <w:r>
              <w:rPr>
                <w:rFonts w:ascii="Arial" w:cs="Arial" w:eastAsia="Arial" w:hAnsi="Arial"/>
                <w:sz w:val="14"/>
                <w:szCs w:val="14"/>
                <w:color w:val="auto"/>
              </w:rPr>
              <w:t>Segment Adjusted EBITDA</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18,182</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5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1.2%</w:t>
            </w: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77,159</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6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4.4%</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(58,977)</w:t>
            </w: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5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(76.4%)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ind w:left="380" w:hanging="330"/>
        <w:spacing w:after="0"/>
        <w:tabs>
          <w:tab w:leader="none" w:pos="380" w:val="left"/>
        </w:tabs>
        <w:numPr>
          <w:ilvl w:val="0"/>
          <w:numId w:val="27"/>
        </w:numPr>
        <w:rPr>
          <w:rFonts w:ascii="Arial" w:cs="Arial" w:eastAsia="Arial" w:hAnsi="Arial"/>
          <w:sz w:val="22"/>
          <w:szCs w:val="22"/>
          <w:color w:val="auto"/>
          <w:vertAlign w:val="superscript"/>
        </w:rPr>
      </w:pPr>
      <w:r>
        <w:rPr>
          <w:rFonts w:ascii="Arial" w:cs="Arial" w:eastAsia="Arial" w:hAnsi="Arial"/>
          <w:sz w:val="14"/>
          <w:szCs w:val="14"/>
          <w:color w:val="auto"/>
        </w:rPr>
        <w:t>Intersegment revenue consists of segment revenue that is eliminated in our condensed consolidated statements of operations.</w:t>
      </w:r>
    </w:p>
    <w:p>
      <w:pPr>
        <w:spacing w:after="0" w:line="53" w:lineRule="exact"/>
        <w:rPr>
          <w:rFonts w:ascii="Arial" w:cs="Arial" w:eastAsia="Arial" w:hAnsi="Arial"/>
          <w:sz w:val="22"/>
          <w:szCs w:val="22"/>
          <w:color w:val="auto"/>
          <w:vertAlign w:val="superscript"/>
        </w:rPr>
      </w:pPr>
    </w:p>
    <w:p>
      <w:pPr>
        <w:ind w:left="380" w:hanging="330"/>
        <w:spacing w:after="0" w:line="183" w:lineRule="auto"/>
        <w:tabs>
          <w:tab w:leader="none" w:pos="380" w:val="left"/>
        </w:tabs>
        <w:numPr>
          <w:ilvl w:val="0"/>
          <w:numId w:val="27"/>
        </w:numPr>
        <w:rPr>
          <w:rFonts w:ascii="Arial" w:cs="Arial" w:eastAsia="Arial" w:hAnsi="Arial"/>
          <w:sz w:val="20"/>
          <w:szCs w:val="20"/>
          <w:color w:val="auto"/>
          <w:vertAlign w:val="superscript"/>
        </w:rPr>
      </w:pPr>
      <w:r>
        <w:rPr>
          <w:rFonts w:ascii="Arial" w:cs="Arial" w:eastAsia="Arial" w:hAnsi="Arial"/>
          <w:sz w:val="14"/>
          <w:szCs w:val="14"/>
          <w:color w:val="auto"/>
        </w:rPr>
        <w:t>Adjusted costs applicable to revenue exclude SBC expense and intersegment costs applicable to revenue.</w:t>
      </w:r>
    </w:p>
    <w:p>
      <w:pPr>
        <w:spacing w:after="0" w:line="54" w:lineRule="exact"/>
        <w:rPr>
          <w:rFonts w:ascii="Arial" w:cs="Arial" w:eastAsia="Arial" w:hAnsi="Arial"/>
          <w:sz w:val="20"/>
          <w:szCs w:val="20"/>
          <w:color w:val="auto"/>
          <w:vertAlign w:val="superscript"/>
        </w:rPr>
      </w:pPr>
    </w:p>
    <w:p>
      <w:pPr>
        <w:ind w:left="380" w:right="159" w:hanging="330"/>
        <w:spacing w:after="0" w:line="196" w:lineRule="auto"/>
        <w:tabs>
          <w:tab w:leader="none" w:pos="380" w:val="left"/>
        </w:tabs>
        <w:numPr>
          <w:ilvl w:val="0"/>
          <w:numId w:val="27"/>
        </w:numPr>
        <w:rPr>
          <w:rFonts w:ascii="Arial" w:cs="Arial" w:eastAsia="Arial" w:hAnsi="Arial"/>
          <w:sz w:val="22"/>
          <w:szCs w:val="22"/>
          <w:color w:val="auto"/>
          <w:vertAlign w:val="superscript"/>
        </w:rPr>
      </w:pPr>
      <w:r>
        <w:rPr>
          <w:rFonts w:ascii="Arial" w:cs="Arial" w:eastAsia="Arial" w:hAnsi="Arial"/>
          <w:sz w:val="14"/>
          <w:szCs w:val="14"/>
          <w:color w:val="auto"/>
        </w:rPr>
        <w:t>Intersegment costs applicable to revenue consist of segment costs applicable to revenue that are eliminated in our condensed consolidated statements of operations.</w:t>
      </w:r>
    </w:p>
    <w:p>
      <w:pPr>
        <w:ind w:left="380" w:hanging="330"/>
        <w:spacing w:after="0" w:line="217" w:lineRule="auto"/>
        <w:tabs>
          <w:tab w:leader="none" w:pos="380" w:val="left"/>
        </w:tabs>
        <w:numPr>
          <w:ilvl w:val="0"/>
          <w:numId w:val="27"/>
        </w:numPr>
        <w:rPr>
          <w:rFonts w:ascii="Arial" w:cs="Arial" w:eastAsia="Arial" w:hAnsi="Arial"/>
          <w:sz w:val="22"/>
          <w:szCs w:val="22"/>
          <w:color w:val="auto"/>
          <w:vertAlign w:val="superscript"/>
        </w:rPr>
      </w:pPr>
      <w:r>
        <w:rPr>
          <w:rFonts w:ascii="Arial" w:cs="Arial" w:eastAsia="Arial" w:hAnsi="Arial"/>
          <w:sz w:val="14"/>
          <w:szCs w:val="14"/>
          <w:color w:val="auto"/>
        </w:rPr>
        <w:t>Adjusted selling, general, and administrative expenses exclude SBC expense and intersegment operating expenses.</w:t>
      </w:r>
    </w:p>
    <w:p>
      <w:pPr>
        <w:spacing w:after="0" w:line="54" w:lineRule="exact"/>
        <w:rPr>
          <w:rFonts w:ascii="Arial" w:cs="Arial" w:eastAsia="Arial" w:hAnsi="Arial"/>
          <w:sz w:val="22"/>
          <w:szCs w:val="22"/>
          <w:color w:val="auto"/>
          <w:vertAlign w:val="superscript"/>
        </w:rPr>
      </w:pPr>
    </w:p>
    <w:p>
      <w:pPr>
        <w:ind w:left="380" w:right="539" w:hanging="330"/>
        <w:spacing w:after="0" w:line="196" w:lineRule="auto"/>
        <w:tabs>
          <w:tab w:leader="none" w:pos="380" w:val="left"/>
        </w:tabs>
        <w:numPr>
          <w:ilvl w:val="0"/>
          <w:numId w:val="27"/>
        </w:numPr>
        <w:rPr>
          <w:rFonts w:ascii="Arial" w:cs="Arial" w:eastAsia="Arial" w:hAnsi="Arial"/>
          <w:sz w:val="22"/>
          <w:szCs w:val="22"/>
          <w:color w:val="auto"/>
          <w:vertAlign w:val="superscript"/>
        </w:rPr>
      </w:pPr>
      <w:r>
        <w:rPr>
          <w:rFonts w:ascii="Arial" w:cs="Arial" w:eastAsia="Arial" w:hAnsi="Arial"/>
          <w:sz w:val="14"/>
          <w:szCs w:val="14"/>
          <w:color w:val="auto"/>
        </w:rPr>
        <w:t>Other segment items include (i) intersegment operating expenses, which are eliminated in our condensed consolidated statements of operations, and (ii) other expense, net excluding loss and/or impairment on investments in equity securities.</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5" w:name="page46"/>
    <w:bookmarkEnd w:id="4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Good Sam Services and Plans Segment</w:t>
      </w:r>
    </w:p>
    <w:p>
      <w:pPr>
        <w:spacing w:after="0" w:line="104"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See the “Revenue and Gross Profit” section above for a discussion of impacts to revenue for Good Sam Services and Plans. Adjusted costs applicable to segment revenues reflected reduced claims costs for the roadside assistance programs. The adjusted selling, general, and administrative expenses increased primarily from increased marketing consulting expenses. The Good Sam Services and Plans Segment Adjusted EBITDA decrease was driven primarily by reduced revenue discussed above and additional adjusted selling, general and administrative expenses, partially offset by a decrease in adjusted costs applicable to revenue. Intersegment revenue and intersegment costs applicable to revenue did not have a significant impact on the decrease in Segment Adjusted EBITDA.</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RV and Outdoor Retail Segment</w:t>
      </w:r>
    </w:p>
    <w:p>
      <w:pPr>
        <w:spacing w:after="0" w:line="104"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See the “Revenue and Gross Profit” section above for a discussion of impacts to revenue for RV and Outdoor Retail and “Floor plan interest expense” section above for a discussion of the decrease in floor plan interest expense. Adjusted costs applicable to segment revenue decreased primarily due to the 17.1% lower total unit sales, as discussed above, partially offset by a 4.8% higher cost per vehicle unit sold. Adjusted selling, general, and administrative expense decreased primarily due to $26.2 million of reduced employee cash compensation expense excluding commissions and $2.3 million of reduced commissions, partially offset by $2.4 million of increased rent expense and $1.9 million of increased advertising expenses. The RV and Outdoor Retail Segment Adjusted EBITDA decreased primarily from the decrease in revenue discussed above, partially offset by reduced adjusted costs applicable to segment revenue, reduced adjusted selling, general, and administrative expense and reduced floor plan interest expense. Intersegment revenue and intersegment costs applicable to revenue did not have a significant impact on the decrease in Segment Adjusted EBITDA.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6" w:name="page47"/>
    <w:bookmarkEnd w:id="4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10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Nine Months Ended September 30, 2026 Compared to Nine Months Ended September 30, 2025</w:t>
      </w:r>
    </w:p>
    <w:p>
      <w:pPr>
        <w:spacing w:after="0" w:line="10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Unless otherwise indicated, all financial comparisons in this section of Results of Operations compare our financial results for the nine months ended September 30, 2026 to our financial results from the nine months ended September 30, 2025. The following table sets forth information comparing the components of net (loss) income for the nine months ended September 30, 2026 and 2025:</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145"/>
        </w:trPr>
        <w:tc>
          <w:tcPr>
            <w:tcW w:w="3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6"/>
          </w:tcPr>
          <w:p>
            <w:pPr>
              <w:jc w:val="right"/>
              <w:ind w:right="380"/>
              <w:spacing w:after="0"/>
              <w:rPr>
                <w:sz w:val="20"/>
                <w:szCs w:val="20"/>
                <w:color w:val="auto"/>
              </w:rPr>
            </w:pPr>
            <w:r>
              <w:rPr>
                <w:rFonts w:ascii="Arial" w:cs="Arial" w:eastAsia="Arial" w:hAnsi="Arial"/>
                <w:sz w:val="12"/>
                <w:szCs w:val="12"/>
                <w:b w:val="1"/>
                <w:bCs w:val="1"/>
                <w:color w:val="auto"/>
              </w:rPr>
              <w:t>Nine Months Ended</w:t>
            </w: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5"/>
          </w:tcPr>
          <w:p>
            <w:pPr>
              <w:ind w:left="140"/>
              <w:spacing w:after="0" w:line="129" w:lineRule="exact"/>
              <w:rPr>
                <w:sz w:val="20"/>
                <w:szCs w:val="20"/>
                <w:color w:val="auto"/>
              </w:rPr>
            </w:pPr>
            <w:r>
              <w:rPr>
                <w:rFonts w:ascii="Arial" w:cs="Arial" w:eastAsia="Arial" w:hAnsi="Arial"/>
                <w:sz w:val="12"/>
                <w:szCs w:val="12"/>
                <w:b w:val="1"/>
                <w:bCs w:val="1"/>
                <w:color w:val="auto"/>
              </w:rPr>
              <w:t>September 30, 2026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gridSpan w:val="4"/>
          </w:tcPr>
          <w:p>
            <w:pPr>
              <w:jc w:val="right"/>
              <w:ind w:right="169"/>
              <w:spacing w:after="0" w:line="129" w:lineRule="exact"/>
              <w:rPr>
                <w:sz w:val="20"/>
                <w:szCs w:val="20"/>
                <w:color w:val="auto"/>
              </w:rPr>
            </w:pPr>
            <w:r>
              <w:rPr>
                <w:rFonts w:ascii="Arial" w:cs="Arial" w:eastAsia="Arial" w:hAnsi="Arial"/>
                <w:sz w:val="12"/>
                <w:szCs w:val="12"/>
                <w:b w:val="1"/>
                <w:bCs w:val="1"/>
                <w:color w:val="auto"/>
              </w:rPr>
              <w:t>September 30, 2025</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60" w:type="dxa"/>
            <w:vAlign w:val="bottom"/>
            <w:gridSpan w:val="5"/>
            <w:vMerge w:val="restart"/>
          </w:tcPr>
          <w:p>
            <w:pPr>
              <w:jc w:val="right"/>
              <w:ind w:right="8"/>
              <w:spacing w:after="0"/>
              <w:rPr>
                <w:sz w:val="20"/>
                <w:szCs w:val="20"/>
                <w:color w:val="auto"/>
              </w:rPr>
            </w:pPr>
            <w:r>
              <w:rPr>
                <w:rFonts w:ascii="Arial" w:cs="Arial" w:eastAsia="Arial" w:hAnsi="Arial"/>
                <w:sz w:val="12"/>
                <w:szCs w:val="12"/>
                <w:b w:val="1"/>
                <w:bCs w:val="1"/>
                <w:color w:val="auto"/>
                <w:w w:val="96"/>
              </w:rPr>
              <w:t>Favorable/ (Unfavorable)</w:t>
            </w: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2"/>
                <w:szCs w:val="12"/>
                <w:b w:val="1"/>
                <w:bCs w:val="1"/>
                <w:color w:val="auto"/>
                <w:w w:val="95"/>
              </w:rPr>
              <w:t>Percent of</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2"/>
                <w:szCs w:val="12"/>
                <w:b w:val="1"/>
                <w:bCs w:val="1"/>
                <w:color w:val="auto"/>
                <w:w w:val="95"/>
              </w:rPr>
              <w:t>Percent of</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gridSpan w:val="5"/>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880" w:type="dxa"/>
            <w:vAlign w:val="bottom"/>
            <w:gridSpan w:val="2"/>
          </w:tcPr>
          <w:p>
            <w:pPr>
              <w:ind w:left="20"/>
              <w:spacing w:after="0"/>
              <w:rPr>
                <w:sz w:val="20"/>
                <w:szCs w:val="20"/>
                <w:color w:val="auto"/>
              </w:rPr>
            </w:pPr>
            <w:r>
              <w:rPr>
                <w:rFonts w:ascii="Arial" w:cs="Arial" w:eastAsia="Arial" w:hAnsi="Arial"/>
                <w:sz w:val="11"/>
                <w:szCs w:val="11"/>
                <w:color w:val="auto"/>
              </w:rPr>
              <w:t>($ in thousands)</w:t>
            </w:r>
          </w:p>
        </w:tc>
        <w:tc>
          <w:tcPr>
            <w:tcW w:w="200" w:type="dxa"/>
            <w:vAlign w:val="bottom"/>
            <w:gridSpan w:val="2"/>
          </w:tcPr>
          <w:p>
            <w:pPr>
              <w:jc w:val="right"/>
              <w:ind w:right="8"/>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220"/>
              <w:spacing w:after="0" w:line="129" w:lineRule="exact"/>
              <w:rPr>
                <w:sz w:val="20"/>
                <w:szCs w:val="20"/>
                <w:color w:val="auto"/>
              </w:rPr>
            </w:pPr>
            <w:r>
              <w:rPr>
                <w:rFonts w:ascii="Arial" w:cs="Arial" w:eastAsia="Arial" w:hAnsi="Arial"/>
                <w:sz w:val="12"/>
                <w:szCs w:val="12"/>
                <w:b w:val="1"/>
                <w:bCs w:val="1"/>
                <w:color w:val="auto"/>
              </w:rPr>
              <w:t>Amount</w:t>
            </w:r>
          </w:p>
        </w:tc>
        <w:tc>
          <w:tcPr>
            <w:tcW w:w="720" w:type="dxa"/>
            <w:vAlign w:val="bottom"/>
            <w:gridSpan w:val="3"/>
          </w:tcPr>
          <w:p>
            <w:pPr>
              <w:ind w:left="20"/>
              <w:spacing w:after="0" w:line="129" w:lineRule="exact"/>
              <w:rPr>
                <w:sz w:val="20"/>
                <w:szCs w:val="20"/>
                <w:color w:val="auto"/>
              </w:rPr>
            </w:pPr>
            <w:r>
              <w:rPr>
                <w:rFonts w:ascii="Arial" w:cs="Arial" w:eastAsia="Arial" w:hAnsi="Arial"/>
                <w:sz w:val="12"/>
                <w:szCs w:val="12"/>
                <w:color w:val="auto"/>
              </w:rPr>
              <w:t xml:space="preserve">​​​ </w:t>
            </w:r>
            <w:r>
              <w:rPr>
                <w:rFonts w:ascii="Arial" w:cs="Arial" w:eastAsia="Arial" w:hAnsi="Arial"/>
                <w:sz w:val="12"/>
                <w:szCs w:val="12"/>
                <w:b w:val="1"/>
                <w:bCs w:val="1"/>
                <w:color w:val="auto"/>
              </w:rPr>
              <w:t>Revenue</w:t>
            </w:r>
          </w:p>
        </w:tc>
        <w:tc>
          <w:tcPr>
            <w:tcW w:w="220" w:type="dxa"/>
            <w:vAlign w:val="bottom"/>
            <w:gridSpan w:val="2"/>
          </w:tcPr>
          <w:p>
            <w:pPr>
              <w:jc w:val="right"/>
              <w:ind w:right="8"/>
              <w:spacing w:after="0" w:line="129" w:lineRule="exact"/>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220"/>
              <w:spacing w:after="0" w:line="129" w:lineRule="exact"/>
              <w:rPr>
                <w:sz w:val="20"/>
                <w:szCs w:val="20"/>
                <w:color w:val="auto"/>
              </w:rPr>
            </w:pPr>
            <w:r>
              <w:rPr>
                <w:rFonts w:ascii="Arial" w:cs="Arial" w:eastAsia="Arial" w:hAnsi="Arial"/>
                <w:sz w:val="12"/>
                <w:szCs w:val="12"/>
                <w:b w:val="1"/>
                <w:bCs w:val="1"/>
                <w:color w:val="auto"/>
              </w:rPr>
              <w:t>Amount</w:t>
            </w:r>
          </w:p>
        </w:tc>
        <w:tc>
          <w:tcPr>
            <w:tcW w:w="740" w:type="dxa"/>
            <w:vAlign w:val="bottom"/>
            <w:gridSpan w:val="3"/>
          </w:tcPr>
          <w:p>
            <w:pPr>
              <w:ind w:left="40"/>
              <w:spacing w:after="0" w:line="129" w:lineRule="exact"/>
              <w:rPr>
                <w:sz w:val="20"/>
                <w:szCs w:val="20"/>
                <w:color w:val="auto"/>
              </w:rPr>
            </w:pPr>
            <w:r>
              <w:rPr>
                <w:rFonts w:ascii="Arial" w:cs="Arial" w:eastAsia="Arial" w:hAnsi="Arial"/>
                <w:sz w:val="12"/>
                <w:szCs w:val="12"/>
                <w:color w:val="auto"/>
              </w:rPr>
              <w:t xml:space="preserve">​​​ </w:t>
            </w:r>
            <w:r>
              <w:rPr>
                <w:rFonts w:ascii="Arial" w:cs="Arial" w:eastAsia="Arial" w:hAnsi="Arial"/>
                <w:sz w:val="12"/>
                <w:szCs w:val="12"/>
                <w:b w:val="1"/>
                <w:bCs w:val="1"/>
                <w:color w:val="auto"/>
              </w:rPr>
              <w:t>Revenue</w:t>
            </w:r>
          </w:p>
        </w:tc>
        <w:tc>
          <w:tcPr>
            <w:tcW w:w="180" w:type="dxa"/>
            <w:vAlign w:val="bottom"/>
            <w:gridSpan w:val="2"/>
          </w:tcPr>
          <w:p>
            <w:pPr>
              <w:jc w:val="right"/>
              <w:spacing w:after="0" w:line="129" w:lineRule="exact"/>
              <w:rPr>
                <w:sz w:val="20"/>
                <w:szCs w:val="20"/>
                <w:color w:val="auto"/>
              </w:rPr>
            </w:pPr>
            <w:r>
              <w:rPr>
                <w:rFonts w:ascii="Arial" w:cs="Arial" w:eastAsia="Arial" w:hAnsi="Arial"/>
                <w:sz w:val="12"/>
                <w:szCs w:val="12"/>
                <w:color w:val="auto"/>
              </w:rPr>
              <w:t>​​​</w:t>
            </w:r>
          </w:p>
        </w:tc>
        <w:tc>
          <w:tcPr>
            <w:tcW w:w="660" w:type="dxa"/>
            <w:vAlign w:val="bottom"/>
          </w:tcPr>
          <w:p>
            <w:pPr>
              <w:jc w:val="right"/>
              <w:ind w:right="269"/>
              <w:spacing w:after="0" w:line="129" w:lineRule="exact"/>
              <w:rPr>
                <w:sz w:val="20"/>
                <w:szCs w:val="20"/>
                <w:color w:val="auto"/>
              </w:rPr>
            </w:pPr>
            <w:r>
              <w:rPr>
                <w:rFonts w:ascii="Arial" w:cs="Arial" w:eastAsia="Arial" w:hAnsi="Arial"/>
                <w:sz w:val="12"/>
                <w:szCs w:val="12"/>
                <w:b w:val="1"/>
                <w:bCs w:val="1"/>
                <w:color w:val="auto"/>
              </w:rPr>
              <w:t>$</w:t>
            </w:r>
          </w:p>
        </w:tc>
        <w:tc>
          <w:tcPr>
            <w:tcW w:w="40" w:type="dxa"/>
            <w:vAlign w:val="bottom"/>
          </w:tcPr>
          <w:p>
            <w:pPr>
              <w:spacing w:after="0"/>
              <w:rPr>
                <w:sz w:val="11"/>
                <w:szCs w:val="11"/>
                <w:color w:val="auto"/>
              </w:rPr>
            </w:pPr>
          </w:p>
        </w:tc>
        <w:tc>
          <w:tcPr>
            <w:tcW w:w="160" w:type="dxa"/>
            <w:vAlign w:val="bottom"/>
            <w:gridSpan w:val="2"/>
          </w:tcPr>
          <w:p>
            <w:pPr>
              <w:ind w:left="40"/>
              <w:spacing w:after="0" w:line="129" w:lineRule="exact"/>
              <w:rPr>
                <w:sz w:val="20"/>
                <w:szCs w:val="20"/>
                <w:color w:val="auto"/>
              </w:rPr>
            </w:pPr>
            <w:r>
              <w:rPr>
                <w:rFonts w:ascii="Arial" w:cs="Arial" w:eastAsia="Arial" w:hAnsi="Arial"/>
                <w:sz w:val="12"/>
                <w:szCs w:val="12"/>
                <w:color w:val="auto"/>
              </w:rPr>
              <w:t>​​​</w:t>
            </w:r>
          </w:p>
        </w:tc>
        <w:tc>
          <w:tcPr>
            <w:tcW w:w="600" w:type="dxa"/>
            <w:vAlign w:val="bottom"/>
          </w:tcPr>
          <w:p>
            <w:pPr>
              <w:jc w:val="right"/>
              <w:ind w:right="208"/>
              <w:spacing w:after="0" w:line="129" w:lineRule="exact"/>
              <w:rPr>
                <w:sz w:val="20"/>
                <w:szCs w:val="20"/>
                <w:color w:val="auto"/>
              </w:rPr>
            </w:pPr>
            <w:r>
              <w:rPr>
                <w:rFonts w:ascii="Arial" w:cs="Arial" w:eastAsia="Arial" w:hAnsi="Arial"/>
                <w:sz w:val="12"/>
                <w:szCs w:val="12"/>
                <w:b w:val="1"/>
                <w:bCs w:val="1"/>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3860" w:type="dxa"/>
            <w:vAlign w:val="bottom"/>
            <w:tcBorders>
              <w:top w:val="single" w:sz="8" w:color="auto"/>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Revenue:</w:t>
            </w: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80" w:type="dxa"/>
            <w:vAlign w:val="bottom"/>
            <w:gridSpan w:val="2"/>
          </w:tcPr>
          <w:p>
            <w:pPr>
              <w:ind w:left="120"/>
              <w:spacing w:after="0"/>
              <w:rPr>
                <w:sz w:val="20"/>
                <w:szCs w:val="20"/>
                <w:color w:val="auto"/>
              </w:rPr>
            </w:pPr>
            <w:r>
              <w:rPr>
                <w:rFonts w:ascii="Arial" w:cs="Arial" w:eastAsia="Arial" w:hAnsi="Arial"/>
                <w:sz w:val="14"/>
                <w:szCs w:val="14"/>
                <w:color w:val="auto"/>
              </w:rPr>
              <w:t>Good Sam Services and Plans</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153,153</w:t>
            </w:r>
          </w:p>
        </w:tc>
        <w:tc>
          <w:tcPr>
            <w:tcW w:w="4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3.1%</w:t>
            </w:r>
          </w:p>
        </w:tc>
        <w:tc>
          <w:tcPr>
            <w:tcW w:w="20" w:type="dxa"/>
            <w:vAlign w:val="bottom"/>
          </w:tcPr>
          <w:p>
            <w:pPr>
              <w:spacing w:after="0"/>
              <w:rPr>
                <w:sz w:val="14"/>
                <w:szCs w:val="14"/>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152,929</w:t>
            </w:r>
          </w:p>
        </w:tc>
        <w:tc>
          <w:tcPr>
            <w:tcW w:w="4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2.9%</w:t>
            </w:r>
          </w:p>
        </w:tc>
        <w:tc>
          <w:tcPr>
            <w:tcW w:w="4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224</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RV and Outdoor Retail:</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80" w:type="dxa"/>
            <w:vAlign w:val="bottom"/>
            <w:gridSpan w:val="2"/>
          </w:tcPr>
          <w:p>
            <w:pPr>
              <w:ind w:left="220"/>
              <w:spacing w:after="0"/>
              <w:rPr>
                <w:sz w:val="20"/>
                <w:szCs w:val="20"/>
                <w:color w:val="auto"/>
              </w:rPr>
            </w:pPr>
            <w:r>
              <w:rPr>
                <w:rFonts w:ascii="Arial" w:cs="Arial" w:eastAsia="Arial" w:hAnsi="Arial"/>
                <w:sz w:val="14"/>
                <w:szCs w:val="14"/>
                <w:color w:val="auto"/>
              </w:rPr>
              <w:t>New vehicles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2,095,644</w:t>
            </w:r>
          </w:p>
        </w:tc>
        <w:tc>
          <w:tcPr>
            <w:tcW w:w="4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43.0%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2,303,317</w:t>
            </w:r>
          </w:p>
        </w:tc>
        <w:tc>
          <w:tcPr>
            <w:tcW w:w="4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44.3%</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(207,673)</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Used vehicles</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1,502,592</w:t>
            </w:r>
          </w:p>
        </w:tc>
        <w:tc>
          <w:tcPr>
            <w:tcW w:w="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30.8%</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1,583,714</w:t>
            </w:r>
          </w:p>
        </w:tc>
        <w:tc>
          <w:tcPr>
            <w:tcW w:w="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30.5%</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(81,122)</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80" w:type="dxa"/>
            <w:vAlign w:val="bottom"/>
            <w:gridSpan w:val="2"/>
          </w:tcPr>
          <w:p>
            <w:pPr>
              <w:ind w:left="220"/>
              <w:spacing w:after="0"/>
              <w:rPr>
                <w:sz w:val="20"/>
                <w:szCs w:val="20"/>
                <w:color w:val="auto"/>
              </w:rPr>
            </w:pPr>
            <w:r>
              <w:rPr>
                <w:rFonts w:ascii="Arial" w:cs="Arial" w:eastAsia="Arial" w:hAnsi="Arial"/>
                <w:sz w:val="14"/>
                <w:szCs w:val="14"/>
                <w:color w:val="auto"/>
              </w:rPr>
              <w:t>Products, service and other</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584,976</w:t>
            </w:r>
          </w:p>
        </w:tc>
        <w:tc>
          <w:tcPr>
            <w:tcW w:w="4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12.0%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596,516</w:t>
            </w:r>
          </w:p>
        </w:tc>
        <w:tc>
          <w:tcPr>
            <w:tcW w:w="4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11.5%</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(11,540)</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Finance and insurance, net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495,256</w:t>
            </w:r>
          </w:p>
        </w:tc>
        <w:tc>
          <w:tcPr>
            <w:tcW w:w="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528,162</w:t>
            </w:r>
          </w:p>
        </w:tc>
        <w:tc>
          <w:tcPr>
            <w:tcW w:w="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(32,906)</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80" w:type="dxa"/>
            <w:vAlign w:val="bottom"/>
            <w:gridSpan w:val="2"/>
          </w:tcPr>
          <w:p>
            <w:pPr>
              <w:ind w:left="220"/>
              <w:spacing w:after="0"/>
              <w:rPr>
                <w:sz w:val="20"/>
                <w:szCs w:val="20"/>
                <w:color w:val="auto"/>
              </w:rPr>
            </w:pPr>
            <w:r>
              <w:rPr>
                <w:rFonts w:ascii="Arial" w:cs="Arial" w:eastAsia="Arial" w:hAnsi="Arial"/>
                <w:sz w:val="14"/>
                <w:szCs w:val="14"/>
                <w:color w:val="auto"/>
              </w:rPr>
              <w:t>Good Sam Club</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39,933</w:t>
            </w:r>
          </w:p>
        </w:tc>
        <w:tc>
          <w:tcPr>
            <w:tcW w:w="4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0.8%</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30,952</w:t>
            </w:r>
          </w:p>
        </w:tc>
        <w:tc>
          <w:tcPr>
            <w:tcW w:w="4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0.6%</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8,981</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29.0%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880" w:type="dxa"/>
            <w:vAlign w:val="bottom"/>
            <w:tcBorders>
              <w:top w:val="single" w:sz="8" w:color="CCEEFF"/>
            </w:tcBorders>
            <w:gridSpan w:val="2"/>
            <w:shd w:val="clear" w:color="auto" w:fill="CCEEFF"/>
          </w:tcPr>
          <w:p>
            <w:pPr>
              <w:ind w:left="220"/>
              <w:spacing w:after="0" w:line="155" w:lineRule="exact"/>
              <w:rPr>
                <w:sz w:val="20"/>
                <w:szCs w:val="20"/>
                <w:color w:val="auto"/>
              </w:rPr>
            </w:pPr>
            <w:r>
              <w:rPr>
                <w:rFonts w:ascii="Arial" w:cs="Arial" w:eastAsia="Arial" w:hAnsi="Arial"/>
                <w:sz w:val="14"/>
                <w:szCs w:val="14"/>
                <w:color w:val="auto"/>
              </w:rPr>
              <w:t>Subtotal</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4,718,401</w:t>
            </w: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96.9%</w:t>
            </w: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7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5,042,661</w:t>
            </w: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97.1%</w:t>
            </w: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(324,260)</w:t>
            </w: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bottom w:val="single" w:sz="8" w:color="auto"/>
            </w:tcBorders>
            <w:shd w:val="clear" w:color="auto" w:fill="CCEEFF"/>
          </w:tcPr>
          <w:p>
            <w:pPr>
              <w:spacing w:after="0"/>
              <w:rPr>
                <w:sz w:val="13"/>
                <w:szCs w:val="13"/>
                <w:color w:val="auto"/>
              </w:rPr>
            </w:pPr>
          </w:p>
        </w:tc>
        <w:tc>
          <w:tcPr>
            <w:tcW w:w="6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88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Total revenue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4,871,554</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100.0%</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5,195,590</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100.0%</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(324,036)</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(6.2%)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88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Gross profit (exclusive of depreciation and amortization</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880" w:type="dxa"/>
            <w:vAlign w:val="bottom"/>
            <w:gridSpan w:val="2"/>
          </w:tcPr>
          <w:p>
            <w:pPr>
              <w:ind w:left="20"/>
              <w:spacing w:after="0"/>
              <w:rPr>
                <w:sz w:val="20"/>
                <w:szCs w:val="20"/>
                <w:color w:val="auto"/>
              </w:rPr>
            </w:pPr>
            <w:r>
              <w:rPr>
                <w:rFonts w:ascii="Arial" w:cs="Arial" w:eastAsia="Arial" w:hAnsi="Arial"/>
                <w:sz w:val="14"/>
                <w:szCs w:val="14"/>
                <w:color w:val="auto"/>
              </w:rPr>
              <w:t>shown separately below):</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Good Sam Services and Plans</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94,484</w:t>
            </w:r>
          </w:p>
        </w:tc>
        <w:tc>
          <w:tcPr>
            <w:tcW w:w="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90,489</w:t>
            </w:r>
          </w:p>
        </w:tc>
        <w:tc>
          <w:tcPr>
            <w:tcW w:w="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3,995</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80" w:type="dxa"/>
            <w:vAlign w:val="bottom"/>
            <w:gridSpan w:val="2"/>
          </w:tcPr>
          <w:p>
            <w:pPr>
              <w:ind w:left="120"/>
              <w:spacing w:after="0"/>
              <w:rPr>
                <w:sz w:val="20"/>
                <w:szCs w:val="20"/>
                <w:color w:val="auto"/>
              </w:rPr>
            </w:pPr>
            <w:r>
              <w:rPr>
                <w:rFonts w:ascii="Arial" w:cs="Arial" w:eastAsia="Arial" w:hAnsi="Arial"/>
                <w:sz w:val="14"/>
                <w:szCs w:val="14"/>
                <w:color w:val="auto"/>
              </w:rPr>
              <w:t>RV and Outdoor Retail:</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New vehicles</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231,853</w:t>
            </w:r>
          </w:p>
        </w:tc>
        <w:tc>
          <w:tcPr>
            <w:tcW w:w="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308,670</w:t>
            </w:r>
          </w:p>
        </w:tc>
        <w:tc>
          <w:tcPr>
            <w:tcW w:w="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(76,817)</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80" w:type="dxa"/>
            <w:vAlign w:val="bottom"/>
            <w:gridSpan w:val="2"/>
          </w:tcPr>
          <w:p>
            <w:pPr>
              <w:ind w:left="220"/>
              <w:spacing w:after="0"/>
              <w:rPr>
                <w:sz w:val="20"/>
                <w:szCs w:val="20"/>
                <w:color w:val="auto"/>
              </w:rPr>
            </w:pPr>
            <w:r>
              <w:rPr>
                <w:rFonts w:ascii="Arial" w:cs="Arial" w:eastAsia="Arial" w:hAnsi="Arial"/>
                <w:sz w:val="14"/>
                <w:szCs w:val="14"/>
                <w:color w:val="auto"/>
              </w:rPr>
              <w:t>Used vehicles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260,023</w:t>
            </w:r>
          </w:p>
        </w:tc>
        <w:tc>
          <w:tcPr>
            <w:tcW w:w="4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5.3%</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303,297</w:t>
            </w:r>
          </w:p>
        </w:tc>
        <w:tc>
          <w:tcPr>
            <w:tcW w:w="4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5.8%</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(43,274)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(14.3%)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Products, service and other</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258,450</w:t>
            </w:r>
          </w:p>
        </w:tc>
        <w:tc>
          <w:tcPr>
            <w:tcW w:w="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280,938</w:t>
            </w:r>
          </w:p>
        </w:tc>
        <w:tc>
          <w:tcPr>
            <w:tcW w:w="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(22,488)</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80" w:type="dxa"/>
            <w:vAlign w:val="bottom"/>
            <w:gridSpan w:val="2"/>
          </w:tcPr>
          <w:p>
            <w:pPr>
              <w:ind w:left="220"/>
              <w:spacing w:after="0"/>
              <w:rPr>
                <w:sz w:val="20"/>
                <w:szCs w:val="20"/>
                <w:color w:val="auto"/>
              </w:rPr>
            </w:pPr>
            <w:r>
              <w:rPr>
                <w:rFonts w:ascii="Arial" w:cs="Arial" w:eastAsia="Arial" w:hAnsi="Arial"/>
                <w:sz w:val="14"/>
                <w:szCs w:val="14"/>
                <w:color w:val="auto"/>
              </w:rPr>
              <w:t>Finance and insurance, net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495,256</w:t>
            </w:r>
          </w:p>
        </w:tc>
        <w:tc>
          <w:tcPr>
            <w:tcW w:w="4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10.2%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528,162</w:t>
            </w:r>
          </w:p>
        </w:tc>
        <w:tc>
          <w:tcPr>
            <w:tcW w:w="4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10.2%</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(32,906)</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Good Sam Club</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35,910</w:t>
            </w:r>
          </w:p>
        </w:tc>
        <w:tc>
          <w:tcPr>
            <w:tcW w:w="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27,360</w:t>
            </w:r>
          </w:p>
        </w:tc>
        <w:tc>
          <w:tcPr>
            <w:tcW w:w="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8,550</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880" w:type="dxa"/>
            <w:vAlign w:val="bottom"/>
            <w:tcBorders>
              <w:bottom w:val="single" w:sz="8" w:color="CCEEFF"/>
            </w:tcBorders>
            <w:gridSpan w:val="2"/>
          </w:tcPr>
          <w:p>
            <w:pPr>
              <w:ind w:left="220"/>
              <w:spacing w:after="0" w:line="155" w:lineRule="exact"/>
              <w:rPr>
                <w:sz w:val="20"/>
                <w:szCs w:val="20"/>
                <w:color w:val="auto"/>
              </w:rPr>
            </w:pPr>
            <w:r>
              <w:rPr>
                <w:rFonts w:ascii="Arial" w:cs="Arial" w:eastAsia="Arial" w:hAnsi="Arial"/>
                <w:sz w:val="14"/>
                <w:szCs w:val="14"/>
                <w:color w:val="auto"/>
              </w:rPr>
              <w:t>Subtotal</w:t>
            </w:r>
          </w:p>
        </w:tc>
        <w:tc>
          <w:tcPr>
            <w:tcW w:w="10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1,281,492</w:t>
            </w:r>
          </w:p>
        </w:tc>
        <w:tc>
          <w:tcPr>
            <w:tcW w:w="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26.3%</w:t>
            </w: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1,448,427</w:t>
            </w:r>
          </w:p>
        </w:tc>
        <w:tc>
          <w:tcPr>
            <w:tcW w:w="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27.9%</w:t>
            </w:r>
          </w:p>
        </w:tc>
        <w:tc>
          <w:tcPr>
            <w:tcW w:w="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(166,935)</w:t>
            </w:r>
          </w:p>
        </w:tc>
        <w:tc>
          <w:tcPr>
            <w:tcW w:w="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880" w:type="dxa"/>
            <w:vAlign w:val="bottom"/>
            <w:gridSpan w:val="2"/>
            <w:shd w:val="clear" w:color="auto" w:fill="CCEEFF"/>
          </w:tcPr>
          <w:p>
            <w:pPr>
              <w:ind w:left="20"/>
              <w:spacing w:after="0" w:line="155" w:lineRule="exact"/>
              <w:rPr>
                <w:sz w:val="20"/>
                <w:szCs w:val="20"/>
                <w:color w:val="auto"/>
              </w:rPr>
            </w:pPr>
            <w:r>
              <w:rPr>
                <w:rFonts w:ascii="Arial" w:cs="Arial" w:eastAsia="Arial" w:hAnsi="Arial"/>
                <w:sz w:val="14"/>
                <w:szCs w:val="14"/>
                <w:color w:val="auto"/>
              </w:rPr>
              <w:t>Total gross profit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1,375,976</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28.2%</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1,538,916</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29.6%</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(162,940)</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(10.6%)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80" w:type="dxa"/>
            <w:vAlign w:val="bottom"/>
            <w:gridSpan w:val="2"/>
          </w:tcPr>
          <w:p>
            <w:pPr>
              <w:ind w:left="220"/>
              <w:spacing w:after="0"/>
              <w:rPr>
                <w:sz w:val="20"/>
                <w:szCs w:val="20"/>
                <w:color w:val="auto"/>
              </w:rPr>
            </w:pPr>
            <w:r>
              <w:rPr>
                <w:rFonts w:ascii="Arial" w:cs="Arial" w:eastAsia="Arial" w:hAnsi="Arial"/>
                <w:sz w:val="14"/>
                <w:szCs w:val="14"/>
                <w:color w:val="auto"/>
              </w:rPr>
              <w:t>Selling, general and administrative expenses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1,156,248</w:t>
            </w:r>
          </w:p>
        </w:tc>
        <w:tc>
          <w:tcPr>
            <w:tcW w:w="4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23.7%</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1,235,945</w:t>
            </w:r>
          </w:p>
        </w:tc>
        <w:tc>
          <w:tcPr>
            <w:tcW w:w="4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23.8%</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79,697</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Debt restructure expense</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510</w:t>
            </w:r>
          </w:p>
        </w:tc>
        <w:tc>
          <w:tcPr>
            <w:tcW w:w="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(510)</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n/m</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80" w:type="dxa"/>
            <w:vAlign w:val="bottom"/>
            <w:gridSpan w:val="2"/>
          </w:tcPr>
          <w:p>
            <w:pPr>
              <w:ind w:left="220"/>
              <w:spacing w:after="0"/>
              <w:rPr>
                <w:sz w:val="20"/>
                <w:szCs w:val="20"/>
                <w:color w:val="auto"/>
              </w:rPr>
            </w:pPr>
            <w:r>
              <w:rPr>
                <w:rFonts w:ascii="Arial" w:cs="Arial" w:eastAsia="Arial" w:hAnsi="Arial"/>
                <w:sz w:val="14"/>
                <w:szCs w:val="14"/>
                <w:color w:val="auto"/>
              </w:rPr>
              <w:t>Depreciation and amortization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74,319</w:t>
            </w:r>
          </w:p>
        </w:tc>
        <w:tc>
          <w:tcPr>
            <w:tcW w:w="4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1.5%</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71,617</w:t>
            </w:r>
          </w:p>
        </w:tc>
        <w:tc>
          <w:tcPr>
            <w:tcW w:w="4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1.4%</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(2,702)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Goodwill impairment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286,748</w:t>
            </w:r>
          </w:p>
        </w:tc>
        <w:tc>
          <w:tcPr>
            <w:tcW w:w="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(286,748)</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n/m</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80" w:type="dxa"/>
            <w:vAlign w:val="bottom"/>
            <w:gridSpan w:val="2"/>
          </w:tcPr>
          <w:p>
            <w:pPr>
              <w:ind w:left="220"/>
              <w:spacing w:after="0"/>
              <w:rPr>
                <w:sz w:val="20"/>
                <w:szCs w:val="20"/>
                <w:color w:val="auto"/>
              </w:rPr>
            </w:pPr>
            <w:r>
              <w:rPr>
                <w:rFonts w:ascii="Arial" w:cs="Arial" w:eastAsia="Arial" w:hAnsi="Arial"/>
                <w:sz w:val="14"/>
                <w:szCs w:val="14"/>
                <w:color w:val="auto"/>
              </w:rPr>
              <w:t>Long-lived asset impairment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19,767</w:t>
            </w:r>
          </w:p>
        </w:tc>
        <w:tc>
          <w:tcPr>
            <w:tcW w:w="4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0.4%</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1,237</w:t>
            </w:r>
          </w:p>
        </w:tc>
        <w:tc>
          <w:tcPr>
            <w:tcW w:w="4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0.0%</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(18,530)</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n/m</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Loss (gain) on lease termination and/or remeasurement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(31)</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(138)</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n/m</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80" w:type="dxa"/>
            <w:vAlign w:val="bottom"/>
            <w:gridSpan w:val="2"/>
          </w:tcPr>
          <w:p>
            <w:pPr>
              <w:ind w:left="220"/>
              <w:spacing w:after="0"/>
              <w:rPr>
                <w:sz w:val="20"/>
                <w:szCs w:val="20"/>
                <w:color w:val="auto"/>
              </w:rPr>
            </w:pPr>
            <w:r>
              <w:rPr>
                <w:rFonts w:ascii="Arial" w:cs="Arial" w:eastAsia="Arial" w:hAnsi="Arial"/>
                <w:sz w:val="14"/>
                <w:szCs w:val="14"/>
                <w:color w:val="auto"/>
              </w:rPr>
              <w:t>Gain on sale or disposal of assets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(1,912)</w:t>
            </w:r>
          </w:p>
        </w:tc>
        <w:tc>
          <w:tcPr>
            <w:tcW w:w="720" w:type="dxa"/>
            <w:vAlign w:val="bottom"/>
            <w:gridSpan w:val="3"/>
          </w:tcPr>
          <w:p>
            <w:pPr>
              <w:jc w:val="right"/>
              <w:ind w:right="20"/>
              <w:spacing w:after="0"/>
              <w:rPr>
                <w:sz w:val="20"/>
                <w:szCs w:val="20"/>
                <w:color w:val="auto"/>
              </w:rPr>
            </w:pPr>
            <w:r>
              <w:rPr>
                <w:rFonts w:ascii="Arial" w:cs="Arial" w:eastAsia="Arial" w:hAnsi="Arial"/>
                <w:sz w:val="14"/>
                <w:szCs w:val="14"/>
                <w:color w:val="auto"/>
              </w:rPr>
              <w:t>(0.0%)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(104)</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(0.0%)</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1,808</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n/m</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880" w:type="dxa"/>
            <w:vAlign w:val="bottom"/>
            <w:tcBorders>
              <w:top w:val="single" w:sz="8" w:color="CCEEFF"/>
            </w:tcBorders>
            <w:gridSpan w:val="2"/>
            <w:shd w:val="clear" w:color="auto" w:fill="CCEEFF"/>
          </w:tcPr>
          <w:p>
            <w:pPr>
              <w:ind w:left="220"/>
              <w:spacing w:after="0" w:line="155" w:lineRule="exact"/>
              <w:rPr>
                <w:sz w:val="20"/>
                <w:szCs w:val="20"/>
                <w:color w:val="auto"/>
              </w:rPr>
            </w:pPr>
            <w:r>
              <w:rPr>
                <w:rFonts w:ascii="Arial" w:cs="Arial" w:eastAsia="Arial" w:hAnsi="Arial"/>
                <w:sz w:val="14"/>
                <w:szCs w:val="14"/>
                <w:color w:val="auto"/>
              </w:rPr>
              <w:t>Total operating expenses</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1,535,787</w:t>
            </w: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31.5%</w:t>
            </w: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7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1,308,664</w:t>
            </w: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25.2%</w:t>
            </w: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(227,123)</w:t>
            </w: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bottom w:val="single" w:sz="8" w:color="auto"/>
            </w:tcBorders>
            <w:shd w:val="clear" w:color="auto" w:fill="CCEEFF"/>
          </w:tcPr>
          <w:p>
            <w:pPr>
              <w:spacing w:after="0"/>
              <w:rPr>
                <w:sz w:val="13"/>
                <w:szCs w:val="13"/>
                <w:color w:val="auto"/>
              </w:rPr>
            </w:pPr>
          </w:p>
        </w:tc>
        <w:tc>
          <w:tcPr>
            <w:tcW w:w="6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(17.4%)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88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(Loss) income from operations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(159,811)</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(3.3%)</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230,252</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4.4%</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(390,063)</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n/m</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expense:</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80" w:type="dxa"/>
            <w:vAlign w:val="bottom"/>
            <w:gridSpan w:val="2"/>
          </w:tcPr>
          <w:p>
            <w:pPr>
              <w:ind w:left="120"/>
              <w:spacing w:after="0"/>
              <w:rPr>
                <w:sz w:val="20"/>
                <w:szCs w:val="20"/>
                <w:color w:val="auto"/>
              </w:rPr>
            </w:pPr>
            <w:r>
              <w:rPr>
                <w:rFonts w:ascii="Arial" w:cs="Arial" w:eastAsia="Arial" w:hAnsi="Arial"/>
                <w:sz w:val="14"/>
                <w:szCs w:val="14"/>
                <w:color w:val="auto"/>
              </w:rPr>
              <w:t>Floor plan interest expense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(56,830)</w:t>
            </w:r>
          </w:p>
        </w:tc>
        <w:tc>
          <w:tcPr>
            <w:tcW w:w="720" w:type="dxa"/>
            <w:vAlign w:val="bottom"/>
            <w:gridSpan w:val="3"/>
          </w:tcPr>
          <w:p>
            <w:pPr>
              <w:jc w:val="right"/>
              <w:ind w:right="20"/>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(57,356)</w:t>
            </w:r>
          </w:p>
        </w:tc>
        <w:tc>
          <w:tcPr>
            <w:tcW w:w="740" w:type="dxa"/>
            <w:vAlign w:val="bottom"/>
            <w:gridSpan w:val="3"/>
          </w:tcPr>
          <w:p>
            <w:pPr>
              <w:jc w:val="right"/>
              <w:ind w:right="40"/>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526</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Other interest expense, net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(81,170)</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(92,349)</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11,179</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80" w:type="dxa"/>
            <w:vAlign w:val="bottom"/>
            <w:gridSpan w:val="2"/>
          </w:tcPr>
          <w:p>
            <w:pPr>
              <w:ind w:left="120"/>
              <w:spacing w:after="0"/>
              <w:rPr>
                <w:sz w:val="20"/>
                <w:szCs w:val="20"/>
                <w:color w:val="auto"/>
              </w:rPr>
            </w:pPr>
            <w:r>
              <w:rPr>
                <w:rFonts w:ascii="Arial" w:cs="Arial" w:eastAsia="Arial" w:hAnsi="Arial"/>
                <w:sz w:val="14"/>
                <w:szCs w:val="14"/>
                <w:color w:val="auto"/>
              </w:rPr>
              <w:t>Loss on debt restructure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(329)</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(0.0%)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(329)</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n/m</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Tax Receivable Agreement liability adjustment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149,172</w:t>
            </w:r>
          </w:p>
        </w:tc>
        <w:tc>
          <w:tcPr>
            <w:tcW w:w="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(149,172)</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80" w:type="dxa"/>
            <w:vAlign w:val="bottom"/>
            <w:gridSpan w:val="2"/>
          </w:tcPr>
          <w:p>
            <w:pPr>
              <w:ind w:left="120"/>
              <w:spacing w:after="0"/>
              <w:rPr>
                <w:sz w:val="20"/>
                <w:szCs w:val="20"/>
                <w:color w:val="auto"/>
              </w:rPr>
            </w:pPr>
            <w:r>
              <w:rPr>
                <w:rFonts w:ascii="Arial" w:cs="Arial" w:eastAsia="Arial" w:hAnsi="Arial"/>
                <w:sz w:val="14"/>
                <w:szCs w:val="14"/>
                <w:color w:val="auto"/>
              </w:rPr>
              <w:t>Other expense, net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(2,620)</w:t>
            </w:r>
          </w:p>
        </w:tc>
        <w:tc>
          <w:tcPr>
            <w:tcW w:w="720" w:type="dxa"/>
            <w:vAlign w:val="bottom"/>
            <w:gridSpan w:val="3"/>
          </w:tcPr>
          <w:p>
            <w:pPr>
              <w:jc w:val="right"/>
              <w:ind w:right="20"/>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(3,920)</w:t>
            </w:r>
          </w:p>
        </w:tc>
        <w:tc>
          <w:tcPr>
            <w:tcW w:w="740" w:type="dxa"/>
            <w:vAlign w:val="bottom"/>
            <w:gridSpan w:val="3"/>
          </w:tcPr>
          <w:p>
            <w:pPr>
              <w:jc w:val="right"/>
              <w:ind w:right="40"/>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1,300</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33.2%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880" w:type="dxa"/>
            <w:vAlign w:val="bottom"/>
            <w:tcBorders>
              <w:top w:val="single" w:sz="8" w:color="CCEEFF"/>
            </w:tcBorders>
            <w:gridSpan w:val="2"/>
            <w:shd w:val="clear" w:color="auto" w:fill="CCEEFF"/>
          </w:tcPr>
          <w:p>
            <w:pPr>
              <w:ind w:left="20"/>
              <w:spacing w:after="0" w:line="155" w:lineRule="exact"/>
              <w:rPr>
                <w:sz w:val="20"/>
                <w:szCs w:val="20"/>
                <w:color w:val="auto"/>
              </w:rPr>
            </w:pPr>
            <w:r>
              <w:rPr>
                <w:rFonts w:ascii="Arial" w:cs="Arial" w:eastAsia="Arial" w:hAnsi="Arial"/>
                <w:sz w:val="14"/>
                <w:szCs w:val="14"/>
                <w:color w:val="auto"/>
              </w:rPr>
              <w:t>Total other expense</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(140,949)</w:t>
            </w: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(2.9%)</w:t>
            </w: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7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(4,453)</w:t>
            </w: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(0.1%)</w:t>
            </w: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auto"/>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(136,496)</w:t>
            </w: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bottom w:val="single" w:sz="8" w:color="auto"/>
            </w:tcBorders>
            <w:shd w:val="clear" w:color="auto" w:fill="CCEEFF"/>
          </w:tcPr>
          <w:p>
            <w:pPr>
              <w:spacing w:after="0"/>
              <w:rPr>
                <w:sz w:val="13"/>
                <w:szCs w:val="13"/>
                <w:color w:val="auto"/>
              </w:rPr>
            </w:pPr>
          </w:p>
        </w:tc>
        <w:tc>
          <w:tcPr>
            <w:tcW w:w="6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n/m</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88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(Loss) income before income taxes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(300,760)</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(6.2%)</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225,799</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4.3%</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(526,559)</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n/m</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Income tax expense</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(2,275)</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(222,309)</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220,034</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88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Net (loss) income</w:t>
            </w: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(303,035)</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(6.2%)</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3,490</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0.1%</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(306,525)</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n/m</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880" w:type="dxa"/>
            <w:vAlign w:val="bottom"/>
            <w:gridSpan w:val="2"/>
            <w:shd w:val="clear" w:color="auto" w:fill="CCEEFF"/>
          </w:tcPr>
          <w:p>
            <w:pPr>
              <w:ind w:left="20"/>
              <w:spacing w:after="0" w:line="153" w:lineRule="exact"/>
              <w:rPr>
                <w:sz w:val="20"/>
                <w:szCs w:val="20"/>
                <w:color w:val="auto"/>
              </w:rPr>
            </w:pPr>
            <w:r>
              <w:rPr>
                <w:rFonts w:ascii="Arial" w:cs="Arial" w:eastAsia="Arial" w:hAnsi="Arial"/>
                <w:sz w:val="14"/>
                <w:szCs w:val="14"/>
                <w:color w:val="auto"/>
              </w:rPr>
              <w:t>Less:  net  (loss)  income  attributable  to  non-controlling</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8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interests</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116,474</w:t>
            </w:r>
          </w:p>
        </w:tc>
        <w:tc>
          <w:tcPr>
            <w:tcW w:w="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(25,992)</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142,466</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n/m</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88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Net loss attributable to Camping World Holdings, Inc.</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(186,561)</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(3.8%)</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(22,502)</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(0.4%)</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 (164,059)</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n/m</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7" w:name="page48"/>
    <w:bookmarkEnd w:id="4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4320" w:type="dxa"/>
            <w:vAlign w:val="bottom"/>
            <w:gridSpan w:val="11"/>
          </w:tcPr>
          <w:p>
            <w:pPr>
              <w:ind w:left="20"/>
              <w:spacing w:after="0"/>
              <w:rPr>
                <w:sz w:val="20"/>
                <w:szCs w:val="20"/>
                <w:color w:val="auto"/>
              </w:rPr>
            </w:pPr>
            <w:r>
              <w:rPr>
                <w:rFonts w:ascii="Arial" w:cs="Arial" w:eastAsia="Arial" w:hAnsi="Arial"/>
                <w:sz w:val="14"/>
                <w:szCs w:val="14"/>
                <w:b w:val="1"/>
                <w:bCs w:val="1"/>
                <w:color w:val="auto"/>
              </w:rPr>
              <w:t>Supplemental Data</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2"/>
          </w:tcPr>
          <w:p>
            <w:pPr>
              <w:jc w:val="right"/>
              <w:ind w:right="328"/>
              <w:spacing w:after="0"/>
              <w:rPr>
                <w:sz w:val="20"/>
                <w:szCs w:val="20"/>
                <w:color w:val="auto"/>
              </w:rPr>
            </w:pPr>
            <w:r>
              <w:rPr>
                <w:rFonts w:ascii="Arial" w:cs="Arial" w:eastAsia="Arial" w:hAnsi="Arial"/>
                <w:sz w:val="14"/>
                <w:szCs w:val="14"/>
                <w:b w:val="1"/>
                <w:bCs w:val="1"/>
                <w:color w:val="auto"/>
                <w:w w:val="98"/>
              </w:rPr>
              <w:t>Increase</w:t>
            </w:r>
          </w:p>
        </w:tc>
        <w:tc>
          <w:tcPr>
            <w:tcW w:w="140" w:type="dxa"/>
            <w:vAlign w:val="bottom"/>
          </w:tcPr>
          <w:p>
            <w:pPr>
              <w:spacing w:after="0"/>
              <w:rPr>
                <w:sz w:val="24"/>
                <w:szCs w:val="24"/>
                <w:color w:val="auto"/>
              </w:rPr>
            </w:pPr>
          </w:p>
        </w:tc>
        <w:tc>
          <w:tcPr>
            <w:tcW w:w="640" w:type="dxa"/>
            <w:vAlign w:val="bottom"/>
            <w:gridSpan w:val="2"/>
          </w:tcPr>
          <w:p>
            <w:pPr>
              <w:ind w:left="6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jc w:val="right"/>
              <w:ind w:right="308"/>
              <w:spacing w:after="0" w:line="155" w:lineRule="exact"/>
              <w:rPr>
                <w:sz w:val="20"/>
                <w:szCs w:val="20"/>
                <w:color w:val="auto"/>
              </w:rPr>
            </w:pPr>
            <w:r>
              <w:rPr>
                <w:rFonts w:ascii="Arial" w:cs="Arial" w:eastAsia="Arial" w:hAnsi="Arial"/>
                <w:sz w:val="14"/>
                <w:szCs w:val="14"/>
                <w:b w:val="1"/>
                <w:bCs w:val="1"/>
                <w:color w:val="auto"/>
              </w:rPr>
              <w:t>2026</w:t>
            </w:r>
          </w:p>
        </w:tc>
        <w:tc>
          <w:tcPr>
            <w:tcW w:w="220" w:type="dxa"/>
            <w:vAlign w:val="bottom"/>
          </w:tcPr>
          <w:p>
            <w:pPr>
              <w:ind w:left="80"/>
              <w:spacing w:after="0" w:line="155"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880" w:type="dxa"/>
            <w:vAlign w:val="bottom"/>
          </w:tcPr>
          <w:p>
            <w:pPr>
              <w:jc w:val="right"/>
              <w:ind w:right="328"/>
              <w:spacing w:after="0" w:line="155" w:lineRule="exact"/>
              <w:rPr>
                <w:sz w:val="20"/>
                <w:szCs w:val="20"/>
                <w:color w:val="auto"/>
              </w:rPr>
            </w:pPr>
            <w:r>
              <w:rPr>
                <w:rFonts w:ascii="Arial" w:cs="Arial" w:eastAsia="Arial" w:hAnsi="Arial"/>
                <w:sz w:val="14"/>
                <w:szCs w:val="14"/>
                <w:b w:val="1"/>
                <w:bCs w:val="1"/>
                <w:color w:val="auto"/>
              </w:rPr>
              <w:t>2025</w:t>
            </w:r>
          </w:p>
        </w:tc>
        <w:tc>
          <w:tcPr>
            <w:tcW w:w="1220" w:type="dxa"/>
            <w:vAlign w:val="bottom"/>
            <w:gridSpan w:val="4"/>
          </w:tcPr>
          <w:p>
            <w:pPr>
              <w:ind w:left="80"/>
              <w:spacing w:after="0" w:line="155" w:lineRule="exact"/>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(decrease)</w:t>
            </w:r>
          </w:p>
        </w:tc>
        <w:tc>
          <w:tcPr>
            <w:tcW w:w="780" w:type="dxa"/>
            <w:vAlign w:val="bottom"/>
            <w:gridSpan w:val="3"/>
          </w:tcPr>
          <w:p>
            <w:pPr>
              <w:ind w:left="60"/>
              <w:spacing w:after="0" w:line="155" w:lineRule="exact"/>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ind w:left="80"/>
              <w:spacing w:after="0"/>
              <w:rPr>
                <w:sz w:val="20"/>
                <w:szCs w:val="20"/>
                <w:color w:val="auto"/>
              </w:rPr>
            </w:pPr>
            <w:r>
              <w:rPr>
                <w:rFonts w:ascii="Arial" w:cs="Arial" w:eastAsia="Arial" w:hAnsi="Arial"/>
                <w:sz w:val="14"/>
                <w:szCs w:val="14"/>
                <w:color w:val="auto"/>
              </w:rPr>
              <w:t>​​​</w:t>
            </w: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320" w:type="dxa"/>
            <w:vAlign w:val="bottom"/>
            <w:gridSpan w:val="11"/>
            <w:shd w:val="clear" w:color="auto" w:fill="CCEEFF"/>
          </w:tcPr>
          <w:p>
            <w:pPr>
              <w:ind w:left="20"/>
              <w:spacing w:after="0" w:line="142" w:lineRule="exact"/>
              <w:rPr>
                <w:sz w:val="20"/>
                <w:szCs w:val="20"/>
                <w:color w:val="auto"/>
              </w:rPr>
            </w:pPr>
            <w:r>
              <w:rPr>
                <w:rFonts w:ascii="Arial" w:cs="Arial" w:eastAsia="Arial" w:hAnsi="Arial"/>
                <w:sz w:val="14"/>
                <w:szCs w:val="14"/>
                <w:color w:val="auto"/>
              </w:rPr>
              <w:t>Unit sales</w:t>
            </w:r>
          </w:p>
        </w:tc>
        <w:tc>
          <w:tcPr>
            <w:tcW w:w="400" w:type="dxa"/>
            <w:vAlign w:val="bottom"/>
            <w:gridSpan w:val="2"/>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spacing w:after="0"/>
              <w:rPr>
                <w:sz w:val="12"/>
                <w:szCs w:val="12"/>
                <w:color w:val="auto"/>
              </w:rPr>
            </w:pPr>
          </w:p>
        </w:tc>
        <w:tc>
          <w:tcPr>
            <w:tcW w:w="220" w:type="dxa"/>
            <w:vAlign w:val="bottom"/>
            <w:vMerge w:val="continue"/>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80"/>
              <w:spacing w:after="0" w:line="142"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60"/>
              <w:spacing w:after="0" w:line="142"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300" w:type="dxa"/>
            <w:vAlign w:val="bottom"/>
            <w:gridSpan w:val="10"/>
          </w:tcPr>
          <w:p>
            <w:pPr>
              <w:ind w:left="100"/>
              <w:spacing w:after="0" w:line="155" w:lineRule="exact"/>
              <w:rPr>
                <w:sz w:val="20"/>
                <w:szCs w:val="20"/>
                <w:color w:val="auto"/>
              </w:rPr>
            </w:pPr>
            <w:r>
              <w:rPr>
                <w:rFonts w:ascii="Arial" w:cs="Arial" w:eastAsia="Arial" w:hAnsi="Arial"/>
                <w:sz w:val="14"/>
                <w:szCs w:val="14"/>
                <w:color w:val="auto"/>
              </w:rPr>
              <w:t>New vehicles</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jc w:val="right"/>
              <w:spacing w:after="0" w:line="155" w:lineRule="exact"/>
              <w:rPr>
                <w:sz w:val="20"/>
                <w:szCs w:val="20"/>
                <w:color w:val="auto"/>
              </w:rPr>
            </w:pPr>
            <w:r>
              <w:rPr>
                <w:rFonts w:ascii="Arial" w:cs="Arial" w:eastAsia="Arial" w:hAnsi="Arial"/>
                <w:sz w:val="14"/>
                <w:szCs w:val="14"/>
                <w:color w:val="auto"/>
              </w:rPr>
              <w:t>52,656</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63,708</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jc w:val="right"/>
              <w:ind w:right="248"/>
              <w:spacing w:after="0" w:line="155" w:lineRule="exact"/>
              <w:rPr>
                <w:sz w:val="20"/>
                <w:szCs w:val="20"/>
                <w:color w:val="auto"/>
              </w:rPr>
            </w:pPr>
            <w:r>
              <w:rPr>
                <w:rFonts w:ascii="Arial" w:cs="Arial" w:eastAsia="Arial" w:hAnsi="Arial"/>
                <w:sz w:val="14"/>
                <w:szCs w:val="14"/>
                <w:color w:val="auto"/>
              </w:rPr>
              <w:t>(11,052)</w:t>
            </w:r>
          </w:p>
        </w:tc>
        <w:tc>
          <w:tcPr>
            <w:tcW w:w="7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(17.3%)</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4300" w:type="dxa"/>
            <w:vAlign w:val="bottom"/>
            <w:gridSpan w:val="10"/>
            <w:shd w:val="clear" w:color="auto" w:fill="CCEEFF"/>
          </w:tcPr>
          <w:p>
            <w:pPr>
              <w:ind w:left="100"/>
              <w:spacing w:after="0"/>
              <w:rPr>
                <w:sz w:val="20"/>
                <w:szCs w:val="20"/>
                <w:color w:val="auto"/>
              </w:rPr>
            </w:pPr>
            <w:r>
              <w:rPr>
                <w:rFonts w:ascii="Arial" w:cs="Arial" w:eastAsia="Arial" w:hAnsi="Arial"/>
                <w:sz w:val="14"/>
                <w:szCs w:val="14"/>
                <w:color w:val="auto"/>
              </w:rPr>
              <w:t>Used vehicles</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50,522</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51,539</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48"/>
              <w:spacing w:after="0"/>
              <w:rPr>
                <w:sz w:val="20"/>
                <w:szCs w:val="20"/>
                <w:color w:val="auto"/>
              </w:rPr>
            </w:pPr>
            <w:r>
              <w:rPr>
                <w:rFonts w:ascii="Arial" w:cs="Arial" w:eastAsia="Arial" w:hAnsi="Arial"/>
                <w:sz w:val="14"/>
                <w:szCs w:val="14"/>
                <w:color w:val="auto"/>
              </w:rPr>
              <w:t>(1,017)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300" w:type="dxa"/>
            <w:vAlign w:val="bottom"/>
            <w:gridSpan w:val="10"/>
          </w:tcPr>
          <w:p>
            <w:pPr>
              <w:ind w:left="100"/>
              <w:spacing w:after="0" w:line="155" w:lineRule="exact"/>
              <w:rPr>
                <w:sz w:val="20"/>
                <w:szCs w:val="20"/>
                <w:color w:val="auto"/>
              </w:rPr>
            </w:pPr>
            <w:r>
              <w:rPr>
                <w:rFonts w:ascii="Arial" w:cs="Arial" w:eastAsia="Arial" w:hAnsi="Arial"/>
                <w:sz w:val="14"/>
                <w:szCs w:val="14"/>
                <w:color w:val="auto"/>
              </w:rPr>
              <w:t>Total</w:t>
            </w:r>
          </w:p>
        </w:tc>
        <w:tc>
          <w:tcPr>
            <w:tcW w:w="1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103,178</w:t>
            </w:r>
          </w:p>
        </w:tc>
        <w:tc>
          <w:tcPr>
            <w:tcW w:w="2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115,247</w:t>
            </w: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(12,069)</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(10.5%)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320" w:type="dxa"/>
            <w:vAlign w:val="bottom"/>
            <w:gridSpan w:val="11"/>
          </w:tcPr>
          <w:p>
            <w:pPr>
              <w:ind w:left="20"/>
              <w:spacing w:after="0" w:line="149" w:lineRule="exact"/>
              <w:rPr>
                <w:sz w:val="20"/>
                <w:szCs w:val="20"/>
                <w:color w:val="auto"/>
              </w:rPr>
            </w:pPr>
            <w:r>
              <w:rPr>
                <w:rFonts w:ascii="Arial" w:cs="Arial" w:eastAsia="Arial" w:hAnsi="Arial"/>
                <w:sz w:val="14"/>
                <w:szCs w:val="14"/>
                <w:color w:val="auto"/>
              </w:rPr>
              <w:t>Average selling price</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1320" w:type="dxa"/>
            <w:vAlign w:val="bottom"/>
            <w:tcBorders>
              <w:top w:val="single" w:sz="8" w:color="auto"/>
            </w:tcBorders>
            <w:gridSpan w:val="4"/>
            <w:shd w:val="clear" w:color="auto" w:fill="CCEEFF"/>
          </w:tcPr>
          <w:p>
            <w:pPr>
              <w:ind w:left="100"/>
              <w:spacing w:after="0" w:line="155" w:lineRule="exact"/>
              <w:rPr>
                <w:sz w:val="20"/>
                <w:szCs w:val="20"/>
                <w:color w:val="auto"/>
              </w:rPr>
            </w:pPr>
            <w:r>
              <w:rPr>
                <w:rFonts w:ascii="Arial" w:cs="Arial" w:eastAsia="Arial" w:hAnsi="Arial"/>
                <w:sz w:val="14"/>
                <w:szCs w:val="14"/>
                <w:color w:val="auto"/>
              </w:rPr>
              <w:t>New vehicles</w:t>
            </w:r>
          </w:p>
        </w:tc>
        <w:tc>
          <w:tcPr>
            <w:tcW w:w="2980" w:type="dxa"/>
            <w:vAlign w:val="bottom"/>
            <w:gridSpan w:val="6"/>
            <w:shd w:val="clear" w:color="auto" w:fill="CCEEFF"/>
          </w:tcPr>
          <w:p>
            <w:pPr>
              <w:spacing w:after="0"/>
              <w:rPr>
                <w:sz w:val="13"/>
                <w:szCs w:val="13"/>
                <w:color w:val="auto"/>
              </w:rPr>
            </w:pPr>
          </w:p>
        </w:tc>
        <w:tc>
          <w:tcPr>
            <w:tcW w:w="400" w:type="dxa"/>
            <w:vAlign w:val="bottom"/>
            <w:gridSpan w:val="2"/>
            <w:shd w:val="clear" w:color="auto" w:fill="CCEEFF"/>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39,799</w:t>
            </w:r>
          </w:p>
        </w:tc>
        <w:tc>
          <w:tcPr>
            <w:tcW w:w="460" w:type="dxa"/>
            <w:vAlign w:val="bottom"/>
            <w:gridSpan w:val="2"/>
            <w:shd w:val="clear" w:color="auto" w:fill="CCEEFF"/>
          </w:tcPr>
          <w:p>
            <w:pPr>
              <w:jc w:val="right"/>
              <w:ind w:right="88"/>
              <w:spacing w:after="0" w:line="155"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36,154</w:t>
            </w:r>
          </w:p>
        </w:tc>
        <w:tc>
          <w:tcPr>
            <w:tcW w:w="24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3,645</w:t>
            </w:r>
          </w:p>
        </w:tc>
        <w:tc>
          <w:tcPr>
            <w:tcW w:w="3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10.1%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00" w:type="dxa"/>
            <w:vAlign w:val="bottom"/>
            <w:gridSpan w:val="10"/>
          </w:tcPr>
          <w:p>
            <w:pPr>
              <w:ind w:left="100"/>
              <w:spacing w:after="0"/>
              <w:rPr>
                <w:sz w:val="20"/>
                <w:szCs w:val="20"/>
                <w:color w:val="auto"/>
              </w:rPr>
            </w:pPr>
            <w:r>
              <w:rPr>
                <w:rFonts w:ascii="Arial" w:cs="Arial" w:eastAsia="Arial" w:hAnsi="Arial"/>
                <w:sz w:val="14"/>
                <w:szCs w:val="14"/>
                <w:color w:val="auto"/>
              </w:rPr>
              <w:t>Used vehicles</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29,741</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30,728</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248"/>
              <w:spacing w:after="0"/>
              <w:rPr>
                <w:sz w:val="20"/>
                <w:szCs w:val="20"/>
                <w:color w:val="auto"/>
              </w:rPr>
            </w:pPr>
            <w:r>
              <w:rPr>
                <w:rFonts w:ascii="Arial" w:cs="Arial" w:eastAsia="Arial" w:hAnsi="Arial"/>
                <w:sz w:val="14"/>
                <w:szCs w:val="14"/>
                <w:color w:val="auto"/>
              </w:rPr>
              <w:t>(987)</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(3.2%)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1400" w:type="dxa"/>
            <w:vAlign w:val="bottom"/>
            <w:gridSpan w:val="6"/>
            <w:vMerge w:val="restart"/>
          </w:tcPr>
          <w:p>
            <w:pPr>
              <w:ind w:left="20"/>
              <w:spacing w:after="0" w:line="149" w:lineRule="exact"/>
              <w:rPr>
                <w:sz w:val="20"/>
                <w:szCs w:val="20"/>
                <w:color w:val="auto"/>
              </w:rPr>
            </w:pPr>
            <w:r>
              <w:rPr>
                <w:rFonts w:ascii="Arial" w:cs="Arial" w:eastAsia="Arial" w:hAnsi="Arial"/>
                <w:sz w:val="14"/>
                <w:szCs w:val="14"/>
                <w:color w:val="auto"/>
              </w:rPr>
              <w:t>Same store unit sales</w:t>
            </w:r>
          </w:p>
        </w:tc>
        <w:tc>
          <w:tcPr>
            <w:tcW w:w="120" w:type="dxa"/>
            <w:vAlign w:val="bottom"/>
            <w:tcBorders>
              <w:bottom w:val="single" w:sz="8" w:color="auto"/>
            </w:tcBorders>
            <w:gridSpan w:val="2"/>
          </w:tcPr>
          <w:p>
            <w:pPr>
              <w:jc w:val="right"/>
              <w:spacing w:after="0" w:line="75" w:lineRule="exact"/>
              <w:rPr>
                <w:sz w:val="20"/>
                <w:szCs w:val="20"/>
                <w:color w:val="auto"/>
              </w:rPr>
            </w:pPr>
            <w:r>
              <w:rPr>
                <w:rFonts w:ascii="Arial" w:cs="Arial" w:eastAsia="Arial" w:hAnsi="Arial"/>
                <w:sz w:val="8"/>
                <w:szCs w:val="8"/>
                <w:color w:val="auto"/>
              </w:rPr>
              <w:t>(1)</w:t>
            </w:r>
          </w:p>
        </w:tc>
        <w:tc>
          <w:tcPr>
            <w:tcW w:w="300" w:type="dxa"/>
            <w:vAlign w:val="bottom"/>
            <w:vMerge w:val="restart"/>
          </w:tcPr>
          <w:p>
            <w:pPr>
              <w:spacing w:after="0"/>
              <w:rPr>
                <w:sz w:val="8"/>
                <w:szCs w:val="8"/>
                <w:color w:val="auto"/>
              </w:rPr>
            </w:pPr>
          </w:p>
        </w:tc>
        <w:tc>
          <w:tcPr>
            <w:tcW w:w="340" w:type="dxa"/>
            <w:vAlign w:val="bottom"/>
            <w:vMerge w:val="restart"/>
          </w:tcPr>
          <w:p>
            <w:pPr>
              <w:spacing w:after="0"/>
              <w:rPr>
                <w:sz w:val="8"/>
                <w:szCs w:val="8"/>
                <w:color w:val="auto"/>
              </w:rPr>
            </w:pPr>
          </w:p>
        </w:tc>
        <w:tc>
          <w:tcPr>
            <w:tcW w:w="2160" w:type="dxa"/>
            <w:vAlign w:val="bottom"/>
            <w:vMerge w:val="restart"/>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4"/>
        </w:trPr>
        <w:tc>
          <w:tcPr>
            <w:tcW w:w="1400" w:type="dxa"/>
            <w:vAlign w:val="bottom"/>
            <w:gridSpan w:val="6"/>
            <w:vMerge w:val="continue"/>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vMerge w:val="continue"/>
          </w:tcPr>
          <w:p>
            <w:pPr>
              <w:spacing w:after="0"/>
              <w:rPr>
                <w:sz w:val="2"/>
                <w:szCs w:val="2"/>
                <w:color w:val="auto"/>
              </w:rPr>
            </w:pPr>
          </w:p>
        </w:tc>
        <w:tc>
          <w:tcPr>
            <w:tcW w:w="340" w:type="dxa"/>
            <w:vAlign w:val="bottom"/>
            <w:vMerge w:val="continue"/>
          </w:tcPr>
          <w:p>
            <w:pPr>
              <w:spacing w:after="0"/>
              <w:rPr>
                <w:sz w:val="2"/>
                <w:szCs w:val="2"/>
                <w:color w:val="auto"/>
              </w:rPr>
            </w:pPr>
          </w:p>
        </w:tc>
        <w:tc>
          <w:tcPr>
            <w:tcW w:w="216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1380" w:type="dxa"/>
            <w:vAlign w:val="bottom"/>
            <w:tcBorders>
              <w:top w:val="single" w:sz="8" w:color="auto"/>
            </w:tcBorders>
            <w:gridSpan w:val="5"/>
            <w:shd w:val="clear" w:color="auto" w:fill="CCEEFF"/>
          </w:tcPr>
          <w:p>
            <w:pPr>
              <w:ind w:left="100"/>
              <w:spacing w:after="0" w:line="155" w:lineRule="exact"/>
              <w:rPr>
                <w:sz w:val="20"/>
                <w:szCs w:val="20"/>
                <w:color w:val="auto"/>
              </w:rPr>
            </w:pPr>
            <w:r>
              <w:rPr>
                <w:rFonts w:ascii="Arial" w:cs="Arial" w:eastAsia="Arial" w:hAnsi="Arial"/>
                <w:sz w:val="14"/>
                <w:szCs w:val="14"/>
                <w:color w:val="auto"/>
              </w:rPr>
              <w:t>New vehicles</w:t>
            </w:r>
          </w:p>
        </w:tc>
        <w:tc>
          <w:tcPr>
            <w:tcW w:w="2920" w:type="dxa"/>
            <w:vAlign w:val="bottom"/>
            <w:gridSpan w:val="5"/>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49,248</w:t>
            </w: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59,699</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48"/>
              <w:spacing w:after="0" w:line="155" w:lineRule="exact"/>
              <w:rPr>
                <w:sz w:val="20"/>
                <w:szCs w:val="20"/>
                <w:color w:val="auto"/>
              </w:rPr>
            </w:pPr>
            <w:r>
              <w:rPr>
                <w:rFonts w:ascii="Arial" w:cs="Arial" w:eastAsia="Arial" w:hAnsi="Arial"/>
                <w:sz w:val="14"/>
                <w:szCs w:val="14"/>
                <w:color w:val="auto"/>
              </w:rPr>
              <w:t>(10,451)</w:t>
            </w:r>
          </w:p>
        </w:tc>
        <w:tc>
          <w:tcPr>
            <w:tcW w:w="76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(17.5%)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00" w:type="dxa"/>
            <w:vAlign w:val="bottom"/>
            <w:gridSpan w:val="10"/>
          </w:tcPr>
          <w:p>
            <w:pPr>
              <w:ind w:left="100"/>
              <w:spacing w:after="0"/>
              <w:rPr>
                <w:sz w:val="20"/>
                <w:szCs w:val="20"/>
                <w:color w:val="auto"/>
              </w:rPr>
            </w:pPr>
            <w:r>
              <w:rPr>
                <w:rFonts w:ascii="Arial" w:cs="Arial" w:eastAsia="Arial" w:hAnsi="Arial"/>
                <w:sz w:val="14"/>
                <w:szCs w:val="14"/>
                <w:color w:val="auto"/>
              </w:rPr>
              <w:t>Used vehicles</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47,903</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48,840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248"/>
              <w:spacing w:after="0"/>
              <w:rPr>
                <w:sz w:val="20"/>
                <w:szCs w:val="20"/>
                <w:color w:val="auto"/>
              </w:rPr>
            </w:pPr>
            <w:r>
              <w:rPr>
                <w:rFonts w:ascii="Arial" w:cs="Arial" w:eastAsia="Arial" w:hAnsi="Arial"/>
                <w:sz w:val="14"/>
                <w:szCs w:val="14"/>
                <w:color w:val="auto"/>
              </w:rPr>
              <w:t>(937)</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Borders>
              <w:top w:val="single" w:sz="8" w:color="CCEEFF"/>
            </w:tcBorders>
            <w:shd w:val="clear" w:color="auto" w:fill="CCEEFF"/>
          </w:tcPr>
          <w:p>
            <w:pPr>
              <w:spacing w:after="0"/>
              <w:rPr>
                <w:sz w:val="13"/>
                <w:szCs w:val="13"/>
                <w:color w:val="auto"/>
              </w:rPr>
            </w:pPr>
          </w:p>
        </w:tc>
        <w:tc>
          <w:tcPr>
            <w:tcW w:w="4300" w:type="dxa"/>
            <w:vAlign w:val="bottom"/>
            <w:tcBorders>
              <w:top w:val="single" w:sz="8" w:color="CCEEFF"/>
            </w:tcBorders>
            <w:gridSpan w:val="10"/>
            <w:shd w:val="clear" w:color="auto" w:fill="CCEEFF"/>
          </w:tcPr>
          <w:p>
            <w:pPr>
              <w:ind w:left="100"/>
              <w:spacing w:after="0" w:line="155" w:lineRule="exact"/>
              <w:rPr>
                <w:sz w:val="20"/>
                <w:szCs w:val="20"/>
                <w:color w:val="auto"/>
              </w:rPr>
            </w:pPr>
            <w:r>
              <w:rPr>
                <w:rFonts w:ascii="Arial" w:cs="Arial" w:eastAsia="Arial" w:hAnsi="Arial"/>
                <w:sz w:val="14"/>
                <w:szCs w:val="14"/>
                <w:color w:val="auto"/>
              </w:rPr>
              <w:t>Total</w:t>
            </w:r>
          </w:p>
        </w:tc>
        <w:tc>
          <w:tcPr>
            <w:tcW w:w="1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97,151</w:t>
            </w:r>
          </w:p>
        </w:tc>
        <w:tc>
          <w:tcPr>
            <w:tcW w:w="2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108,539</w:t>
            </w:r>
          </w:p>
        </w:tc>
        <w:tc>
          <w:tcPr>
            <w:tcW w:w="1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(11,388)</w:t>
            </w:r>
          </w:p>
        </w:tc>
        <w:tc>
          <w:tcPr>
            <w:tcW w:w="3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1300" w:type="dxa"/>
            <w:vAlign w:val="bottom"/>
            <w:tcBorders>
              <w:bottom w:val="single" w:sz="8" w:color="CCEEFF"/>
            </w:tcBorders>
            <w:gridSpan w:val="4"/>
            <w:vMerge w:val="restart"/>
            <w:shd w:val="clear" w:color="auto" w:fill="CCEEFF"/>
          </w:tcPr>
          <w:p>
            <w:pPr>
              <w:ind w:left="20"/>
              <w:spacing w:after="0" w:line="149" w:lineRule="exact"/>
              <w:rPr>
                <w:sz w:val="20"/>
                <w:szCs w:val="20"/>
                <w:color w:val="auto"/>
              </w:rPr>
            </w:pPr>
            <w:r>
              <w:rPr>
                <w:rFonts w:ascii="Arial" w:cs="Arial" w:eastAsia="Arial" w:hAnsi="Arial"/>
                <w:sz w:val="14"/>
                <w:szCs w:val="14"/>
                <w:color w:val="auto"/>
                <w:w w:val="99"/>
              </w:rPr>
              <w:t>Same store revenue</w:t>
            </w:r>
          </w:p>
        </w:tc>
        <w:tc>
          <w:tcPr>
            <w:tcW w:w="140" w:type="dxa"/>
            <w:vAlign w:val="bottom"/>
            <w:tcBorders>
              <w:bottom w:val="single" w:sz="8" w:color="auto"/>
            </w:tcBorders>
            <w:gridSpan w:val="3"/>
            <w:shd w:val="clear" w:color="auto" w:fill="CCEEFF"/>
          </w:tcPr>
          <w:p>
            <w:pPr>
              <w:jc w:val="right"/>
              <w:spacing w:after="0" w:line="75" w:lineRule="exact"/>
              <w:rPr>
                <w:sz w:val="20"/>
                <w:szCs w:val="20"/>
                <w:color w:val="auto"/>
              </w:rPr>
            </w:pPr>
            <w:r>
              <w:rPr>
                <w:rFonts w:ascii="Arial" w:cs="Arial" w:eastAsia="Arial" w:hAnsi="Arial"/>
                <w:sz w:val="8"/>
                <w:szCs w:val="8"/>
                <w:color w:val="auto"/>
              </w:rPr>
              <w:t>(1)</w:t>
            </w:r>
          </w:p>
        </w:tc>
        <w:tc>
          <w:tcPr>
            <w:tcW w:w="2880" w:type="dxa"/>
            <w:vAlign w:val="bottom"/>
            <w:tcBorders>
              <w:bottom w:val="single" w:sz="8" w:color="CCEEFF"/>
            </w:tcBorders>
            <w:gridSpan w:val="4"/>
            <w:vMerge w:val="restart"/>
            <w:shd w:val="clear" w:color="auto" w:fill="CCEEFF"/>
          </w:tcPr>
          <w:p>
            <w:pPr>
              <w:ind w:left="40"/>
              <w:spacing w:after="0" w:line="149" w:lineRule="exact"/>
              <w:rPr>
                <w:sz w:val="20"/>
                <w:szCs w:val="20"/>
                <w:color w:val="auto"/>
              </w:rPr>
            </w:pPr>
            <w:r>
              <w:rPr>
                <w:rFonts w:ascii="Arial" w:cs="Arial" w:eastAsia="Arial" w:hAnsi="Arial"/>
                <w:sz w:val="14"/>
                <w:szCs w:val="14"/>
                <w:color w:val="auto"/>
              </w:rPr>
              <w:t>($ in 000s)</w:t>
            </w:r>
          </w:p>
        </w:tc>
        <w:tc>
          <w:tcPr>
            <w:tcW w:w="180" w:type="dxa"/>
            <w:vAlign w:val="bottom"/>
            <w:tcBorders>
              <w:bottom w:val="single" w:sz="8" w:color="CCEEFF"/>
            </w:tcBorders>
            <w:shd w:val="clear" w:color="auto" w:fill="CCEEFF"/>
          </w:tcPr>
          <w:p>
            <w:pPr>
              <w:spacing w:after="0"/>
              <w:rPr>
                <w:sz w:val="8"/>
                <w:szCs w:val="8"/>
                <w:color w:val="auto"/>
              </w:rPr>
            </w:pPr>
          </w:p>
        </w:tc>
        <w:tc>
          <w:tcPr>
            <w:tcW w:w="220" w:type="dxa"/>
            <w:vAlign w:val="bottom"/>
            <w:tcBorders>
              <w:bottom w:val="single" w:sz="8" w:color="CCEEFF"/>
            </w:tcBorders>
            <w:shd w:val="clear" w:color="auto" w:fill="CCEEFF"/>
          </w:tcPr>
          <w:p>
            <w:pPr>
              <w:spacing w:after="0"/>
              <w:rPr>
                <w:sz w:val="8"/>
                <w:szCs w:val="8"/>
                <w:color w:val="auto"/>
              </w:rPr>
            </w:pPr>
          </w:p>
        </w:tc>
        <w:tc>
          <w:tcPr>
            <w:tcW w:w="860" w:type="dxa"/>
            <w:vAlign w:val="bottom"/>
            <w:tcBorders>
              <w:bottom w:val="single" w:sz="8" w:color="CCEEFF"/>
            </w:tcBorders>
            <w:shd w:val="clear" w:color="auto" w:fill="CCEEFF"/>
          </w:tcPr>
          <w:p>
            <w:pPr>
              <w:spacing w:after="0"/>
              <w:rPr>
                <w:sz w:val="8"/>
                <w:szCs w:val="8"/>
                <w:color w:val="auto"/>
              </w:rPr>
            </w:pPr>
          </w:p>
        </w:tc>
        <w:tc>
          <w:tcPr>
            <w:tcW w:w="220" w:type="dxa"/>
            <w:vAlign w:val="bottom"/>
            <w:tcBorders>
              <w:bottom w:val="single" w:sz="8" w:color="CCEEFF"/>
            </w:tcBorders>
            <w:shd w:val="clear" w:color="auto" w:fill="CCEEFF"/>
          </w:tcPr>
          <w:p>
            <w:pPr>
              <w:spacing w:after="0"/>
              <w:rPr>
                <w:sz w:val="8"/>
                <w:szCs w:val="8"/>
                <w:color w:val="auto"/>
              </w:rPr>
            </w:pPr>
          </w:p>
        </w:tc>
        <w:tc>
          <w:tcPr>
            <w:tcW w:w="240" w:type="dxa"/>
            <w:vAlign w:val="bottom"/>
            <w:tcBorders>
              <w:bottom w:val="single" w:sz="8" w:color="CCEEFF"/>
            </w:tcBorders>
            <w:shd w:val="clear" w:color="auto" w:fill="CCEEFF"/>
          </w:tcPr>
          <w:p>
            <w:pPr>
              <w:spacing w:after="0"/>
              <w:rPr>
                <w:sz w:val="8"/>
                <w:szCs w:val="8"/>
                <w:color w:val="auto"/>
              </w:rPr>
            </w:pPr>
          </w:p>
        </w:tc>
        <w:tc>
          <w:tcPr>
            <w:tcW w:w="88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660" w:type="dxa"/>
            <w:vAlign w:val="bottom"/>
            <w:tcBorders>
              <w:bottom w:val="single" w:sz="8" w:color="CCEEFF"/>
            </w:tcBorders>
            <w:shd w:val="clear" w:color="auto" w:fill="CCEEFF"/>
          </w:tcPr>
          <w:p>
            <w:pPr>
              <w:spacing w:after="0"/>
              <w:rPr>
                <w:sz w:val="8"/>
                <w:szCs w:val="8"/>
                <w:color w:val="auto"/>
              </w:rPr>
            </w:pPr>
          </w:p>
        </w:tc>
        <w:tc>
          <w:tcPr>
            <w:tcW w:w="320" w:type="dxa"/>
            <w:vAlign w:val="bottom"/>
            <w:tcBorders>
              <w:bottom w:val="single" w:sz="8" w:color="CCEEFF"/>
            </w:tcBorders>
            <w:shd w:val="clear" w:color="auto" w:fill="CCEEFF"/>
          </w:tcPr>
          <w:p>
            <w:pPr>
              <w:spacing w:after="0"/>
              <w:rPr>
                <w:sz w:val="8"/>
                <w:szCs w:val="8"/>
                <w:color w:val="auto"/>
              </w:rPr>
            </w:pPr>
          </w:p>
        </w:tc>
        <w:tc>
          <w:tcPr>
            <w:tcW w:w="140" w:type="dxa"/>
            <w:vAlign w:val="bottom"/>
            <w:tcBorders>
              <w:bottom w:val="single" w:sz="8" w:color="CCEEFF"/>
            </w:tcBorders>
            <w:shd w:val="clear" w:color="auto" w:fill="CCEEFF"/>
          </w:tcPr>
          <w:p>
            <w:pPr>
              <w:spacing w:after="0"/>
              <w:rPr>
                <w:sz w:val="8"/>
                <w:szCs w:val="8"/>
                <w:color w:val="auto"/>
              </w:rPr>
            </w:pPr>
          </w:p>
        </w:tc>
        <w:tc>
          <w:tcPr>
            <w:tcW w:w="620" w:type="dxa"/>
            <w:vAlign w:val="bottom"/>
            <w:tcBorders>
              <w:bottom w:val="single" w:sz="8" w:color="CCEEFF"/>
            </w:tcBorders>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4"/>
        </w:trPr>
        <w:tc>
          <w:tcPr>
            <w:tcW w:w="1300" w:type="dxa"/>
            <w:vAlign w:val="bottom"/>
            <w:gridSpan w:val="4"/>
            <w:vMerge w:val="continue"/>
            <w:shd w:val="clear" w:color="auto" w:fill="CCEEFF"/>
          </w:tcPr>
          <w:p>
            <w:pPr>
              <w:spacing w:after="0"/>
              <w:rPr>
                <w:sz w:val="2"/>
                <w:szCs w:val="2"/>
                <w:color w:val="auto"/>
              </w:rPr>
            </w:pPr>
          </w:p>
        </w:tc>
        <w:tc>
          <w:tcPr>
            <w:tcW w:w="140" w:type="dxa"/>
            <w:vAlign w:val="bottom"/>
            <w:gridSpan w:val="3"/>
            <w:shd w:val="clear" w:color="auto" w:fill="CCEEFF"/>
          </w:tcPr>
          <w:p>
            <w:pPr>
              <w:spacing w:after="0"/>
              <w:rPr>
                <w:sz w:val="2"/>
                <w:szCs w:val="2"/>
                <w:color w:val="auto"/>
              </w:rPr>
            </w:pPr>
          </w:p>
        </w:tc>
        <w:tc>
          <w:tcPr>
            <w:tcW w:w="2880" w:type="dxa"/>
            <w:vAlign w:val="bottom"/>
            <w:gridSpan w:val="4"/>
            <w:vMerge w:val="continue"/>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0" w:type="dxa"/>
            <w:vAlign w:val="bottom"/>
            <w:tcBorders>
              <w:top w:val="single" w:sz="8" w:color="CCEEFF"/>
            </w:tcBorders>
          </w:tcPr>
          <w:p>
            <w:pPr>
              <w:spacing w:after="0"/>
              <w:rPr>
                <w:sz w:val="13"/>
                <w:szCs w:val="13"/>
                <w:color w:val="auto"/>
              </w:rPr>
            </w:pPr>
          </w:p>
        </w:tc>
        <w:tc>
          <w:tcPr>
            <w:tcW w:w="1280" w:type="dxa"/>
            <w:vAlign w:val="bottom"/>
            <w:tcBorders>
              <w:top w:val="single" w:sz="8" w:color="auto"/>
            </w:tcBorders>
            <w:gridSpan w:val="3"/>
          </w:tcPr>
          <w:p>
            <w:pPr>
              <w:ind w:left="100"/>
              <w:spacing w:after="0" w:line="155" w:lineRule="exact"/>
              <w:rPr>
                <w:sz w:val="20"/>
                <w:szCs w:val="20"/>
                <w:color w:val="auto"/>
              </w:rPr>
            </w:pPr>
            <w:r>
              <w:rPr>
                <w:rFonts w:ascii="Arial" w:cs="Arial" w:eastAsia="Arial" w:hAnsi="Arial"/>
                <w:sz w:val="14"/>
                <w:szCs w:val="14"/>
                <w:color w:val="auto"/>
              </w:rPr>
              <w:t>New vehicles</w:t>
            </w:r>
          </w:p>
        </w:tc>
        <w:tc>
          <w:tcPr>
            <w:tcW w:w="140" w:type="dxa"/>
            <w:vAlign w:val="bottom"/>
            <w:tcBorders>
              <w:top w:val="single" w:sz="8" w:color="CCEEFF"/>
            </w:tcBorders>
            <w:gridSpan w:val="3"/>
          </w:tcPr>
          <w:p>
            <w:pPr>
              <w:spacing w:after="0"/>
              <w:rPr>
                <w:sz w:val="13"/>
                <w:szCs w:val="13"/>
                <w:color w:val="auto"/>
              </w:rPr>
            </w:pPr>
          </w:p>
        </w:tc>
        <w:tc>
          <w:tcPr>
            <w:tcW w:w="720" w:type="dxa"/>
            <w:vAlign w:val="bottom"/>
            <w:tcBorders>
              <w:top w:val="single" w:sz="8" w:color="auto"/>
            </w:tcBorders>
            <w:gridSpan w:val="3"/>
          </w:tcPr>
          <w:p>
            <w:pPr>
              <w:spacing w:after="0"/>
              <w:rPr>
                <w:sz w:val="13"/>
                <w:szCs w:val="13"/>
                <w:color w:val="auto"/>
              </w:rPr>
            </w:pPr>
          </w:p>
        </w:tc>
        <w:tc>
          <w:tcPr>
            <w:tcW w:w="2160" w:type="dxa"/>
            <w:vAlign w:val="bottom"/>
            <w:tcBorders>
              <w:top w:val="single" w:sz="8" w:color="CCEEFF"/>
            </w:tcBorders>
          </w:tcPr>
          <w:p>
            <w:pPr>
              <w:spacing w:after="0"/>
              <w:rPr>
                <w:sz w:val="13"/>
                <w:szCs w:val="13"/>
                <w:color w:val="auto"/>
              </w:rPr>
            </w:pPr>
          </w:p>
        </w:tc>
        <w:tc>
          <w:tcPr>
            <w:tcW w:w="400" w:type="dxa"/>
            <w:vAlign w:val="bottom"/>
            <w:tcBorders>
              <w:top w:val="single" w:sz="8" w:color="CCEEFF"/>
            </w:tcBorders>
            <w:gridSpan w:val="2"/>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top w:val="single" w:sz="8" w:color="CCEEFF"/>
            </w:tcBorders>
          </w:tcPr>
          <w:p>
            <w:pPr>
              <w:jc w:val="right"/>
              <w:spacing w:after="0" w:line="155" w:lineRule="exact"/>
              <w:rPr>
                <w:sz w:val="20"/>
                <w:szCs w:val="20"/>
                <w:color w:val="auto"/>
              </w:rPr>
            </w:pPr>
            <w:r>
              <w:rPr>
                <w:rFonts w:ascii="Arial" w:cs="Arial" w:eastAsia="Arial" w:hAnsi="Arial"/>
                <w:sz w:val="14"/>
                <w:szCs w:val="14"/>
                <w:color w:val="auto"/>
              </w:rPr>
              <w:t>1,958,903</w:t>
            </w:r>
          </w:p>
        </w:tc>
        <w:tc>
          <w:tcPr>
            <w:tcW w:w="460" w:type="dxa"/>
            <w:vAlign w:val="bottom"/>
            <w:tcBorders>
              <w:top w:val="single" w:sz="8" w:color="CCEEFF"/>
            </w:tcBorders>
            <w:gridSpan w:val="2"/>
          </w:tcPr>
          <w:p>
            <w:pPr>
              <w:jc w:val="right"/>
              <w:ind w:right="88"/>
              <w:spacing w:after="0" w:line="155" w:lineRule="exact"/>
              <w:rPr>
                <w:sz w:val="20"/>
                <w:szCs w:val="20"/>
                <w:color w:val="auto"/>
              </w:rPr>
            </w:pPr>
            <w:r>
              <w:rPr>
                <w:rFonts w:ascii="Arial" w:cs="Arial" w:eastAsia="Arial" w:hAnsi="Arial"/>
                <w:sz w:val="14"/>
                <w:szCs w:val="14"/>
                <w:color w:val="auto"/>
              </w:rPr>
              <w:t>$</w:t>
            </w:r>
          </w:p>
        </w:tc>
        <w:tc>
          <w:tcPr>
            <w:tcW w:w="880" w:type="dxa"/>
            <w:vAlign w:val="bottom"/>
            <w:tcBorders>
              <w:top w:val="single" w:sz="8" w:color="CCEEFF"/>
            </w:tcBorders>
          </w:tcPr>
          <w:p>
            <w:pPr>
              <w:jc w:val="right"/>
              <w:spacing w:after="0" w:line="155" w:lineRule="exact"/>
              <w:rPr>
                <w:sz w:val="20"/>
                <w:szCs w:val="20"/>
                <w:color w:val="auto"/>
              </w:rPr>
            </w:pPr>
            <w:r>
              <w:rPr>
                <w:rFonts w:ascii="Arial" w:cs="Arial" w:eastAsia="Arial" w:hAnsi="Arial"/>
                <w:sz w:val="14"/>
                <w:szCs w:val="14"/>
                <w:color w:val="auto"/>
              </w:rPr>
              <w:t>2,148,063</w:t>
            </w:r>
          </w:p>
        </w:tc>
        <w:tc>
          <w:tcPr>
            <w:tcW w:w="240" w:type="dxa"/>
            <w:vAlign w:val="bottom"/>
            <w:tcBorders>
              <w:top w:val="single" w:sz="8" w:color="CCEEFF"/>
            </w:tcBorders>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980" w:type="dxa"/>
            <w:vAlign w:val="bottom"/>
            <w:tcBorders>
              <w:top w:val="single" w:sz="8" w:color="CCEEFF"/>
            </w:tcBorders>
            <w:gridSpan w:val="2"/>
          </w:tcPr>
          <w:p>
            <w:pPr>
              <w:jc w:val="right"/>
              <w:ind w:right="248"/>
              <w:spacing w:after="0" w:line="155" w:lineRule="exact"/>
              <w:rPr>
                <w:sz w:val="20"/>
                <w:szCs w:val="20"/>
                <w:color w:val="auto"/>
              </w:rPr>
            </w:pPr>
            <w:r>
              <w:rPr>
                <w:rFonts w:ascii="Arial" w:cs="Arial" w:eastAsia="Arial" w:hAnsi="Arial"/>
                <w:sz w:val="14"/>
                <w:szCs w:val="14"/>
                <w:color w:val="auto"/>
              </w:rPr>
              <w:t>(189,160)</w:t>
            </w:r>
          </w:p>
        </w:tc>
        <w:tc>
          <w:tcPr>
            <w:tcW w:w="760" w:type="dxa"/>
            <w:vAlign w:val="bottom"/>
            <w:tcBorders>
              <w:top w:val="single" w:sz="8" w:color="CCEEFF"/>
            </w:tcBorders>
            <w:gridSpan w:val="2"/>
          </w:tcPr>
          <w:p>
            <w:pPr>
              <w:jc w:val="right"/>
              <w:spacing w:after="0" w:line="155" w:lineRule="exact"/>
              <w:rPr>
                <w:sz w:val="20"/>
                <w:szCs w:val="20"/>
                <w:color w:val="auto"/>
              </w:rPr>
            </w:pPr>
            <w:r>
              <w:rPr>
                <w:rFonts w:ascii="Arial" w:cs="Arial" w:eastAsia="Arial" w:hAnsi="Arial"/>
                <w:sz w:val="14"/>
                <w:szCs w:val="14"/>
                <w:color w:val="auto"/>
              </w:rPr>
              <w:t>(8.8%)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4300" w:type="dxa"/>
            <w:vAlign w:val="bottom"/>
            <w:gridSpan w:val="10"/>
            <w:shd w:val="clear" w:color="auto" w:fill="CCEEFF"/>
          </w:tcPr>
          <w:p>
            <w:pPr>
              <w:ind w:left="100"/>
              <w:spacing w:after="0"/>
              <w:rPr>
                <w:sz w:val="20"/>
                <w:szCs w:val="20"/>
                <w:color w:val="auto"/>
              </w:rPr>
            </w:pPr>
            <w:r>
              <w:rPr>
                <w:rFonts w:ascii="Arial" w:cs="Arial" w:eastAsia="Arial" w:hAnsi="Arial"/>
                <w:sz w:val="14"/>
                <w:szCs w:val="14"/>
                <w:color w:val="auto"/>
              </w:rPr>
              <w:t>Used vehicles</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1,425,723</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1,491,651</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48"/>
              <w:spacing w:after="0"/>
              <w:rPr>
                <w:sz w:val="20"/>
                <w:szCs w:val="20"/>
                <w:color w:val="auto"/>
              </w:rPr>
            </w:pPr>
            <w:r>
              <w:rPr>
                <w:rFonts w:ascii="Arial" w:cs="Arial" w:eastAsia="Arial" w:hAnsi="Arial"/>
                <w:sz w:val="14"/>
                <w:szCs w:val="14"/>
                <w:color w:val="auto"/>
              </w:rPr>
              <w:t>(65,928)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00" w:type="dxa"/>
            <w:vAlign w:val="bottom"/>
            <w:gridSpan w:val="10"/>
          </w:tcPr>
          <w:p>
            <w:pPr>
              <w:ind w:left="100"/>
              <w:spacing w:after="0"/>
              <w:rPr>
                <w:sz w:val="20"/>
                <w:szCs w:val="20"/>
                <w:color w:val="auto"/>
              </w:rPr>
            </w:pPr>
            <w:r>
              <w:rPr>
                <w:rFonts w:ascii="Arial" w:cs="Arial" w:eastAsia="Arial" w:hAnsi="Arial"/>
                <w:sz w:val="14"/>
                <w:szCs w:val="14"/>
                <w:color w:val="auto"/>
              </w:rPr>
              <w:t>Products, service and other</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477,375</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477,557</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248"/>
              <w:spacing w:after="0"/>
              <w:rPr>
                <w:sz w:val="20"/>
                <w:szCs w:val="20"/>
                <w:color w:val="auto"/>
              </w:rPr>
            </w:pPr>
            <w:r>
              <w:rPr>
                <w:rFonts w:ascii="Arial" w:cs="Arial" w:eastAsia="Arial" w:hAnsi="Arial"/>
                <w:sz w:val="14"/>
                <w:szCs w:val="14"/>
                <w:color w:val="auto"/>
              </w:rPr>
              <w:t>(182)</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4300" w:type="dxa"/>
            <w:vAlign w:val="bottom"/>
            <w:gridSpan w:val="10"/>
            <w:shd w:val="clear" w:color="auto" w:fill="CCEEFF"/>
          </w:tcPr>
          <w:p>
            <w:pPr>
              <w:ind w:left="100"/>
              <w:spacing w:after="0"/>
              <w:rPr>
                <w:sz w:val="20"/>
                <w:szCs w:val="20"/>
                <w:color w:val="auto"/>
              </w:rPr>
            </w:pPr>
            <w:r>
              <w:rPr>
                <w:rFonts w:ascii="Arial" w:cs="Arial" w:eastAsia="Arial" w:hAnsi="Arial"/>
                <w:sz w:val="14"/>
                <w:szCs w:val="14"/>
                <w:color w:val="auto"/>
              </w:rPr>
              <w:t>Finance and insurance, net</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469,562</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500,683</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48"/>
              <w:spacing w:after="0"/>
              <w:rPr>
                <w:sz w:val="20"/>
                <w:szCs w:val="20"/>
                <w:color w:val="auto"/>
              </w:rPr>
            </w:pPr>
            <w:r>
              <w:rPr>
                <w:rFonts w:ascii="Arial" w:cs="Arial" w:eastAsia="Arial" w:hAnsi="Arial"/>
                <w:sz w:val="14"/>
                <w:szCs w:val="14"/>
                <w:color w:val="auto"/>
              </w:rPr>
              <w:t>(31,121)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300" w:type="dxa"/>
            <w:vAlign w:val="bottom"/>
            <w:gridSpan w:val="10"/>
          </w:tcPr>
          <w:p>
            <w:pPr>
              <w:ind w:left="100"/>
              <w:spacing w:after="0" w:line="155" w:lineRule="exact"/>
              <w:rPr>
                <w:sz w:val="20"/>
                <w:szCs w:val="20"/>
                <w:color w:val="auto"/>
              </w:rPr>
            </w:pPr>
            <w:r>
              <w:rPr>
                <w:rFonts w:ascii="Arial" w:cs="Arial" w:eastAsia="Arial" w:hAnsi="Arial"/>
                <w:sz w:val="14"/>
                <w:szCs w:val="14"/>
                <w:color w:val="auto"/>
              </w:rPr>
              <w:t>Total</w:t>
            </w:r>
          </w:p>
        </w:tc>
        <w:tc>
          <w:tcPr>
            <w:tcW w:w="180" w:type="dxa"/>
            <w:vAlign w:val="bottom"/>
          </w:tcPr>
          <w:p>
            <w:pPr>
              <w:spacing w:after="0"/>
              <w:rPr>
                <w:sz w:val="13"/>
                <w:szCs w:val="13"/>
                <w:color w:val="auto"/>
              </w:rPr>
            </w:pPr>
          </w:p>
        </w:tc>
        <w:tc>
          <w:tcPr>
            <w:tcW w:w="220" w:type="dxa"/>
            <w:vAlign w:val="bottom"/>
            <w:tcBorders>
              <w:top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4,331,563</w:t>
            </w:r>
          </w:p>
        </w:tc>
        <w:tc>
          <w:tcPr>
            <w:tcW w:w="220" w:type="dxa"/>
            <w:vAlign w:val="bottom"/>
          </w:tcPr>
          <w:p>
            <w:pPr>
              <w:spacing w:after="0"/>
              <w:rPr>
                <w:sz w:val="13"/>
                <w:szCs w:val="13"/>
                <w:color w:val="auto"/>
              </w:rPr>
            </w:pPr>
          </w:p>
        </w:tc>
        <w:tc>
          <w:tcPr>
            <w:tcW w:w="240" w:type="dxa"/>
            <w:vAlign w:val="bottom"/>
            <w:tcBorders>
              <w:top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4,617,954</w:t>
            </w:r>
          </w:p>
        </w:tc>
        <w:tc>
          <w:tcPr>
            <w:tcW w:w="160" w:type="dxa"/>
            <w:vAlign w:val="bottom"/>
          </w:tcPr>
          <w:p>
            <w:pPr>
              <w:spacing w:after="0"/>
              <w:rPr>
                <w:sz w:val="13"/>
                <w:szCs w:val="13"/>
                <w:color w:val="auto"/>
              </w:rPr>
            </w:pPr>
          </w:p>
        </w:tc>
        <w:tc>
          <w:tcPr>
            <w:tcW w:w="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(286,391)</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320" w:type="dxa"/>
            <w:vAlign w:val="bottom"/>
            <w:gridSpan w:val="11"/>
          </w:tcPr>
          <w:p>
            <w:pPr>
              <w:ind w:left="20"/>
              <w:spacing w:after="0" w:line="149" w:lineRule="exact"/>
              <w:rPr>
                <w:sz w:val="20"/>
                <w:szCs w:val="20"/>
                <w:color w:val="auto"/>
              </w:rPr>
            </w:pPr>
            <w:r>
              <w:rPr>
                <w:rFonts w:ascii="Arial" w:cs="Arial" w:eastAsia="Arial" w:hAnsi="Arial"/>
                <w:sz w:val="14"/>
                <w:szCs w:val="14"/>
                <w:color w:val="auto"/>
              </w:rPr>
              <w:t>Average gross profit per unit</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1800" w:type="dxa"/>
            <w:vAlign w:val="bottom"/>
            <w:tcBorders>
              <w:top w:val="single" w:sz="8" w:color="auto"/>
            </w:tcBorders>
            <w:gridSpan w:val="8"/>
            <w:shd w:val="clear" w:color="auto" w:fill="CCEEFF"/>
          </w:tcPr>
          <w:p>
            <w:pPr>
              <w:ind w:left="100"/>
              <w:spacing w:after="0" w:line="155" w:lineRule="exact"/>
              <w:rPr>
                <w:sz w:val="20"/>
                <w:szCs w:val="20"/>
                <w:color w:val="auto"/>
              </w:rPr>
            </w:pPr>
            <w:r>
              <w:rPr>
                <w:rFonts w:ascii="Arial" w:cs="Arial" w:eastAsia="Arial" w:hAnsi="Arial"/>
                <w:sz w:val="14"/>
                <w:szCs w:val="14"/>
                <w:color w:val="auto"/>
              </w:rPr>
              <w:t>New vehicles</w:t>
            </w:r>
          </w:p>
        </w:tc>
        <w:tc>
          <w:tcPr>
            <w:tcW w:w="2500" w:type="dxa"/>
            <w:vAlign w:val="bottom"/>
            <w:gridSpan w:val="2"/>
            <w:shd w:val="clear" w:color="auto" w:fill="CCEEFF"/>
          </w:tcPr>
          <w:p>
            <w:pPr>
              <w:spacing w:after="0"/>
              <w:rPr>
                <w:sz w:val="13"/>
                <w:szCs w:val="13"/>
                <w:color w:val="auto"/>
              </w:rPr>
            </w:pPr>
          </w:p>
        </w:tc>
        <w:tc>
          <w:tcPr>
            <w:tcW w:w="400" w:type="dxa"/>
            <w:vAlign w:val="bottom"/>
            <w:gridSpan w:val="2"/>
            <w:shd w:val="clear" w:color="auto" w:fill="CCEEFF"/>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4,403</w:t>
            </w:r>
          </w:p>
        </w:tc>
        <w:tc>
          <w:tcPr>
            <w:tcW w:w="460" w:type="dxa"/>
            <w:vAlign w:val="bottom"/>
            <w:gridSpan w:val="2"/>
            <w:shd w:val="clear" w:color="auto" w:fill="CCEEFF"/>
          </w:tcPr>
          <w:p>
            <w:pPr>
              <w:jc w:val="right"/>
              <w:ind w:right="88"/>
              <w:spacing w:after="0" w:line="155"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4,845</w:t>
            </w:r>
          </w:p>
        </w:tc>
        <w:tc>
          <w:tcPr>
            <w:tcW w:w="24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48"/>
              <w:spacing w:after="0" w:line="155" w:lineRule="exact"/>
              <w:rPr>
                <w:sz w:val="20"/>
                <w:szCs w:val="20"/>
                <w:color w:val="auto"/>
              </w:rPr>
            </w:pPr>
            <w:r>
              <w:rPr>
                <w:rFonts w:ascii="Arial" w:cs="Arial" w:eastAsia="Arial" w:hAnsi="Arial"/>
                <w:sz w:val="14"/>
                <w:szCs w:val="14"/>
                <w:color w:val="auto"/>
              </w:rPr>
              <w:t>(442)</w:t>
            </w:r>
          </w:p>
        </w:tc>
        <w:tc>
          <w:tcPr>
            <w:tcW w:w="76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(9.1%)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00" w:type="dxa"/>
            <w:vAlign w:val="bottom"/>
            <w:gridSpan w:val="10"/>
          </w:tcPr>
          <w:p>
            <w:pPr>
              <w:ind w:left="100"/>
              <w:spacing w:after="0"/>
              <w:rPr>
                <w:sz w:val="20"/>
                <w:szCs w:val="20"/>
                <w:color w:val="auto"/>
              </w:rPr>
            </w:pPr>
            <w:r>
              <w:rPr>
                <w:rFonts w:ascii="Arial" w:cs="Arial" w:eastAsia="Arial" w:hAnsi="Arial"/>
                <w:sz w:val="14"/>
                <w:szCs w:val="14"/>
                <w:color w:val="auto"/>
              </w:rPr>
              <w:t>Used vehicles</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5,147</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5,885</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248"/>
              <w:spacing w:after="0"/>
              <w:rPr>
                <w:sz w:val="20"/>
                <w:szCs w:val="20"/>
                <w:color w:val="auto"/>
              </w:rPr>
            </w:pPr>
            <w:r>
              <w:rPr>
                <w:rFonts w:ascii="Arial" w:cs="Arial" w:eastAsia="Arial" w:hAnsi="Arial"/>
                <w:sz w:val="14"/>
                <w:szCs w:val="14"/>
                <w:color w:val="auto"/>
              </w:rPr>
              <w:t>(738)</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(12.5%)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4300" w:type="dxa"/>
            <w:vAlign w:val="bottom"/>
            <w:gridSpan w:val="10"/>
            <w:shd w:val="clear" w:color="auto" w:fill="CCEEFF"/>
          </w:tcPr>
          <w:p>
            <w:pPr>
              <w:ind w:left="100"/>
              <w:spacing w:after="0"/>
              <w:rPr>
                <w:sz w:val="20"/>
                <w:szCs w:val="20"/>
                <w:color w:val="auto"/>
              </w:rPr>
            </w:pPr>
            <w:r>
              <w:rPr>
                <w:rFonts w:ascii="Arial" w:cs="Arial" w:eastAsia="Arial" w:hAnsi="Arial"/>
                <w:sz w:val="14"/>
                <w:szCs w:val="14"/>
                <w:color w:val="auto"/>
              </w:rPr>
              <w:t>Finance and insurance, net per vehicle unit</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4,800</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4,583</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w:t>
            </w:r>
          </w:p>
        </w:tc>
        <w:tc>
          <w:tcPr>
            <w:tcW w:w="3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00" w:type="dxa"/>
            <w:vAlign w:val="bottom"/>
            <w:gridSpan w:val="10"/>
          </w:tcPr>
          <w:p>
            <w:pPr>
              <w:ind w:left="100"/>
              <w:spacing w:after="0" w:line="162" w:lineRule="exact"/>
              <w:rPr>
                <w:sz w:val="20"/>
                <w:szCs w:val="20"/>
                <w:color w:val="auto"/>
              </w:rPr>
            </w:pPr>
            <w:r>
              <w:rPr>
                <w:rFonts w:ascii="Arial" w:cs="Arial" w:eastAsia="Arial" w:hAnsi="Arial"/>
                <w:sz w:val="13"/>
                <w:szCs w:val="13"/>
                <w:color w:val="auto"/>
              </w:rPr>
              <w:t>Total vehicle front-end yield</w:t>
            </w:r>
            <w:r>
              <w:rPr>
                <w:rFonts w:ascii="Arial" w:cs="Arial" w:eastAsia="Arial" w:hAnsi="Arial"/>
                <w:sz w:val="18"/>
                <w:szCs w:val="18"/>
                <w:color w:val="auto"/>
                <w:vertAlign w:val="superscript"/>
              </w:rPr>
              <w:t>(2)</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9,567</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9,893</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248"/>
              <w:spacing w:after="0"/>
              <w:rPr>
                <w:sz w:val="20"/>
                <w:szCs w:val="20"/>
                <w:color w:val="auto"/>
              </w:rPr>
            </w:pPr>
            <w:r>
              <w:rPr>
                <w:rFonts w:ascii="Arial" w:cs="Arial" w:eastAsia="Arial" w:hAnsi="Arial"/>
                <w:sz w:val="14"/>
                <w:szCs w:val="14"/>
                <w:color w:val="auto"/>
              </w:rPr>
              <w:t>(326)</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(3.3%)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320" w:type="dxa"/>
            <w:vAlign w:val="bottom"/>
            <w:gridSpan w:val="11"/>
          </w:tcPr>
          <w:p>
            <w:pPr>
              <w:ind w:left="20"/>
              <w:spacing w:after="0" w:line="149" w:lineRule="exact"/>
              <w:rPr>
                <w:sz w:val="20"/>
                <w:szCs w:val="20"/>
                <w:color w:val="auto"/>
              </w:rPr>
            </w:pPr>
            <w:r>
              <w:rPr>
                <w:rFonts w:ascii="Arial" w:cs="Arial" w:eastAsia="Arial" w:hAnsi="Arial"/>
                <w:sz w:val="14"/>
                <w:szCs w:val="14"/>
                <w:color w:val="auto"/>
              </w:rPr>
              <w:t>Gross margin</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4300" w:type="dxa"/>
            <w:vAlign w:val="bottom"/>
            <w:gridSpan w:val="10"/>
            <w:shd w:val="clear" w:color="auto" w:fill="CCEEFF"/>
          </w:tcPr>
          <w:p>
            <w:pPr>
              <w:ind w:left="100"/>
              <w:spacing w:after="0" w:line="155" w:lineRule="exact"/>
              <w:rPr>
                <w:sz w:val="20"/>
                <w:szCs w:val="20"/>
                <w:color w:val="auto"/>
              </w:rPr>
            </w:pPr>
            <w:r>
              <w:rPr>
                <w:rFonts w:ascii="Arial" w:cs="Arial" w:eastAsia="Arial" w:hAnsi="Arial"/>
                <w:sz w:val="14"/>
                <w:szCs w:val="14"/>
                <w:color w:val="auto"/>
              </w:rPr>
              <w:t>Good Sam Services and Plans</w:t>
            </w: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61.7%</w:t>
            </w: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59.2%</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252 bps</w:t>
            </w: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00" w:type="dxa"/>
            <w:vAlign w:val="bottom"/>
            <w:gridSpan w:val="10"/>
          </w:tcPr>
          <w:p>
            <w:pPr>
              <w:ind w:left="100"/>
              <w:spacing w:after="0"/>
              <w:rPr>
                <w:sz w:val="20"/>
                <w:szCs w:val="20"/>
                <w:color w:val="auto"/>
              </w:rPr>
            </w:pPr>
            <w:r>
              <w:rPr>
                <w:rFonts w:ascii="Arial" w:cs="Arial" w:eastAsia="Arial" w:hAnsi="Arial"/>
                <w:sz w:val="14"/>
                <w:szCs w:val="14"/>
                <w:color w:val="auto"/>
              </w:rPr>
              <w:t>New vehicles</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11.1%</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13.4%</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(234)bps</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4300" w:type="dxa"/>
            <w:vAlign w:val="bottom"/>
            <w:gridSpan w:val="10"/>
            <w:shd w:val="clear" w:color="auto" w:fill="CCEEFF"/>
          </w:tcPr>
          <w:p>
            <w:pPr>
              <w:ind w:left="100"/>
              <w:spacing w:after="0"/>
              <w:rPr>
                <w:sz w:val="20"/>
                <w:szCs w:val="20"/>
                <w:color w:val="auto"/>
              </w:rPr>
            </w:pPr>
            <w:r>
              <w:rPr>
                <w:rFonts w:ascii="Arial" w:cs="Arial" w:eastAsia="Arial" w:hAnsi="Arial"/>
                <w:sz w:val="14"/>
                <w:szCs w:val="14"/>
                <w:color w:val="auto"/>
              </w:rPr>
              <w:t>Used vehicles</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(185)bps</w:t>
            </w: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00" w:type="dxa"/>
            <w:vAlign w:val="bottom"/>
            <w:gridSpan w:val="10"/>
          </w:tcPr>
          <w:p>
            <w:pPr>
              <w:ind w:left="100"/>
              <w:spacing w:after="0"/>
              <w:rPr>
                <w:sz w:val="20"/>
                <w:szCs w:val="20"/>
                <w:color w:val="auto"/>
              </w:rPr>
            </w:pPr>
            <w:r>
              <w:rPr>
                <w:rFonts w:ascii="Arial" w:cs="Arial" w:eastAsia="Arial" w:hAnsi="Arial"/>
                <w:sz w:val="14"/>
                <w:szCs w:val="14"/>
                <w:color w:val="auto"/>
              </w:rPr>
              <w:t>Products, service and other</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44.2%</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47.1%</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(292)bps</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4300" w:type="dxa"/>
            <w:vAlign w:val="bottom"/>
            <w:gridSpan w:val="10"/>
            <w:shd w:val="clear" w:color="auto" w:fill="CCEEFF"/>
          </w:tcPr>
          <w:p>
            <w:pPr>
              <w:ind w:left="100"/>
              <w:spacing w:after="0"/>
              <w:rPr>
                <w:sz w:val="20"/>
                <w:szCs w:val="20"/>
                <w:color w:val="auto"/>
              </w:rPr>
            </w:pPr>
            <w:r>
              <w:rPr>
                <w:rFonts w:ascii="Arial" w:cs="Arial" w:eastAsia="Arial" w:hAnsi="Arial"/>
                <w:sz w:val="14"/>
                <w:szCs w:val="14"/>
                <w:color w:val="auto"/>
              </w:rPr>
              <w:t>Finance and insurance, net</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88"/>
              <w:spacing w:after="0"/>
              <w:rPr>
                <w:sz w:val="20"/>
                <w:szCs w:val="20"/>
                <w:color w:val="auto"/>
              </w:rPr>
            </w:pPr>
            <w:r>
              <w:rPr>
                <w:rFonts w:ascii="Arial" w:cs="Arial" w:eastAsia="Arial" w:hAnsi="Arial"/>
                <w:sz w:val="14"/>
                <w:szCs w:val="14"/>
                <w:color w:val="auto"/>
              </w:rPr>
              <w:t>unch</w:t>
            </w: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00" w:type="dxa"/>
            <w:vAlign w:val="bottom"/>
            <w:gridSpan w:val="10"/>
          </w:tcPr>
          <w:p>
            <w:pPr>
              <w:ind w:left="100"/>
              <w:spacing w:after="0"/>
              <w:rPr>
                <w:sz w:val="20"/>
                <w:szCs w:val="20"/>
                <w:color w:val="auto"/>
              </w:rPr>
            </w:pPr>
            <w:r>
              <w:rPr>
                <w:rFonts w:ascii="Arial" w:cs="Arial" w:eastAsia="Arial" w:hAnsi="Arial"/>
                <w:sz w:val="14"/>
                <w:szCs w:val="14"/>
                <w:color w:val="auto"/>
              </w:rPr>
              <w:t>Good Sam Club</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89.9%</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88.4%</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153 bps</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shd w:val="clear" w:color="auto" w:fill="CCEEFF"/>
          </w:tcPr>
          <w:p>
            <w:pPr>
              <w:spacing w:after="0" w:line="20" w:lineRule="exact"/>
              <w:rPr>
                <w:sz w:val="1"/>
                <w:szCs w:val="1"/>
                <w:color w:val="auto"/>
              </w:rPr>
            </w:pPr>
          </w:p>
        </w:tc>
        <w:tc>
          <w:tcPr>
            <w:tcW w:w="4300" w:type="dxa"/>
            <w:vAlign w:val="bottom"/>
            <w:gridSpan w:val="10"/>
            <w:vMerge w:val="restart"/>
            <w:shd w:val="clear" w:color="auto" w:fill="CCEEFF"/>
          </w:tcPr>
          <w:p>
            <w:pPr>
              <w:ind w:left="200"/>
              <w:spacing w:after="0"/>
              <w:rPr>
                <w:sz w:val="20"/>
                <w:szCs w:val="20"/>
                <w:color w:val="auto"/>
              </w:rPr>
            </w:pPr>
            <w:r>
              <w:rPr>
                <w:rFonts w:ascii="Arial" w:cs="Arial" w:eastAsia="Arial" w:hAnsi="Arial"/>
                <w:sz w:val="14"/>
                <w:szCs w:val="14"/>
                <w:color w:val="auto"/>
              </w:rPr>
              <w:t>Subtotal RV and Outdoor Retail</w:t>
            </w: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vMerge w:val="continue"/>
            <w:shd w:val="clear" w:color="auto" w:fill="CCEEFF"/>
          </w:tcPr>
          <w:p>
            <w:pPr>
              <w:spacing w:after="0"/>
              <w:rPr>
                <w:sz w:val="13"/>
                <w:szCs w:val="13"/>
                <w:color w:val="auto"/>
              </w:rPr>
            </w:pPr>
          </w:p>
        </w:tc>
        <w:tc>
          <w:tcPr>
            <w:tcW w:w="4300" w:type="dxa"/>
            <w:vAlign w:val="bottom"/>
            <w:gridSpan w:val="10"/>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27.2%</w:t>
            </w: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28.7%</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(156)bps</w:t>
            </w: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0" w:type="dxa"/>
            <w:vAlign w:val="bottom"/>
            <w:tcBorders>
              <w:bottom w:val="single" w:sz="8" w:color="CCEEFF"/>
            </w:tcBorders>
          </w:tcPr>
          <w:p>
            <w:pPr>
              <w:spacing w:after="0"/>
              <w:rPr>
                <w:sz w:val="17"/>
                <w:szCs w:val="17"/>
                <w:color w:val="auto"/>
              </w:rPr>
            </w:pPr>
          </w:p>
        </w:tc>
        <w:tc>
          <w:tcPr>
            <w:tcW w:w="4300" w:type="dxa"/>
            <w:vAlign w:val="bottom"/>
            <w:tcBorders>
              <w:bottom w:val="single" w:sz="8" w:color="CCEEFF"/>
            </w:tcBorders>
            <w:gridSpan w:val="10"/>
          </w:tcPr>
          <w:p>
            <w:pPr>
              <w:ind w:left="100"/>
              <w:spacing w:after="0" w:line="155" w:lineRule="exact"/>
              <w:rPr>
                <w:sz w:val="20"/>
                <w:szCs w:val="20"/>
                <w:color w:val="auto"/>
              </w:rPr>
            </w:pPr>
            <w:r>
              <w:rPr>
                <w:rFonts w:ascii="Arial" w:cs="Arial" w:eastAsia="Arial" w:hAnsi="Arial"/>
                <w:sz w:val="14"/>
                <w:szCs w:val="14"/>
                <w:color w:val="auto"/>
              </w:rPr>
              <w:t>Total gross margin</w:t>
            </w:r>
          </w:p>
        </w:tc>
        <w:tc>
          <w:tcPr>
            <w:tcW w:w="18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28.2%</w:t>
            </w:r>
          </w:p>
        </w:tc>
        <w:tc>
          <w:tcPr>
            <w:tcW w:w="22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29.6%</w:t>
            </w:r>
          </w:p>
        </w:tc>
        <w:tc>
          <w:tcPr>
            <w:tcW w:w="16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(138)</w:t>
            </w:r>
          </w:p>
        </w:tc>
        <w:tc>
          <w:tcPr>
            <w:tcW w:w="320" w:type="dxa"/>
            <w:vAlign w:val="bottom"/>
            <w:tcBorders>
              <w:bottom w:val="single" w:sz="8" w:color="CCEEFF"/>
            </w:tcBorders>
          </w:tcPr>
          <w:p>
            <w:pPr>
              <w:jc w:val="right"/>
              <w:spacing w:after="0" w:line="155" w:lineRule="exact"/>
              <w:rPr>
                <w:sz w:val="20"/>
                <w:szCs w:val="20"/>
                <w:color w:val="auto"/>
              </w:rPr>
            </w:pPr>
            <w:r>
              <w:rPr>
                <w:rFonts w:ascii="Arial" w:cs="Arial" w:eastAsia="Arial" w:hAnsi="Arial"/>
                <w:sz w:val="14"/>
                <w:szCs w:val="14"/>
                <w:color w:val="auto"/>
              </w:rPr>
              <w:t>bps</w:t>
            </w:r>
          </w:p>
        </w:tc>
        <w:tc>
          <w:tcPr>
            <w:tcW w:w="140" w:type="dxa"/>
            <w:vAlign w:val="bottom"/>
            <w:tcBorders>
              <w:bottom w:val="single" w:sz="8" w:color="CCEEFF"/>
            </w:tcBorders>
          </w:tcPr>
          <w:p>
            <w:pPr>
              <w:spacing w:after="0"/>
              <w:rPr>
                <w:sz w:val="17"/>
                <w:szCs w:val="17"/>
                <w:color w:val="auto"/>
              </w:rPr>
            </w:pPr>
          </w:p>
        </w:tc>
        <w:tc>
          <w:tcPr>
            <w:tcW w:w="620" w:type="dxa"/>
            <w:vAlign w:val="bottom"/>
            <w:tcBorders>
              <w:bottom w:val="single" w:sz="8" w:color="CCEE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gridSpan w:val="11"/>
          </w:tcPr>
          <w:p>
            <w:pPr>
              <w:ind w:left="20"/>
              <w:spacing w:after="0" w:line="149" w:lineRule="exact"/>
              <w:rPr>
                <w:sz w:val="20"/>
                <w:szCs w:val="20"/>
                <w:color w:val="auto"/>
              </w:rPr>
            </w:pPr>
            <w:r>
              <w:rPr>
                <w:rFonts w:ascii="Arial" w:cs="Arial" w:eastAsia="Arial" w:hAnsi="Arial"/>
                <w:sz w:val="14"/>
                <w:szCs w:val="14"/>
                <w:color w:val="auto"/>
              </w:rPr>
              <w:t>Other data</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4300" w:type="dxa"/>
            <w:vAlign w:val="bottom"/>
            <w:gridSpan w:val="10"/>
            <w:shd w:val="clear" w:color="auto" w:fill="CCEEFF"/>
          </w:tcPr>
          <w:p>
            <w:pPr>
              <w:ind w:left="100"/>
              <w:spacing w:after="0" w:line="155" w:lineRule="exact"/>
              <w:rPr>
                <w:sz w:val="20"/>
                <w:szCs w:val="20"/>
                <w:color w:val="auto"/>
              </w:rPr>
            </w:pPr>
            <w:r>
              <w:rPr>
                <w:rFonts w:ascii="Arial" w:cs="Arial" w:eastAsia="Arial" w:hAnsi="Arial"/>
                <w:sz w:val="14"/>
                <w:szCs w:val="14"/>
                <w:color w:val="auto"/>
              </w:rPr>
              <w:t>Finance and insurance gross profit as a % of total vehicle revenue</w:t>
            </w: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13.8%</w:t>
            </w: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13.6%</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18 bps</w:t>
            </w: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n/a</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300" w:type="dxa"/>
            <w:vAlign w:val="bottom"/>
            <w:gridSpan w:val="10"/>
          </w:tcPr>
          <w:p>
            <w:pPr>
              <w:ind w:left="100"/>
              <w:spacing w:after="0"/>
              <w:rPr>
                <w:sz w:val="20"/>
                <w:szCs w:val="20"/>
                <w:color w:val="auto"/>
              </w:rPr>
            </w:pPr>
            <w:r>
              <w:rPr>
                <w:rFonts w:ascii="Arial" w:cs="Arial" w:eastAsia="Arial" w:hAnsi="Arial"/>
                <w:sz w:val="14"/>
                <w:szCs w:val="14"/>
                <w:color w:val="auto"/>
              </w:rPr>
              <w:t>Same store locations</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183</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n/a</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2"/>
          </w:tcPr>
          <w:p>
            <w:pPr>
              <w:jc w:val="right"/>
              <w:ind w:right="288"/>
              <w:spacing w:after="0"/>
              <w:rPr>
                <w:sz w:val="20"/>
                <w:szCs w:val="20"/>
                <w:color w:val="auto"/>
              </w:rPr>
            </w:pPr>
            <w:r>
              <w:rPr>
                <w:rFonts w:ascii="Arial" w:cs="Arial" w:eastAsia="Arial" w:hAnsi="Arial"/>
                <w:sz w:val="14"/>
                <w:szCs w:val="14"/>
                <w:color w:val="auto"/>
              </w:rPr>
              <w:t>n/a</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n/a</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60"/>
        <w:spacing w:after="0"/>
        <w:rPr>
          <w:sz w:val="20"/>
          <w:szCs w:val="20"/>
          <w:color w:val="auto"/>
        </w:rPr>
      </w:pPr>
      <w:r>
        <w:rPr>
          <w:rFonts w:ascii="Arial" w:cs="Arial" w:eastAsia="Arial" w:hAnsi="Arial"/>
          <w:sz w:val="14"/>
          <w:szCs w:val="14"/>
          <w:color w:val="auto"/>
        </w:rPr>
        <w:t>unch – unchanged</w:t>
      </w:r>
    </w:p>
    <w:p>
      <w:pPr>
        <w:spacing w:after="0" w:line="109" w:lineRule="exact"/>
        <w:rPr>
          <w:sz w:val="20"/>
          <w:szCs w:val="20"/>
          <w:color w:val="auto"/>
        </w:rPr>
      </w:pPr>
    </w:p>
    <w:p>
      <w:pPr>
        <w:ind w:left="60"/>
        <w:spacing w:after="0"/>
        <w:rPr>
          <w:sz w:val="20"/>
          <w:szCs w:val="20"/>
          <w:color w:val="auto"/>
        </w:rPr>
      </w:pPr>
      <w:r>
        <w:rPr>
          <w:rFonts w:ascii="Arial" w:cs="Arial" w:eastAsia="Arial" w:hAnsi="Arial"/>
          <w:sz w:val="14"/>
          <w:szCs w:val="14"/>
          <w:color w:val="auto"/>
        </w:rPr>
        <w:t>bps – basis points</w:t>
      </w:r>
    </w:p>
    <w:p>
      <w:pPr>
        <w:spacing w:after="0" w:line="109" w:lineRule="exact"/>
        <w:rPr>
          <w:sz w:val="20"/>
          <w:szCs w:val="20"/>
          <w:color w:val="auto"/>
        </w:rPr>
      </w:pPr>
    </w:p>
    <w:p>
      <w:pPr>
        <w:ind w:left="60"/>
        <w:spacing w:after="0"/>
        <w:rPr>
          <w:sz w:val="20"/>
          <w:szCs w:val="20"/>
          <w:color w:val="auto"/>
        </w:rPr>
      </w:pPr>
      <w:r>
        <w:rPr>
          <w:rFonts w:ascii="Arial" w:cs="Arial" w:eastAsia="Arial" w:hAnsi="Arial"/>
          <w:sz w:val="14"/>
          <w:szCs w:val="14"/>
          <w:color w:val="auto"/>
        </w:rPr>
        <w:t>n/a – not applicable</w:t>
      </w:r>
    </w:p>
    <w:p>
      <w:pPr>
        <w:spacing w:after="0" w:line="109" w:lineRule="exact"/>
        <w:rPr>
          <w:sz w:val="20"/>
          <w:szCs w:val="20"/>
          <w:color w:val="auto"/>
        </w:rPr>
      </w:pPr>
    </w:p>
    <w:p>
      <w:pPr>
        <w:ind w:left="380" w:right="79" w:hanging="330"/>
        <w:spacing w:after="0" w:line="204" w:lineRule="auto"/>
        <w:tabs>
          <w:tab w:leader="none" w:pos="380" w:val="left"/>
        </w:tabs>
        <w:numPr>
          <w:ilvl w:val="0"/>
          <w:numId w:val="28"/>
        </w:numPr>
        <w:rPr>
          <w:rFonts w:ascii="Arial" w:cs="Arial" w:eastAsia="Arial" w:hAnsi="Arial"/>
          <w:sz w:val="22"/>
          <w:szCs w:val="22"/>
          <w:color w:val="auto"/>
          <w:vertAlign w:val="superscript"/>
        </w:rPr>
      </w:pPr>
      <w:r>
        <w:rPr>
          <w:rFonts w:ascii="Arial" w:cs="Arial" w:eastAsia="Arial" w:hAnsi="Arial"/>
          <w:sz w:val="14"/>
          <w:szCs w:val="14"/>
          <w:color w:val="auto"/>
        </w:rPr>
        <w:t>Our same store revenue and units calculations for a given period include only those stores that were open both at the end of the corresponding period and at the beginning of the preceding fiscal year.</w:t>
      </w:r>
    </w:p>
    <w:p>
      <w:pPr>
        <w:spacing w:after="0" w:line="53" w:lineRule="exact"/>
        <w:rPr>
          <w:rFonts w:ascii="Arial" w:cs="Arial" w:eastAsia="Arial" w:hAnsi="Arial"/>
          <w:sz w:val="22"/>
          <w:szCs w:val="22"/>
          <w:color w:val="auto"/>
          <w:vertAlign w:val="superscript"/>
        </w:rPr>
      </w:pPr>
    </w:p>
    <w:p>
      <w:pPr>
        <w:ind w:left="380" w:right="79" w:hanging="330"/>
        <w:spacing w:after="0" w:line="204" w:lineRule="auto"/>
        <w:tabs>
          <w:tab w:leader="none" w:pos="380" w:val="left"/>
        </w:tabs>
        <w:numPr>
          <w:ilvl w:val="0"/>
          <w:numId w:val="28"/>
        </w:numPr>
        <w:rPr>
          <w:rFonts w:ascii="Arial" w:cs="Arial" w:eastAsia="Arial" w:hAnsi="Arial"/>
          <w:sz w:val="22"/>
          <w:szCs w:val="22"/>
          <w:color w:val="auto"/>
          <w:vertAlign w:val="superscript"/>
        </w:rPr>
      </w:pPr>
      <w:r>
        <w:rPr>
          <w:rFonts w:ascii="Arial" w:cs="Arial" w:eastAsia="Arial" w:hAnsi="Arial"/>
          <w:sz w:val="14"/>
          <w:szCs w:val="14"/>
          <w:color w:val="auto"/>
        </w:rPr>
        <w:t>Front-end yield is calculated as gross profit from new vehicles, used vehicles and finance and insurance (net), divided by combined new and used vehicle unit sales.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8" w:name="page49"/>
    <w:bookmarkEnd w:id="4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Revenue and Gross Profit</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Good Sam Services and Plans</w:t>
      </w:r>
    </w:p>
    <w:p>
      <w:pPr>
        <w:spacing w:after="0" w:line="210"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Good Sam Services and Plans revenue increased primarily from increased revenue for the Good Sam branded extended vehicle warranty program, partially offset by reduced revenue for the Good Sam TravelAssist products, which were negatively impacted by the decline in overall demand for new vehicles. See “Industry Trends” above for a discussion of the impact of economic conditions and consumer sentiment on the demand for new vehicles.</w:t>
      </w:r>
    </w:p>
    <w:p>
      <w:pPr>
        <w:spacing w:after="0" w:line="176"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Good Sam Services and Plans gross profit and gross margin increased primarily due to reduced roadside assistance claims costs and increased revenue from the higher-margin Good Sam branded extended vehicle warranty programs, partially offset by a revenue reduction for the Good Sam TravelAssist programs.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RV and Outdoor Retail</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color w:val="auto"/>
        </w:rPr>
        <w:t>New vehicles</w:t>
      </w:r>
    </w:p>
    <w:p>
      <w:pPr>
        <w:spacing w:after="0" w:line="21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New vehicles revenue decreased primarily due to a 17.3% decrease in new vehicles unit sales, partially offset by a 10.1% increase in the average price per new vehicle sold. On a same store basis, new vehicles revenue decreased 8.8% to $2.0 billion resulting from a 17.5% decrease in new vehicles units sold, partially offset by a 10.5% increase in the average selling price per vehicle sold.</w:t>
      </w:r>
    </w:p>
    <w:p>
      <w:pPr>
        <w:spacing w:after="0" w:line="174"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New vehicles gross profit decreased primarily due to a 17.3% decrease in new vehicles unit sales and the 234 basis point decrease in new vehicles gross margin. The new vehicles gross margin decrease was primarily driven by a 13.1% increase in the average cost per new vehicle sold, partially offset by a 10.1% increase in the average selling price per new vehicle sold. The increases in average selling price and average cost of new vehicles were largely driven by a mix shift toward higher cost fifth wheels and Class C motorhomes, and away from lower cost travel trailers. See “Industry Trends” above for a discussion of the impact of economic conditions and consumer sentiment on the demand for new vehicles.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color w:val="auto"/>
        </w:rPr>
        <w:t>Used vehicles</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Used vehicles revenue decreased primarily due to a 3.2% decrease in the average selling price per used vehicle sold, particularly on the higher-priced motorized units and a small shift away from motorized units toward lower-priced towables, and a 2.0% decrease in used vehicles unit sales. On a same store basis, used vehicles revenue decreased 4.4% to $1.4 billion resulting from a 1.9% decrease in used vehicles units sold and a 2.6% decrease in average selling price per used vehicle sold.</w:t>
      </w:r>
    </w:p>
    <w:p>
      <w:pPr>
        <w:spacing w:after="0" w:line="176"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Used vehicles gross profit decreased primarily due to a 3.2% decrease in the average selling price per used vehicle sold and a 2.0% decrease in used vehicles unit sales, partially offset by a 1.0% decrease in the average cost per used vehicle sold. The used vehicles gross margin decrease was primarily driven by a 3.2% decrease in the average selling price per used vehicle sold.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9" w:name="page50"/>
    <w:bookmarkEnd w:id="4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Products, service and other</w:t>
      </w:r>
    </w:p>
    <w:p>
      <w:pPr>
        <w:spacing w:after="0" w:line="21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Products, service and other revenue decreased primarily due to lower service volume and an overall decline in vehicle unit sales. On a same store basis, products, service and other revenue of $477.4 million was unchanged versus prior year.</w:t>
      </w:r>
    </w:p>
    <w:p>
      <w:pPr>
        <w:spacing w:after="0" w:line="169"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Products, service and other gross profit decreased primarily due to the lower revenue discussed above. Products, service and other gross margin decreased 292 basis points to 44.2%, driven by the lower mix of higher-margin service and collision revenue.</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Finance and insurance, net</w:t>
      </w:r>
    </w:p>
    <w:p>
      <w:pPr>
        <w:spacing w:after="0" w:line="212"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Finance and insurance revenue and gross profit are recorded net, since the Company is acting as an agent in the transaction, and commission is recognized when a finance and insurance product contract payment has been received or financing has been arranged. The finance and insurance, net revenue decrease was driven by fewer contracts sold on new vehicles, resulting from a 17.3% decrease in new vehicle unit sales, and an additional $9.0 million increase in the unfavorable adjustment to variable consideration for chargebacks based on updates to the actuarial analysis of our chargeback liabilities, partially offset by a 3.4% increase in total vehicle average selling price, as certain finance and insurance, net offerings correlate with the selling price of vehicles. Finance and insurance, net revenue as a percentage of new and used vehicle revenue was 13.8%, an 18 basis point increase from the prior year. On a same store basis, finance and insurance, net revenue decreased 6.2% to $469.6 million.</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color w:val="auto"/>
        </w:rPr>
        <w:t>Good Sam Club</w:t>
      </w:r>
    </w:p>
    <w:p>
      <w:pPr>
        <w:spacing w:after="0" w:line="212"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Good Sam Club revenue and gross profit increased mainly due to increased co-branded credit card revenue from a revised partner agreement that resulted in the recognition of a nonrecurring $5.3 million milestone payment for completing certain growth initiatives during the three months ended September 30, 2026, and the addition of recurring profit sharing in the third quarter of 2026, which was $2.3 million for the three months ended September 30, 2026. In addition, memberships provided with vehicle sales are shifting from three-year, lower-tier memberships to one-year, elite-tier memberships, which aligns with the current marketing strategy and increased annual pricing due to enhanced benefits, including loyalty points and access to unique campground stays. These gains were partially offset by a 14.8% decline in paid members (excluding free basic plan members), as higher prices contributed to lower renewal rates.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Operating Expenses and Other</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Selling, general, and administrative expenses</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Selling, general, and administrative expenses decreased primarily due to a $72.8 million decrease in employee cash compensation costs excluding commissions, resulting primarily from headcount reductions; a $12.2 million decrease in commission costs; a $10.8 million decrease in SBC; partially offset by a $12.7 million increase in outside service provider fees related primarily to software, AI, and infrastructure maintenance expenses, and a $5.7 million increase in rent expense.</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Goodwill impairment</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As discussed in Note 7 ― Goodwill and Intangible Assets to our condensed consolidated financial statements included in Part I, Item 1 of this Form 10-Q, we recognized a goodwill impairment charge of $286.7 million relating to the RV and Outdoor Retail reporting unit for the nine months ended September 30, 2026, as a result of an interim goodwill impairment test as of September 30, 2026. No goodwill impairment was recognized during the six months ended June 30, 2026 or the nine months ended September 30, 2025.</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Long-lived asset impairment</w:t>
      </w:r>
    </w:p>
    <w:p>
      <w:pPr>
        <w:spacing w:after="0" w:line="212"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As discussed in Note 5 – Long-Lived Asset Impairment to our condensed consolidated financial statements included in Part I, Item 1 of this Form 10-Q, we recognized $19.8 million and $1.2 million of long-</w:t>
      </w:r>
    </w:p>
    <w:p>
      <w:pPr>
        <w:sectPr>
          <w:pgSz w:w="11900" w:h="16838" w:orient="portrait"/>
          <w:cols w:equalWidth="0" w:num="1">
            <w:col w:w="9019"/>
          </w:cols>
          <w:pgMar w:left="1440" w:top="512" w:right="1440" w:bottom="1440" w:gutter="0" w:footer="0" w:header="0"/>
        </w:sect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50" w:name="page51"/>
    <w:bookmarkEnd w:id="5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lived asset impairment charges for the nine months ended September 30, 2026 and September 30, 2025, respectively, relating to decreases in market rental rates or market value of real property for closed locations, or based on the Company’s review of location performance in the normal course of business.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color w:val="auto"/>
        </w:rPr>
        <w:t>Floor plan interest expense</w:t>
      </w:r>
    </w:p>
    <w:p>
      <w:pPr>
        <w:spacing w:after="0" w:line="21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The slight decrease in floor plan interest expense was primarily due to a 50 basis point decrease in the average floor plan borrowing rate partially offset by a 7.5% increase in the average floor plan balance. The average interest rate for the Floor Plan Facility for the nine months ended September 30, 2026 and September 30, 2025 was 5.93% and 6.43%, respectively.</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color w:val="auto"/>
        </w:rPr>
        <w:t>Other interest expense, net</w:t>
      </w:r>
    </w:p>
    <w:p>
      <w:pPr>
        <w:spacing w:after="0" w:line="212"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Other interest expense, net decreased primarily due to reduced interest rates and reduced borrowings on our Term Loan Facility and our Real Estate Facilities. The average interest rate for the Term Loan Facility for the nine months ended September 30, 2026 and September 30, 2025 was 6.32% and 6.95%, respectively. The average interest rate on the M&amp;T Real Estate Facility (as defined in Note 8 – Long-Term Debt to our condensed consolidated financial statements included in Part I, Item 1 of this Form 10-Q) for the nine months ended September 30, 2026 and September 30, 2025 was 6.11% and 6.77%, respectively.</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color w:val="auto"/>
        </w:rPr>
        <w:t>Loss and expense on debt restructure</w:t>
      </w:r>
    </w:p>
    <w:p>
      <w:pPr>
        <w:spacing w:after="0" w:line="21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As discussed in Note 8 – Long-Term Debt to our condensed consolidated financial statements included in Part I, Item 1 of this Form 10-Q, we recognized $0.5 million of debt restructure expense for third-party refinancing costs and a $0.3 million loss on debt restructure for a portion of the unamortized finance costs resulting from exiting lenders within the refinancing of the M&amp;T Real Estate Facility in August 2026.</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Tax Receivable Agreement liability adjustment</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We recorded no Tax Receivable Agreement liability adjustment for the nine months ended September 30, 2026, compared to a $149.2 million gain for the nine months ended September 30, 2025, reflecting the change in the determination of the realizability of future cash tax benefits underlying the estimate of future payments under the Tax Receivable Agreement during the nine months ended September 30, 2025, which resulted in a remaining total Tax Receivable Agreement liability of $1.2 million as of September 30, 2025. See Note 14 ― Income Taxes to our condensed consolidated financial statements included in Part I, Item 1 of this Form 10-Q for further details.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Income tax expense</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The decrease in income tax expense was primarily due to $175.4 million of income tax expense for establishing a full valuation allowance against the net deferred tax assets of the public holding company, CWH, during the nine months ended September 30, 2025, and $37.3 million of income tax expense for the remeasurement of deferred tax assets associated with the reduction of the Tax Receivable Agreement liability, as discussed above. See Note 14 ― Income Taxes to our condensed consolidated financial statements included in Part I, Item 1 of this Form 10-Q for further details. Income tax expense for the nine months ended September 30, 2026 reflects income tax provisions for certain C-Corp subsidiaries, while no income tax benefit was recognized on the losses of CWH due to its full valuation allowance.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1" w:name="page52"/>
    <w:bookmarkEnd w:id="5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Segment Results</w:t>
      </w:r>
    </w:p>
    <w:p>
      <w:pPr>
        <w:spacing w:after="0" w:line="210" w:lineRule="exact"/>
        <w:rPr>
          <w:sz w:val="20"/>
          <w:szCs w:val="20"/>
          <w:color w:val="auto"/>
        </w:rPr>
      </w:pPr>
    </w:p>
    <w:p>
      <w:pPr>
        <w:ind w:left="60" w:right="59" w:firstLine="648"/>
        <w:spacing w:after="0" w:line="271" w:lineRule="auto"/>
        <w:rPr>
          <w:sz w:val="20"/>
          <w:szCs w:val="20"/>
          <w:color w:val="auto"/>
        </w:rPr>
      </w:pPr>
      <w:r>
        <w:rPr>
          <w:rFonts w:ascii="Arial" w:cs="Arial" w:eastAsia="Arial" w:hAnsi="Arial"/>
          <w:sz w:val="18"/>
          <w:szCs w:val="18"/>
          <w:color w:val="auto"/>
        </w:rPr>
        <w:t>The following table sets forth information comparing select components of Segment Adjusted EBITDA for each of our segments for the periods presented:</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45"/>
        </w:trPr>
        <w:tc>
          <w:tcPr>
            <w:tcW w:w="3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100" w:type="dxa"/>
            <w:vAlign w:val="bottom"/>
            <w:tcBorders>
              <w:bottom w:val="single" w:sz="8" w:color="auto"/>
            </w:tcBorders>
            <w:gridSpan w:val="10"/>
          </w:tcPr>
          <w:p>
            <w:pPr>
              <w:jc w:val="right"/>
              <w:ind w:right="571"/>
              <w:spacing w:after="0"/>
              <w:rPr>
                <w:sz w:val="20"/>
                <w:szCs w:val="20"/>
                <w:color w:val="auto"/>
              </w:rPr>
            </w:pPr>
            <w:r>
              <w:rPr>
                <w:rFonts w:ascii="Arial" w:cs="Arial" w:eastAsia="Arial" w:hAnsi="Arial"/>
                <w:sz w:val="12"/>
                <w:szCs w:val="12"/>
                <w:b w:val="1"/>
                <w:bCs w:val="1"/>
                <w:color w:val="auto"/>
              </w:rPr>
              <w:t>Nine Months Ended September 30,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5"/>
            <w:vMerge w:val="restart"/>
          </w:tcPr>
          <w:p>
            <w:pPr>
              <w:ind w:left="340"/>
              <w:spacing w:after="0"/>
              <w:rPr>
                <w:sz w:val="20"/>
                <w:szCs w:val="20"/>
                <w:color w:val="auto"/>
              </w:rPr>
            </w:pPr>
            <w:r>
              <w:rPr>
                <w:rFonts w:ascii="Arial" w:cs="Arial" w:eastAsia="Arial" w:hAnsi="Arial"/>
                <w:sz w:val="12"/>
                <w:szCs w:val="12"/>
                <w:b w:val="1"/>
                <w:bCs w:val="1"/>
                <w:color w:val="auto"/>
              </w:rPr>
              <w:t>Favorable/</w:t>
            </w:r>
          </w:p>
        </w:tc>
        <w:tc>
          <w:tcPr>
            <w:tcW w:w="0" w:type="dxa"/>
            <w:vAlign w:val="bottom"/>
          </w:tcPr>
          <w:p>
            <w:pPr>
              <w:spacing w:after="0"/>
              <w:rPr>
                <w:sz w:val="1"/>
                <w:szCs w:val="1"/>
                <w:color w:val="auto"/>
              </w:rPr>
            </w:pPr>
          </w:p>
        </w:tc>
      </w:tr>
      <w:tr>
        <w:trPr>
          <w:trHeight w:val="128"/>
        </w:trPr>
        <w:tc>
          <w:tcPr>
            <w:tcW w:w="3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gridSpan w:val="3"/>
          </w:tcPr>
          <w:p>
            <w:pPr>
              <w:jc w:val="right"/>
              <w:spacing w:after="0" w:line="129" w:lineRule="exact"/>
              <w:rPr>
                <w:sz w:val="20"/>
                <w:szCs w:val="20"/>
                <w:color w:val="auto"/>
              </w:rPr>
            </w:pPr>
            <w:r>
              <w:rPr>
                <w:rFonts w:ascii="Arial" w:cs="Arial" w:eastAsia="Arial" w:hAnsi="Arial"/>
                <w:sz w:val="12"/>
                <w:szCs w:val="12"/>
                <w:b w:val="1"/>
                <w:bCs w:val="1"/>
                <w:color w:val="auto"/>
              </w:rPr>
              <w:t>2026</w:t>
            </w:r>
          </w:p>
        </w:tc>
        <w:tc>
          <w:tcPr>
            <w:tcW w:w="5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gridSpan w:val="3"/>
          </w:tcPr>
          <w:p>
            <w:pPr>
              <w:jc w:val="right"/>
              <w:spacing w:after="0" w:line="129" w:lineRule="exact"/>
              <w:rPr>
                <w:sz w:val="20"/>
                <w:szCs w:val="20"/>
                <w:color w:val="auto"/>
              </w:rPr>
            </w:pPr>
            <w:r>
              <w:rPr>
                <w:rFonts w:ascii="Arial" w:cs="Arial" w:eastAsia="Arial" w:hAnsi="Arial"/>
                <w:sz w:val="12"/>
                <w:szCs w:val="12"/>
                <w:b w:val="1"/>
                <w:bCs w:val="1"/>
                <w:color w:val="auto"/>
              </w:rPr>
              <w:t>2025</w:t>
            </w:r>
          </w:p>
        </w:tc>
        <w:tc>
          <w:tcPr>
            <w:tcW w:w="5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Arial" w:cs="Arial" w:eastAsia="Arial" w:hAnsi="Arial"/>
                <w:sz w:val="12"/>
                <w:szCs w:val="12"/>
                <w:b w:val="1"/>
                <w:bCs w:val="1"/>
                <w:color w:val="auto"/>
                <w:w w:val="95"/>
              </w:rPr>
              <w:t>Percent of</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Arial" w:cs="Arial" w:eastAsia="Arial" w:hAnsi="Arial"/>
                <w:sz w:val="12"/>
                <w:szCs w:val="12"/>
                <w:b w:val="1"/>
                <w:bCs w:val="1"/>
                <w:color w:val="auto"/>
                <w:w w:val="95"/>
              </w:rPr>
              <w:t>Percent of</w:t>
            </w: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gridSpan w:val="4"/>
          </w:tcPr>
          <w:p>
            <w:pPr>
              <w:jc w:val="right"/>
              <w:ind w:right="288"/>
              <w:spacing w:after="0" w:line="129" w:lineRule="exact"/>
              <w:rPr>
                <w:sz w:val="20"/>
                <w:szCs w:val="20"/>
                <w:color w:val="auto"/>
              </w:rPr>
            </w:pPr>
            <w:r>
              <w:rPr>
                <w:rFonts w:ascii="Arial" w:cs="Arial" w:eastAsia="Arial" w:hAnsi="Arial"/>
                <w:sz w:val="12"/>
                <w:szCs w:val="12"/>
                <w:b w:val="1"/>
                <w:bCs w:val="1"/>
                <w:color w:val="auto"/>
              </w:rPr>
              <w:t>(Unfavorable)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960" w:type="dxa"/>
            <w:vAlign w:val="bottom"/>
          </w:tcPr>
          <w:p>
            <w:pPr>
              <w:ind w:left="20"/>
              <w:spacing w:after="0" w:line="129" w:lineRule="exact"/>
              <w:rPr>
                <w:sz w:val="20"/>
                <w:szCs w:val="20"/>
                <w:color w:val="auto"/>
              </w:rPr>
            </w:pPr>
            <w:r>
              <w:rPr>
                <w:rFonts w:ascii="Arial" w:cs="Arial" w:eastAsia="Arial" w:hAnsi="Arial"/>
                <w:sz w:val="12"/>
                <w:szCs w:val="12"/>
                <w:color w:val="auto"/>
              </w:rPr>
              <w:t>($ in thousands)</w:t>
            </w:r>
          </w:p>
        </w:tc>
        <w:tc>
          <w:tcPr>
            <w:tcW w:w="240" w:type="dxa"/>
            <w:vAlign w:val="bottom"/>
            <w:gridSpan w:val="2"/>
          </w:tcPr>
          <w:p>
            <w:pPr>
              <w:jc w:val="right"/>
              <w:ind w:right="8"/>
              <w:spacing w:after="0" w:line="129" w:lineRule="exact"/>
              <w:rPr>
                <w:sz w:val="20"/>
                <w:szCs w:val="20"/>
                <w:color w:val="auto"/>
              </w:rPr>
            </w:pPr>
            <w:r>
              <w:rPr>
                <w:rFonts w:ascii="Arial" w:cs="Arial" w:eastAsia="Arial" w:hAnsi="Arial"/>
                <w:sz w:val="12"/>
                <w:szCs w:val="12"/>
                <w:b w:val="1"/>
                <w:bCs w:val="1"/>
                <w:color w:val="auto"/>
              </w:rPr>
              <w:t>​​​</w:t>
            </w:r>
          </w:p>
        </w:tc>
        <w:tc>
          <w:tcPr>
            <w:tcW w:w="740" w:type="dxa"/>
            <w:vAlign w:val="bottom"/>
            <w:gridSpan w:val="2"/>
          </w:tcPr>
          <w:p>
            <w:pPr>
              <w:jc w:val="right"/>
              <w:ind w:right="220"/>
              <w:spacing w:after="0" w:line="129" w:lineRule="exact"/>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jc w:val="right"/>
              <w:spacing w:after="0" w:line="129" w:lineRule="exact"/>
              <w:rPr>
                <w:sz w:val="20"/>
                <w:szCs w:val="20"/>
                <w:color w:val="auto"/>
              </w:rPr>
            </w:pPr>
            <w:r>
              <w:rPr>
                <w:rFonts w:ascii="Arial" w:cs="Arial" w:eastAsia="Arial" w:hAnsi="Arial"/>
                <w:sz w:val="12"/>
                <w:szCs w:val="12"/>
                <w:b w:val="1"/>
                <w:bCs w:val="1"/>
                <w:color w:val="auto"/>
              </w:rPr>
              <w:t>​​​ Revenue</w:t>
            </w:r>
          </w:p>
        </w:tc>
        <w:tc>
          <w:tcPr>
            <w:tcW w:w="240" w:type="dxa"/>
            <w:vAlign w:val="bottom"/>
            <w:gridSpan w:val="2"/>
          </w:tcPr>
          <w:p>
            <w:pPr>
              <w:jc w:val="right"/>
              <w:ind w:right="8"/>
              <w:spacing w:after="0" w:line="129" w:lineRule="exact"/>
              <w:rPr>
                <w:sz w:val="20"/>
                <w:szCs w:val="20"/>
                <w:color w:val="auto"/>
              </w:rPr>
            </w:pPr>
            <w:r>
              <w:rPr>
                <w:rFonts w:ascii="Arial" w:cs="Arial" w:eastAsia="Arial" w:hAnsi="Arial"/>
                <w:sz w:val="12"/>
                <w:szCs w:val="12"/>
                <w:b w:val="1"/>
                <w:bCs w:val="1"/>
                <w:color w:val="auto"/>
              </w:rPr>
              <w:t>​​​</w:t>
            </w:r>
          </w:p>
        </w:tc>
        <w:tc>
          <w:tcPr>
            <w:tcW w:w="760" w:type="dxa"/>
            <w:vAlign w:val="bottom"/>
            <w:gridSpan w:val="2"/>
          </w:tcPr>
          <w:p>
            <w:pPr>
              <w:jc w:val="right"/>
              <w:ind w:right="220"/>
              <w:spacing w:after="0" w:line="129" w:lineRule="exact"/>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jc w:val="right"/>
              <w:spacing w:after="0" w:line="129" w:lineRule="exact"/>
              <w:rPr>
                <w:sz w:val="20"/>
                <w:szCs w:val="20"/>
                <w:color w:val="auto"/>
              </w:rPr>
            </w:pPr>
            <w:r>
              <w:rPr>
                <w:rFonts w:ascii="Arial" w:cs="Arial" w:eastAsia="Arial" w:hAnsi="Arial"/>
                <w:sz w:val="12"/>
                <w:szCs w:val="12"/>
                <w:b w:val="1"/>
                <w:bCs w:val="1"/>
                <w:color w:val="auto"/>
              </w:rPr>
              <w:t>​​​ Revenue</w:t>
            </w:r>
          </w:p>
        </w:tc>
        <w:tc>
          <w:tcPr>
            <w:tcW w:w="240" w:type="dxa"/>
            <w:vAlign w:val="bottom"/>
            <w:gridSpan w:val="2"/>
          </w:tcPr>
          <w:p>
            <w:pPr>
              <w:jc w:val="right"/>
              <w:ind w:right="8"/>
              <w:spacing w:after="0" w:line="129" w:lineRule="exact"/>
              <w:rPr>
                <w:sz w:val="20"/>
                <w:szCs w:val="20"/>
                <w:color w:val="auto"/>
              </w:rPr>
            </w:pPr>
            <w:r>
              <w:rPr>
                <w:rFonts w:ascii="Arial" w:cs="Arial" w:eastAsia="Arial" w:hAnsi="Arial"/>
                <w:sz w:val="12"/>
                <w:szCs w:val="12"/>
                <w:b w:val="1"/>
                <w:bCs w:val="1"/>
                <w:color w:val="auto"/>
              </w:rPr>
              <w:t>​​​</w:t>
            </w:r>
          </w:p>
        </w:tc>
        <w:tc>
          <w:tcPr>
            <w:tcW w:w="640" w:type="dxa"/>
            <w:vAlign w:val="bottom"/>
          </w:tcPr>
          <w:p>
            <w:pPr>
              <w:jc w:val="right"/>
              <w:ind w:right="270"/>
              <w:spacing w:after="0" w:line="129" w:lineRule="exact"/>
              <w:rPr>
                <w:sz w:val="20"/>
                <w:szCs w:val="20"/>
                <w:color w:val="auto"/>
              </w:rPr>
            </w:pPr>
            <w:r>
              <w:rPr>
                <w:rFonts w:ascii="Arial" w:cs="Arial" w:eastAsia="Arial" w:hAnsi="Arial"/>
                <w:sz w:val="12"/>
                <w:szCs w:val="12"/>
                <w:b w:val="1"/>
                <w:bCs w:val="1"/>
                <w:color w:val="auto"/>
              </w:rPr>
              <w:t>$</w:t>
            </w:r>
          </w:p>
        </w:tc>
        <w:tc>
          <w:tcPr>
            <w:tcW w:w="40" w:type="dxa"/>
            <w:vAlign w:val="bottom"/>
          </w:tcPr>
          <w:p>
            <w:pPr>
              <w:spacing w:after="0"/>
              <w:rPr>
                <w:sz w:val="11"/>
                <w:szCs w:val="11"/>
                <w:color w:val="auto"/>
              </w:rPr>
            </w:pPr>
          </w:p>
        </w:tc>
        <w:tc>
          <w:tcPr>
            <w:tcW w:w="680" w:type="dxa"/>
            <w:vAlign w:val="bottom"/>
            <w:gridSpan w:val="2"/>
          </w:tcPr>
          <w:p>
            <w:pPr>
              <w:jc w:val="right"/>
              <w:ind w:right="168"/>
              <w:spacing w:after="0" w:line="129" w:lineRule="exact"/>
              <w:rPr>
                <w:sz w:val="20"/>
                <w:szCs w:val="20"/>
                <w:color w:val="auto"/>
              </w:rPr>
            </w:pPr>
            <w:r>
              <w:rPr>
                <w:rFonts w:ascii="Arial" w:cs="Arial" w:eastAsia="Arial" w:hAnsi="Arial"/>
                <w:sz w:val="12"/>
                <w:szCs w:val="12"/>
                <w:b w:val="1"/>
                <w:bCs w:val="1"/>
                <w:color w:val="auto"/>
              </w:rPr>
              <w:t>​​​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3960" w:type="dxa"/>
            <w:vAlign w:val="bottom"/>
            <w:tcBorders>
              <w:top w:val="single" w:sz="8" w:color="auto"/>
            </w:tcBorders>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Good Sam Services and Plans:</w:t>
            </w: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960" w:type="dxa"/>
            <w:vAlign w:val="bottom"/>
          </w:tcPr>
          <w:p>
            <w:pPr>
              <w:ind w:left="120"/>
              <w:spacing w:after="0"/>
              <w:rPr>
                <w:sz w:val="20"/>
                <w:szCs w:val="20"/>
                <w:color w:val="auto"/>
              </w:rPr>
            </w:pPr>
            <w:r>
              <w:rPr>
                <w:rFonts w:ascii="Arial" w:cs="Arial" w:eastAsia="Arial" w:hAnsi="Arial"/>
                <w:sz w:val="14"/>
                <w:szCs w:val="14"/>
                <w:color w:val="auto"/>
              </w:rPr>
              <w:t>Revenue: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External revenue</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153,153</w:t>
            </w:r>
          </w:p>
        </w:tc>
        <w:tc>
          <w:tcPr>
            <w:tcW w:w="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99.3%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152,929</w:t>
            </w:r>
          </w:p>
        </w:tc>
        <w:tc>
          <w:tcPr>
            <w:tcW w:w="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99.3%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w:t>
            </w:r>
          </w:p>
        </w:tc>
        <w:tc>
          <w:tcPr>
            <w:tcW w:w="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60" w:type="dxa"/>
            <w:vAlign w:val="bottom"/>
          </w:tcPr>
          <w:p>
            <w:pPr>
              <w:ind w:left="220"/>
              <w:spacing w:after="0" w:line="162" w:lineRule="exact"/>
              <w:rPr>
                <w:sz w:val="20"/>
                <w:szCs w:val="20"/>
                <w:color w:val="auto"/>
              </w:rPr>
            </w:pPr>
            <w:r>
              <w:rPr>
                <w:rFonts w:ascii="Arial" w:cs="Arial" w:eastAsia="Arial" w:hAnsi="Arial"/>
                <w:sz w:val="13"/>
                <w:szCs w:val="13"/>
                <w:color w:val="auto"/>
              </w:rPr>
              <w:t>Intersegment revenue</w:t>
            </w:r>
            <w:r>
              <w:rPr>
                <w:rFonts w:ascii="Arial" w:cs="Arial" w:eastAsia="Arial" w:hAnsi="Arial"/>
                <w:sz w:val="18"/>
                <w:szCs w:val="18"/>
                <w:color w:val="auto"/>
                <w:vertAlign w:val="superscript"/>
              </w:rPr>
              <w:t>(1)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1,050</w:t>
            </w:r>
          </w:p>
        </w:tc>
        <w:tc>
          <w:tcPr>
            <w:tcW w:w="4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0.7%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1,060</w:t>
            </w:r>
          </w:p>
        </w:tc>
        <w:tc>
          <w:tcPr>
            <w:tcW w:w="4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0.7%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(10)</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960" w:type="dxa"/>
            <w:vAlign w:val="bottom"/>
            <w:tcBorders>
              <w:top w:val="single" w:sz="8" w:color="CCEEFF"/>
            </w:tcBorders>
            <w:shd w:val="clear" w:color="auto" w:fill="CCEEFF"/>
          </w:tcPr>
          <w:p>
            <w:pPr>
              <w:ind w:left="220"/>
              <w:spacing w:after="0" w:line="155" w:lineRule="exact"/>
              <w:rPr>
                <w:sz w:val="20"/>
                <w:szCs w:val="20"/>
                <w:color w:val="auto"/>
              </w:rPr>
            </w:pPr>
            <w:r>
              <w:rPr>
                <w:rFonts w:ascii="Arial" w:cs="Arial" w:eastAsia="Arial" w:hAnsi="Arial"/>
                <w:sz w:val="14"/>
                <w:szCs w:val="14"/>
                <w:color w:val="auto"/>
              </w:rPr>
              <w:t>Total revenue before intersegment eliminations</w:t>
            </w: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154,203</w:t>
            </w: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100.0%</w:t>
            </w: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153,989</w:t>
            </w: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100.0%</w:t>
            </w: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214</w:t>
            </w: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0.1%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Segment expenses:</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60" w:type="dxa"/>
            <w:vAlign w:val="bottom"/>
          </w:tcPr>
          <w:p>
            <w:pPr>
              <w:ind w:left="220"/>
              <w:spacing w:after="0" w:line="162" w:lineRule="exact"/>
              <w:rPr>
                <w:sz w:val="20"/>
                <w:szCs w:val="20"/>
                <w:color w:val="auto"/>
              </w:rPr>
            </w:pPr>
            <w:r>
              <w:rPr>
                <w:rFonts w:ascii="Arial" w:cs="Arial" w:eastAsia="Arial" w:hAnsi="Arial"/>
                <w:sz w:val="13"/>
                <w:szCs w:val="13"/>
                <w:color w:val="auto"/>
              </w:rPr>
              <w:t>Adjusted costs applicable to revenue</w:t>
            </w:r>
            <w:r>
              <w:rPr>
                <w:rFonts w:ascii="Arial" w:cs="Arial" w:eastAsia="Arial" w:hAnsi="Arial"/>
                <w:sz w:val="18"/>
                <w:szCs w:val="18"/>
                <w:color w:val="auto"/>
                <w:vertAlign w:val="superscript"/>
              </w:rPr>
              <w:t>(2)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58,527</w:t>
            </w:r>
          </w:p>
        </w:tc>
        <w:tc>
          <w:tcPr>
            <w:tcW w:w="4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38.0%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62,353</w:t>
            </w:r>
          </w:p>
        </w:tc>
        <w:tc>
          <w:tcPr>
            <w:tcW w:w="4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40.5%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3,826</w:t>
            </w:r>
          </w:p>
        </w:tc>
        <w:tc>
          <w:tcPr>
            <w:tcW w:w="4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6.1%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60" w:type="dxa"/>
            <w:vAlign w:val="bottom"/>
            <w:shd w:val="clear" w:color="auto" w:fill="CCEEFF"/>
          </w:tcPr>
          <w:p>
            <w:pPr>
              <w:ind w:left="220"/>
              <w:spacing w:after="0" w:line="162" w:lineRule="exact"/>
              <w:rPr>
                <w:sz w:val="20"/>
                <w:szCs w:val="20"/>
                <w:color w:val="auto"/>
              </w:rPr>
            </w:pPr>
            <w:r>
              <w:rPr>
                <w:rFonts w:ascii="Arial" w:cs="Arial" w:eastAsia="Arial" w:hAnsi="Arial"/>
                <w:sz w:val="13"/>
                <w:szCs w:val="13"/>
                <w:color w:val="auto"/>
              </w:rPr>
              <w:t>Intersegment costs applicable to revenue</w:t>
            </w:r>
            <w:r>
              <w:rPr>
                <w:rFonts w:ascii="Arial" w:cs="Arial" w:eastAsia="Arial" w:hAnsi="Arial"/>
                <w:sz w:val="18"/>
                <w:szCs w:val="18"/>
                <w:color w:val="auto"/>
                <w:vertAlign w:val="superscript"/>
              </w:rPr>
              <w:t>(3)</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446</w:t>
            </w:r>
          </w:p>
        </w:tc>
        <w:tc>
          <w:tcPr>
            <w:tcW w:w="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705</w:t>
            </w:r>
          </w:p>
        </w:tc>
        <w:tc>
          <w:tcPr>
            <w:tcW w:w="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36.7%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60" w:type="dxa"/>
            <w:vAlign w:val="bottom"/>
          </w:tcPr>
          <w:p>
            <w:pPr>
              <w:ind w:left="220"/>
              <w:spacing w:after="0" w:line="162" w:lineRule="exact"/>
              <w:rPr>
                <w:sz w:val="20"/>
                <w:szCs w:val="20"/>
                <w:color w:val="auto"/>
              </w:rPr>
            </w:pPr>
            <w:r>
              <w:rPr>
                <w:rFonts w:ascii="Arial" w:cs="Arial" w:eastAsia="Arial" w:hAnsi="Arial"/>
                <w:sz w:val="13"/>
                <w:szCs w:val="13"/>
                <w:color w:val="auto"/>
              </w:rPr>
              <w:t>Adjusted selling, general and administrative</w:t>
            </w:r>
            <w:r>
              <w:rPr>
                <w:rFonts w:ascii="Arial" w:cs="Arial" w:eastAsia="Arial" w:hAnsi="Arial"/>
                <w:sz w:val="18"/>
                <w:szCs w:val="18"/>
                <w:color w:val="auto"/>
                <w:vertAlign w:val="superscript"/>
              </w:rPr>
              <w:t>(4)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26,827</w:t>
            </w:r>
          </w:p>
        </w:tc>
        <w:tc>
          <w:tcPr>
            <w:tcW w:w="4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17.4%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23,072</w:t>
            </w:r>
          </w:p>
        </w:tc>
        <w:tc>
          <w:tcPr>
            <w:tcW w:w="4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15.0%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(3,755)</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(16.3%)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960" w:type="dxa"/>
            <w:vAlign w:val="bottom"/>
            <w:tcBorders>
              <w:top w:val="single" w:sz="8" w:color="CCEEFF"/>
              <w:bottom w:val="single" w:sz="8" w:color="CCEEFF"/>
            </w:tcBorders>
            <w:shd w:val="clear" w:color="auto" w:fill="CCEEFF"/>
          </w:tcPr>
          <w:p>
            <w:pPr>
              <w:ind w:left="120"/>
              <w:spacing w:after="0" w:line="155" w:lineRule="exact"/>
              <w:rPr>
                <w:sz w:val="20"/>
                <w:szCs w:val="20"/>
                <w:color w:val="auto"/>
              </w:rPr>
            </w:pPr>
            <w:r>
              <w:rPr>
                <w:rFonts w:ascii="Arial" w:cs="Arial" w:eastAsia="Arial" w:hAnsi="Arial"/>
                <w:sz w:val="14"/>
                <w:szCs w:val="14"/>
                <w:color w:val="auto"/>
              </w:rPr>
              <w:t>Segment Adjusted EBITDA</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7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68,403</w:t>
            </w: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5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44.4%</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67,859</w:t>
            </w: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5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44.1%</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6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544</w:t>
            </w: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5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0.8%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9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RV and Outdoor Retail:</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60" w:type="dxa"/>
            <w:vAlign w:val="bottom"/>
          </w:tcPr>
          <w:p>
            <w:pPr>
              <w:ind w:left="120"/>
              <w:spacing w:after="0"/>
              <w:rPr>
                <w:sz w:val="20"/>
                <w:szCs w:val="20"/>
                <w:color w:val="auto"/>
              </w:rPr>
            </w:pPr>
            <w:r>
              <w:rPr>
                <w:rFonts w:ascii="Arial" w:cs="Arial" w:eastAsia="Arial" w:hAnsi="Arial"/>
                <w:sz w:val="14"/>
                <w:szCs w:val="14"/>
                <w:color w:val="auto"/>
              </w:rPr>
              <w:t>Revenue: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External revenue</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4,718,401</w:t>
            </w:r>
          </w:p>
        </w:tc>
        <w:tc>
          <w:tcPr>
            <w:tcW w:w="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99.9%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5,042,661</w:t>
            </w:r>
          </w:p>
        </w:tc>
        <w:tc>
          <w:tcPr>
            <w:tcW w:w="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99.8%</w:t>
            </w:r>
          </w:p>
        </w:tc>
        <w:tc>
          <w:tcPr>
            <w:tcW w:w="920" w:type="dxa"/>
            <w:vAlign w:val="bottom"/>
            <w:gridSpan w:val="4"/>
            <w:shd w:val="clear" w:color="auto" w:fill="CCEEFF"/>
          </w:tcPr>
          <w:p>
            <w:pPr>
              <w:jc w:val="right"/>
              <w:ind w:right="40"/>
              <w:spacing w:after="0"/>
              <w:rPr>
                <w:sz w:val="20"/>
                <w:szCs w:val="20"/>
                <w:color w:val="auto"/>
              </w:rPr>
            </w:pPr>
            <w:r>
              <w:rPr>
                <w:rFonts w:ascii="Arial" w:cs="Arial" w:eastAsia="Arial" w:hAnsi="Arial"/>
                <w:sz w:val="14"/>
                <w:szCs w:val="14"/>
                <w:color w:val="auto"/>
              </w:rPr>
              <w:t>$ (324,260)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60" w:type="dxa"/>
            <w:vAlign w:val="bottom"/>
          </w:tcPr>
          <w:p>
            <w:pPr>
              <w:ind w:left="220"/>
              <w:spacing w:after="0" w:line="162" w:lineRule="exact"/>
              <w:rPr>
                <w:sz w:val="20"/>
                <w:szCs w:val="20"/>
                <w:color w:val="auto"/>
              </w:rPr>
            </w:pPr>
            <w:r>
              <w:rPr>
                <w:rFonts w:ascii="Arial" w:cs="Arial" w:eastAsia="Arial" w:hAnsi="Arial"/>
                <w:sz w:val="13"/>
                <w:szCs w:val="13"/>
                <w:color w:val="auto"/>
              </w:rPr>
              <w:t>Intersegment revenue</w:t>
            </w:r>
            <w:r>
              <w:rPr>
                <w:rFonts w:ascii="Arial" w:cs="Arial" w:eastAsia="Arial" w:hAnsi="Arial"/>
                <w:sz w:val="18"/>
                <w:szCs w:val="18"/>
                <w:color w:val="auto"/>
                <w:vertAlign w:val="superscript"/>
              </w:rPr>
              <w:t>(1)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4,080</w:t>
            </w:r>
          </w:p>
        </w:tc>
        <w:tc>
          <w:tcPr>
            <w:tcW w:w="4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0.1%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10,161</w:t>
            </w:r>
          </w:p>
        </w:tc>
        <w:tc>
          <w:tcPr>
            <w:tcW w:w="4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0.2%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(6,081)</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(59.8%)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960" w:type="dxa"/>
            <w:vAlign w:val="bottom"/>
            <w:tcBorders>
              <w:top w:val="single" w:sz="8" w:color="CCEEFF"/>
            </w:tcBorders>
            <w:shd w:val="clear" w:color="auto" w:fill="CCEEFF"/>
          </w:tcPr>
          <w:p>
            <w:pPr>
              <w:ind w:left="220"/>
              <w:spacing w:after="0" w:line="155" w:lineRule="exact"/>
              <w:rPr>
                <w:sz w:val="20"/>
                <w:szCs w:val="20"/>
                <w:color w:val="auto"/>
              </w:rPr>
            </w:pPr>
            <w:r>
              <w:rPr>
                <w:rFonts w:ascii="Arial" w:cs="Arial" w:eastAsia="Arial" w:hAnsi="Arial"/>
                <w:sz w:val="14"/>
                <w:szCs w:val="14"/>
                <w:color w:val="auto"/>
              </w:rPr>
              <w:t>Total revenue before intersegment eliminations</w:t>
            </w: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4,722,481</w:t>
            </w: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100.0%</w:t>
            </w: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5,052,822</w:t>
            </w: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100.0%</w:t>
            </w: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(330,341)</w:t>
            </w: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Segment expenses:</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60" w:type="dxa"/>
            <w:vAlign w:val="bottom"/>
          </w:tcPr>
          <w:p>
            <w:pPr>
              <w:ind w:left="220"/>
              <w:spacing w:after="0" w:line="162" w:lineRule="exact"/>
              <w:rPr>
                <w:sz w:val="20"/>
                <w:szCs w:val="20"/>
                <w:color w:val="auto"/>
              </w:rPr>
            </w:pPr>
            <w:r>
              <w:rPr>
                <w:rFonts w:ascii="Arial" w:cs="Arial" w:eastAsia="Arial" w:hAnsi="Arial"/>
                <w:sz w:val="13"/>
                <w:szCs w:val="13"/>
                <w:color w:val="auto"/>
              </w:rPr>
              <w:t>Adjusted costs applicable to revenue</w:t>
            </w:r>
            <w:r>
              <w:rPr>
                <w:rFonts w:ascii="Arial" w:cs="Arial" w:eastAsia="Arial" w:hAnsi="Arial"/>
                <w:sz w:val="18"/>
                <w:szCs w:val="18"/>
                <w:color w:val="auto"/>
                <w:vertAlign w:val="superscript"/>
              </w:rPr>
              <w:t>(2)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3,436,658</w:t>
            </w:r>
          </w:p>
        </w:tc>
        <w:tc>
          <w:tcPr>
            <w:tcW w:w="4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72.8%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3,593,978</w:t>
            </w:r>
          </w:p>
        </w:tc>
        <w:tc>
          <w:tcPr>
            <w:tcW w:w="4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71.1%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157,320</w:t>
            </w:r>
          </w:p>
        </w:tc>
        <w:tc>
          <w:tcPr>
            <w:tcW w:w="4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4.4%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60" w:type="dxa"/>
            <w:vAlign w:val="bottom"/>
            <w:shd w:val="clear" w:color="auto" w:fill="CCEEFF"/>
          </w:tcPr>
          <w:p>
            <w:pPr>
              <w:ind w:left="220"/>
              <w:spacing w:after="0" w:line="162" w:lineRule="exact"/>
              <w:rPr>
                <w:sz w:val="20"/>
                <w:szCs w:val="20"/>
                <w:color w:val="auto"/>
              </w:rPr>
            </w:pPr>
            <w:r>
              <w:rPr>
                <w:rFonts w:ascii="Arial" w:cs="Arial" w:eastAsia="Arial" w:hAnsi="Arial"/>
                <w:sz w:val="13"/>
                <w:szCs w:val="13"/>
                <w:color w:val="auto"/>
              </w:rPr>
              <w:t>Intersegment costs applicable to revenue</w:t>
            </w:r>
            <w:r>
              <w:rPr>
                <w:rFonts w:ascii="Arial" w:cs="Arial" w:eastAsia="Arial" w:hAnsi="Arial"/>
                <w:sz w:val="18"/>
                <w:szCs w:val="18"/>
                <w:color w:val="auto"/>
                <w:vertAlign w:val="superscript"/>
              </w:rPr>
              <w:t>(3)</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7,138</w:t>
            </w:r>
          </w:p>
        </w:tc>
        <w:tc>
          <w:tcPr>
            <w:tcW w:w="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9,744</w:t>
            </w:r>
          </w:p>
        </w:tc>
        <w:tc>
          <w:tcPr>
            <w:tcW w:w="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2,606</w:t>
            </w:r>
          </w:p>
        </w:tc>
        <w:tc>
          <w:tcPr>
            <w:tcW w:w="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60" w:type="dxa"/>
            <w:vAlign w:val="bottom"/>
          </w:tcPr>
          <w:p>
            <w:pPr>
              <w:ind w:left="220"/>
              <w:spacing w:after="0" w:line="162" w:lineRule="exact"/>
              <w:rPr>
                <w:sz w:val="20"/>
                <w:szCs w:val="20"/>
                <w:color w:val="auto"/>
              </w:rPr>
            </w:pPr>
            <w:r>
              <w:rPr>
                <w:rFonts w:ascii="Arial" w:cs="Arial" w:eastAsia="Arial" w:hAnsi="Arial"/>
                <w:sz w:val="13"/>
                <w:szCs w:val="13"/>
                <w:color w:val="auto"/>
              </w:rPr>
              <w:t>Adjusted selling, general and administrative</w:t>
            </w:r>
            <w:r>
              <w:rPr>
                <w:rFonts w:ascii="Arial" w:cs="Arial" w:eastAsia="Arial" w:hAnsi="Arial"/>
                <w:sz w:val="18"/>
                <w:szCs w:val="18"/>
                <w:color w:val="auto"/>
                <w:vertAlign w:val="superscript"/>
              </w:rPr>
              <w:t>(4)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1,105,412</w:t>
            </w:r>
          </w:p>
        </w:tc>
        <w:tc>
          <w:tcPr>
            <w:tcW w:w="4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23.4%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1,179,591</w:t>
            </w:r>
          </w:p>
        </w:tc>
        <w:tc>
          <w:tcPr>
            <w:tcW w:w="4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23.3%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74,179</w:t>
            </w:r>
          </w:p>
        </w:tc>
        <w:tc>
          <w:tcPr>
            <w:tcW w:w="4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6.3%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Floor plan interest expense</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56,830</w:t>
            </w:r>
          </w:p>
        </w:tc>
        <w:tc>
          <w:tcPr>
            <w:tcW w:w="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57,356</w:t>
            </w:r>
          </w:p>
        </w:tc>
        <w:tc>
          <w:tcPr>
            <w:tcW w:w="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526</w:t>
            </w:r>
          </w:p>
        </w:tc>
        <w:tc>
          <w:tcPr>
            <w:tcW w:w="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60" w:type="dxa"/>
            <w:vAlign w:val="bottom"/>
          </w:tcPr>
          <w:p>
            <w:pPr>
              <w:ind w:left="220"/>
              <w:spacing w:after="0" w:line="162" w:lineRule="exact"/>
              <w:rPr>
                <w:sz w:val="20"/>
                <w:szCs w:val="20"/>
                <w:color w:val="auto"/>
              </w:rPr>
            </w:pPr>
            <w:r>
              <w:rPr>
                <w:rFonts w:ascii="Arial" w:cs="Arial" w:eastAsia="Arial" w:hAnsi="Arial"/>
                <w:sz w:val="13"/>
                <w:szCs w:val="13"/>
                <w:color w:val="auto"/>
              </w:rPr>
              <w:t>Other segment items</w:t>
            </w:r>
            <w:r>
              <w:rPr>
                <w:rFonts w:ascii="Arial" w:cs="Arial" w:eastAsia="Arial" w:hAnsi="Arial"/>
                <w:sz w:val="18"/>
                <w:szCs w:val="18"/>
                <w:color w:val="auto"/>
                <w:vertAlign w:val="superscript"/>
              </w:rPr>
              <w:t>(5)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(139)</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(29)</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110</w:t>
            </w:r>
          </w:p>
        </w:tc>
        <w:tc>
          <w:tcPr>
            <w:tcW w:w="4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379.3%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960" w:type="dxa"/>
            <w:vAlign w:val="bottom"/>
            <w:tcBorders>
              <w:top w:val="single" w:sz="8" w:color="CCEEFF"/>
              <w:bottom w:val="single" w:sz="8" w:color="CCEEFF"/>
            </w:tcBorders>
            <w:shd w:val="clear" w:color="auto" w:fill="CCEEFF"/>
          </w:tcPr>
          <w:p>
            <w:pPr>
              <w:ind w:left="120"/>
              <w:spacing w:after="0" w:line="155" w:lineRule="exact"/>
              <w:rPr>
                <w:sz w:val="20"/>
                <w:szCs w:val="20"/>
                <w:color w:val="auto"/>
              </w:rPr>
            </w:pPr>
            <w:r>
              <w:rPr>
                <w:rFonts w:ascii="Arial" w:cs="Arial" w:eastAsia="Arial" w:hAnsi="Arial"/>
                <w:sz w:val="14"/>
                <w:szCs w:val="14"/>
                <w:color w:val="auto"/>
              </w:rPr>
              <w:t>Segment Adjusted EBITDA</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116,582</w:t>
            </w: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5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2.5%</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212,182</w:t>
            </w: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5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4.2%</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(95,600)</w:t>
            </w: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5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(45.1%)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380" w:hanging="330"/>
        <w:spacing w:after="0"/>
        <w:tabs>
          <w:tab w:leader="none" w:pos="380" w:val="left"/>
        </w:tabs>
        <w:numPr>
          <w:ilvl w:val="0"/>
          <w:numId w:val="29"/>
        </w:numPr>
        <w:rPr>
          <w:rFonts w:ascii="Arial" w:cs="Arial" w:eastAsia="Arial" w:hAnsi="Arial"/>
          <w:sz w:val="22"/>
          <w:szCs w:val="22"/>
          <w:color w:val="auto"/>
          <w:vertAlign w:val="superscript"/>
        </w:rPr>
      </w:pPr>
      <w:r>
        <w:rPr>
          <w:rFonts w:ascii="Arial" w:cs="Arial" w:eastAsia="Arial" w:hAnsi="Arial"/>
          <w:sz w:val="14"/>
          <w:szCs w:val="14"/>
          <w:color w:val="auto"/>
        </w:rPr>
        <w:t>Intersegment revenue consists of segment revenue that is eliminated in our condensed consolidated statements of operations.</w:t>
      </w:r>
    </w:p>
    <w:p>
      <w:pPr>
        <w:spacing w:after="0" w:line="53" w:lineRule="exact"/>
        <w:rPr>
          <w:rFonts w:ascii="Arial" w:cs="Arial" w:eastAsia="Arial" w:hAnsi="Arial"/>
          <w:sz w:val="22"/>
          <w:szCs w:val="22"/>
          <w:color w:val="auto"/>
          <w:vertAlign w:val="superscript"/>
        </w:rPr>
      </w:pPr>
    </w:p>
    <w:p>
      <w:pPr>
        <w:ind w:left="380" w:hanging="330"/>
        <w:spacing w:after="0" w:line="183" w:lineRule="auto"/>
        <w:tabs>
          <w:tab w:leader="none" w:pos="380" w:val="left"/>
        </w:tabs>
        <w:numPr>
          <w:ilvl w:val="0"/>
          <w:numId w:val="29"/>
        </w:numPr>
        <w:rPr>
          <w:rFonts w:ascii="Arial" w:cs="Arial" w:eastAsia="Arial" w:hAnsi="Arial"/>
          <w:sz w:val="20"/>
          <w:szCs w:val="20"/>
          <w:color w:val="auto"/>
          <w:vertAlign w:val="superscript"/>
        </w:rPr>
      </w:pPr>
      <w:r>
        <w:rPr>
          <w:rFonts w:ascii="Arial" w:cs="Arial" w:eastAsia="Arial" w:hAnsi="Arial"/>
          <w:sz w:val="14"/>
          <w:szCs w:val="14"/>
          <w:color w:val="auto"/>
        </w:rPr>
        <w:t>Adjusted costs applicable to revenue exclude SBC expense and intersegment costs applicable to revenue.</w:t>
      </w:r>
    </w:p>
    <w:p>
      <w:pPr>
        <w:spacing w:after="0" w:line="54" w:lineRule="exact"/>
        <w:rPr>
          <w:rFonts w:ascii="Arial" w:cs="Arial" w:eastAsia="Arial" w:hAnsi="Arial"/>
          <w:sz w:val="20"/>
          <w:szCs w:val="20"/>
          <w:color w:val="auto"/>
          <w:vertAlign w:val="superscript"/>
        </w:rPr>
      </w:pPr>
    </w:p>
    <w:p>
      <w:pPr>
        <w:ind w:left="380" w:right="159" w:hanging="330"/>
        <w:spacing w:after="0" w:line="196" w:lineRule="auto"/>
        <w:tabs>
          <w:tab w:leader="none" w:pos="380" w:val="left"/>
        </w:tabs>
        <w:numPr>
          <w:ilvl w:val="0"/>
          <w:numId w:val="29"/>
        </w:numPr>
        <w:rPr>
          <w:rFonts w:ascii="Arial" w:cs="Arial" w:eastAsia="Arial" w:hAnsi="Arial"/>
          <w:sz w:val="22"/>
          <w:szCs w:val="22"/>
          <w:color w:val="auto"/>
          <w:vertAlign w:val="superscript"/>
        </w:rPr>
      </w:pPr>
      <w:r>
        <w:rPr>
          <w:rFonts w:ascii="Arial" w:cs="Arial" w:eastAsia="Arial" w:hAnsi="Arial"/>
          <w:sz w:val="14"/>
          <w:szCs w:val="14"/>
          <w:color w:val="auto"/>
        </w:rPr>
        <w:t>Intersegment costs applicable to revenue consist of segment costs applicable to revenue that are eliminated in our condensed consolidated statements of operations.</w:t>
      </w:r>
    </w:p>
    <w:p>
      <w:pPr>
        <w:ind w:left="380" w:hanging="330"/>
        <w:spacing w:after="0" w:line="217" w:lineRule="auto"/>
        <w:tabs>
          <w:tab w:leader="none" w:pos="380" w:val="left"/>
        </w:tabs>
        <w:numPr>
          <w:ilvl w:val="0"/>
          <w:numId w:val="29"/>
        </w:numPr>
        <w:rPr>
          <w:rFonts w:ascii="Arial" w:cs="Arial" w:eastAsia="Arial" w:hAnsi="Arial"/>
          <w:sz w:val="22"/>
          <w:szCs w:val="22"/>
          <w:color w:val="auto"/>
          <w:vertAlign w:val="superscript"/>
        </w:rPr>
      </w:pPr>
      <w:r>
        <w:rPr>
          <w:rFonts w:ascii="Arial" w:cs="Arial" w:eastAsia="Arial" w:hAnsi="Arial"/>
          <w:sz w:val="14"/>
          <w:szCs w:val="14"/>
          <w:color w:val="auto"/>
        </w:rPr>
        <w:t>Adjusted selling, general, and administrative expenses exclude SBC expense and intersegment operating expenses.</w:t>
      </w:r>
    </w:p>
    <w:p>
      <w:pPr>
        <w:spacing w:after="0" w:line="54" w:lineRule="exact"/>
        <w:rPr>
          <w:rFonts w:ascii="Arial" w:cs="Arial" w:eastAsia="Arial" w:hAnsi="Arial"/>
          <w:sz w:val="22"/>
          <w:szCs w:val="22"/>
          <w:color w:val="auto"/>
          <w:vertAlign w:val="superscript"/>
        </w:rPr>
      </w:pPr>
    </w:p>
    <w:p>
      <w:pPr>
        <w:ind w:left="380" w:right="539" w:hanging="330"/>
        <w:spacing w:after="0" w:line="196" w:lineRule="auto"/>
        <w:tabs>
          <w:tab w:leader="none" w:pos="380" w:val="left"/>
        </w:tabs>
        <w:numPr>
          <w:ilvl w:val="0"/>
          <w:numId w:val="29"/>
        </w:numPr>
        <w:rPr>
          <w:rFonts w:ascii="Arial" w:cs="Arial" w:eastAsia="Arial" w:hAnsi="Arial"/>
          <w:sz w:val="22"/>
          <w:szCs w:val="22"/>
          <w:color w:val="auto"/>
          <w:vertAlign w:val="superscript"/>
        </w:rPr>
      </w:pPr>
      <w:r>
        <w:rPr>
          <w:rFonts w:ascii="Arial" w:cs="Arial" w:eastAsia="Arial" w:hAnsi="Arial"/>
          <w:sz w:val="14"/>
          <w:szCs w:val="14"/>
          <w:color w:val="auto"/>
        </w:rPr>
        <w:t>Other segment items include (i) intersegment operating expenses, which are eliminated in our condensed consolidated statements of operations, and (ii) other expense, net excluding loss and/or impairment on investments in equity securities.</w:t>
      </w:r>
    </w:p>
    <w:p>
      <w:pPr>
        <w:spacing w:after="0" w:line="84"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Good Sam Services and Plans Segment</w:t>
      </w:r>
    </w:p>
    <w:p>
      <w:pPr>
        <w:spacing w:after="0" w:line="104"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See the “Revenue and Gross Profit” section above for a discussion of impacts to revenue for Good Sam Services and Plans. Adjusted costs applicable to segment revenue reflected reduced claims costs for the roadside assistance programs. The adjusted selling, general, and administrative expenses increased primarily from increased marketing consulting fees. The Good Sam Services and Plans Segment Adjusted EBITDA increase was driven primarily by a decrease in adjusted costs applicable to revenue and slightly higher revenue, partially offset by additional adjusted selling, general, and administrative expenses. Intersegment revenue and intersegment costs applicable to revenue did not have a significant impact on the increase in Segment Adjusted EBITDA.</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2" w:name="page53"/>
    <w:bookmarkEnd w:id="5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RV and Outdoor Retail Segment</w:t>
      </w:r>
    </w:p>
    <w:p>
      <w:pPr>
        <w:spacing w:after="0" w:line="104"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See the “Revenue and Gross Profit” section above for a discussion of impacts to revenue for RV and Outdoor Retail and “Floor plan interest expense” section above for a discussion of the decrease in floor plan interest expense. Adjusted costs applicable to segment revenue decreased from the 10.5% lower total unit sales, partially offset by the higher average cost per total vehicle of 5.9% primarily from the same drivers of the decrease in revenue discussed above. Adjusted selling, general, and administrative expense decreased primarily due to $72.3 million of reduced employee cash compensation expense excluding commissions, a $12.2 million decrease in commission costs, and $2.8 million lower advertising fees, partially offset by a $5.8 million increase in rent expense and a $5.3 million increase in outside service provider fees related primarily to software, AI, and infrastructure maintenance expenses. The RV and Outdoor Retail Segment Adjusted EBITDA decreased from the decrease in revenue, partially offset by reduced adjusted costs applicable to segment revenue, reduced adjusted selling, general, and administrative expense and reduced floor plan interest expense. Intersegment revenue and intersegment costs applicable to revenue did not have a significant impact on the decrease in Segment Adjusted EBITDA.</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Non-GAAP Financial Measures</w:t>
      </w:r>
    </w:p>
    <w:p>
      <w:pPr>
        <w:spacing w:after="0" w:line="212" w:lineRule="exact"/>
        <w:rPr>
          <w:sz w:val="20"/>
          <w:szCs w:val="20"/>
          <w:color w:val="auto"/>
        </w:rPr>
      </w:pPr>
    </w:p>
    <w:p>
      <w:pPr>
        <w:jc w:val="both"/>
        <w:ind w:left="60" w:right="59" w:firstLine="648"/>
        <w:spacing w:after="0" w:line="236" w:lineRule="auto"/>
        <w:rPr>
          <w:sz w:val="20"/>
          <w:szCs w:val="20"/>
          <w:color w:val="auto"/>
        </w:rPr>
      </w:pPr>
      <w:r>
        <w:rPr>
          <w:rFonts w:ascii="Arial" w:cs="Arial" w:eastAsia="Arial" w:hAnsi="Arial"/>
          <w:sz w:val="18"/>
          <w:szCs w:val="18"/>
          <w:color w:val="auto"/>
        </w:rPr>
        <w:t>To supplement our condensed consolidated financial statements, which are prepared and presented in accordance with accounting principles generally accepted in the United States (“GAAP”), we use the following non-GAAP financial measures: EBITDA; Adjusted EBITDA; Adjusted EBITDA Margin; Adjusted Net (Loss) Income Attributable to Camping World Holdings, Inc. – Basic; Adjusted Net (Loss) Income Attributable to Camping World Holdings, Inc. – Diluted; Adjusted (Loss) Earnings Per Share – Basic; Adjusted (Loss) Earnings Per Share – Diluted; and Selling, General, and Administrative Expense (“SG&amp;A”) Excluding SBC (collectively the “Non-GAAP Financial Measures”). We believe that these Non-GAAP Financial Measures, when used in conjunction with GAAP financial measures, provide useful information about operating results, enhance the overall understanding of past financial performance and future prospects, and allow for greater transparency with respect to the key metrics we use in our financial and operational decision making. Certain of these Non-GAAP Financial Measures are also frequently used by analysts, investors and other interested parties to evaluate companies in the Company’s industry and are used by management to evaluate our operating performance, to evaluate the effectiveness of strategic initiatives, and for planning purposes. By providing these Non-GAAP Financial Measures, together with reconciliations, we believe we are enhancing investors’ understanding of our business and our results of operations, as well as assisting investors in evaluating how well we are executing our strategic initiatives. In addition, our Senior Secured Credit Facilities use Adjusted EBITDA, as calculated for our subsidiary CWGS Group, LLC, to measure our compliance with covenants such as the consolidated leverage ratio. The Non-GAAP Financial Measures have limitations as analytical tools, and the presentation of this financial information is not intended to be considered in isolation or as a substitute for, or superior to, the financial information prepared and presented in accordance with GAAP. They should not be construed as an inference that the Company’s future results will be unaffected by any items adjusted for in these Non-GAAP Financial Measures. In evaluating these Non-GAAP Financial Measures, it is reasonable to expect that certain of these items will occur in future periods. However, we believe these adjustments are appropriate because the amounts recognized can vary significantly from period to period, do not directly relate to the ongoing operations of our business and complicate comparisons of our internal operating results and operating results of other companies over time. Each of the normal recurring adjustments and other adjustments described in this section and in the reconciliation tables below help management with a measure of our core operating performance over time by removing items that are not related to day-to-day operations.</w:t>
      </w:r>
    </w:p>
    <w:p>
      <w:pPr>
        <w:spacing w:after="0" w:line="187"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The Non-GAAP Financial Measures that we use are not necessarily comparable to similarly titled measures used by other companies due to different methods of calculation.</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EBITDA, Adjusted EBITDA, and Adjusted EBITDA Margin</w:t>
      </w:r>
    </w:p>
    <w:p>
      <w:pPr>
        <w:spacing w:after="0" w:line="210"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We define “EBITDA” as net income before other interest expense, net (excluding floor plan interest expense), provision for income tax expense and depreciation and amortization. We define “Adjusted EBITDA” as EBITDA further adjusted for the impact of certain noncash and other items that we do not consider in our evaluation of ongoing operating performance. These items include, among other things, loss and expense on debt restructure, goodwill impairment, long-lived asset impairment, gains and losses on lease termination and/or remeasurement, gains and losses on sale or disposal of assets, net, SBC, employment agreement</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53" w:name="page54"/>
    <w:bookmarkEnd w:id="5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modification expenses, Tax Receivable Agreement liability adjustment, losses and gains and impairment on investments in equity securities, and other unusual or one-time items. We define “Adjusted EBITDA Margin” as Adjusted EBITDA as a percentage of total revenue. We caution investors that amounts presented in accordance with our definitions of EBITDA, Adjusted EBITDA, and Adjusted EBITDA Margin may not be comparable to similar measures disclosed by our competitors, because not all companies and analysts calculate EBITDA, Adjusted EBITDA, and Adjusted EBITDA Margin in the same manner. We present EBITDA, Adjusted EBITDA, and Adjusted EBITDA Margin because we consider them to be important supplemental measures of our performance and believe they are frequently used by securities analysts, investors and other interested parties in the evaluation of companies in our industry. Management believes that investors’ understanding of our performance is enhanced by including these Non-GAAP Financial Measures as a reasonable basis for comparing our ongoing results of operations.</w:t>
      </w:r>
    </w:p>
    <w:p>
      <w:pPr>
        <w:spacing w:after="0" w:line="18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reconciles Segment Adjusted EBITDA to consolidated Adjusted EBITDA:</w:t>
      </w:r>
    </w:p>
    <w:p>
      <w:pPr>
        <w:spacing w:after="0" w:line="369" w:lineRule="exact"/>
        <w:rPr>
          <w:sz w:val="20"/>
          <w:szCs w:val="20"/>
          <w:color w:val="auto"/>
        </w:rPr>
      </w:pPr>
    </w:p>
    <w:tbl>
      <w:tblPr>
        <w:tblLayout w:type="fixed"/>
        <w:tblInd w:w="40" w:type="dxa"/>
        <w:tblCellMar>
          <w:top w:w="0" w:type="dxa"/>
          <w:left w:w="0" w:type="dxa"/>
          <w:bottom w:w="0" w:type="dxa"/>
          <w:right w:w="0" w:type="dxa"/>
        </w:tblCellMar>
      </w:tblPr>
      <w:tr>
        <w:trPr>
          <w:trHeight w:val="145"/>
        </w:trPr>
        <w:tc>
          <w:tcPr>
            <w:tcW w:w="4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40" w:type="dxa"/>
            <w:vAlign w:val="bottom"/>
            <w:gridSpan w:val="6"/>
          </w:tcPr>
          <w:p>
            <w:pPr>
              <w:spacing w:after="0"/>
              <w:rPr>
                <w:sz w:val="20"/>
                <w:szCs w:val="20"/>
                <w:color w:val="auto"/>
              </w:rPr>
            </w:pPr>
            <w:r>
              <w:rPr>
                <w:rFonts w:ascii="Arial" w:cs="Arial" w:eastAsia="Arial" w:hAnsi="Arial"/>
                <w:sz w:val="12"/>
                <w:szCs w:val="12"/>
                <w:b w:val="1"/>
                <w:bCs w:val="1"/>
                <w:color w:val="auto"/>
                <w:w w:val="98"/>
              </w:rPr>
              <w:t>Three Months Ended September 30,</w:t>
            </w:r>
          </w:p>
        </w:tc>
        <w:tc>
          <w:tcPr>
            <w:tcW w:w="160" w:type="dxa"/>
            <w:vAlign w:val="bottom"/>
          </w:tcPr>
          <w:p>
            <w:pPr>
              <w:spacing w:after="0"/>
              <w:rPr>
                <w:sz w:val="12"/>
                <w:szCs w:val="12"/>
                <w:color w:val="auto"/>
              </w:rPr>
            </w:pPr>
          </w:p>
        </w:tc>
        <w:tc>
          <w:tcPr>
            <w:tcW w:w="1980" w:type="dxa"/>
            <w:vAlign w:val="bottom"/>
            <w:gridSpan w:val="5"/>
          </w:tcPr>
          <w:p>
            <w:pPr>
              <w:jc w:val="right"/>
              <w:spacing w:after="0"/>
              <w:rPr>
                <w:sz w:val="20"/>
                <w:szCs w:val="20"/>
                <w:color w:val="auto"/>
              </w:rPr>
            </w:pPr>
            <w:r>
              <w:rPr>
                <w:rFonts w:ascii="Arial" w:cs="Arial" w:eastAsia="Arial" w:hAnsi="Arial"/>
                <w:sz w:val="12"/>
                <w:szCs w:val="12"/>
                <w:b w:val="1"/>
                <w:bCs w:val="1"/>
                <w:color w:val="auto"/>
                <w:w w:val="98"/>
              </w:rPr>
              <w:t>Nine Months Ended September 30,</w:t>
            </w:r>
          </w:p>
        </w:tc>
      </w:tr>
      <w:tr>
        <w:trPr>
          <w:trHeight w:val="128"/>
        </w:trPr>
        <w:tc>
          <w:tcPr>
            <w:tcW w:w="4520" w:type="dxa"/>
            <w:vAlign w:val="bottom"/>
            <w:tcBorders>
              <w:bottom w:val="single" w:sz="8" w:color="auto"/>
            </w:tcBorders>
          </w:tcPr>
          <w:p>
            <w:pPr>
              <w:ind w:left="20"/>
              <w:spacing w:after="0" w:line="129" w:lineRule="exact"/>
              <w:rPr>
                <w:sz w:val="20"/>
                <w:szCs w:val="20"/>
                <w:color w:val="auto"/>
              </w:rPr>
            </w:pPr>
            <w:r>
              <w:rPr>
                <w:rFonts w:ascii="Arial" w:cs="Arial" w:eastAsia="Arial" w:hAnsi="Arial"/>
                <w:sz w:val="12"/>
                <w:szCs w:val="12"/>
                <w:color w:val="auto"/>
              </w:rPr>
              <w:t>($ in thousands)</w:t>
            </w:r>
          </w:p>
        </w:tc>
        <w:tc>
          <w:tcPr>
            <w:tcW w:w="200" w:type="dxa"/>
            <w:vAlign w:val="bottom"/>
            <w:tcBorders>
              <w:bottom w:val="single" w:sz="8" w:color="CCEEFF"/>
            </w:tcBorders>
          </w:tcPr>
          <w:p>
            <w:pPr>
              <w:ind w:left="60"/>
              <w:spacing w:after="0" w:line="129" w:lineRule="exact"/>
              <w:rPr>
                <w:sz w:val="20"/>
                <w:szCs w:val="20"/>
                <w:color w:val="auto"/>
              </w:rPr>
            </w:pPr>
            <w:r>
              <w:rPr>
                <w:rFonts w:ascii="Arial" w:cs="Arial" w:eastAsia="Arial" w:hAnsi="Arial"/>
                <w:sz w:val="12"/>
                <w:szCs w:val="12"/>
                <w:color w:val="auto"/>
              </w:rPr>
              <w:t>​​​</w:t>
            </w:r>
          </w:p>
        </w:tc>
        <w:tc>
          <w:tcPr>
            <w:tcW w:w="20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250"/>
              <w:spacing w:after="0" w:line="129" w:lineRule="exact"/>
              <w:rPr>
                <w:sz w:val="20"/>
                <w:szCs w:val="20"/>
                <w:color w:val="auto"/>
              </w:rPr>
            </w:pPr>
            <w:r>
              <w:rPr>
                <w:rFonts w:ascii="Arial" w:cs="Arial" w:eastAsia="Arial" w:hAnsi="Arial"/>
                <w:sz w:val="12"/>
                <w:szCs w:val="12"/>
                <w:b w:val="1"/>
                <w:bCs w:val="1"/>
                <w:color w:val="auto"/>
              </w:rPr>
              <w:t>2026</w:t>
            </w:r>
          </w:p>
        </w:tc>
        <w:tc>
          <w:tcPr>
            <w:tcW w:w="200" w:type="dxa"/>
            <w:vAlign w:val="bottom"/>
            <w:tcBorders>
              <w:top w:val="single" w:sz="8" w:color="auto"/>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250"/>
              <w:spacing w:after="0" w:line="129" w:lineRule="exact"/>
              <w:rPr>
                <w:sz w:val="20"/>
                <w:szCs w:val="20"/>
                <w:color w:val="auto"/>
              </w:rPr>
            </w:pPr>
            <w:r>
              <w:rPr>
                <w:rFonts w:ascii="Arial" w:cs="Arial" w:eastAsia="Arial" w:hAnsi="Arial"/>
                <w:sz w:val="12"/>
                <w:szCs w:val="12"/>
                <w:b w:val="1"/>
                <w:bCs w:val="1"/>
                <w:color w:val="auto"/>
              </w:rPr>
              <w:t>2025</w:t>
            </w:r>
          </w:p>
        </w:tc>
        <w:tc>
          <w:tcPr>
            <w:tcW w:w="4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ind w:left="20"/>
              <w:spacing w:after="0" w:line="129" w:lineRule="exact"/>
              <w:rPr>
                <w:sz w:val="20"/>
                <w:szCs w:val="20"/>
                <w:color w:val="auto"/>
              </w:rPr>
            </w:pPr>
            <w:r>
              <w:rPr>
                <w:rFonts w:ascii="Arial" w:cs="Arial" w:eastAsia="Arial" w:hAnsi="Arial"/>
                <w:sz w:val="12"/>
                <w:szCs w:val="12"/>
                <w:b w:val="1"/>
                <w:bCs w:val="1"/>
                <w:color w:val="auto"/>
              </w:rPr>
              <w:t>​​​</w:t>
            </w:r>
          </w:p>
        </w:tc>
        <w:tc>
          <w:tcPr>
            <w:tcW w:w="20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250"/>
              <w:spacing w:after="0" w:line="129" w:lineRule="exact"/>
              <w:rPr>
                <w:sz w:val="20"/>
                <w:szCs w:val="20"/>
                <w:color w:val="auto"/>
              </w:rPr>
            </w:pPr>
            <w:r>
              <w:rPr>
                <w:rFonts w:ascii="Arial" w:cs="Arial" w:eastAsia="Arial" w:hAnsi="Arial"/>
                <w:sz w:val="12"/>
                <w:szCs w:val="12"/>
                <w:b w:val="1"/>
                <w:bCs w:val="1"/>
                <w:color w:val="auto"/>
              </w:rPr>
              <w:t>2026</w:t>
            </w:r>
          </w:p>
        </w:tc>
        <w:tc>
          <w:tcPr>
            <w:tcW w:w="200" w:type="dxa"/>
            <w:vAlign w:val="bottom"/>
            <w:tcBorders>
              <w:top w:val="single" w:sz="8" w:color="auto"/>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230"/>
              <w:spacing w:after="0" w:line="129" w:lineRule="exact"/>
              <w:rPr>
                <w:sz w:val="20"/>
                <w:szCs w:val="20"/>
                <w:color w:val="auto"/>
              </w:rPr>
            </w:pPr>
            <w:r>
              <w:rPr>
                <w:rFonts w:ascii="Arial" w:cs="Arial" w:eastAsia="Arial" w:hAnsi="Arial"/>
                <w:sz w:val="12"/>
                <w:szCs w:val="12"/>
                <w:b w:val="1"/>
                <w:bCs w:val="1"/>
                <w:color w:val="auto"/>
              </w:rPr>
              <w:t>2025</w:t>
            </w:r>
          </w:p>
        </w:tc>
      </w:tr>
      <w:tr>
        <w:trPr>
          <w:trHeight w:val="155"/>
        </w:trPr>
        <w:tc>
          <w:tcPr>
            <w:tcW w:w="452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Good Sam Services and Plans Segment Adjusted EBITDA</w:t>
            </w: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21,411</w:t>
            </w: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21,591</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53"/>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68,403</w:t>
            </w: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67,859</w:t>
            </w:r>
          </w:p>
        </w:tc>
      </w:tr>
      <w:tr>
        <w:trPr>
          <w:trHeight w:val="162"/>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RV and Outdoor Retail Segment Adjusted EBITDA</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18,182</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77,159</w:t>
            </w:r>
          </w:p>
        </w:tc>
        <w:tc>
          <w:tcPr>
            <w:tcW w:w="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116,582</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212,182</w:t>
            </w:r>
          </w:p>
        </w:tc>
      </w:tr>
      <w:tr>
        <w:trPr>
          <w:trHeight w:val="155"/>
        </w:trPr>
        <w:tc>
          <w:tcPr>
            <w:tcW w:w="452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Total Segment Adjusted EBITDA</w:t>
            </w: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39,593</w:t>
            </w: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98,750</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184,985</w:t>
            </w: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280,041</w:t>
            </w:r>
          </w:p>
        </w:tc>
      </w:tr>
      <w:tr>
        <w:trPr>
          <w:trHeight w:val="162"/>
        </w:trPr>
        <w:tc>
          <w:tcPr>
            <w:tcW w:w="4520" w:type="dxa"/>
            <w:vAlign w:val="bottom"/>
          </w:tcPr>
          <w:p>
            <w:pPr>
              <w:ind w:left="20"/>
              <w:spacing w:after="0"/>
              <w:rPr>
                <w:sz w:val="20"/>
                <w:szCs w:val="20"/>
                <w:color w:val="auto"/>
              </w:rPr>
            </w:pPr>
            <w:r>
              <w:rPr>
                <w:rFonts w:ascii="Arial" w:cs="Arial" w:eastAsia="Arial" w:hAnsi="Arial"/>
                <w:sz w:val="14"/>
                <w:szCs w:val="14"/>
                <w:color w:val="auto"/>
              </w:rPr>
              <w:t>Corporate and Other Adjusted EBITDA</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(3,588)</w:t>
            </w:r>
          </w:p>
        </w:tc>
        <w:tc>
          <w:tcPr>
            <w:tcW w:w="20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(3,038)</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(8,940)</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(10,962)</w:t>
            </w:r>
          </w:p>
        </w:tc>
      </w:tr>
      <w:tr>
        <w:trPr>
          <w:trHeight w:val="155"/>
        </w:trPr>
        <w:tc>
          <w:tcPr>
            <w:tcW w:w="4520" w:type="dxa"/>
            <w:vAlign w:val="bottom"/>
            <w:tcBorders>
              <w:top w:val="single" w:sz="8" w:color="CCEEFF"/>
              <w:bottom w:val="single" w:sz="8" w:color="CCEEFF"/>
            </w:tcBorders>
            <w:shd w:val="clear" w:color="auto" w:fill="CCEEFF"/>
          </w:tcPr>
          <w:p>
            <w:pPr>
              <w:ind w:left="120"/>
              <w:spacing w:after="0" w:line="155" w:lineRule="exact"/>
              <w:rPr>
                <w:sz w:val="20"/>
                <w:szCs w:val="20"/>
                <w:color w:val="auto"/>
              </w:rPr>
            </w:pPr>
            <w:r>
              <w:rPr>
                <w:rFonts w:ascii="Arial" w:cs="Arial" w:eastAsia="Arial" w:hAnsi="Arial"/>
                <w:sz w:val="14"/>
                <w:szCs w:val="14"/>
                <w:color w:val="auto"/>
              </w:rPr>
              <w:t>Total Adjusted EBITDA</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36,005</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95,712</w:t>
            </w: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jc w:val="right"/>
              <w:ind w:right="53"/>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176,045</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269,079</w:t>
            </w:r>
          </w:p>
        </w:tc>
      </w:tr>
      <w:tr>
        <w:trPr>
          <w:trHeight w:val="20"/>
        </w:trPr>
        <w:tc>
          <w:tcPr>
            <w:tcW w:w="4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The following table reconciles EBITDA, Adjusted EBITDA, and Adjusted EBITDA Margin to the most directly comparable GAAP financial performance measures:</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45"/>
        </w:trPr>
        <w:tc>
          <w:tcPr>
            <w:tcW w:w="4420" w:type="dxa"/>
            <w:vAlign w:val="bottom"/>
          </w:tcPr>
          <w:p>
            <w:pPr>
              <w:spacing w:after="0"/>
              <w:rPr>
                <w:sz w:val="12"/>
                <w:szCs w:val="12"/>
                <w:color w:val="auto"/>
              </w:rPr>
            </w:pPr>
          </w:p>
        </w:tc>
        <w:tc>
          <w:tcPr>
            <w:tcW w:w="200" w:type="dxa"/>
            <w:vAlign w:val="bottom"/>
            <w:vMerge w:val="restart"/>
          </w:tcPr>
          <w:p>
            <w:pPr>
              <w:ind w:left="80"/>
              <w:spacing w:after="0"/>
              <w:rPr>
                <w:sz w:val="20"/>
                <w:szCs w:val="20"/>
                <w:color w:val="auto"/>
              </w:rPr>
            </w:pPr>
            <w:r>
              <w:rPr>
                <w:rFonts w:ascii="Arial" w:cs="Arial" w:eastAsia="Arial" w:hAnsi="Arial"/>
                <w:sz w:val="13"/>
                <w:szCs w:val="13"/>
                <w:color w:val="auto"/>
              </w:rPr>
              <w:t>​​​</w:t>
            </w:r>
          </w:p>
        </w:tc>
        <w:tc>
          <w:tcPr>
            <w:tcW w:w="2060" w:type="dxa"/>
            <w:vAlign w:val="bottom"/>
            <w:gridSpan w:val="7"/>
          </w:tcPr>
          <w:p>
            <w:pPr>
              <w:ind w:left="20"/>
              <w:spacing w:after="0"/>
              <w:rPr>
                <w:sz w:val="20"/>
                <w:szCs w:val="20"/>
                <w:color w:val="auto"/>
              </w:rPr>
            </w:pPr>
            <w:r>
              <w:rPr>
                <w:rFonts w:ascii="Arial" w:cs="Arial" w:eastAsia="Arial" w:hAnsi="Arial"/>
                <w:sz w:val="12"/>
                <w:szCs w:val="12"/>
                <w:b w:val="1"/>
                <w:bCs w:val="1"/>
                <w:color w:val="auto"/>
                <w:w w:val="98"/>
              </w:rPr>
              <w:t>Three Months Ended September 30,</w:t>
            </w:r>
          </w:p>
        </w:tc>
        <w:tc>
          <w:tcPr>
            <w:tcW w:w="180" w:type="dxa"/>
            <w:vAlign w:val="bottom"/>
          </w:tcPr>
          <w:p>
            <w:pPr>
              <w:spacing w:after="0"/>
              <w:rPr>
                <w:sz w:val="12"/>
                <w:szCs w:val="12"/>
                <w:color w:val="auto"/>
              </w:rPr>
            </w:pPr>
          </w:p>
        </w:tc>
        <w:tc>
          <w:tcPr>
            <w:tcW w:w="2040" w:type="dxa"/>
            <w:vAlign w:val="bottom"/>
            <w:gridSpan w:val="6"/>
          </w:tcPr>
          <w:p>
            <w:pPr>
              <w:jc w:val="center"/>
              <w:spacing w:after="0"/>
              <w:rPr>
                <w:sz w:val="20"/>
                <w:szCs w:val="20"/>
                <w:color w:val="auto"/>
              </w:rPr>
            </w:pPr>
            <w:r>
              <w:rPr>
                <w:rFonts w:ascii="Arial" w:cs="Arial" w:eastAsia="Arial" w:hAnsi="Arial"/>
                <w:sz w:val="12"/>
                <w:szCs w:val="12"/>
                <w:b w:val="1"/>
                <w:bCs w:val="1"/>
                <w:color w:val="auto"/>
                <w:w w:val="97"/>
              </w:rPr>
              <w:t>Nine Months Ended September 30,</w:t>
            </w:r>
          </w:p>
        </w:tc>
        <w:tc>
          <w:tcPr>
            <w:tcW w:w="0" w:type="dxa"/>
            <w:vAlign w:val="bottom"/>
          </w:tcPr>
          <w:p>
            <w:pPr>
              <w:spacing w:after="0"/>
              <w:rPr>
                <w:sz w:val="1"/>
                <w:szCs w:val="1"/>
                <w:color w:val="auto"/>
              </w:rPr>
            </w:pPr>
          </w:p>
        </w:tc>
      </w:tr>
      <w:tr>
        <w:trPr>
          <w:trHeight w:val="129"/>
        </w:trPr>
        <w:tc>
          <w:tcPr>
            <w:tcW w:w="4420" w:type="dxa"/>
            <w:vAlign w:val="bottom"/>
          </w:tcPr>
          <w:p>
            <w:pPr>
              <w:ind w:left="20"/>
              <w:spacing w:after="0" w:line="129" w:lineRule="exact"/>
              <w:rPr>
                <w:sz w:val="20"/>
                <w:szCs w:val="20"/>
                <w:color w:val="auto"/>
              </w:rPr>
            </w:pPr>
            <w:r>
              <w:rPr>
                <w:rFonts w:ascii="Arial" w:cs="Arial" w:eastAsia="Arial" w:hAnsi="Arial"/>
                <w:sz w:val="12"/>
                <w:szCs w:val="12"/>
                <w:color w:val="auto"/>
              </w:rPr>
              <w:t>($ in thousands)</w:t>
            </w:r>
          </w:p>
        </w:tc>
        <w:tc>
          <w:tcPr>
            <w:tcW w:w="200" w:type="dxa"/>
            <w:vAlign w:val="bottom"/>
            <w:vMerge w:val="continue"/>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249"/>
              <w:spacing w:after="0" w:line="129" w:lineRule="exact"/>
              <w:rPr>
                <w:sz w:val="20"/>
                <w:szCs w:val="20"/>
                <w:color w:val="auto"/>
              </w:rPr>
            </w:pPr>
            <w:r>
              <w:rPr>
                <w:rFonts w:ascii="Arial" w:cs="Arial" w:eastAsia="Arial" w:hAnsi="Arial"/>
                <w:sz w:val="12"/>
                <w:szCs w:val="12"/>
                <w:b w:val="1"/>
                <w:bCs w:val="1"/>
                <w:color w:val="auto"/>
              </w:rPr>
              <w:t>2026</w:t>
            </w:r>
          </w:p>
        </w:tc>
        <w:tc>
          <w:tcPr>
            <w:tcW w:w="4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gridSpan w:val="2"/>
          </w:tcPr>
          <w:p>
            <w:pPr>
              <w:jc w:val="right"/>
              <w:ind w:right="168"/>
              <w:spacing w:after="0" w:line="129" w:lineRule="exact"/>
              <w:rPr>
                <w:sz w:val="20"/>
                <w:szCs w:val="20"/>
                <w:color w:val="auto"/>
              </w:rPr>
            </w:pPr>
            <w:r>
              <w:rPr>
                <w:rFonts w:ascii="Arial" w:cs="Arial" w:eastAsia="Arial" w:hAnsi="Arial"/>
                <w:sz w:val="12"/>
                <w:szCs w:val="12"/>
                <w:color w:val="auto"/>
              </w:rPr>
              <w:t>​​​</w:t>
            </w:r>
          </w:p>
        </w:tc>
        <w:tc>
          <w:tcPr>
            <w:tcW w:w="720" w:type="dxa"/>
            <w:vAlign w:val="bottom"/>
            <w:tcBorders>
              <w:top w:val="single" w:sz="8" w:color="auto"/>
            </w:tcBorders>
          </w:tcPr>
          <w:p>
            <w:pPr>
              <w:jc w:val="right"/>
              <w:ind w:right="249"/>
              <w:spacing w:after="0" w:line="129" w:lineRule="exact"/>
              <w:rPr>
                <w:sz w:val="20"/>
                <w:szCs w:val="20"/>
                <w:color w:val="auto"/>
              </w:rPr>
            </w:pPr>
            <w:r>
              <w:rPr>
                <w:rFonts w:ascii="Arial" w:cs="Arial" w:eastAsia="Arial" w:hAnsi="Arial"/>
                <w:sz w:val="12"/>
                <w:szCs w:val="12"/>
                <w:b w:val="1"/>
                <w:bCs w:val="1"/>
                <w:color w:val="auto"/>
              </w:rPr>
              <w:t>2025</w:t>
            </w:r>
          </w:p>
        </w:tc>
        <w:tc>
          <w:tcPr>
            <w:tcW w:w="20" w:type="dxa"/>
            <w:vAlign w:val="bottom"/>
          </w:tcPr>
          <w:p>
            <w:pPr>
              <w:spacing w:after="0"/>
              <w:rPr>
                <w:sz w:val="11"/>
                <w:szCs w:val="11"/>
                <w:color w:val="auto"/>
              </w:rPr>
            </w:pPr>
          </w:p>
        </w:tc>
        <w:tc>
          <w:tcPr>
            <w:tcW w:w="180" w:type="dxa"/>
            <w:vAlign w:val="bottom"/>
          </w:tcPr>
          <w:p>
            <w:pPr>
              <w:ind w:left="40"/>
              <w:spacing w:after="0" w:line="129" w:lineRule="exact"/>
              <w:rPr>
                <w:sz w:val="20"/>
                <w:szCs w:val="20"/>
                <w:color w:val="auto"/>
              </w:rPr>
            </w:pPr>
            <w:r>
              <w:rPr>
                <w:rFonts w:ascii="Arial" w:cs="Arial" w:eastAsia="Arial" w:hAnsi="Arial"/>
                <w:sz w:val="12"/>
                <w:szCs w:val="12"/>
                <w:color w:val="auto"/>
              </w:rPr>
              <w:t>​​​</w:t>
            </w:r>
          </w:p>
        </w:tc>
        <w:tc>
          <w:tcPr>
            <w:tcW w:w="2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249"/>
              <w:spacing w:after="0" w:line="129" w:lineRule="exact"/>
              <w:rPr>
                <w:sz w:val="20"/>
                <w:szCs w:val="20"/>
                <w:color w:val="auto"/>
              </w:rPr>
            </w:pPr>
            <w:r>
              <w:rPr>
                <w:rFonts w:ascii="Arial" w:cs="Arial" w:eastAsia="Arial" w:hAnsi="Arial"/>
                <w:sz w:val="12"/>
                <w:szCs w:val="12"/>
                <w:b w:val="1"/>
                <w:bCs w:val="1"/>
                <w:color w:val="auto"/>
              </w:rPr>
              <w:t>2026</w:t>
            </w:r>
          </w:p>
        </w:tc>
        <w:tc>
          <w:tcPr>
            <w:tcW w:w="4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gridSpan w:val="2"/>
          </w:tcPr>
          <w:p>
            <w:pPr>
              <w:jc w:val="center"/>
              <w:ind w:right="148"/>
              <w:spacing w:after="0" w:line="129" w:lineRule="exact"/>
              <w:rPr>
                <w:sz w:val="20"/>
                <w:szCs w:val="20"/>
                <w:color w:val="auto"/>
              </w:rPr>
            </w:pPr>
            <w:r>
              <w:rPr>
                <w:rFonts w:ascii="Arial" w:cs="Arial" w:eastAsia="Arial" w:hAnsi="Arial"/>
                <w:sz w:val="12"/>
                <w:szCs w:val="12"/>
                <w:color w:val="auto"/>
              </w:rPr>
              <w:t>​​​</w:t>
            </w:r>
          </w:p>
        </w:tc>
        <w:tc>
          <w:tcPr>
            <w:tcW w:w="700" w:type="dxa"/>
            <w:vAlign w:val="bottom"/>
            <w:tcBorders>
              <w:top w:val="single" w:sz="8" w:color="auto"/>
            </w:tcBorders>
          </w:tcPr>
          <w:p>
            <w:pPr>
              <w:jc w:val="right"/>
              <w:ind w:right="249"/>
              <w:spacing w:after="0" w:line="129" w:lineRule="exact"/>
              <w:rPr>
                <w:sz w:val="20"/>
                <w:szCs w:val="20"/>
                <w:color w:val="auto"/>
              </w:rPr>
            </w:pPr>
            <w:r>
              <w:rPr>
                <w:rFonts w:ascii="Arial" w:cs="Arial" w:eastAsia="Arial" w:hAnsi="Arial"/>
                <w:sz w:val="12"/>
                <w:szCs w:val="12"/>
                <w:b w:val="1"/>
                <w:bCs w:val="1"/>
                <w:color w:val="auto"/>
              </w:rPr>
              <w:t>2025</w:t>
            </w:r>
          </w:p>
        </w:tc>
        <w:tc>
          <w:tcPr>
            <w:tcW w:w="0" w:type="dxa"/>
            <w:vAlign w:val="bottom"/>
          </w:tcPr>
          <w:p>
            <w:pPr>
              <w:spacing w:after="0"/>
              <w:rPr>
                <w:sz w:val="1"/>
                <w:szCs w:val="1"/>
                <w:color w:val="auto"/>
              </w:rPr>
            </w:pPr>
          </w:p>
        </w:tc>
      </w:tr>
      <w:tr>
        <w:trPr>
          <w:trHeight w:val="155"/>
        </w:trPr>
        <w:tc>
          <w:tcPr>
            <w:tcW w:w="4420" w:type="dxa"/>
            <w:vAlign w:val="bottom"/>
            <w:tcBorders>
              <w:top w:val="single" w:sz="8" w:color="auto"/>
            </w:tcBorders>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EBITDA and Adjusted EBITDA:</w:t>
            </w:r>
          </w:p>
        </w:tc>
        <w:tc>
          <w:tcPr>
            <w:tcW w:w="2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420" w:type="dxa"/>
            <w:vAlign w:val="bottom"/>
          </w:tcPr>
          <w:p>
            <w:pPr>
              <w:ind w:left="120"/>
              <w:spacing w:after="0"/>
              <w:rPr>
                <w:sz w:val="20"/>
                <w:szCs w:val="20"/>
                <w:color w:val="auto"/>
              </w:rPr>
            </w:pPr>
            <w:r>
              <w:rPr>
                <w:rFonts w:ascii="Arial" w:cs="Arial" w:eastAsia="Arial" w:hAnsi="Arial"/>
                <w:sz w:val="14"/>
                <w:szCs w:val="14"/>
                <w:color w:val="auto"/>
              </w:rPr>
              <w:t>Net (loss) income</w:t>
            </w:r>
          </w:p>
        </w:tc>
        <w:tc>
          <w:tcPr>
            <w:tcW w:w="40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(320,087)</w:t>
            </w:r>
          </w:p>
        </w:tc>
        <w:tc>
          <w:tcPr>
            <w:tcW w:w="36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(29,351)</w:t>
            </w:r>
          </w:p>
        </w:tc>
        <w:tc>
          <w:tcPr>
            <w:tcW w:w="400" w:type="dxa"/>
            <w:vAlign w:val="bottom"/>
            <w:gridSpan w:val="2"/>
          </w:tcPr>
          <w:p>
            <w:pPr>
              <w:jc w:val="right"/>
              <w:ind w:right="77"/>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(303,035)</w:t>
            </w:r>
          </w:p>
        </w:tc>
        <w:tc>
          <w:tcPr>
            <w:tcW w:w="38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3,490</w:t>
            </w:r>
          </w:p>
        </w:tc>
        <w:tc>
          <w:tcPr>
            <w:tcW w:w="0" w:type="dxa"/>
            <w:vAlign w:val="bottom"/>
          </w:tcPr>
          <w:p>
            <w:pPr>
              <w:spacing w:after="0"/>
              <w:rPr>
                <w:sz w:val="1"/>
                <w:szCs w:val="1"/>
                <w:color w:val="auto"/>
              </w:rPr>
            </w:pPr>
          </w:p>
        </w:tc>
      </w:tr>
      <w:tr>
        <w:trPr>
          <w:trHeight w:val="162"/>
        </w:trPr>
        <w:tc>
          <w:tcPr>
            <w:tcW w:w="44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interest expense, net</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27,409</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30,982</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81,170</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92,349</w:t>
            </w:r>
          </w:p>
        </w:tc>
        <w:tc>
          <w:tcPr>
            <w:tcW w:w="0" w:type="dxa"/>
            <w:vAlign w:val="bottom"/>
          </w:tcPr>
          <w:p>
            <w:pPr>
              <w:spacing w:after="0"/>
              <w:rPr>
                <w:sz w:val="1"/>
                <w:szCs w:val="1"/>
                <w:color w:val="auto"/>
              </w:rPr>
            </w:pPr>
          </w:p>
        </w:tc>
      </w:tr>
      <w:tr>
        <w:trPr>
          <w:trHeight w:val="162"/>
        </w:trPr>
        <w:tc>
          <w:tcPr>
            <w:tcW w:w="4420" w:type="dxa"/>
            <w:vAlign w:val="bottom"/>
          </w:tcPr>
          <w:p>
            <w:pPr>
              <w:ind w:left="120"/>
              <w:spacing w:after="0"/>
              <w:rPr>
                <w:sz w:val="20"/>
                <w:szCs w:val="20"/>
                <w:color w:val="auto"/>
              </w:rPr>
            </w:pPr>
            <w:r>
              <w:rPr>
                <w:rFonts w:ascii="Arial" w:cs="Arial" w:eastAsia="Arial" w:hAnsi="Arial"/>
                <w:sz w:val="14"/>
                <w:szCs w:val="14"/>
                <w:color w:val="auto"/>
              </w:rPr>
              <w:t>Depreciation and amortization</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26,967</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25,654</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74,319</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71,617</w:t>
            </w:r>
          </w:p>
        </w:tc>
        <w:tc>
          <w:tcPr>
            <w:tcW w:w="0" w:type="dxa"/>
            <w:vAlign w:val="bottom"/>
          </w:tcPr>
          <w:p>
            <w:pPr>
              <w:spacing w:after="0"/>
              <w:rPr>
                <w:sz w:val="1"/>
                <w:szCs w:val="1"/>
                <w:color w:val="auto"/>
              </w:rPr>
            </w:pPr>
          </w:p>
        </w:tc>
      </w:tr>
      <w:tr>
        <w:trPr>
          <w:trHeight w:val="162"/>
        </w:trPr>
        <w:tc>
          <w:tcPr>
            <w:tcW w:w="44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Income tax expense</w:t>
            </w:r>
          </w:p>
        </w:tc>
        <w:tc>
          <w:tcPr>
            <w:tcW w:w="2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988</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207,459</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2,275</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222,309</w:t>
            </w:r>
          </w:p>
        </w:tc>
        <w:tc>
          <w:tcPr>
            <w:tcW w:w="0" w:type="dxa"/>
            <w:vAlign w:val="bottom"/>
          </w:tcPr>
          <w:p>
            <w:pPr>
              <w:spacing w:after="0"/>
              <w:rPr>
                <w:sz w:val="1"/>
                <w:szCs w:val="1"/>
                <w:color w:val="auto"/>
              </w:rPr>
            </w:pPr>
          </w:p>
        </w:tc>
      </w:tr>
      <w:tr>
        <w:trPr>
          <w:trHeight w:val="155"/>
        </w:trPr>
        <w:tc>
          <w:tcPr>
            <w:tcW w:w="4420" w:type="dxa"/>
            <w:vAlign w:val="bottom"/>
          </w:tcPr>
          <w:p>
            <w:pPr>
              <w:ind w:left="220"/>
              <w:spacing w:after="0" w:line="155" w:lineRule="exact"/>
              <w:rPr>
                <w:sz w:val="20"/>
                <w:szCs w:val="20"/>
                <w:color w:val="auto"/>
              </w:rPr>
            </w:pPr>
            <w:r>
              <w:rPr>
                <w:rFonts w:ascii="Arial" w:cs="Arial" w:eastAsia="Arial" w:hAnsi="Arial"/>
                <w:sz w:val="14"/>
                <w:szCs w:val="14"/>
                <w:color w:val="auto"/>
              </w:rPr>
              <w:t>Subtotal EBITDA</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(264,723)</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234,744</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(145,271)</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389,765</w:t>
            </w:r>
          </w:p>
        </w:tc>
        <w:tc>
          <w:tcPr>
            <w:tcW w:w="0" w:type="dxa"/>
            <w:vAlign w:val="bottom"/>
          </w:tcPr>
          <w:p>
            <w:pPr>
              <w:spacing w:after="0"/>
              <w:rPr>
                <w:sz w:val="1"/>
                <w:szCs w:val="1"/>
                <w:color w:val="auto"/>
              </w:rPr>
            </w:pPr>
          </w:p>
        </w:tc>
      </w:tr>
      <w:tr>
        <w:trPr>
          <w:trHeight w:val="162"/>
        </w:trPr>
        <w:tc>
          <w:tcPr>
            <w:tcW w:w="44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Loss and expense on debt restructure (a)</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839</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839</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420" w:type="dxa"/>
            <w:vAlign w:val="bottom"/>
          </w:tcPr>
          <w:p>
            <w:pPr>
              <w:ind w:left="340"/>
              <w:spacing w:after="0"/>
              <w:rPr>
                <w:sz w:val="20"/>
                <w:szCs w:val="20"/>
                <w:color w:val="auto"/>
              </w:rPr>
            </w:pPr>
            <w:r>
              <w:rPr>
                <w:rFonts w:ascii="Arial" w:cs="Arial" w:eastAsia="Arial" w:hAnsi="Arial"/>
                <w:sz w:val="14"/>
                <w:szCs w:val="14"/>
                <w:color w:val="auto"/>
              </w:rPr>
              <w:t>Goodwill impairment (b)</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286,748</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286,748</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4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Long-lived asset impairment (c)</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6,668</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617</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19,767</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1,237</w:t>
            </w:r>
          </w:p>
        </w:tc>
        <w:tc>
          <w:tcPr>
            <w:tcW w:w="0" w:type="dxa"/>
            <w:vAlign w:val="bottom"/>
          </w:tcPr>
          <w:p>
            <w:pPr>
              <w:spacing w:after="0"/>
              <w:rPr>
                <w:sz w:val="1"/>
                <w:szCs w:val="1"/>
                <w:color w:val="auto"/>
              </w:rPr>
            </w:pPr>
          </w:p>
        </w:tc>
      </w:tr>
      <w:tr>
        <w:trPr>
          <w:trHeight w:val="162"/>
        </w:trPr>
        <w:tc>
          <w:tcPr>
            <w:tcW w:w="4420" w:type="dxa"/>
            <w:vAlign w:val="bottom"/>
          </w:tcPr>
          <w:p>
            <w:pPr>
              <w:ind w:left="340"/>
              <w:spacing w:after="0"/>
              <w:rPr>
                <w:sz w:val="20"/>
                <w:szCs w:val="20"/>
                <w:color w:val="auto"/>
              </w:rPr>
            </w:pPr>
            <w:r>
              <w:rPr>
                <w:rFonts w:ascii="Arial" w:cs="Arial" w:eastAsia="Arial" w:hAnsi="Arial"/>
                <w:sz w:val="14"/>
                <w:szCs w:val="14"/>
                <w:color w:val="auto"/>
              </w:rPr>
              <w:t>Loss (gain) on lease termination and/or remeasurement (d)</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51</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76</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107</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62"/>
        </w:trPr>
        <w:tc>
          <w:tcPr>
            <w:tcW w:w="44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(Gain) loss on sale or disposal of assets, net (e)</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(25)</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534</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(1,912)</w:t>
            </w: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162"/>
        </w:trPr>
        <w:tc>
          <w:tcPr>
            <w:tcW w:w="4420" w:type="dxa"/>
            <w:vAlign w:val="bottom"/>
          </w:tcPr>
          <w:p>
            <w:pPr>
              <w:ind w:left="340"/>
              <w:spacing w:after="0"/>
              <w:rPr>
                <w:sz w:val="20"/>
                <w:szCs w:val="20"/>
                <w:color w:val="auto"/>
              </w:rPr>
            </w:pPr>
            <w:r>
              <w:rPr>
                <w:rFonts w:ascii="Arial" w:cs="Arial" w:eastAsia="Arial" w:hAnsi="Arial"/>
                <w:sz w:val="14"/>
                <w:szCs w:val="14"/>
                <w:color w:val="auto"/>
              </w:rPr>
              <w:t>SBC (f)</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3,600</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7,750</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12,758</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23,464</w:t>
            </w:r>
          </w:p>
        </w:tc>
        <w:tc>
          <w:tcPr>
            <w:tcW w:w="0" w:type="dxa"/>
            <w:vAlign w:val="bottom"/>
          </w:tcPr>
          <w:p>
            <w:pPr>
              <w:spacing w:after="0"/>
              <w:rPr>
                <w:sz w:val="1"/>
                <w:szCs w:val="1"/>
                <w:color w:val="auto"/>
              </w:rPr>
            </w:pPr>
          </w:p>
        </w:tc>
      </w:tr>
      <w:tr>
        <w:trPr>
          <w:trHeight w:val="162"/>
        </w:trPr>
        <w:tc>
          <w:tcPr>
            <w:tcW w:w="44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Employment agreement modification expense (g)</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420" w:type="dxa"/>
            <w:vAlign w:val="bottom"/>
          </w:tcPr>
          <w:p>
            <w:pPr>
              <w:ind w:left="340"/>
              <w:spacing w:after="0"/>
              <w:rPr>
                <w:sz w:val="20"/>
                <w:szCs w:val="20"/>
                <w:color w:val="auto"/>
              </w:rPr>
            </w:pPr>
            <w:r>
              <w:rPr>
                <w:rFonts w:ascii="Arial" w:cs="Arial" w:eastAsia="Arial" w:hAnsi="Arial"/>
                <w:sz w:val="14"/>
                <w:szCs w:val="14"/>
                <w:color w:val="auto"/>
              </w:rPr>
              <w:t>Tax Receivable Agreement liability adjustment (h)</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(149,172)</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(149,172)</w:t>
            </w:r>
          </w:p>
        </w:tc>
        <w:tc>
          <w:tcPr>
            <w:tcW w:w="0" w:type="dxa"/>
            <w:vAlign w:val="bottom"/>
          </w:tcPr>
          <w:p>
            <w:pPr>
              <w:spacing w:after="0"/>
              <w:rPr>
                <w:sz w:val="1"/>
                <w:szCs w:val="1"/>
                <w:color w:val="auto"/>
              </w:rPr>
            </w:pPr>
          </w:p>
        </w:tc>
      </w:tr>
      <w:tr>
        <w:trPr>
          <w:trHeight w:val="162"/>
        </w:trPr>
        <w:tc>
          <w:tcPr>
            <w:tcW w:w="44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Loss and/or impairment on investments in equity securities (i)</w:t>
            </w:r>
          </w:p>
        </w:tc>
        <w:tc>
          <w:tcPr>
            <w:tcW w:w="2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2,458</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1,163</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2,620</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3,920</w:t>
            </w:r>
          </w:p>
        </w:tc>
        <w:tc>
          <w:tcPr>
            <w:tcW w:w="0" w:type="dxa"/>
            <w:vAlign w:val="bottom"/>
          </w:tcPr>
          <w:p>
            <w:pPr>
              <w:spacing w:after="0"/>
              <w:rPr>
                <w:sz w:val="1"/>
                <w:szCs w:val="1"/>
                <w:color w:val="auto"/>
              </w:rPr>
            </w:pPr>
          </w:p>
        </w:tc>
      </w:tr>
      <w:tr>
        <w:trPr>
          <w:trHeight w:val="155"/>
        </w:trPr>
        <w:tc>
          <w:tcPr>
            <w:tcW w:w="4420" w:type="dxa"/>
            <w:vAlign w:val="bottom"/>
          </w:tcPr>
          <w:p>
            <w:pPr>
              <w:ind w:left="440"/>
              <w:spacing w:after="0" w:line="155" w:lineRule="exact"/>
              <w:rPr>
                <w:sz w:val="20"/>
                <w:szCs w:val="20"/>
                <w:color w:val="auto"/>
              </w:rPr>
            </w:pPr>
            <w:r>
              <w:rPr>
                <w:rFonts w:ascii="Arial" w:cs="Arial" w:eastAsia="Arial" w:hAnsi="Arial"/>
                <w:sz w:val="14"/>
                <w:szCs w:val="14"/>
                <w:color w:val="auto"/>
              </w:rPr>
              <w:t>Adjusted EBITDA</w:t>
            </w:r>
          </w:p>
        </w:tc>
        <w:tc>
          <w:tcPr>
            <w:tcW w:w="200" w:type="dxa"/>
            <w:vAlign w:val="bottom"/>
          </w:tcPr>
          <w:p>
            <w:pPr>
              <w:spacing w:after="0"/>
              <w:rPr>
                <w:sz w:val="13"/>
                <w:szCs w:val="13"/>
                <w:color w:val="auto"/>
              </w:rPr>
            </w:pPr>
          </w:p>
        </w:tc>
        <w:tc>
          <w:tcPr>
            <w:tcW w:w="2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36,005</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95,712</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Borders>
              <w:bottom w:val="single" w:sz="8" w:color="auto"/>
            </w:tcBorders>
          </w:tcPr>
          <w:p>
            <w:pPr>
              <w:jc w:val="right"/>
              <w:ind w:right="37"/>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176,045</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269,079</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6"/>
        </w:trPr>
        <w:tc>
          <w:tcPr>
            <w:tcW w:w="4420" w:type="dxa"/>
            <w:vAlign w:val="bottom"/>
          </w:tcPr>
          <w:p>
            <w:pPr>
              <w:spacing w:after="0"/>
              <w:rPr>
                <w:sz w:val="24"/>
                <w:szCs w:val="24"/>
                <w:color w:val="auto"/>
              </w:rPr>
            </w:pPr>
          </w:p>
        </w:tc>
        <w:tc>
          <w:tcPr>
            <w:tcW w:w="200" w:type="dxa"/>
            <w:vAlign w:val="bottom"/>
            <w:vMerge w:val="restart"/>
          </w:tcPr>
          <w:p>
            <w:pPr>
              <w:ind w:left="80"/>
              <w:spacing w:after="0"/>
              <w:rPr>
                <w:sz w:val="20"/>
                <w:szCs w:val="20"/>
                <w:color w:val="auto"/>
              </w:rPr>
            </w:pPr>
            <w:r>
              <w:rPr>
                <w:rFonts w:ascii="Arial" w:cs="Arial" w:eastAsia="Arial" w:hAnsi="Arial"/>
                <w:sz w:val="13"/>
                <w:szCs w:val="13"/>
                <w:color w:val="auto"/>
              </w:rPr>
              <w:t>​​​</w:t>
            </w:r>
          </w:p>
        </w:tc>
        <w:tc>
          <w:tcPr>
            <w:tcW w:w="2060" w:type="dxa"/>
            <w:vAlign w:val="bottom"/>
            <w:gridSpan w:val="7"/>
          </w:tcPr>
          <w:p>
            <w:pPr>
              <w:ind w:left="20"/>
              <w:spacing w:after="0"/>
              <w:rPr>
                <w:sz w:val="20"/>
                <w:szCs w:val="20"/>
                <w:color w:val="auto"/>
              </w:rPr>
            </w:pPr>
            <w:r>
              <w:rPr>
                <w:rFonts w:ascii="Arial" w:cs="Arial" w:eastAsia="Arial" w:hAnsi="Arial"/>
                <w:sz w:val="12"/>
                <w:szCs w:val="12"/>
                <w:b w:val="1"/>
                <w:bCs w:val="1"/>
                <w:color w:val="auto"/>
                <w:w w:val="98"/>
              </w:rPr>
              <w:t>Three Months Ended September 30,</w:t>
            </w:r>
          </w:p>
        </w:tc>
        <w:tc>
          <w:tcPr>
            <w:tcW w:w="180" w:type="dxa"/>
            <w:vAlign w:val="bottom"/>
          </w:tcPr>
          <w:p>
            <w:pPr>
              <w:spacing w:after="0"/>
              <w:rPr>
                <w:sz w:val="24"/>
                <w:szCs w:val="24"/>
                <w:color w:val="auto"/>
              </w:rPr>
            </w:pPr>
          </w:p>
        </w:tc>
        <w:tc>
          <w:tcPr>
            <w:tcW w:w="2040" w:type="dxa"/>
            <w:vAlign w:val="bottom"/>
            <w:gridSpan w:val="6"/>
          </w:tcPr>
          <w:p>
            <w:pPr>
              <w:jc w:val="center"/>
              <w:spacing w:after="0"/>
              <w:rPr>
                <w:sz w:val="20"/>
                <w:szCs w:val="20"/>
                <w:color w:val="auto"/>
              </w:rPr>
            </w:pPr>
            <w:r>
              <w:rPr>
                <w:rFonts w:ascii="Arial" w:cs="Arial" w:eastAsia="Arial" w:hAnsi="Arial"/>
                <w:sz w:val="12"/>
                <w:szCs w:val="12"/>
                <w:b w:val="1"/>
                <w:bCs w:val="1"/>
                <w:color w:val="auto"/>
                <w:w w:val="97"/>
              </w:rPr>
              <w:t>Nine Months Ended September 30,</w:t>
            </w:r>
          </w:p>
        </w:tc>
        <w:tc>
          <w:tcPr>
            <w:tcW w:w="0" w:type="dxa"/>
            <w:vAlign w:val="bottom"/>
          </w:tcPr>
          <w:p>
            <w:pPr>
              <w:spacing w:after="0"/>
              <w:rPr>
                <w:sz w:val="1"/>
                <w:szCs w:val="1"/>
                <w:color w:val="auto"/>
              </w:rPr>
            </w:pPr>
          </w:p>
        </w:tc>
      </w:tr>
      <w:tr>
        <w:trPr>
          <w:trHeight w:val="129"/>
        </w:trPr>
        <w:tc>
          <w:tcPr>
            <w:tcW w:w="4420" w:type="dxa"/>
            <w:vAlign w:val="bottom"/>
          </w:tcPr>
          <w:p>
            <w:pPr>
              <w:ind w:left="20"/>
              <w:spacing w:after="0" w:line="129" w:lineRule="exact"/>
              <w:rPr>
                <w:sz w:val="20"/>
                <w:szCs w:val="20"/>
                <w:color w:val="auto"/>
              </w:rPr>
            </w:pPr>
            <w:r>
              <w:rPr>
                <w:rFonts w:ascii="Arial" w:cs="Arial" w:eastAsia="Arial" w:hAnsi="Arial"/>
                <w:sz w:val="12"/>
                <w:szCs w:val="12"/>
                <w:color w:val="auto"/>
              </w:rPr>
              <w:t>(as percentage of total revenue)</w:t>
            </w:r>
          </w:p>
        </w:tc>
        <w:tc>
          <w:tcPr>
            <w:tcW w:w="200" w:type="dxa"/>
            <w:vAlign w:val="bottom"/>
            <w:vMerge w:val="continue"/>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249"/>
              <w:spacing w:after="0" w:line="129" w:lineRule="exact"/>
              <w:rPr>
                <w:sz w:val="20"/>
                <w:szCs w:val="20"/>
                <w:color w:val="auto"/>
              </w:rPr>
            </w:pPr>
            <w:r>
              <w:rPr>
                <w:rFonts w:ascii="Arial" w:cs="Arial" w:eastAsia="Arial" w:hAnsi="Arial"/>
                <w:sz w:val="12"/>
                <w:szCs w:val="12"/>
                <w:b w:val="1"/>
                <w:bCs w:val="1"/>
                <w:color w:val="auto"/>
              </w:rPr>
              <w:t>2026</w:t>
            </w:r>
          </w:p>
        </w:tc>
        <w:tc>
          <w:tcPr>
            <w:tcW w:w="4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gridSpan w:val="2"/>
          </w:tcPr>
          <w:p>
            <w:pPr>
              <w:jc w:val="right"/>
              <w:ind w:right="168"/>
              <w:spacing w:after="0" w:line="129" w:lineRule="exact"/>
              <w:rPr>
                <w:sz w:val="20"/>
                <w:szCs w:val="20"/>
                <w:color w:val="auto"/>
              </w:rPr>
            </w:pPr>
            <w:r>
              <w:rPr>
                <w:rFonts w:ascii="Arial" w:cs="Arial" w:eastAsia="Arial" w:hAnsi="Arial"/>
                <w:sz w:val="12"/>
                <w:szCs w:val="12"/>
                <w:color w:val="auto"/>
              </w:rPr>
              <w:t>​​​</w:t>
            </w:r>
          </w:p>
        </w:tc>
        <w:tc>
          <w:tcPr>
            <w:tcW w:w="720" w:type="dxa"/>
            <w:vAlign w:val="bottom"/>
            <w:tcBorders>
              <w:top w:val="single" w:sz="8" w:color="auto"/>
            </w:tcBorders>
          </w:tcPr>
          <w:p>
            <w:pPr>
              <w:jc w:val="right"/>
              <w:ind w:right="249"/>
              <w:spacing w:after="0" w:line="129" w:lineRule="exact"/>
              <w:rPr>
                <w:sz w:val="20"/>
                <w:szCs w:val="20"/>
                <w:color w:val="auto"/>
              </w:rPr>
            </w:pPr>
            <w:r>
              <w:rPr>
                <w:rFonts w:ascii="Arial" w:cs="Arial" w:eastAsia="Arial" w:hAnsi="Arial"/>
                <w:sz w:val="12"/>
                <w:szCs w:val="12"/>
                <w:b w:val="1"/>
                <w:bCs w:val="1"/>
                <w:color w:val="auto"/>
              </w:rPr>
              <w:t>2025</w:t>
            </w:r>
          </w:p>
        </w:tc>
        <w:tc>
          <w:tcPr>
            <w:tcW w:w="20" w:type="dxa"/>
            <w:vAlign w:val="bottom"/>
          </w:tcPr>
          <w:p>
            <w:pPr>
              <w:spacing w:after="0"/>
              <w:rPr>
                <w:sz w:val="11"/>
                <w:szCs w:val="11"/>
                <w:color w:val="auto"/>
              </w:rPr>
            </w:pPr>
          </w:p>
        </w:tc>
        <w:tc>
          <w:tcPr>
            <w:tcW w:w="180" w:type="dxa"/>
            <w:vAlign w:val="bottom"/>
          </w:tcPr>
          <w:p>
            <w:pPr>
              <w:ind w:left="40"/>
              <w:spacing w:after="0" w:line="129" w:lineRule="exact"/>
              <w:rPr>
                <w:sz w:val="20"/>
                <w:szCs w:val="20"/>
                <w:color w:val="auto"/>
              </w:rPr>
            </w:pPr>
            <w:r>
              <w:rPr>
                <w:rFonts w:ascii="Arial" w:cs="Arial" w:eastAsia="Arial" w:hAnsi="Arial"/>
                <w:sz w:val="12"/>
                <w:szCs w:val="12"/>
                <w:color w:val="auto"/>
              </w:rPr>
              <w:t>​​​</w:t>
            </w:r>
          </w:p>
        </w:tc>
        <w:tc>
          <w:tcPr>
            <w:tcW w:w="2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249"/>
              <w:spacing w:after="0" w:line="129" w:lineRule="exact"/>
              <w:rPr>
                <w:sz w:val="20"/>
                <w:szCs w:val="20"/>
                <w:color w:val="auto"/>
              </w:rPr>
            </w:pPr>
            <w:r>
              <w:rPr>
                <w:rFonts w:ascii="Arial" w:cs="Arial" w:eastAsia="Arial" w:hAnsi="Arial"/>
                <w:sz w:val="12"/>
                <w:szCs w:val="12"/>
                <w:b w:val="1"/>
                <w:bCs w:val="1"/>
                <w:color w:val="auto"/>
              </w:rPr>
              <w:t>2026</w:t>
            </w:r>
          </w:p>
        </w:tc>
        <w:tc>
          <w:tcPr>
            <w:tcW w:w="4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gridSpan w:val="2"/>
          </w:tcPr>
          <w:p>
            <w:pPr>
              <w:jc w:val="center"/>
              <w:ind w:right="148"/>
              <w:spacing w:after="0" w:line="129" w:lineRule="exact"/>
              <w:rPr>
                <w:sz w:val="20"/>
                <w:szCs w:val="20"/>
                <w:color w:val="auto"/>
              </w:rPr>
            </w:pPr>
            <w:r>
              <w:rPr>
                <w:rFonts w:ascii="Arial" w:cs="Arial" w:eastAsia="Arial" w:hAnsi="Arial"/>
                <w:sz w:val="12"/>
                <w:szCs w:val="12"/>
                <w:color w:val="auto"/>
              </w:rPr>
              <w:t>​​​</w:t>
            </w:r>
          </w:p>
        </w:tc>
        <w:tc>
          <w:tcPr>
            <w:tcW w:w="700" w:type="dxa"/>
            <w:vAlign w:val="bottom"/>
            <w:tcBorders>
              <w:top w:val="single" w:sz="8" w:color="auto"/>
            </w:tcBorders>
          </w:tcPr>
          <w:p>
            <w:pPr>
              <w:jc w:val="right"/>
              <w:ind w:right="249"/>
              <w:spacing w:after="0" w:line="129" w:lineRule="exact"/>
              <w:rPr>
                <w:sz w:val="20"/>
                <w:szCs w:val="20"/>
                <w:color w:val="auto"/>
              </w:rPr>
            </w:pPr>
            <w:r>
              <w:rPr>
                <w:rFonts w:ascii="Arial" w:cs="Arial" w:eastAsia="Arial" w:hAnsi="Arial"/>
                <w:sz w:val="12"/>
                <w:szCs w:val="12"/>
                <w:b w:val="1"/>
                <w:bCs w:val="1"/>
                <w:color w:val="auto"/>
              </w:rPr>
              <w:t>2025</w:t>
            </w:r>
          </w:p>
        </w:tc>
        <w:tc>
          <w:tcPr>
            <w:tcW w:w="0" w:type="dxa"/>
            <w:vAlign w:val="bottom"/>
          </w:tcPr>
          <w:p>
            <w:pPr>
              <w:spacing w:after="0"/>
              <w:rPr>
                <w:sz w:val="1"/>
                <w:szCs w:val="1"/>
                <w:color w:val="auto"/>
              </w:rPr>
            </w:pPr>
          </w:p>
        </w:tc>
      </w:tr>
      <w:tr>
        <w:trPr>
          <w:trHeight w:val="155"/>
        </w:trPr>
        <w:tc>
          <w:tcPr>
            <w:tcW w:w="4420" w:type="dxa"/>
            <w:vAlign w:val="bottom"/>
            <w:tcBorders>
              <w:top w:val="single" w:sz="8" w:color="auto"/>
            </w:tcBorders>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Adjusted EBITDA margin:</w:t>
            </w:r>
          </w:p>
        </w:tc>
        <w:tc>
          <w:tcPr>
            <w:tcW w:w="2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420" w:type="dxa"/>
            <w:vAlign w:val="bottom"/>
          </w:tcPr>
          <w:p>
            <w:pPr>
              <w:ind w:left="120"/>
              <w:spacing w:after="0"/>
              <w:rPr>
                <w:sz w:val="20"/>
                <w:szCs w:val="20"/>
                <w:color w:val="auto"/>
              </w:rPr>
            </w:pPr>
            <w:r>
              <w:rPr>
                <w:rFonts w:ascii="Arial" w:cs="Arial" w:eastAsia="Arial" w:hAnsi="Arial"/>
                <w:sz w:val="14"/>
                <w:szCs w:val="14"/>
                <w:color w:val="auto"/>
              </w:rPr>
              <w:t>Net (loss) income margin</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(20.2%)</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(1.6%)</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(6.2%)</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62"/>
        </w:trPr>
        <w:tc>
          <w:tcPr>
            <w:tcW w:w="44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interest expense, net</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62"/>
        </w:trPr>
        <w:tc>
          <w:tcPr>
            <w:tcW w:w="4420" w:type="dxa"/>
            <w:vAlign w:val="bottom"/>
          </w:tcPr>
          <w:p>
            <w:pPr>
              <w:ind w:left="120"/>
              <w:spacing w:after="0"/>
              <w:rPr>
                <w:sz w:val="20"/>
                <w:szCs w:val="20"/>
                <w:color w:val="auto"/>
              </w:rPr>
            </w:pPr>
            <w:r>
              <w:rPr>
                <w:rFonts w:ascii="Arial" w:cs="Arial" w:eastAsia="Arial" w:hAnsi="Arial"/>
                <w:sz w:val="14"/>
                <w:szCs w:val="14"/>
                <w:color w:val="auto"/>
              </w:rPr>
              <w:t>Depreciation and amortization</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62"/>
        </w:trPr>
        <w:tc>
          <w:tcPr>
            <w:tcW w:w="44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Income tax expense</w:t>
            </w:r>
          </w:p>
        </w:tc>
        <w:tc>
          <w:tcPr>
            <w:tcW w:w="2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55"/>
        </w:trPr>
        <w:tc>
          <w:tcPr>
            <w:tcW w:w="4420" w:type="dxa"/>
            <w:vAlign w:val="bottom"/>
          </w:tcPr>
          <w:p>
            <w:pPr>
              <w:ind w:left="220"/>
              <w:spacing w:after="0" w:line="155" w:lineRule="exact"/>
              <w:rPr>
                <w:sz w:val="20"/>
                <w:szCs w:val="20"/>
                <w:color w:val="auto"/>
              </w:rPr>
            </w:pPr>
            <w:r>
              <w:rPr>
                <w:rFonts w:ascii="Arial" w:cs="Arial" w:eastAsia="Arial" w:hAnsi="Arial"/>
                <w:sz w:val="14"/>
                <w:szCs w:val="14"/>
                <w:color w:val="auto"/>
              </w:rPr>
              <w:t>Subtotal EBITDA margin</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(16.7%)</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13.0%</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(3.0%)</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62"/>
        </w:trPr>
        <w:tc>
          <w:tcPr>
            <w:tcW w:w="44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Loss and expense on debt restructure (a)</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420" w:type="dxa"/>
            <w:vAlign w:val="bottom"/>
          </w:tcPr>
          <w:p>
            <w:pPr>
              <w:ind w:left="340"/>
              <w:spacing w:after="0"/>
              <w:rPr>
                <w:sz w:val="20"/>
                <w:szCs w:val="20"/>
                <w:color w:val="auto"/>
              </w:rPr>
            </w:pPr>
            <w:r>
              <w:rPr>
                <w:rFonts w:ascii="Arial" w:cs="Arial" w:eastAsia="Arial" w:hAnsi="Arial"/>
                <w:sz w:val="14"/>
                <w:szCs w:val="14"/>
                <w:color w:val="auto"/>
              </w:rPr>
              <w:t>Goodwill impairment (b)</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18.1%</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5.9%</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4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Long-lived asset impairment (c)</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62"/>
        </w:trPr>
        <w:tc>
          <w:tcPr>
            <w:tcW w:w="4420" w:type="dxa"/>
            <w:vAlign w:val="bottom"/>
          </w:tcPr>
          <w:p>
            <w:pPr>
              <w:ind w:left="340"/>
              <w:spacing w:after="0"/>
              <w:rPr>
                <w:sz w:val="20"/>
                <w:szCs w:val="20"/>
                <w:color w:val="auto"/>
              </w:rPr>
            </w:pPr>
            <w:r>
              <w:rPr>
                <w:rFonts w:ascii="Arial" w:cs="Arial" w:eastAsia="Arial" w:hAnsi="Arial"/>
                <w:sz w:val="14"/>
                <w:szCs w:val="14"/>
                <w:color w:val="auto"/>
              </w:rPr>
              <w:t>Loss (gain) on lease termination and/or remeasurement (d)</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0.0%</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0.0%</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0.0%</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62"/>
        </w:trPr>
        <w:tc>
          <w:tcPr>
            <w:tcW w:w="44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(Gain) loss on sale or disposal of assets, net (e)</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(0.0%)</w:t>
            </w: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62"/>
        </w:trPr>
        <w:tc>
          <w:tcPr>
            <w:tcW w:w="4420" w:type="dxa"/>
            <w:vAlign w:val="bottom"/>
          </w:tcPr>
          <w:p>
            <w:pPr>
              <w:ind w:left="340"/>
              <w:spacing w:after="0"/>
              <w:rPr>
                <w:sz w:val="20"/>
                <w:szCs w:val="20"/>
                <w:color w:val="auto"/>
              </w:rPr>
            </w:pPr>
            <w:r>
              <w:rPr>
                <w:rFonts w:ascii="Arial" w:cs="Arial" w:eastAsia="Arial" w:hAnsi="Arial"/>
                <w:sz w:val="14"/>
                <w:szCs w:val="14"/>
                <w:color w:val="auto"/>
              </w:rPr>
              <w:t>SBC (f)</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0.2%</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0.4%</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0.3%</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62"/>
        </w:trPr>
        <w:tc>
          <w:tcPr>
            <w:tcW w:w="44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Employment agreement modification expense (g)</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420" w:type="dxa"/>
            <w:vAlign w:val="bottom"/>
          </w:tcPr>
          <w:p>
            <w:pPr>
              <w:ind w:left="340"/>
              <w:spacing w:after="0"/>
              <w:rPr>
                <w:sz w:val="20"/>
                <w:szCs w:val="20"/>
                <w:color w:val="auto"/>
              </w:rPr>
            </w:pPr>
            <w:r>
              <w:rPr>
                <w:rFonts w:ascii="Arial" w:cs="Arial" w:eastAsia="Arial" w:hAnsi="Arial"/>
                <w:sz w:val="14"/>
                <w:szCs w:val="14"/>
                <w:color w:val="auto"/>
              </w:rPr>
              <w:t>Tax Receivable Agreement liability adjustment (h)</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(8.3%)</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62"/>
        </w:trPr>
        <w:tc>
          <w:tcPr>
            <w:tcW w:w="44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Loss and/or impairment on investments in equity securities (i)</w:t>
            </w:r>
          </w:p>
        </w:tc>
        <w:tc>
          <w:tcPr>
            <w:tcW w:w="2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55"/>
        </w:trPr>
        <w:tc>
          <w:tcPr>
            <w:tcW w:w="4420" w:type="dxa"/>
            <w:vAlign w:val="bottom"/>
          </w:tcPr>
          <w:p>
            <w:pPr>
              <w:ind w:left="440"/>
              <w:spacing w:after="0" w:line="155" w:lineRule="exact"/>
              <w:rPr>
                <w:sz w:val="20"/>
                <w:szCs w:val="20"/>
                <w:color w:val="auto"/>
              </w:rPr>
            </w:pPr>
            <w:r>
              <w:rPr>
                <w:rFonts w:ascii="Arial" w:cs="Arial" w:eastAsia="Arial" w:hAnsi="Arial"/>
                <w:sz w:val="14"/>
                <w:szCs w:val="14"/>
                <w:color w:val="auto"/>
              </w:rPr>
              <w:t>Adjusted EBITDA margin</w:t>
            </w:r>
          </w:p>
        </w:tc>
        <w:tc>
          <w:tcPr>
            <w:tcW w:w="2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5.3%</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54" w:name="page55"/>
    <w:bookmarkEnd w:id="5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left="460" w:right="79" w:hanging="329"/>
        <w:spacing w:after="0" w:line="256" w:lineRule="auto"/>
        <w:tabs>
          <w:tab w:leader="none" w:pos="460" w:val="left"/>
        </w:tabs>
        <w:numPr>
          <w:ilvl w:val="0"/>
          <w:numId w:val="30"/>
        </w:numPr>
        <w:rPr>
          <w:rFonts w:ascii="Arial" w:cs="Arial" w:eastAsia="Arial" w:hAnsi="Arial"/>
          <w:sz w:val="14"/>
          <w:szCs w:val="14"/>
          <w:color w:val="231F20"/>
        </w:rPr>
      </w:pPr>
      <w:r>
        <w:rPr>
          <w:rFonts w:ascii="Arial" w:cs="Arial" w:eastAsia="Arial" w:hAnsi="Arial"/>
          <w:sz w:val="14"/>
          <w:szCs w:val="14"/>
          <w:color w:val="auto"/>
        </w:rPr>
        <w:t>Represents the debt restructure expenses for third-party refinancing costs and loss on debt restructure for the write-off of unamortized finance costs on the refinancing of the M&amp;T Real Estate Facility in August 2026, which was accounted for as a modification. See Note 8 – Long-Term Debt to our condensed consolidated financial statements included in Part I, Item 1 of this Form 10-Q for additional information.</w:t>
      </w:r>
    </w:p>
    <w:p>
      <w:pPr>
        <w:spacing w:after="0" w:line="42" w:lineRule="exact"/>
        <w:rPr>
          <w:rFonts w:ascii="Arial" w:cs="Arial" w:eastAsia="Arial" w:hAnsi="Arial"/>
          <w:sz w:val="14"/>
          <w:szCs w:val="14"/>
          <w:color w:val="231F20"/>
        </w:rPr>
      </w:pPr>
    </w:p>
    <w:p>
      <w:pPr>
        <w:jc w:val="both"/>
        <w:ind w:left="460" w:right="79" w:hanging="329"/>
        <w:spacing w:after="0" w:line="263" w:lineRule="auto"/>
        <w:tabs>
          <w:tab w:leader="none" w:pos="460" w:val="left"/>
        </w:tabs>
        <w:numPr>
          <w:ilvl w:val="0"/>
          <w:numId w:val="30"/>
        </w:numPr>
        <w:rPr>
          <w:rFonts w:ascii="Arial" w:cs="Arial" w:eastAsia="Arial" w:hAnsi="Arial"/>
          <w:sz w:val="14"/>
          <w:szCs w:val="14"/>
          <w:color w:val="231F20"/>
        </w:rPr>
      </w:pPr>
      <w:r>
        <w:rPr>
          <w:rFonts w:ascii="Arial" w:cs="Arial" w:eastAsia="Arial" w:hAnsi="Arial"/>
          <w:sz w:val="14"/>
          <w:szCs w:val="14"/>
          <w:color w:val="auto"/>
        </w:rPr>
        <w:t>Represents a goodwill impairment charge of $286.7 million related to the RV and Outdoor Retail reporting unit in the third quarter of 2026. See Note 7 – Goodwill and Intangible Assets to our condensed consolidated financial statements in Part I, Item 1 of this Form 10-Q for additional information.</w:t>
      </w:r>
    </w:p>
    <w:p>
      <w:pPr>
        <w:spacing w:after="0" w:line="24" w:lineRule="exact"/>
        <w:rPr>
          <w:rFonts w:ascii="Arial" w:cs="Arial" w:eastAsia="Arial" w:hAnsi="Arial"/>
          <w:sz w:val="14"/>
          <w:szCs w:val="14"/>
          <w:color w:val="231F20"/>
        </w:rPr>
      </w:pPr>
    </w:p>
    <w:p>
      <w:pPr>
        <w:jc w:val="both"/>
        <w:ind w:left="460" w:right="79" w:hanging="329"/>
        <w:spacing w:after="0" w:line="285" w:lineRule="auto"/>
        <w:tabs>
          <w:tab w:leader="none" w:pos="460" w:val="left"/>
        </w:tabs>
        <w:numPr>
          <w:ilvl w:val="0"/>
          <w:numId w:val="30"/>
        </w:numPr>
        <w:rPr>
          <w:rFonts w:ascii="Arial" w:cs="Arial" w:eastAsia="Arial" w:hAnsi="Arial"/>
          <w:sz w:val="14"/>
          <w:szCs w:val="14"/>
          <w:color w:val="231F20"/>
        </w:rPr>
      </w:pPr>
      <w:r>
        <w:rPr>
          <w:rFonts w:ascii="Arial" w:cs="Arial" w:eastAsia="Arial" w:hAnsi="Arial"/>
          <w:sz w:val="14"/>
          <w:szCs w:val="14"/>
          <w:color w:val="auto"/>
        </w:rPr>
        <w:t>Represents long-lived asset impairment charges related to the RV and Outdoor Retail segment. See Note 5 – Long-Lived Asset Impairment to our condensed consolidated financial statements included in Part I, Item 1 of this Form 10-Q for additional information.</w:t>
      </w:r>
    </w:p>
    <w:p>
      <w:pPr>
        <w:spacing w:after="0" w:line="9" w:lineRule="exact"/>
        <w:rPr>
          <w:rFonts w:ascii="Arial" w:cs="Arial" w:eastAsia="Arial" w:hAnsi="Arial"/>
          <w:sz w:val="14"/>
          <w:szCs w:val="14"/>
          <w:color w:val="231F20"/>
        </w:rPr>
      </w:pPr>
    </w:p>
    <w:p>
      <w:pPr>
        <w:ind w:left="460" w:right="79" w:hanging="329"/>
        <w:spacing w:after="0" w:line="285" w:lineRule="auto"/>
        <w:tabs>
          <w:tab w:leader="none" w:pos="460" w:val="left"/>
        </w:tabs>
        <w:numPr>
          <w:ilvl w:val="0"/>
          <w:numId w:val="30"/>
        </w:numPr>
        <w:rPr>
          <w:rFonts w:ascii="Arial" w:cs="Arial" w:eastAsia="Arial" w:hAnsi="Arial"/>
          <w:sz w:val="14"/>
          <w:szCs w:val="14"/>
          <w:color w:val="231F20"/>
        </w:rPr>
      </w:pPr>
      <w:r>
        <w:rPr>
          <w:rFonts w:ascii="Arial" w:cs="Arial" w:eastAsia="Arial" w:hAnsi="Arial"/>
          <w:sz w:val="14"/>
          <w:szCs w:val="14"/>
          <w:color w:val="auto"/>
        </w:rPr>
        <w:t>Represents the loss (gain) on the termination of operating leases and/or remeasurement resulting from lease termination fees and the derecognition of the operating lease assets and liabilities.</w:t>
      </w:r>
    </w:p>
    <w:p>
      <w:pPr>
        <w:spacing w:after="0" w:line="22" w:lineRule="exact"/>
        <w:rPr>
          <w:rFonts w:ascii="Arial" w:cs="Arial" w:eastAsia="Arial" w:hAnsi="Arial"/>
          <w:sz w:val="14"/>
          <w:szCs w:val="14"/>
          <w:color w:val="231F20"/>
        </w:rPr>
      </w:pPr>
    </w:p>
    <w:p>
      <w:pPr>
        <w:ind w:left="460" w:hanging="329"/>
        <w:spacing w:after="0"/>
        <w:tabs>
          <w:tab w:leader="none" w:pos="460" w:val="left"/>
        </w:tabs>
        <w:numPr>
          <w:ilvl w:val="0"/>
          <w:numId w:val="30"/>
        </w:numPr>
        <w:rPr>
          <w:rFonts w:ascii="Arial" w:cs="Arial" w:eastAsia="Arial" w:hAnsi="Arial"/>
          <w:sz w:val="14"/>
          <w:szCs w:val="14"/>
          <w:color w:val="231F20"/>
        </w:rPr>
      </w:pPr>
      <w:r>
        <w:rPr>
          <w:rFonts w:ascii="Arial" w:cs="Arial" w:eastAsia="Arial" w:hAnsi="Arial"/>
          <w:sz w:val="14"/>
          <w:szCs w:val="14"/>
          <w:color w:val="auto"/>
        </w:rPr>
        <w:t>Represents an adjustment to eliminate the gains and losses on sale and disposal of various assets.</w:t>
      </w:r>
    </w:p>
    <w:p>
      <w:pPr>
        <w:spacing w:after="0" w:line="68" w:lineRule="exact"/>
        <w:rPr>
          <w:rFonts w:ascii="Arial" w:cs="Arial" w:eastAsia="Arial" w:hAnsi="Arial"/>
          <w:sz w:val="14"/>
          <w:szCs w:val="14"/>
          <w:color w:val="231F20"/>
        </w:rPr>
      </w:pPr>
    </w:p>
    <w:p>
      <w:pPr>
        <w:ind w:left="460" w:hanging="329"/>
        <w:spacing w:after="0"/>
        <w:tabs>
          <w:tab w:leader="none" w:pos="460" w:val="left"/>
        </w:tabs>
        <w:numPr>
          <w:ilvl w:val="0"/>
          <w:numId w:val="30"/>
        </w:numPr>
        <w:rPr>
          <w:rFonts w:ascii="Arial" w:cs="Arial" w:eastAsia="Arial" w:hAnsi="Arial"/>
          <w:sz w:val="14"/>
          <w:szCs w:val="14"/>
          <w:color w:val="231F20"/>
        </w:rPr>
      </w:pPr>
      <w:r>
        <w:rPr>
          <w:rFonts w:ascii="Arial" w:cs="Arial" w:eastAsia="Arial" w:hAnsi="Arial"/>
          <w:sz w:val="14"/>
          <w:szCs w:val="14"/>
          <w:color w:val="auto"/>
        </w:rPr>
        <w:t>Represents SBC expense relating to employees, directors, and consultants of the Company.</w:t>
      </w:r>
    </w:p>
    <w:p>
      <w:pPr>
        <w:spacing w:after="0" w:line="68" w:lineRule="exact"/>
        <w:rPr>
          <w:rFonts w:ascii="Arial" w:cs="Arial" w:eastAsia="Arial" w:hAnsi="Arial"/>
          <w:sz w:val="14"/>
          <w:szCs w:val="14"/>
          <w:color w:val="231F20"/>
        </w:rPr>
      </w:pPr>
    </w:p>
    <w:p>
      <w:pPr>
        <w:ind w:left="460" w:right="179" w:hanging="329"/>
        <w:spacing w:after="0" w:line="263" w:lineRule="auto"/>
        <w:tabs>
          <w:tab w:leader="none" w:pos="460" w:val="left"/>
        </w:tabs>
        <w:numPr>
          <w:ilvl w:val="0"/>
          <w:numId w:val="30"/>
        </w:numPr>
        <w:rPr>
          <w:rFonts w:ascii="Arial" w:cs="Arial" w:eastAsia="Arial" w:hAnsi="Arial"/>
          <w:sz w:val="14"/>
          <w:szCs w:val="14"/>
          <w:color w:val="231F20"/>
        </w:rPr>
      </w:pPr>
      <w:r>
        <w:rPr>
          <w:rFonts w:ascii="Arial" w:cs="Arial" w:eastAsia="Arial" w:hAnsi="Arial"/>
          <w:sz w:val="14"/>
          <w:szCs w:val="14"/>
          <w:color w:val="auto"/>
        </w:rPr>
        <w:t>Represents costs under the Transition Agreement with the Company’s former Chief Administrative and Legal Officer and Secretary. See Note 11 – Commitments and Contingencies to our condensed consolidated financial statements included in Part I, Item 1 of this Form 10-Q for additional information.</w:t>
      </w:r>
    </w:p>
    <w:p>
      <w:pPr>
        <w:spacing w:after="0" w:line="37" w:lineRule="exact"/>
        <w:rPr>
          <w:rFonts w:ascii="Arial" w:cs="Arial" w:eastAsia="Arial" w:hAnsi="Arial"/>
          <w:sz w:val="14"/>
          <w:szCs w:val="14"/>
          <w:color w:val="231F20"/>
        </w:rPr>
      </w:pPr>
    </w:p>
    <w:p>
      <w:pPr>
        <w:jc w:val="both"/>
        <w:ind w:left="460" w:right="79" w:hanging="329"/>
        <w:spacing w:after="0" w:line="263" w:lineRule="auto"/>
        <w:tabs>
          <w:tab w:leader="none" w:pos="460" w:val="left"/>
        </w:tabs>
        <w:numPr>
          <w:ilvl w:val="0"/>
          <w:numId w:val="30"/>
        </w:numPr>
        <w:rPr>
          <w:rFonts w:ascii="Arial" w:cs="Arial" w:eastAsia="Arial" w:hAnsi="Arial"/>
          <w:sz w:val="14"/>
          <w:szCs w:val="14"/>
          <w:color w:val="231F20"/>
        </w:rPr>
      </w:pPr>
      <w:r>
        <w:rPr>
          <w:rFonts w:ascii="Arial" w:cs="Arial" w:eastAsia="Arial" w:hAnsi="Arial"/>
          <w:sz w:val="14"/>
          <w:szCs w:val="14"/>
          <w:color w:val="auto"/>
        </w:rPr>
        <w:t>Represents an adjustment to the Tax Receivable Agreement liability for the change in the determination of the realizability of future cash tax benefits underlying the estimate of future payments under the Tax Receivable Agreement. See Note 14 ― Income Taxes to our condensed consolidated financial statements included in Part I, Item 1 of this Form 10-Q.</w:t>
      </w:r>
    </w:p>
    <w:p>
      <w:pPr>
        <w:spacing w:after="0" w:line="24" w:lineRule="exact"/>
        <w:rPr>
          <w:rFonts w:ascii="Arial" w:cs="Arial" w:eastAsia="Arial" w:hAnsi="Arial"/>
          <w:sz w:val="14"/>
          <w:szCs w:val="14"/>
          <w:color w:val="231F20"/>
        </w:rPr>
      </w:pPr>
    </w:p>
    <w:p>
      <w:pPr>
        <w:ind w:left="460" w:right="79" w:hanging="329"/>
        <w:spacing w:after="0" w:line="285" w:lineRule="auto"/>
        <w:tabs>
          <w:tab w:leader="none" w:pos="460" w:val="left"/>
        </w:tabs>
        <w:numPr>
          <w:ilvl w:val="0"/>
          <w:numId w:val="30"/>
        </w:numPr>
        <w:rPr>
          <w:rFonts w:ascii="Arial" w:cs="Arial" w:eastAsia="Arial" w:hAnsi="Arial"/>
          <w:sz w:val="14"/>
          <w:szCs w:val="14"/>
          <w:color w:val="231F20"/>
        </w:rPr>
      </w:pPr>
      <w:r>
        <w:rPr>
          <w:rFonts w:ascii="Arial" w:cs="Arial" w:eastAsia="Arial" w:hAnsi="Arial"/>
          <w:sz w:val="14"/>
          <w:szCs w:val="14"/>
          <w:color w:val="auto"/>
        </w:rPr>
        <w:t>Represents losses and/or impairment on investments in equity securities and interest income relating to any notes receivable with those investments.</w:t>
      </w:r>
    </w:p>
    <w:p>
      <w:pPr>
        <w:spacing w:after="0" w:line="177"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8"/>
          <w:szCs w:val="18"/>
          <w:i w:val="1"/>
          <w:iCs w:val="1"/>
          <w:color w:val="auto"/>
        </w:rPr>
        <w:t>Adjusted Net (Loss) Income Attributable to Camping World Holdings, Inc. and Adjusted (Loss) Earnings Per Share</w:t>
      </w:r>
    </w:p>
    <w:p>
      <w:pPr>
        <w:spacing w:after="0" w:line="155"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We define “Adjusted Net (Loss) Income Attributable to Camping World Holdings, Inc. – Basic” as net loss attributable to Camping World Holdings, Inc. adjusted for the impact of certain noncash and other items that we do not consider in our evaluation of ongoing operating performance. These items include, among other things, loss and expense on debt restructure, goodwill impairment, long-lived asset impairment, (gain) loss on lease termination and/or remeasurement, (gain) loss on sale or disposal of assets, net, SBC, employment agreement modification expenses, Tax Receivable Agreement liability adjustment, loss and/or impairment on investments in equity securities, other unusual or one-time items, the income tax benefit (expense) effect of these adjustments, income tax expense impact from significant change in valuation allowance against deferred tax assets, and the effect of net loss attributable to non-controlling interests from these adjustments.</w:t>
      </w:r>
    </w:p>
    <w:p>
      <w:pPr>
        <w:spacing w:after="0" w:line="170"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We define “Adjusted Net (Loss) Income Attributable to Camping World Holdings, Inc. – Diluted” as Adjusted Net (Loss) Income Attributable to Camping World Holdings, Inc. – Basic adjusted for the reallocation of net loss attributable to non-controlling interests from stock options, performance stock units (“PSU”), and restricted stock units (“RSU”), if dilutive, or the assumed redemption, if dilutive, of all outstanding common units in CWGS, LLC for shares of newly issued Class A common stock of Camping World Holdings, Inc.</w:t>
      </w:r>
    </w:p>
    <w:p>
      <w:pPr>
        <w:spacing w:after="0" w:line="176"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We define “Adjusted (Loss) Earnings Per Share – Basic” as Adjusted Net (Loss) Income Attributable to Camping World Holdings, Inc. - Basic divided by the weighted-average shares of Class A common stock outstanding. We define “Adjusted (Loss) Earnings Per Share – Diluted” as Adjusted Net (Loss) Income Attributable to Camping World Holdings, Inc. – Diluted divided by the weighted-average shares of Class A common stock outstanding, assuming (i) the redemption of all outstanding common units in CWGS, LLC for newly issued shares of Class A common stock of Camping World Holdings, Inc., if dilutive, and (ii) the dilutive effect of stock options and restricted stock units, performance stock units and liability-classified awards, if any. We present Adjusted Net (Loss) Income Attributable to Camping World Holdings, Inc. – Basic, Adjusted Net (Loss) Income Attributable to Camping World Holdings, Inc. – Diluted, Adjusted (Loss) Earnings Per Share – Basic, and Adjusted (Loss) Earnings Per Share – Diluted because we consider them to be important supplemental measures of our performance and we believe that investors’ understanding of our performance is enhanced by including these Non-GAAP financial measures as a reasonable basis for comparing our ongoing results of operations.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5" w:name="page56"/>
    <w:bookmarkEnd w:id="5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reconciles Adjusted Net (Loss) Income Attributable to Camping World Holdings, Inc.</w:t>
      </w:r>
    </w:p>
    <w:p>
      <w:pPr>
        <w:spacing w:after="0" w:line="14"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 Basic, Adjusted Net (Loss) Income Attributable to Camping World Holdings, Inc. – Diluted, Adjusted (Loss) Earnings Per Share – Basic, and Adjusted (Loss) Earnings Per Share – Diluted to the most directly comparable GAAP financial performance measure:</w:t>
      </w:r>
    </w:p>
    <w:p>
      <w:pPr>
        <w:spacing w:after="0" w:line="202" w:lineRule="exact"/>
        <w:rPr>
          <w:sz w:val="20"/>
          <w:szCs w:val="20"/>
          <w:color w:val="auto"/>
        </w:rPr>
      </w:pPr>
    </w:p>
    <w:tbl>
      <w:tblPr>
        <w:tblLayout w:type="fixed"/>
        <w:tblInd w:w="40" w:type="dxa"/>
        <w:tblCellMar>
          <w:top w:w="0" w:type="dxa"/>
          <w:left w:w="0" w:type="dxa"/>
          <w:bottom w:w="0" w:type="dxa"/>
          <w:right w:w="0" w:type="dxa"/>
        </w:tblCellMar>
      </w:tblPr>
      <w:tr>
        <w:trPr>
          <w:trHeight w:val="145"/>
        </w:trPr>
        <w:tc>
          <w:tcPr>
            <w:tcW w:w="4700" w:type="dxa"/>
            <w:vAlign w:val="bottom"/>
            <w:gridSpan w:val="2"/>
            <w:vMerge w:val="restart"/>
          </w:tcPr>
          <w:p>
            <w:pPr>
              <w:ind w:left="20"/>
              <w:spacing w:after="0"/>
              <w:rPr>
                <w:sz w:val="20"/>
                <w:szCs w:val="20"/>
                <w:color w:val="auto"/>
              </w:rPr>
            </w:pPr>
            <w:r>
              <w:rPr>
                <w:rFonts w:ascii="Arial" w:cs="Arial" w:eastAsia="Arial" w:hAnsi="Arial"/>
                <w:sz w:val="12"/>
                <w:szCs w:val="12"/>
                <w:color w:val="auto"/>
              </w:rPr>
              <w:t>(In thousands except per share amounts)</w:t>
            </w:r>
          </w:p>
        </w:tc>
        <w:tc>
          <w:tcPr>
            <w:tcW w:w="120" w:type="dxa"/>
            <w:vAlign w:val="bottom"/>
          </w:tcPr>
          <w:p>
            <w:pPr>
              <w:spacing w:after="0"/>
              <w:rPr>
                <w:sz w:val="12"/>
                <w:szCs w:val="12"/>
                <w:color w:val="auto"/>
              </w:rPr>
            </w:pPr>
          </w:p>
        </w:tc>
        <w:tc>
          <w:tcPr>
            <w:tcW w:w="2020" w:type="dxa"/>
            <w:vAlign w:val="bottom"/>
            <w:gridSpan w:val="7"/>
          </w:tcPr>
          <w:p>
            <w:pPr>
              <w:spacing w:after="0"/>
              <w:rPr>
                <w:sz w:val="20"/>
                <w:szCs w:val="20"/>
                <w:color w:val="auto"/>
              </w:rPr>
            </w:pPr>
            <w:r>
              <w:rPr>
                <w:rFonts w:ascii="Arial" w:cs="Arial" w:eastAsia="Arial" w:hAnsi="Arial"/>
                <w:sz w:val="12"/>
                <w:szCs w:val="12"/>
                <w:b w:val="1"/>
                <w:bCs w:val="1"/>
                <w:color w:val="auto"/>
                <w:w w:val="97"/>
              </w:rPr>
              <w:t>Three Months Ended September 30,</w:t>
            </w:r>
          </w:p>
        </w:tc>
        <w:tc>
          <w:tcPr>
            <w:tcW w:w="100" w:type="dxa"/>
            <w:vAlign w:val="bottom"/>
          </w:tcPr>
          <w:p>
            <w:pPr>
              <w:spacing w:after="0"/>
              <w:rPr>
                <w:sz w:val="12"/>
                <w:szCs w:val="12"/>
                <w:color w:val="auto"/>
              </w:rPr>
            </w:pPr>
          </w:p>
        </w:tc>
        <w:tc>
          <w:tcPr>
            <w:tcW w:w="1960" w:type="dxa"/>
            <w:vAlign w:val="bottom"/>
            <w:gridSpan w:val="6"/>
          </w:tcPr>
          <w:p>
            <w:pPr>
              <w:ind w:left="20"/>
              <w:spacing w:after="0"/>
              <w:rPr>
                <w:sz w:val="20"/>
                <w:szCs w:val="20"/>
                <w:color w:val="auto"/>
              </w:rPr>
            </w:pPr>
            <w:r>
              <w:rPr>
                <w:rFonts w:ascii="Arial" w:cs="Arial" w:eastAsia="Arial" w:hAnsi="Arial"/>
                <w:sz w:val="12"/>
                <w:szCs w:val="12"/>
                <w:b w:val="1"/>
                <w:bCs w:val="1"/>
                <w:color w:val="auto"/>
                <w:w w:val="97"/>
              </w:rPr>
              <w:t>Nine Months Ended September 30,</w:t>
            </w:r>
          </w:p>
        </w:tc>
        <w:tc>
          <w:tcPr>
            <w:tcW w:w="0" w:type="dxa"/>
            <w:vAlign w:val="bottom"/>
          </w:tcPr>
          <w:p>
            <w:pPr>
              <w:spacing w:after="0"/>
              <w:rPr>
                <w:sz w:val="1"/>
                <w:szCs w:val="1"/>
                <w:color w:val="auto"/>
              </w:rPr>
            </w:pPr>
          </w:p>
        </w:tc>
      </w:tr>
      <w:tr>
        <w:trPr>
          <w:trHeight w:val="20"/>
        </w:trPr>
        <w:tc>
          <w:tcPr>
            <w:tcW w:w="470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4700" w:type="dxa"/>
            <w:vAlign w:val="bottom"/>
            <w:gridSpan w:val="2"/>
            <w:vMerge w:val="continue"/>
          </w:tcPr>
          <w:p>
            <w:pPr>
              <w:spacing w:after="0"/>
              <w:rPr>
                <w:sz w:val="11"/>
                <w:szCs w:val="11"/>
                <w:color w:val="auto"/>
              </w:rPr>
            </w:pPr>
          </w:p>
        </w:tc>
        <w:tc>
          <w:tcPr>
            <w:tcW w:w="300" w:type="dxa"/>
            <w:vAlign w:val="bottom"/>
            <w:gridSpan w:val="2"/>
          </w:tcPr>
          <w:p>
            <w:pPr>
              <w:ind w:left="40"/>
              <w:spacing w:after="0" w:line="129" w:lineRule="exact"/>
              <w:rPr>
                <w:sz w:val="20"/>
                <w:szCs w:val="20"/>
                <w:color w:val="auto"/>
              </w:rPr>
            </w:pPr>
            <w:r>
              <w:rPr>
                <w:rFonts w:ascii="Arial" w:cs="Arial" w:eastAsia="Arial" w:hAnsi="Arial"/>
                <w:sz w:val="13"/>
                <w:szCs w:val="13"/>
                <w:color w:val="auto"/>
              </w:rPr>
              <w:t>​​​</w:t>
            </w:r>
          </w:p>
        </w:tc>
        <w:tc>
          <w:tcPr>
            <w:tcW w:w="700" w:type="dxa"/>
            <w:vAlign w:val="bottom"/>
          </w:tcPr>
          <w:p>
            <w:pPr>
              <w:jc w:val="right"/>
              <w:ind w:right="228"/>
              <w:spacing w:after="0" w:line="129" w:lineRule="exact"/>
              <w:rPr>
                <w:sz w:val="20"/>
                <w:szCs w:val="20"/>
                <w:color w:val="auto"/>
              </w:rPr>
            </w:pPr>
            <w:r>
              <w:rPr>
                <w:rFonts w:ascii="Arial" w:cs="Arial" w:eastAsia="Arial" w:hAnsi="Arial"/>
                <w:sz w:val="12"/>
                <w:szCs w:val="12"/>
                <w:b w:val="1"/>
                <w:bCs w:val="1"/>
                <w:color w:val="auto"/>
              </w:rPr>
              <w:t>2026</w:t>
            </w:r>
          </w:p>
        </w:tc>
        <w:tc>
          <w:tcPr>
            <w:tcW w:w="40" w:type="dxa"/>
            <w:vAlign w:val="bottom"/>
          </w:tcPr>
          <w:p>
            <w:pPr>
              <w:spacing w:after="0"/>
              <w:rPr>
                <w:sz w:val="11"/>
                <w:szCs w:val="11"/>
                <w:color w:val="auto"/>
              </w:rPr>
            </w:pPr>
          </w:p>
        </w:tc>
        <w:tc>
          <w:tcPr>
            <w:tcW w:w="380" w:type="dxa"/>
            <w:vAlign w:val="bottom"/>
            <w:gridSpan w:val="2"/>
          </w:tcPr>
          <w:p>
            <w:pPr>
              <w:jc w:val="right"/>
              <w:ind w:right="260"/>
              <w:spacing w:after="0" w:line="129" w:lineRule="exact"/>
              <w:rPr>
                <w:sz w:val="20"/>
                <w:szCs w:val="20"/>
                <w:color w:val="auto"/>
              </w:rPr>
            </w:pPr>
            <w:r>
              <w:rPr>
                <w:rFonts w:ascii="Arial" w:cs="Arial" w:eastAsia="Arial" w:hAnsi="Arial"/>
                <w:sz w:val="12"/>
                <w:szCs w:val="12"/>
                <w:color w:val="auto"/>
              </w:rPr>
              <w:t>​​​</w:t>
            </w:r>
          </w:p>
        </w:tc>
        <w:tc>
          <w:tcPr>
            <w:tcW w:w="680" w:type="dxa"/>
            <w:vAlign w:val="bottom"/>
          </w:tcPr>
          <w:p>
            <w:pPr>
              <w:jc w:val="right"/>
              <w:ind w:right="228"/>
              <w:spacing w:after="0" w:line="129" w:lineRule="exact"/>
              <w:rPr>
                <w:sz w:val="20"/>
                <w:szCs w:val="20"/>
                <w:color w:val="auto"/>
              </w:rPr>
            </w:pPr>
            <w:r>
              <w:rPr>
                <w:rFonts w:ascii="Arial" w:cs="Arial" w:eastAsia="Arial" w:hAnsi="Arial"/>
                <w:sz w:val="12"/>
                <w:szCs w:val="12"/>
                <w:b w:val="1"/>
                <w:bCs w:val="1"/>
                <w:color w:val="auto"/>
              </w:rPr>
              <w:t>2025</w:t>
            </w:r>
          </w:p>
        </w:tc>
        <w:tc>
          <w:tcPr>
            <w:tcW w:w="40" w:type="dxa"/>
            <w:vAlign w:val="bottom"/>
          </w:tcPr>
          <w:p>
            <w:pPr>
              <w:spacing w:after="0"/>
              <w:rPr>
                <w:sz w:val="11"/>
                <w:szCs w:val="11"/>
                <w:color w:val="auto"/>
              </w:rPr>
            </w:pPr>
          </w:p>
        </w:tc>
        <w:tc>
          <w:tcPr>
            <w:tcW w:w="280" w:type="dxa"/>
            <w:vAlign w:val="bottom"/>
            <w:gridSpan w:val="2"/>
          </w:tcPr>
          <w:p>
            <w:pPr>
              <w:ind w:left="20"/>
              <w:spacing w:after="0" w:line="129" w:lineRule="exact"/>
              <w:rPr>
                <w:sz w:val="20"/>
                <w:szCs w:val="20"/>
                <w:color w:val="auto"/>
              </w:rPr>
            </w:pPr>
            <w:r>
              <w:rPr>
                <w:rFonts w:ascii="Arial" w:cs="Arial" w:eastAsia="Arial" w:hAnsi="Arial"/>
                <w:sz w:val="12"/>
                <w:szCs w:val="12"/>
                <w:color w:val="auto"/>
              </w:rPr>
              <w:t>​​​</w:t>
            </w:r>
          </w:p>
        </w:tc>
        <w:tc>
          <w:tcPr>
            <w:tcW w:w="700" w:type="dxa"/>
            <w:vAlign w:val="bottom"/>
          </w:tcPr>
          <w:p>
            <w:pPr>
              <w:jc w:val="right"/>
              <w:ind w:right="248"/>
              <w:spacing w:after="0" w:line="129" w:lineRule="exact"/>
              <w:rPr>
                <w:sz w:val="20"/>
                <w:szCs w:val="20"/>
                <w:color w:val="auto"/>
              </w:rPr>
            </w:pPr>
            <w:r>
              <w:rPr>
                <w:rFonts w:ascii="Arial" w:cs="Arial" w:eastAsia="Arial" w:hAnsi="Arial"/>
                <w:sz w:val="12"/>
                <w:szCs w:val="12"/>
                <w:b w:val="1"/>
                <w:bCs w:val="1"/>
                <w:color w:val="auto"/>
              </w:rPr>
              <w:t>2026</w:t>
            </w:r>
          </w:p>
        </w:tc>
        <w:tc>
          <w:tcPr>
            <w:tcW w:w="20" w:type="dxa"/>
            <w:vAlign w:val="bottom"/>
          </w:tcPr>
          <w:p>
            <w:pPr>
              <w:spacing w:after="0"/>
              <w:rPr>
                <w:sz w:val="11"/>
                <w:szCs w:val="11"/>
                <w:color w:val="auto"/>
              </w:rPr>
            </w:pPr>
          </w:p>
        </w:tc>
        <w:tc>
          <w:tcPr>
            <w:tcW w:w="380" w:type="dxa"/>
            <w:vAlign w:val="bottom"/>
            <w:gridSpan w:val="2"/>
          </w:tcPr>
          <w:p>
            <w:pPr>
              <w:jc w:val="right"/>
              <w:ind w:right="240"/>
              <w:spacing w:after="0" w:line="129" w:lineRule="exact"/>
              <w:rPr>
                <w:sz w:val="20"/>
                <w:szCs w:val="20"/>
                <w:color w:val="auto"/>
              </w:rPr>
            </w:pPr>
            <w:r>
              <w:rPr>
                <w:rFonts w:ascii="Arial" w:cs="Arial" w:eastAsia="Arial" w:hAnsi="Arial"/>
                <w:sz w:val="12"/>
                <w:szCs w:val="12"/>
                <w:color w:val="auto"/>
              </w:rPr>
              <w:t>​​​</w:t>
            </w:r>
          </w:p>
        </w:tc>
        <w:tc>
          <w:tcPr>
            <w:tcW w:w="680" w:type="dxa"/>
            <w:vAlign w:val="bottom"/>
          </w:tcPr>
          <w:p>
            <w:pPr>
              <w:jc w:val="right"/>
              <w:ind w:right="228"/>
              <w:spacing w:after="0" w:line="129" w:lineRule="exact"/>
              <w:rPr>
                <w:sz w:val="20"/>
                <w:szCs w:val="20"/>
                <w:color w:val="auto"/>
              </w:rPr>
            </w:pPr>
            <w:r>
              <w:rPr>
                <w:rFonts w:ascii="Arial" w:cs="Arial" w:eastAsia="Arial" w:hAnsi="Arial"/>
                <w:sz w:val="12"/>
                <w:szCs w:val="12"/>
                <w:b w:val="1"/>
                <w:bCs w:val="1"/>
                <w:color w:val="auto"/>
              </w:rPr>
              <w:t>2025</w:t>
            </w:r>
          </w:p>
        </w:tc>
        <w:tc>
          <w:tcPr>
            <w:tcW w:w="0" w:type="dxa"/>
            <w:vAlign w:val="bottom"/>
          </w:tcPr>
          <w:p>
            <w:pPr>
              <w:spacing w:after="0"/>
              <w:rPr>
                <w:sz w:val="1"/>
                <w:szCs w:val="1"/>
                <w:color w:val="auto"/>
              </w:rPr>
            </w:pPr>
          </w:p>
        </w:tc>
      </w:tr>
      <w:tr>
        <w:trPr>
          <w:trHeight w:val="155"/>
        </w:trPr>
        <w:tc>
          <w:tcPr>
            <w:tcW w:w="4660" w:type="dxa"/>
            <w:vAlign w:val="bottom"/>
            <w:tcBorders>
              <w:top w:val="single" w:sz="8" w:color="auto"/>
            </w:tcBorders>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Numerator:</w:t>
            </w:r>
          </w:p>
        </w:tc>
        <w:tc>
          <w:tcPr>
            <w:tcW w:w="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700" w:type="dxa"/>
            <w:vAlign w:val="bottom"/>
            <w:gridSpan w:val="2"/>
          </w:tcPr>
          <w:p>
            <w:pPr>
              <w:ind w:left="120"/>
              <w:spacing w:after="0"/>
              <w:rPr>
                <w:sz w:val="20"/>
                <w:szCs w:val="20"/>
                <w:color w:val="auto"/>
              </w:rPr>
            </w:pPr>
            <w:r>
              <w:rPr>
                <w:rFonts w:ascii="Arial" w:cs="Arial" w:eastAsia="Arial" w:hAnsi="Arial"/>
                <w:sz w:val="14"/>
                <w:szCs w:val="14"/>
                <w:color w:val="auto"/>
              </w:rPr>
              <w:t>Net loss attributable to Camping World Holdings, Inc.</w:t>
            </w:r>
          </w:p>
        </w:tc>
        <w:tc>
          <w:tcPr>
            <w:tcW w:w="3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(197,019)</w:t>
            </w:r>
          </w:p>
        </w:tc>
        <w:tc>
          <w:tcPr>
            <w:tcW w:w="3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(40,438)</w:t>
            </w:r>
          </w:p>
        </w:tc>
        <w:tc>
          <w:tcPr>
            <w:tcW w:w="28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(186,561)</w:t>
            </w:r>
          </w:p>
        </w:tc>
        <w:tc>
          <w:tcPr>
            <w:tcW w:w="3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(22,502)</w:t>
            </w:r>
          </w:p>
        </w:tc>
        <w:tc>
          <w:tcPr>
            <w:tcW w:w="0" w:type="dxa"/>
            <w:vAlign w:val="bottom"/>
          </w:tcPr>
          <w:p>
            <w:pPr>
              <w:spacing w:after="0"/>
              <w:rPr>
                <w:sz w:val="1"/>
                <w:szCs w:val="1"/>
                <w:color w:val="auto"/>
              </w:rPr>
            </w:pPr>
          </w:p>
        </w:tc>
      </w:tr>
      <w:tr>
        <w:trPr>
          <w:trHeight w:val="162"/>
        </w:trPr>
        <w:tc>
          <w:tcPr>
            <w:tcW w:w="47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Adjustments related to basic calculation:</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00" w:type="dxa"/>
            <w:vAlign w:val="bottom"/>
            <w:gridSpan w:val="2"/>
          </w:tcPr>
          <w:p>
            <w:pPr>
              <w:ind w:left="220"/>
              <w:spacing w:after="0"/>
              <w:rPr>
                <w:sz w:val="20"/>
                <w:szCs w:val="20"/>
                <w:color w:val="auto"/>
              </w:rPr>
            </w:pPr>
            <w:r>
              <w:rPr>
                <w:rFonts w:ascii="Arial" w:cs="Arial" w:eastAsia="Arial" w:hAnsi="Arial"/>
                <w:sz w:val="14"/>
                <w:szCs w:val="14"/>
                <w:color w:val="auto"/>
              </w:rPr>
              <w:t>Loss and expense on debt restructure (a):</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0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Gross adjustment</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839</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839</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700" w:type="dxa"/>
            <w:vAlign w:val="bottom"/>
            <w:gridSpan w:val="2"/>
          </w:tcPr>
          <w:p>
            <w:pPr>
              <w:ind w:left="220"/>
              <w:spacing w:after="0"/>
              <w:rPr>
                <w:sz w:val="20"/>
                <w:szCs w:val="20"/>
                <w:color w:val="auto"/>
              </w:rPr>
            </w:pPr>
            <w:r>
              <w:rPr>
                <w:rFonts w:ascii="Arial" w:cs="Arial" w:eastAsia="Arial" w:hAnsi="Arial"/>
                <w:sz w:val="14"/>
                <w:szCs w:val="14"/>
                <w:color w:val="auto"/>
              </w:rPr>
              <w:t>Goodwill impairment (b):</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0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Gross adjustment</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286,748</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286,748</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700" w:type="dxa"/>
            <w:vAlign w:val="bottom"/>
            <w:gridSpan w:val="2"/>
          </w:tcPr>
          <w:p>
            <w:pPr>
              <w:ind w:left="340"/>
              <w:spacing w:after="0"/>
              <w:rPr>
                <w:sz w:val="20"/>
                <w:szCs w:val="20"/>
                <w:color w:val="auto"/>
              </w:rPr>
            </w:pPr>
            <w:r>
              <w:rPr>
                <w:rFonts w:ascii="Arial" w:cs="Arial" w:eastAsia="Arial" w:hAnsi="Arial"/>
                <w:sz w:val="14"/>
                <w:szCs w:val="14"/>
                <w:color w:val="auto"/>
              </w:rPr>
              <w:t>Income tax expense for above adjustment (c)</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(99)</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(99)</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7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Long-lived asset impairment (d):</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00" w:type="dxa"/>
            <w:vAlign w:val="bottom"/>
            <w:gridSpan w:val="2"/>
          </w:tcPr>
          <w:p>
            <w:pPr>
              <w:ind w:left="340"/>
              <w:spacing w:after="0"/>
              <w:rPr>
                <w:sz w:val="20"/>
                <w:szCs w:val="20"/>
                <w:color w:val="auto"/>
              </w:rPr>
            </w:pPr>
            <w:r>
              <w:rPr>
                <w:rFonts w:ascii="Arial" w:cs="Arial" w:eastAsia="Arial" w:hAnsi="Arial"/>
                <w:sz w:val="14"/>
                <w:szCs w:val="14"/>
                <w:color w:val="auto"/>
              </w:rPr>
              <w:t>Gross adjustment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6,668</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617</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19,767</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1,237</w:t>
            </w:r>
          </w:p>
        </w:tc>
        <w:tc>
          <w:tcPr>
            <w:tcW w:w="0" w:type="dxa"/>
            <w:vAlign w:val="bottom"/>
          </w:tcPr>
          <w:p>
            <w:pPr>
              <w:spacing w:after="0"/>
              <w:rPr>
                <w:sz w:val="1"/>
                <w:szCs w:val="1"/>
                <w:color w:val="auto"/>
              </w:rPr>
            </w:pPr>
          </w:p>
        </w:tc>
      </w:tr>
      <w:tr>
        <w:trPr>
          <w:trHeight w:val="162"/>
        </w:trPr>
        <w:tc>
          <w:tcPr>
            <w:tcW w:w="47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Loss (gain) on lease termination and/or remeasurement (e):</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00" w:type="dxa"/>
            <w:vAlign w:val="bottom"/>
            <w:gridSpan w:val="2"/>
          </w:tcPr>
          <w:p>
            <w:pPr>
              <w:ind w:left="340"/>
              <w:spacing w:after="0"/>
              <w:rPr>
                <w:sz w:val="20"/>
                <w:szCs w:val="20"/>
                <w:color w:val="auto"/>
              </w:rPr>
            </w:pPr>
            <w:r>
              <w:rPr>
                <w:rFonts w:ascii="Arial" w:cs="Arial" w:eastAsia="Arial" w:hAnsi="Arial"/>
                <w:sz w:val="14"/>
                <w:szCs w:val="14"/>
                <w:color w:val="auto"/>
              </w:rPr>
              <w:t>Gross adjustment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51</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76</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107</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62"/>
        </w:trPr>
        <w:tc>
          <w:tcPr>
            <w:tcW w:w="47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(Gain) loss on sale or disposal of assets (f):</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00" w:type="dxa"/>
            <w:vAlign w:val="bottom"/>
            <w:gridSpan w:val="2"/>
          </w:tcPr>
          <w:p>
            <w:pPr>
              <w:ind w:left="340"/>
              <w:spacing w:after="0"/>
              <w:rPr>
                <w:sz w:val="20"/>
                <w:szCs w:val="20"/>
                <w:color w:val="auto"/>
              </w:rPr>
            </w:pPr>
            <w:r>
              <w:rPr>
                <w:rFonts w:ascii="Arial" w:cs="Arial" w:eastAsia="Arial" w:hAnsi="Arial"/>
                <w:sz w:val="14"/>
                <w:szCs w:val="14"/>
                <w:color w:val="auto"/>
              </w:rPr>
              <w:t>Gross adjustment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(25)</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534</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(1,912)</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162"/>
        </w:trPr>
        <w:tc>
          <w:tcPr>
            <w:tcW w:w="470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Income tax expense for above adjustment (c)</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62"/>
        </w:trPr>
        <w:tc>
          <w:tcPr>
            <w:tcW w:w="4700" w:type="dxa"/>
            <w:vAlign w:val="bottom"/>
            <w:gridSpan w:val="2"/>
          </w:tcPr>
          <w:p>
            <w:pPr>
              <w:ind w:left="220"/>
              <w:spacing w:after="0"/>
              <w:rPr>
                <w:sz w:val="20"/>
                <w:szCs w:val="20"/>
                <w:color w:val="auto"/>
              </w:rPr>
            </w:pPr>
            <w:r>
              <w:rPr>
                <w:rFonts w:ascii="Arial" w:cs="Arial" w:eastAsia="Arial" w:hAnsi="Arial"/>
                <w:sz w:val="14"/>
                <w:szCs w:val="14"/>
                <w:color w:val="auto"/>
              </w:rPr>
              <w:t>SBC (g):</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0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Gross adjustment</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3,600</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7,750</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12,758</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23,464</w:t>
            </w:r>
          </w:p>
        </w:tc>
        <w:tc>
          <w:tcPr>
            <w:tcW w:w="0" w:type="dxa"/>
            <w:vAlign w:val="bottom"/>
          </w:tcPr>
          <w:p>
            <w:pPr>
              <w:spacing w:after="0"/>
              <w:rPr>
                <w:sz w:val="1"/>
                <w:szCs w:val="1"/>
                <w:color w:val="auto"/>
              </w:rPr>
            </w:pPr>
          </w:p>
        </w:tc>
      </w:tr>
      <w:tr>
        <w:trPr>
          <w:trHeight w:val="162"/>
        </w:trPr>
        <w:tc>
          <w:tcPr>
            <w:tcW w:w="4700" w:type="dxa"/>
            <w:vAlign w:val="bottom"/>
            <w:gridSpan w:val="2"/>
          </w:tcPr>
          <w:p>
            <w:pPr>
              <w:ind w:left="340"/>
              <w:spacing w:after="0"/>
              <w:rPr>
                <w:sz w:val="20"/>
                <w:szCs w:val="20"/>
                <w:color w:val="auto"/>
              </w:rPr>
            </w:pPr>
            <w:r>
              <w:rPr>
                <w:rFonts w:ascii="Arial" w:cs="Arial" w:eastAsia="Arial" w:hAnsi="Arial"/>
                <w:sz w:val="14"/>
                <w:szCs w:val="14"/>
                <w:color w:val="auto"/>
              </w:rPr>
              <w:t>Income tax expense for above adjustment (c)</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(3)</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(9)</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62"/>
        </w:trPr>
        <w:tc>
          <w:tcPr>
            <w:tcW w:w="47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Employment agreement modification expense (h):</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00" w:type="dxa"/>
            <w:vAlign w:val="bottom"/>
            <w:gridSpan w:val="2"/>
          </w:tcPr>
          <w:p>
            <w:pPr>
              <w:ind w:left="340"/>
              <w:spacing w:after="0"/>
              <w:rPr>
                <w:sz w:val="20"/>
                <w:szCs w:val="20"/>
                <w:color w:val="auto"/>
              </w:rPr>
            </w:pPr>
            <w:r>
              <w:rPr>
                <w:rFonts w:ascii="Arial" w:cs="Arial" w:eastAsia="Arial" w:hAnsi="Arial"/>
                <w:sz w:val="14"/>
                <w:szCs w:val="14"/>
                <w:color w:val="auto"/>
              </w:rPr>
              <w:t>Gross adjustment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389</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389</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7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Tax Receivable Agreement liability adjustment (i):</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00" w:type="dxa"/>
            <w:vAlign w:val="bottom"/>
            <w:gridSpan w:val="2"/>
          </w:tcPr>
          <w:p>
            <w:pPr>
              <w:ind w:left="340"/>
              <w:spacing w:after="0"/>
              <w:rPr>
                <w:sz w:val="20"/>
                <w:szCs w:val="20"/>
                <w:color w:val="auto"/>
              </w:rPr>
            </w:pPr>
            <w:r>
              <w:rPr>
                <w:rFonts w:ascii="Arial" w:cs="Arial" w:eastAsia="Arial" w:hAnsi="Arial"/>
                <w:sz w:val="14"/>
                <w:szCs w:val="14"/>
                <w:color w:val="auto"/>
              </w:rPr>
              <w:t>Gross adjustment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(149,172)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(149,172)</w:t>
            </w:r>
          </w:p>
        </w:tc>
        <w:tc>
          <w:tcPr>
            <w:tcW w:w="0" w:type="dxa"/>
            <w:vAlign w:val="bottom"/>
          </w:tcPr>
          <w:p>
            <w:pPr>
              <w:spacing w:after="0"/>
              <w:rPr>
                <w:sz w:val="1"/>
                <w:szCs w:val="1"/>
                <w:color w:val="auto"/>
              </w:rPr>
            </w:pPr>
          </w:p>
        </w:tc>
      </w:tr>
      <w:tr>
        <w:trPr>
          <w:trHeight w:val="162"/>
        </w:trPr>
        <w:tc>
          <w:tcPr>
            <w:tcW w:w="470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Income tax benefit for above adjustment (c)</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37,293</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37,293</w:t>
            </w:r>
          </w:p>
        </w:tc>
        <w:tc>
          <w:tcPr>
            <w:tcW w:w="0" w:type="dxa"/>
            <w:vAlign w:val="bottom"/>
          </w:tcPr>
          <w:p>
            <w:pPr>
              <w:spacing w:after="0"/>
              <w:rPr>
                <w:sz w:val="1"/>
                <w:szCs w:val="1"/>
                <w:color w:val="auto"/>
              </w:rPr>
            </w:pPr>
          </w:p>
        </w:tc>
      </w:tr>
      <w:tr>
        <w:trPr>
          <w:trHeight w:val="162"/>
        </w:trPr>
        <w:tc>
          <w:tcPr>
            <w:tcW w:w="4700" w:type="dxa"/>
            <w:vAlign w:val="bottom"/>
            <w:gridSpan w:val="2"/>
          </w:tcPr>
          <w:p>
            <w:pPr>
              <w:ind w:left="220"/>
              <w:spacing w:after="0"/>
              <w:rPr>
                <w:sz w:val="20"/>
                <w:szCs w:val="20"/>
                <w:color w:val="auto"/>
              </w:rPr>
            </w:pPr>
            <w:r>
              <w:rPr>
                <w:rFonts w:ascii="Arial" w:cs="Arial" w:eastAsia="Arial" w:hAnsi="Arial"/>
                <w:sz w:val="14"/>
                <w:szCs w:val="14"/>
                <w:color w:val="auto"/>
              </w:rPr>
              <w:t>Loss and/or impairment on investments in equity securities (j):</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0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Gross adjustment</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2,458</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1,163</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2,620</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3,920</w:t>
            </w:r>
          </w:p>
        </w:tc>
        <w:tc>
          <w:tcPr>
            <w:tcW w:w="0" w:type="dxa"/>
            <w:vAlign w:val="bottom"/>
          </w:tcPr>
          <w:p>
            <w:pPr>
              <w:spacing w:after="0"/>
              <w:rPr>
                <w:sz w:val="1"/>
                <w:szCs w:val="1"/>
                <w:color w:val="auto"/>
              </w:rPr>
            </w:pPr>
          </w:p>
        </w:tc>
      </w:tr>
      <w:tr>
        <w:trPr>
          <w:trHeight w:val="153"/>
        </w:trPr>
        <w:tc>
          <w:tcPr>
            <w:tcW w:w="4700" w:type="dxa"/>
            <w:vAlign w:val="bottom"/>
            <w:gridSpan w:val="2"/>
          </w:tcPr>
          <w:p>
            <w:pPr>
              <w:ind w:left="220"/>
              <w:spacing w:after="0" w:line="153" w:lineRule="exact"/>
              <w:rPr>
                <w:sz w:val="20"/>
                <w:szCs w:val="20"/>
                <w:color w:val="auto"/>
              </w:rPr>
            </w:pPr>
            <w:r>
              <w:rPr>
                <w:rFonts w:ascii="Arial" w:cs="Arial" w:eastAsia="Arial" w:hAnsi="Arial"/>
                <w:sz w:val="14"/>
                <w:szCs w:val="14"/>
                <w:color w:val="auto"/>
              </w:rPr>
              <w:t>Income tax expense impact from significant change in valuation</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700" w:type="dxa"/>
            <w:vAlign w:val="bottom"/>
            <w:gridSpan w:val="2"/>
          </w:tcPr>
          <w:p>
            <w:pPr>
              <w:ind w:left="220"/>
              <w:spacing w:after="0"/>
              <w:rPr>
                <w:sz w:val="20"/>
                <w:szCs w:val="20"/>
                <w:color w:val="auto"/>
              </w:rPr>
            </w:pPr>
            <w:r>
              <w:rPr>
                <w:rFonts w:ascii="Arial" w:cs="Arial" w:eastAsia="Arial" w:hAnsi="Arial"/>
                <w:sz w:val="14"/>
                <w:szCs w:val="14"/>
                <w:color w:val="auto"/>
              </w:rPr>
              <w:t>allowance against deferred tax assets (k)</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175,387</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175,387</w:t>
            </w:r>
          </w:p>
        </w:tc>
        <w:tc>
          <w:tcPr>
            <w:tcW w:w="0" w:type="dxa"/>
            <w:vAlign w:val="bottom"/>
          </w:tcPr>
          <w:p>
            <w:pPr>
              <w:spacing w:after="0"/>
              <w:rPr>
                <w:sz w:val="1"/>
                <w:szCs w:val="1"/>
                <w:color w:val="auto"/>
              </w:rPr>
            </w:pPr>
          </w:p>
        </w:tc>
      </w:tr>
      <w:tr>
        <w:trPr>
          <w:trHeight w:val="153"/>
        </w:trPr>
        <w:tc>
          <w:tcPr>
            <w:tcW w:w="4700" w:type="dxa"/>
            <w:vAlign w:val="bottom"/>
            <w:gridSpan w:val="2"/>
            <w:shd w:val="clear" w:color="auto" w:fill="CCEEFF"/>
          </w:tcPr>
          <w:p>
            <w:pPr>
              <w:ind w:left="220"/>
              <w:spacing w:after="0" w:line="153" w:lineRule="exact"/>
              <w:rPr>
                <w:sz w:val="20"/>
                <w:szCs w:val="20"/>
                <w:color w:val="auto"/>
              </w:rPr>
            </w:pPr>
            <w:r>
              <w:rPr>
                <w:rFonts w:ascii="Arial" w:cs="Arial" w:eastAsia="Arial" w:hAnsi="Arial"/>
                <w:sz w:val="14"/>
                <w:szCs w:val="14"/>
                <w:color w:val="auto"/>
              </w:rPr>
              <w:t>Adjustment  to  net  loss  attributable  to  non-controlling  interests</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7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resulting from the above adjustments (l)</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(115,595)</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(3,935)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(123,528)</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(11,074)</w:t>
            </w:r>
          </w:p>
        </w:tc>
        <w:tc>
          <w:tcPr>
            <w:tcW w:w="0" w:type="dxa"/>
            <w:vAlign w:val="bottom"/>
          </w:tcPr>
          <w:p>
            <w:pPr>
              <w:spacing w:after="0"/>
              <w:rPr>
                <w:sz w:val="1"/>
                <w:szCs w:val="1"/>
                <w:color w:val="auto"/>
              </w:rPr>
            </w:pPr>
          </w:p>
        </w:tc>
      </w:tr>
      <w:tr>
        <w:trPr>
          <w:trHeight w:val="133"/>
        </w:trPr>
        <w:tc>
          <w:tcPr>
            <w:tcW w:w="4700" w:type="dxa"/>
            <w:vAlign w:val="bottom"/>
            <w:gridSpan w:val="2"/>
          </w:tcPr>
          <w:p>
            <w:pPr>
              <w:ind w:left="340"/>
              <w:spacing w:after="0" w:line="133" w:lineRule="exact"/>
              <w:rPr>
                <w:sz w:val="20"/>
                <w:szCs w:val="20"/>
                <w:color w:val="auto"/>
              </w:rPr>
            </w:pPr>
            <w:r>
              <w:rPr>
                <w:rFonts w:ascii="Arial" w:cs="Arial" w:eastAsia="Arial" w:hAnsi="Arial"/>
                <w:sz w:val="14"/>
                <w:szCs w:val="14"/>
                <w:color w:val="auto"/>
              </w:rPr>
              <w:t>Adjusted net (loss) income attributable to Camping World Holdings,</w:t>
            </w: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700" w:type="dxa"/>
            <w:vAlign w:val="bottom"/>
            <w:gridSpan w:val="2"/>
          </w:tcPr>
          <w:p>
            <w:pPr>
              <w:ind w:left="340"/>
              <w:spacing w:after="0"/>
              <w:rPr>
                <w:sz w:val="20"/>
                <w:szCs w:val="20"/>
                <w:color w:val="auto"/>
              </w:rPr>
            </w:pPr>
            <w:r>
              <w:rPr>
                <w:rFonts w:ascii="Arial" w:cs="Arial" w:eastAsia="Arial" w:hAnsi="Arial"/>
                <w:sz w:val="14"/>
                <w:szCs w:val="14"/>
                <w:color w:val="auto"/>
              </w:rPr>
              <w:t>Inc. – basic</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(11,988)</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29,257</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11,119</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58,390</w:t>
            </w:r>
          </w:p>
        </w:tc>
        <w:tc>
          <w:tcPr>
            <w:tcW w:w="0" w:type="dxa"/>
            <w:vAlign w:val="bottom"/>
          </w:tcPr>
          <w:p>
            <w:pPr>
              <w:spacing w:after="0"/>
              <w:rPr>
                <w:sz w:val="1"/>
                <w:szCs w:val="1"/>
                <w:color w:val="auto"/>
              </w:rPr>
            </w:pPr>
          </w:p>
        </w:tc>
      </w:tr>
      <w:tr>
        <w:trPr>
          <w:trHeight w:val="162"/>
        </w:trPr>
        <w:tc>
          <w:tcPr>
            <w:tcW w:w="47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Adjustments related to diluted calculation:</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700" w:type="dxa"/>
            <w:vAlign w:val="bottom"/>
            <w:gridSpan w:val="2"/>
          </w:tcPr>
          <w:p>
            <w:pPr>
              <w:ind w:left="220"/>
              <w:spacing w:after="0" w:line="153" w:lineRule="exact"/>
              <w:rPr>
                <w:sz w:val="20"/>
                <w:szCs w:val="20"/>
                <w:color w:val="auto"/>
              </w:rPr>
            </w:pPr>
            <w:r>
              <w:rPr>
                <w:rFonts w:ascii="Arial" w:cs="Arial" w:eastAsia="Arial" w:hAnsi="Arial"/>
                <w:sz w:val="14"/>
                <w:szCs w:val="14"/>
                <w:color w:val="auto"/>
              </w:rPr>
              <w:t>Reallocation of net loss attributable to non-controlling interests from</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700" w:type="dxa"/>
            <w:vAlign w:val="bottom"/>
            <w:gridSpan w:val="2"/>
          </w:tcPr>
          <w:p>
            <w:pPr>
              <w:ind w:left="220"/>
              <w:spacing w:after="0"/>
              <w:rPr>
                <w:sz w:val="20"/>
                <w:szCs w:val="20"/>
                <w:color w:val="auto"/>
              </w:rPr>
            </w:pPr>
            <w:r>
              <w:rPr>
                <w:rFonts w:ascii="Arial" w:cs="Arial" w:eastAsia="Arial" w:hAnsi="Arial"/>
                <w:sz w:val="14"/>
                <w:szCs w:val="14"/>
                <w:color w:val="auto"/>
              </w:rPr>
              <w:t>the dilutive effect of stock options, PSUs, and RSUs (m)</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51</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53"/>
        </w:trPr>
        <w:tc>
          <w:tcPr>
            <w:tcW w:w="4700" w:type="dxa"/>
            <w:vAlign w:val="bottom"/>
            <w:gridSpan w:val="2"/>
            <w:shd w:val="clear" w:color="auto" w:fill="CCEEFF"/>
          </w:tcPr>
          <w:p>
            <w:pPr>
              <w:ind w:left="220"/>
              <w:spacing w:after="0" w:line="153" w:lineRule="exact"/>
              <w:rPr>
                <w:sz w:val="20"/>
                <w:szCs w:val="20"/>
                <w:color w:val="auto"/>
              </w:rPr>
            </w:pPr>
            <w:r>
              <w:rPr>
                <w:rFonts w:ascii="Arial" w:cs="Arial" w:eastAsia="Arial" w:hAnsi="Arial"/>
                <w:sz w:val="14"/>
                <w:szCs w:val="14"/>
                <w:color w:val="auto"/>
              </w:rPr>
              <w:t>Reallocation of net loss attributable to non-controlling interests from</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7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the dilutive redemption of common units in CWGS, LLC (m)</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15,022</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3"/>
        </w:trPr>
        <w:tc>
          <w:tcPr>
            <w:tcW w:w="4700" w:type="dxa"/>
            <w:vAlign w:val="bottom"/>
            <w:gridSpan w:val="2"/>
          </w:tcPr>
          <w:p>
            <w:pPr>
              <w:ind w:left="340"/>
              <w:spacing w:after="0" w:line="133" w:lineRule="exact"/>
              <w:rPr>
                <w:sz w:val="20"/>
                <w:szCs w:val="20"/>
                <w:color w:val="auto"/>
              </w:rPr>
            </w:pPr>
            <w:r>
              <w:rPr>
                <w:rFonts w:ascii="Arial" w:cs="Arial" w:eastAsia="Arial" w:hAnsi="Arial"/>
                <w:sz w:val="14"/>
                <w:szCs w:val="14"/>
                <w:color w:val="auto"/>
              </w:rPr>
              <w:t>Adjusted net (loss) income attributable to Camping World Holdings,</w:t>
            </w: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700" w:type="dxa"/>
            <w:vAlign w:val="bottom"/>
            <w:gridSpan w:val="2"/>
          </w:tcPr>
          <w:p>
            <w:pPr>
              <w:ind w:left="340"/>
              <w:spacing w:after="0"/>
              <w:rPr>
                <w:sz w:val="20"/>
                <w:szCs w:val="20"/>
                <w:color w:val="auto"/>
              </w:rPr>
            </w:pPr>
            <w:r>
              <w:rPr>
                <w:rFonts w:ascii="Arial" w:cs="Arial" w:eastAsia="Arial" w:hAnsi="Arial"/>
                <w:sz w:val="14"/>
                <w:szCs w:val="14"/>
                <w:color w:val="auto"/>
              </w:rPr>
              <w:t>Inc. – diluted</w:t>
            </w:r>
          </w:p>
        </w:tc>
        <w:tc>
          <w:tcPr>
            <w:tcW w:w="3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(11,988)</w:t>
            </w:r>
          </w:p>
        </w:tc>
        <w:tc>
          <w:tcPr>
            <w:tcW w:w="3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44,279</w:t>
            </w:r>
          </w:p>
        </w:tc>
        <w:tc>
          <w:tcPr>
            <w:tcW w:w="40" w:type="dxa"/>
            <w:vAlign w:val="bottom"/>
          </w:tcPr>
          <w:p>
            <w:pPr>
              <w:spacing w:after="0"/>
              <w:rPr>
                <w:sz w:val="14"/>
                <w:szCs w:val="14"/>
                <w:color w:val="auto"/>
              </w:rPr>
            </w:pPr>
          </w:p>
        </w:tc>
        <w:tc>
          <w:tcPr>
            <w:tcW w:w="28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11,170</w:t>
            </w:r>
          </w:p>
        </w:tc>
        <w:tc>
          <w:tcPr>
            <w:tcW w:w="20" w:type="dxa"/>
            <w:vAlign w:val="bottom"/>
          </w:tcPr>
          <w:p>
            <w:pPr>
              <w:spacing w:after="0"/>
              <w:rPr>
                <w:sz w:val="14"/>
                <w:szCs w:val="14"/>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58,437</w:t>
            </w:r>
          </w:p>
        </w:tc>
        <w:tc>
          <w:tcPr>
            <w:tcW w:w="0" w:type="dxa"/>
            <w:vAlign w:val="bottom"/>
          </w:tcPr>
          <w:p>
            <w:pPr>
              <w:spacing w:after="0"/>
              <w:rPr>
                <w:sz w:val="1"/>
                <w:szCs w:val="1"/>
                <w:color w:val="auto"/>
              </w:rPr>
            </w:pPr>
          </w:p>
        </w:tc>
      </w:tr>
      <w:tr>
        <w:trPr>
          <w:trHeight w:val="155"/>
        </w:trPr>
        <w:tc>
          <w:tcPr>
            <w:tcW w:w="4700" w:type="dxa"/>
            <w:vAlign w:val="bottom"/>
            <w:tcBorders>
              <w:top w:val="single" w:sz="8" w:color="CCEEFF"/>
            </w:tcBorders>
            <w:gridSpan w:val="2"/>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Denominator:</w:t>
            </w: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700" w:type="dxa"/>
            <w:vAlign w:val="bottom"/>
            <w:gridSpan w:val="2"/>
          </w:tcPr>
          <w:p>
            <w:pPr>
              <w:ind w:left="120"/>
              <w:spacing w:after="0"/>
              <w:rPr>
                <w:sz w:val="20"/>
                <w:szCs w:val="20"/>
                <w:color w:val="auto"/>
              </w:rPr>
            </w:pPr>
            <w:r>
              <w:rPr>
                <w:rFonts w:ascii="Arial" w:cs="Arial" w:eastAsia="Arial" w:hAnsi="Arial"/>
                <w:sz w:val="14"/>
                <w:szCs w:val="14"/>
                <w:color w:val="auto"/>
              </w:rPr>
              <w:t>Weighted-average Class A common shares outstanding – basic</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63,860</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62,735</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63,670</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62,627</w:t>
            </w:r>
          </w:p>
        </w:tc>
        <w:tc>
          <w:tcPr>
            <w:tcW w:w="0" w:type="dxa"/>
            <w:vAlign w:val="bottom"/>
          </w:tcPr>
          <w:p>
            <w:pPr>
              <w:spacing w:after="0"/>
              <w:rPr>
                <w:sz w:val="1"/>
                <w:szCs w:val="1"/>
                <w:color w:val="auto"/>
              </w:rPr>
            </w:pPr>
          </w:p>
        </w:tc>
      </w:tr>
      <w:tr>
        <w:trPr>
          <w:trHeight w:val="162"/>
        </w:trPr>
        <w:tc>
          <w:tcPr>
            <w:tcW w:w="47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Adjustments related to diluted calculation:</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700" w:type="dxa"/>
            <w:vAlign w:val="bottom"/>
            <w:gridSpan w:val="2"/>
          </w:tcPr>
          <w:p>
            <w:pPr>
              <w:ind w:left="220"/>
              <w:spacing w:after="0" w:line="153" w:lineRule="exact"/>
              <w:rPr>
                <w:sz w:val="20"/>
                <w:szCs w:val="20"/>
                <w:color w:val="auto"/>
              </w:rPr>
            </w:pPr>
            <w:r>
              <w:rPr>
                <w:rFonts w:ascii="Arial" w:cs="Arial" w:eastAsia="Arial" w:hAnsi="Arial"/>
                <w:sz w:val="14"/>
                <w:szCs w:val="14"/>
                <w:color w:val="auto"/>
              </w:rPr>
              <w:t>Dilutive redemption of common units in CWGS, LLC for shares of</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700" w:type="dxa"/>
            <w:vAlign w:val="bottom"/>
            <w:gridSpan w:val="2"/>
          </w:tcPr>
          <w:p>
            <w:pPr>
              <w:ind w:left="220"/>
              <w:spacing w:after="0"/>
              <w:rPr>
                <w:sz w:val="20"/>
                <w:szCs w:val="20"/>
                <w:color w:val="auto"/>
              </w:rPr>
            </w:pPr>
            <w:r>
              <w:rPr>
                <w:rFonts w:ascii="Arial" w:cs="Arial" w:eastAsia="Arial" w:hAnsi="Arial"/>
                <w:sz w:val="14"/>
                <w:szCs w:val="14"/>
                <w:color w:val="auto"/>
              </w:rPr>
              <w:t>Class A common stock (n)</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39,895</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7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Dilutive liability-classified awards (n)</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700" w:type="dxa"/>
            <w:vAlign w:val="bottom"/>
            <w:gridSpan w:val="2"/>
          </w:tcPr>
          <w:p>
            <w:pPr>
              <w:ind w:left="220"/>
              <w:spacing w:after="0"/>
              <w:rPr>
                <w:sz w:val="20"/>
                <w:szCs w:val="20"/>
                <w:color w:val="auto"/>
              </w:rPr>
            </w:pPr>
            <w:r>
              <w:rPr>
                <w:rFonts w:ascii="Arial" w:cs="Arial" w:eastAsia="Arial" w:hAnsi="Arial"/>
                <w:sz w:val="14"/>
                <w:szCs w:val="14"/>
                <w:color w:val="auto"/>
              </w:rPr>
              <w:t>Dilutive PSUs and RSUs (n)</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195</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88</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195</w:t>
            </w:r>
          </w:p>
        </w:tc>
        <w:tc>
          <w:tcPr>
            <w:tcW w:w="0" w:type="dxa"/>
            <w:vAlign w:val="bottom"/>
          </w:tcPr>
          <w:p>
            <w:pPr>
              <w:spacing w:after="0"/>
              <w:rPr>
                <w:sz w:val="1"/>
                <w:szCs w:val="1"/>
                <w:color w:val="auto"/>
              </w:rPr>
            </w:pPr>
          </w:p>
        </w:tc>
      </w:tr>
      <w:tr>
        <w:trPr>
          <w:trHeight w:val="133"/>
        </w:trPr>
        <w:tc>
          <w:tcPr>
            <w:tcW w:w="4700" w:type="dxa"/>
            <w:vAlign w:val="bottom"/>
            <w:tcBorders>
              <w:top w:val="single" w:sz="8" w:color="CCEEFF"/>
            </w:tcBorders>
            <w:gridSpan w:val="2"/>
            <w:shd w:val="clear" w:color="auto" w:fill="CCEEFF"/>
          </w:tcPr>
          <w:p>
            <w:pPr>
              <w:ind w:left="340"/>
              <w:spacing w:after="0" w:line="133" w:lineRule="exact"/>
              <w:rPr>
                <w:sz w:val="20"/>
                <w:szCs w:val="20"/>
                <w:color w:val="auto"/>
              </w:rPr>
            </w:pPr>
            <w:r>
              <w:rPr>
                <w:rFonts w:ascii="Arial" w:cs="Arial" w:eastAsia="Arial" w:hAnsi="Arial"/>
                <w:sz w:val="14"/>
                <w:szCs w:val="14"/>
                <w:color w:val="auto"/>
              </w:rPr>
              <w:t>Adjusted weighted average Class A common shares outstanding –</w:t>
            </w: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70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diluted</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63,860</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102,825</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64,093</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62,822</w:t>
            </w: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Adjusted (loss) earnings per share - basic</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(0.19)</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0.47</w:t>
            </w:r>
          </w:p>
        </w:tc>
        <w:tc>
          <w:tcPr>
            <w:tcW w:w="40" w:type="dxa"/>
            <w:vAlign w:val="bottom"/>
            <w:shd w:val="clear" w:color="auto" w:fill="CCEEFF"/>
          </w:tcPr>
          <w:p>
            <w:pPr>
              <w:spacing w:after="0"/>
              <w:rPr>
                <w:sz w:val="14"/>
                <w:szCs w:val="14"/>
                <w:color w:val="auto"/>
              </w:rPr>
            </w:pP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0.17</w:t>
            </w:r>
          </w:p>
        </w:tc>
        <w:tc>
          <w:tcPr>
            <w:tcW w:w="2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0.93</w:t>
            </w:r>
          </w:p>
        </w:tc>
        <w:tc>
          <w:tcPr>
            <w:tcW w:w="0" w:type="dxa"/>
            <w:vAlign w:val="bottom"/>
          </w:tcPr>
          <w:p>
            <w:pPr>
              <w:spacing w:after="0"/>
              <w:rPr>
                <w:sz w:val="1"/>
                <w:szCs w:val="1"/>
                <w:color w:val="auto"/>
              </w:rPr>
            </w:pPr>
          </w:p>
        </w:tc>
      </w:tr>
      <w:tr>
        <w:trPr>
          <w:trHeight w:val="162"/>
        </w:trPr>
        <w:tc>
          <w:tcPr>
            <w:tcW w:w="4700" w:type="dxa"/>
            <w:vAlign w:val="bottom"/>
            <w:gridSpan w:val="2"/>
          </w:tcPr>
          <w:p>
            <w:pPr>
              <w:ind w:left="20"/>
              <w:spacing w:after="0"/>
              <w:rPr>
                <w:sz w:val="20"/>
                <w:szCs w:val="20"/>
                <w:color w:val="auto"/>
              </w:rPr>
            </w:pPr>
            <w:r>
              <w:rPr>
                <w:rFonts w:ascii="Arial" w:cs="Arial" w:eastAsia="Arial" w:hAnsi="Arial"/>
                <w:sz w:val="14"/>
                <w:szCs w:val="14"/>
                <w:color w:val="auto"/>
              </w:rPr>
              <w:t>Adjusted (loss) earnings per share - diluted</w:t>
            </w:r>
          </w:p>
        </w:tc>
        <w:tc>
          <w:tcPr>
            <w:tcW w:w="3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(0.19)</w:t>
            </w:r>
          </w:p>
        </w:tc>
        <w:tc>
          <w:tcPr>
            <w:tcW w:w="3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0.43</w:t>
            </w:r>
          </w:p>
        </w:tc>
        <w:tc>
          <w:tcPr>
            <w:tcW w:w="40" w:type="dxa"/>
            <w:vAlign w:val="bottom"/>
          </w:tcPr>
          <w:p>
            <w:pPr>
              <w:spacing w:after="0"/>
              <w:rPr>
                <w:sz w:val="14"/>
                <w:szCs w:val="14"/>
                <w:color w:val="auto"/>
              </w:rPr>
            </w:pPr>
          </w:p>
        </w:tc>
        <w:tc>
          <w:tcPr>
            <w:tcW w:w="28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0.17</w:t>
            </w:r>
          </w:p>
        </w:tc>
        <w:tc>
          <w:tcPr>
            <w:tcW w:w="20" w:type="dxa"/>
            <w:vAlign w:val="bottom"/>
          </w:tcPr>
          <w:p>
            <w:pPr>
              <w:spacing w:after="0"/>
              <w:rPr>
                <w:sz w:val="14"/>
                <w:szCs w:val="14"/>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0.93</w:t>
            </w:r>
          </w:p>
        </w:tc>
        <w:tc>
          <w:tcPr>
            <w:tcW w:w="0" w:type="dxa"/>
            <w:vAlign w:val="bottom"/>
          </w:tcPr>
          <w:p>
            <w:pPr>
              <w:spacing w:after="0"/>
              <w:rPr>
                <w:sz w:val="1"/>
                <w:szCs w:val="1"/>
                <w:color w:val="auto"/>
              </w:rPr>
            </w:pPr>
          </w:p>
        </w:tc>
      </w:tr>
      <w:tr>
        <w:trPr>
          <w:trHeight w:val="162"/>
        </w:trPr>
        <w:tc>
          <w:tcPr>
            <w:tcW w:w="4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00" w:type="dxa"/>
            <w:vAlign w:val="bottom"/>
            <w:gridSpan w:val="2"/>
          </w:tcPr>
          <w:p>
            <w:pPr>
              <w:ind w:left="20"/>
              <w:spacing w:after="0"/>
              <w:rPr>
                <w:sz w:val="20"/>
                <w:szCs w:val="20"/>
                <w:color w:val="auto"/>
              </w:rPr>
            </w:pPr>
            <w:r>
              <w:rPr>
                <w:rFonts w:ascii="Arial" w:cs="Arial" w:eastAsia="Arial" w:hAnsi="Arial"/>
                <w:sz w:val="14"/>
                <w:szCs w:val="14"/>
                <w:b w:val="1"/>
                <w:bCs w:val="1"/>
                <w:color w:val="auto"/>
              </w:rPr>
              <w:t>Anti-dilutive amounts (o):</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00" w:type="dxa"/>
            <w:vAlign w:val="bottom"/>
            <w:gridSpan w:val="2"/>
            <w:shd w:val="clear" w:color="auto" w:fill="CCEEFF"/>
          </w:tcPr>
          <w:p>
            <w:pPr>
              <w:ind w:left="120"/>
              <w:spacing w:after="0"/>
              <w:rPr>
                <w:sz w:val="20"/>
                <w:szCs w:val="20"/>
                <w:color w:val="auto"/>
              </w:rPr>
            </w:pPr>
            <w:r>
              <w:rPr>
                <w:rFonts w:ascii="Arial" w:cs="Arial" w:eastAsia="Arial" w:hAnsi="Arial"/>
                <w:sz w:val="14"/>
                <w:szCs w:val="14"/>
                <w:b w:val="1"/>
                <w:bCs w:val="1"/>
                <w:color w:val="auto"/>
              </w:rPr>
              <w:t>Numerator:</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700" w:type="dxa"/>
            <w:vAlign w:val="bottom"/>
            <w:gridSpan w:val="2"/>
          </w:tcPr>
          <w:p>
            <w:pPr>
              <w:ind w:left="220"/>
              <w:spacing w:after="0" w:line="153" w:lineRule="exact"/>
              <w:rPr>
                <w:sz w:val="20"/>
                <w:szCs w:val="20"/>
                <w:color w:val="auto"/>
              </w:rPr>
            </w:pPr>
            <w:r>
              <w:rPr>
                <w:rFonts w:ascii="Arial" w:cs="Arial" w:eastAsia="Arial" w:hAnsi="Arial"/>
                <w:sz w:val="14"/>
                <w:szCs w:val="14"/>
                <w:color w:val="auto"/>
              </w:rPr>
              <w:t>Reallocation  of  net  (loss)  income  attributable  to  non-controlling</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700" w:type="dxa"/>
            <w:vAlign w:val="bottom"/>
            <w:gridSpan w:val="2"/>
          </w:tcPr>
          <w:p>
            <w:pPr>
              <w:ind w:left="220"/>
              <w:spacing w:after="0"/>
              <w:rPr>
                <w:sz w:val="20"/>
                <w:szCs w:val="20"/>
                <w:color w:val="auto"/>
              </w:rPr>
            </w:pPr>
            <w:r>
              <w:rPr>
                <w:rFonts w:ascii="Arial" w:cs="Arial" w:eastAsia="Arial" w:hAnsi="Arial"/>
                <w:sz w:val="14"/>
                <w:szCs w:val="14"/>
                <w:color w:val="auto"/>
              </w:rPr>
              <w:t>interests from the anti-dilutive redemption of common units in CWGS,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00" w:type="dxa"/>
            <w:vAlign w:val="bottom"/>
            <w:gridSpan w:val="2"/>
          </w:tcPr>
          <w:p>
            <w:pPr>
              <w:ind w:left="220"/>
              <w:spacing w:after="0"/>
              <w:rPr>
                <w:sz w:val="20"/>
                <w:szCs w:val="20"/>
                <w:color w:val="auto"/>
              </w:rPr>
            </w:pPr>
            <w:r>
              <w:rPr>
                <w:rFonts w:ascii="Arial" w:cs="Arial" w:eastAsia="Arial" w:hAnsi="Arial"/>
                <w:sz w:val="14"/>
                <w:szCs w:val="14"/>
                <w:color w:val="auto"/>
              </w:rPr>
              <w:t>LLC (m)</w:t>
            </w:r>
          </w:p>
        </w:tc>
        <w:tc>
          <w:tcPr>
            <w:tcW w:w="3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(7,473)</w:t>
            </w:r>
          </w:p>
        </w:tc>
        <w:tc>
          <w:tcPr>
            <w:tcW w:w="3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8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7,003</w:t>
            </w:r>
          </w:p>
        </w:tc>
        <w:tc>
          <w:tcPr>
            <w:tcW w:w="20" w:type="dxa"/>
            <w:vAlign w:val="bottom"/>
          </w:tcPr>
          <w:p>
            <w:pPr>
              <w:spacing w:after="0"/>
              <w:rPr>
                <w:sz w:val="14"/>
                <w:szCs w:val="14"/>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37,018</w:t>
            </w:r>
          </w:p>
        </w:tc>
        <w:tc>
          <w:tcPr>
            <w:tcW w:w="0" w:type="dxa"/>
            <w:vAlign w:val="bottom"/>
          </w:tcPr>
          <w:p>
            <w:pPr>
              <w:spacing w:after="0"/>
              <w:rPr>
                <w:sz w:val="1"/>
                <w:szCs w:val="1"/>
                <w:color w:val="auto"/>
              </w:rPr>
            </w:pPr>
          </w:p>
        </w:tc>
      </w:tr>
      <w:tr>
        <w:trPr>
          <w:trHeight w:val="162"/>
        </w:trPr>
        <w:tc>
          <w:tcPr>
            <w:tcW w:w="4700" w:type="dxa"/>
            <w:vAlign w:val="bottom"/>
            <w:gridSpan w:val="2"/>
            <w:shd w:val="clear" w:color="auto" w:fill="CCEEFF"/>
          </w:tcPr>
          <w:p>
            <w:pPr>
              <w:ind w:left="120"/>
              <w:spacing w:after="0"/>
              <w:rPr>
                <w:sz w:val="20"/>
                <w:szCs w:val="20"/>
                <w:color w:val="auto"/>
              </w:rPr>
            </w:pPr>
            <w:r>
              <w:rPr>
                <w:rFonts w:ascii="Arial" w:cs="Arial" w:eastAsia="Arial" w:hAnsi="Arial"/>
                <w:sz w:val="14"/>
                <w:szCs w:val="14"/>
                <w:b w:val="1"/>
                <w:bCs w:val="1"/>
                <w:color w:val="auto"/>
              </w:rPr>
              <w:t>Denominator:</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700" w:type="dxa"/>
            <w:vAlign w:val="bottom"/>
            <w:gridSpan w:val="2"/>
          </w:tcPr>
          <w:p>
            <w:pPr>
              <w:ind w:left="220"/>
              <w:spacing w:after="0" w:line="153" w:lineRule="exact"/>
              <w:rPr>
                <w:sz w:val="20"/>
                <w:szCs w:val="20"/>
                <w:color w:val="auto"/>
              </w:rPr>
            </w:pPr>
            <w:r>
              <w:rPr>
                <w:rFonts w:ascii="Arial" w:cs="Arial" w:eastAsia="Arial" w:hAnsi="Arial"/>
                <w:sz w:val="14"/>
                <w:szCs w:val="14"/>
                <w:color w:val="auto"/>
              </w:rPr>
              <w:t>Anti-dilutive redemption of common units in CWGS, LLC for shares of</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700" w:type="dxa"/>
            <w:vAlign w:val="bottom"/>
            <w:gridSpan w:val="2"/>
          </w:tcPr>
          <w:p>
            <w:pPr>
              <w:ind w:left="220"/>
              <w:spacing w:after="0"/>
              <w:rPr>
                <w:sz w:val="20"/>
                <w:szCs w:val="20"/>
                <w:color w:val="auto"/>
              </w:rPr>
            </w:pPr>
            <w:r>
              <w:rPr>
                <w:rFonts w:ascii="Arial" w:cs="Arial" w:eastAsia="Arial" w:hAnsi="Arial"/>
                <w:sz w:val="14"/>
                <w:szCs w:val="14"/>
                <w:color w:val="auto"/>
              </w:rPr>
              <w:t>Class A common stock (n)</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39,895</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39,895</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39,895</w:t>
            </w:r>
          </w:p>
        </w:tc>
        <w:tc>
          <w:tcPr>
            <w:tcW w:w="0" w:type="dxa"/>
            <w:vAlign w:val="bottom"/>
          </w:tcPr>
          <w:p>
            <w:pPr>
              <w:spacing w:after="0"/>
              <w:rPr>
                <w:sz w:val="1"/>
                <w:szCs w:val="1"/>
                <w:color w:val="auto"/>
              </w:rPr>
            </w:pPr>
          </w:p>
        </w:tc>
      </w:tr>
      <w:tr>
        <w:trPr>
          <w:trHeight w:val="162"/>
        </w:trPr>
        <w:tc>
          <w:tcPr>
            <w:tcW w:w="47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Anti-dilutive RSUs (n)</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2" w:right="1440" w:bottom="1440" w:gutter="0" w:footer="0" w:header="0"/>
        </w:sect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56" w:name="page57"/>
    <w:bookmarkEnd w:id="5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145"/>
        </w:trPr>
        <w:tc>
          <w:tcPr>
            <w:tcW w:w="4660" w:type="dxa"/>
            <w:vAlign w:val="bottom"/>
            <w:vMerge w:val="restart"/>
          </w:tcPr>
          <w:p>
            <w:pPr>
              <w:ind w:left="20"/>
              <w:spacing w:after="0"/>
              <w:rPr>
                <w:sz w:val="20"/>
                <w:szCs w:val="20"/>
                <w:color w:val="auto"/>
              </w:rPr>
            </w:pPr>
            <w:r>
              <w:rPr>
                <w:rFonts w:ascii="Arial" w:cs="Arial" w:eastAsia="Arial" w:hAnsi="Arial"/>
                <w:sz w:val="12"/>
                <w:szCs w:val="12"/>
                <w:color w:val="auto"/>
              </w:rPr>
              <w:t>(In thousands except per share amounts)</w:t>
            </w:r>
          </w:p>
        </w:tc>
        <w:tc>
          <w:tcPr>
            <w:tcW w:w="160" w:type="dxa"/>
            <w:vAlign w:val="bottom"/>
          </w:tcPr>
          <w:p>
            <w:pPr>
              <w:spacing w:after="0"/>
              <w:rPr>
                <w:sz w:val="12"/>
                <w:szCs w:val="12"/>
                <w:color w:val="auto"/>
              </w:rPr>
            </w:pPr>
          </w:p>
        </w:tc>
        <w:tc>
          <w:tcPr>
            <w:tcW w:w="2020" w:type="dxa"/>
            <w:vAlign w:val="bottom"/>
            <w:gridSpan w:val="7"/>
          </w:tcPr>
          <w:p>
            <w:pPr>
              <w:spacing w:after="0"/>
              <w:rPr>
                <w:sz w:val="20"/>
                <w:szCs w:val="20"/>
                <w:color w:val="auto"/>
              </w:rPr>
            </w:pPr>
            <w:r>
              <w:rPr>
                <w:rFonts w:ascii="Arial" w:cs="Arial" w:eastAsia="Arial" w:hAnsi="Arial"/>
                <w:sz w:val="12"/>
                <w:szCs w:val="12"/>
                <w:b w:val="1"/>
                <w:bCs w:val="1"/>
                <w:color w:val="auto"/>
                <w:w w:val="97"/>
              </w:rPr>
              <w:t>Three Months Ended September 30,</w:t>
            </w:r>
          </w:p>
        </w:tc>
        <w:tc>
          <w:tcPr>
            <w:tcW w:w="100" w:type="dxa"/>
            <w:vAlign w:val="bottom"/>
          </w:tcPr>
          <w:p>
            <w:pPr>
              <w:spacing w:after="0"/>
              <w:rPr>
                <w:sz w:val="12"/>
                <w:szCs w:val="12"/>
                <w:color w:val="auto"/>
              </w:rPr>
            </w:pPr>
          </w:p>
        </w:tc>
        <w:tc>
          <w:tcPr>
            <w:tcW w:w="1980" w:type="dxa"/>
            <w:vAlign w:val="bottom"/>
            <w:gridSpan w:val="7"/>
          </w:tcPr>
          <w:p>
            <w:pPr>
              <w:ind w:left="20"/>
              <w:spacing w:after="0"/>
              <w:rPr>
                <w:sz w:val="20"/>
                <w:szCs w:val="20"/>
                <w:color w:val="auto"/>
              </w:rPr>
            </w:pPr>
            <w:r>
              <w:rPr>
                <w:rFonts w:ascii="Arial" w:cs="Arial" w:eastAsia="Arial" w:hAnsi="Arial"/>
                <w:sz w:val="12"/>
                <w:szCs w:val="12"/>
                <w:b w:val="1"/>
                <w:bCs w:val="1"/>
                <w:color w:val="auto"/>
                <w:w w:val="98"/>
              </w:rPr>
              <w:t>Nine Months Ended September 30,</w:t>
            </w:r>
          </w:p>
        </w:tc>
        <w:tc>
          <w:tcPr>
            <w:tcW w:w="0" w:type="dxa"/>
            <w:vAlign w:val="bottom"/>
          </w:tcPr>
          <w:p>
            <w:pPr>
              <w:spacing w:after="0"/>
              <w:rPr>
                <w:sz w:val="1"/>
                <w:szCs w:val="1"/>
                <w:color w:val="auto"/>
              </w:rPr>
            </w:pPr>
          </w:p>
        </w:tc>
      </w:tr>
      <w:tr>
        <w:trPr>
          <w:trHeight w:val="20"/>
        </w:trPr>
        <w:tc>
          <w:tcPr>
            <w:tcW w:w="466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4660" w:type="dxa"/>
            <w:vAlign w:val="bottom"/>
            <w:vMerge w:val="continue"/>
          </w:tcPr>
          <w:p>
            <w:pPr>
              <w:spacing w:after="0"/>
              <w:rPr>
                <w:sz w:val="11"/>
                <w:szCs w:val="11"/>
                <w:color w:val="auto"/>
              </w:rPr>
            </w:pPr>
          </w:p>
        </w:tc>
        <w:tc>
          <w:tcPr>
            <w:tcW w:w="360" w:type="dxa"/>
            <w:vAlign w:val="bottom"/>
            <w:gridSpan w:val="2"/>
          </w:tcPr>
          <w:p>
            <w:pPr>
              <w:ind w:left="80"/>
              <w:spacing w:after="0" w:line="129" w:lineRule="exact"/>
              <w:rPr>
                <w:sz w:val="20"/>
                <w:szCs w:val="20"/>
                <w:color w:val="auto"/>
              </w:rPr>
            </w:pPr>
            <w:r>
              <w:rPr>
                <w:rFonts w:ascii="Arial" w:cs="Arial" w:eastAsia="Arial" w:hAnsi="Arial"/>
                <w:sz w:val="13"/>
                <w:szCs w:val="13"/>
                <w:color w:val="auto"/>
              </w:rPr>
              <w:t>​​​</w:t>
            </w:r>
          </w:p>
        </w:tc>
        <w:tc>
          <w:tcPr>
            <w:tcW w:w="680" w:type="dxa"/>
            <w:vAlign w:val="bottom"/>
          </w:tcPr>
          <w:p>
            <w:pPr>
              <w:jc w:val="right"/>
              <w:ind w:right="230"/>
              <w:spacing w:after="0" w:line="129" w:lineRule="exact"/>
              <w:rPr>
                <w:sz w:val="20"/>
                <w:szCs w:val="20"/>
                <w:color w:val="auto"/>
              </w:rPr>
            </w:pPr>
            <w:r>
              <w:rPr>
                <w:rFonts w:ascii="Arial" w:cs="Arial" w:eastAsia="Arial" w:hAnsi="Arial"/>
                <w:sz w:val="12"/>
                <w:szCs w:val="12"/>
                <w:b w:val="1"/>
                <w:bCs w:val="1"/>
                <w:color w:val="auto"/>
              </w:rPr>
              <w:t>2026</w:t>
            </w:r>
          </w:p>
        </w:tc>
        <w:tc>
          <w:tcPr>
            <w:tcW w:w="40" w:type="dxa"/>
            <w:vAlign w:val="bottom"/>
          </w:tcPr>
          <w:p>
            <w:pPr>
              <w:spacing w:after="0"/>
              <w:rPr>
                <w:sz w:val="11"/>
                <w:szCs w:val="11"/>
                <w:color w:val="auto"/>
              </w:rPr>
            </w:pPr>
          </w:p>
        </w:tc>
        <w:tc>
          <w:tcPr>
            <w:tcW w:w="380" w:type="dxa"/>
            <w:vAlign w:val="bottom"/>
            <w:gridSpan w:val="2"/>
          </w:tcPr>
          <w:p>
            <w:pPr>
              <w:jc w:val="right"/>
              <w:ind w:right="188"/>
              <w:spacing w:after="0" w:line="129" w:lineRule="exact"/>
              <w:rPr>
                <w:sz w:val="20"/>
                <w:szCs w:val="20"/>
                <w:color w:val="auto"/>
              </w:rPr>
            </w:pPr>
            <w:r>
              <w:rPr>
                <w:rFonts w:ascii="Arial" w:cs="Arial" w:eastAsia="Arial" w:hAnsi="Arial"/>
                <w:sz w:val="12"/>
                <w:szCs w:val="12"/>
                <w:color w:val="auto"/>
              </w:rPr>
              <w:t>​​​</w:t>
            </w:r>
          </w:p>
        </w:tc>
        <w:tc>
          <w:tcPr>
            <w:tcW w:w="680" w:type="dxa"/>
            <w:vAlign w:val="bottom"/>
          </w:tcPr>
          <w:p>
            <w:pPr>
              <w:jc w:val="right"/>
              <w:ind w:right="230"/>
              <w:spacing w:after="0" w:line="129" w:lineRule="exact"/>
              <w:rPr>
                <w:sz w:val="20"/>
                <w:szCs w:val="20"/>
                <w:color w:val="auto"/>
              </w:rPr>
            </w:pPr>
            <w:r>
              <w:rPr>
                <w:rFonts w:ascii="Arial" w:cs="Arial" w:eastAsia="Arial" w:hAnsi="Arial"/>
                <w:sz w:val="12"/>
                <w:szCs w:val="12"/>
                <w:b w:val="1"/>
                <w:bCs w:val="1"/>
                <w:color w:val="auto"/>
              </w:rPr>
              <w:t>2025</w:t>
            </w:r>
          </w:p>
        </w:tc>
        <w:tc>
          <w:tcPr>
            <w:tcW w:w="40" w:type="dxa"/>
            <w:vAlign w:val="bottom"/>
          </w:tcPr>
          <w:p>
            <w:pPr>
              <w:spacing w:after="0"/>
              <w:rPr>
                <w:sz w:val="11"/>
                <w:szCs w:val="11"/>
                <w:color w:val="auto"/>
              </w:rPr>
            </w:pPr>
          </w:p>
        </w:tc>
        <w:tc>
          <w:tcPr>
            <w:tcW w:w="300" w:type="dxa"/>
            <w:vAlign w:val="bottom"/>
            <w:gridSpan w:val="2"/>
          </w:tcPr>
          <w:p>
            <w:pPr>
              <w:jc w:val="right"/>
              <w:ind w:right="113"/>
              <w:spacing w:after="0" w:line="129" w:lineRule="exact"/>
              <w:rPr>
                <w:sz w:val="20"/>
                <w:szCs w:val="20"/>
                <w:color w:val="auto"/>
              </w:rPr>
            </w:pPr>
            <w:r>
              <w:rPr>
                <w:rFonts w:ascii="Arial" w:cs="Arial" w:eastAsia="Arial" w:hAnsi="Arial"/>
                <w:sz w:val="12"/>
                <w:szCs w:val="12"/>
                <w:color w:val="auto"/>
              </w:rPr>
              <w:t>​​​</w:t>
            </w:r>
          </w:p>
        </w:tc>
        <w:tc>
          <w:tcPr>
            <w:tcW w:w="680" w:type="dxa"/>
            <w:vAlign w:val="bottom"/>
          </w:tcPr>
          <w:p>
            <w:pPr>
              <w:jc w:val="right"/>
              <w:ind w:right="250"/>
              <w:spacing w:after="0" w:line="129" w:lineRule="exact"/>
              <w:rPr>
                <w:sz w:val="20"/>
                <w:szCs w:val="20"/>
                <w:color w:val="auto"/>
              </w:rPr>
            </w:pPr>
            <w:r>
              <w:rPr>
                <w:rFonts w:ascii="Arial" w:cs="Arial" w:eastAsia="Arial" w:hAnsi="Arial"/>
                <w:sz w:val="12"/>
                <w:szCs w:val="12"/>
                <w:b w:val="1"/>
                <w:bCs w:val="1"/>
                <w:color w:val="auto"/>
              </w:rPr>
              <w:t>2026</w:t>
            </w:r>
          </w:p>
        </w:tc>
        <w:tc>
          <w:tcPr>
            <w:tcW w:w="20" w:type="dxa"/>
            <w:vAlign w:val="bottom"/>
          </w:tcPr>
          <w:p>
            <w:pPr>
              <w:spacing w:after="0"/>
              <w:rPr>
                <w:sz w:val="11"/>
                <w:szCs w:val="11"/>
                <w:color w:val="auto"/>
              </w:rPr>
            </w:pPr>
          </w:p>
        </w:tc>
        <w:tc>
          <w:tcPr>
            <w:tcW w:w="380" w:type="dxa"/>
            <w:vAlign w:val="bottom"/>
            <w:gridSpan w:val="2"/>
          </w:tcPr>
          <w:p>
            <w:pPr>
              <w:jc w:val="right"/>
              <w:ind w:right="168"/>
              <w:spacing w:after="0" w:line="129" w:lineRule="exact"/>
              <w:rPr>
                <w:sz w:val="20"/>
                <w:szCs w:val="20"/>
                <w:color w:val="auto"/>
              </w:rPr>
            </w:pPr>
            <w:r>
              <w:rPr>
                <w:rFonts w:ascii="Arial" w:cs="Arial" w:eastAsia="Arial" w:hAnsi="Arial"/>
                <w:sz w:val="12"/>
                <w:szCs w:val="12"/>
                <w:color w:val="auto"/>
              </w:rPr>
              <w:t>​​​</w:t>
            </w:r>
          </w:p>
        </w:tc>
        <w:tc>
          <w:tcPr>
            <w:tcW w:w="680" w:type="dxa"/>
            <w:vAlign w:val="bottom"/>
          </w:tcPr>
          <w:p>
            <w:pPr>
              <w:jc w:val="right"/>
              <w:ind w:right="230"/>
              <w:spacing w:after="0" w:line="129" w:lineRule="exact"/>
              <w:rPr>
                <w:sz w:val="20"/>
                <w:szCs w:val="20"/>
                <w:color w:val="auto"/>
              </w:rPr>
            </w:pPr>
            <w:r>
              <w:rPr>
                <w:rFonts w:ascii="Arial" w:cs="Arial" w:eastAsia="Arial" w:hAnsi="Arial"/>
                <w:sz w:val="12"/>
                <w:szCs w:val="12"/>
                <w:b w:val="1"/>
                <w:bCs w:val="1"/>
                <w:color w:val="auto"/>
              </w:rPr>
              <w:t>2025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4660" w:type="dxa"/>
            <w:vAlign w:val="bottom"/>
            <w:tcBorders>
              <w:top w:val="single" w:sz="8" w:color="auto"/>
            </w:tcBorders>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Reconciliation of per share amounts:</w:t>
            </w:r>
          </w:p>
        </w:tc>
        <w:tc>
          <w:tcPr>
            <w:tcW w:w="16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660" w:type="dxa"/>
            <w:vAlign w:val="bottom"/>
          </w:tcPr>
          <w:p>
            <w:pPr>
              <w:ind w:left="120"/>
              <w:spacing w:after="0"/>
              <w:rPr>
                <w:sz w:val="20"/>
                <w:szCs w:val="20"/>
                <w:color w:val="auto"/>
              </w:rPr>
            </w:pPr>
            <w:r>
              <w:rPr>
                <w:rFonts w:ascii="Arial" w:cs="Arial" w:eastAsia="Arial" w:hAnsi="Arial"/>
                <w:sz w:val="14"/>
                <w:szCs w:val="14"/>
                <w:color w:val="auto"/>
              </w:rPr>
              <w:t>Loss per share of Class A common stock — basic</w:t>
            </w:r>
          </w:p>
        </w:tc>
        <w:tc>
          <w:tcPr>
            <w:tcW w:w="36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(3.09)</w:t>
            </w:r>
          </w:p>
        </w:tc>
        <w:tc>
          <w:tcPr>
            <w:tcW w:w="38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(0.64)</w:t>
            </w:r>
          </w:p>
        </w:tc>
        <w:tc>
          <w:tcPr>
            <w:tcW w:w="300" w:type="dxa"/>
            <w:vAlign w:val="bottom"/>
            <w:gridSpan w:val="2"/>
          </w:tcPr>
          <w:p>
            <w:pPr>
              <w:jc w:val="right"/>
              <w:ind w:right="53"/>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(2.93)</w:t>
            </w:r>
          </w:p>
        </w:tc>
        <w:tc>
          <w:tcPr>
            <w:tcW w:w="38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(0.36)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Non-GAAP Adjustments (p)</w:t>
            </w:r>
          </w:p>
        </w:tc>
        <w:tc>
          <w:tcPr>
            <w:tcW w:w="16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2.90</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3.10</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660" w:type="dxa"/>
            <w:vAlign w:val="bottom"/>
          </w:tcPr>
          <w:p>
            <w:pPr>
              <w:ind w:left="340"/>
              <w:spacing w:after="0" w:line="155" w:lineRule="exact"/>
              <w:rPr>
                <w:sz w:val="20"/>
                <w:szCs w:val="20"/>
                <w:color w:val="auto"/>
              </w:rPr>
            </w:pPr>
            <w:r>
              <w:rPr>
                <w:rFonts w:ascii="Arial" w:cs="Arial" w:eastAsia="Arial" w:hAnsi="Arial"/>
                <w:sz w:val="14"/>
                <w:szCs w:val="14"/>
                <w:color w:val="auto"/>
              </w:rPr>
              <w:t>Adjusted (loss) earnings per share - basic</w:t>
            </w:r>
          </w:p>
        </w:tc>
        <w:tc>
          <w:tcPr>
            <w:tcW w:w="160" w:type="dxa"/>
            <w:vAlign w:val="bottom"/>
          </w:tcPr>
          <w:p>
            <w:pPr>
              <w:spacing w:after="0"/>
              <w:rPr>
                <w:sz w:val="13"/>
                <w:szCs w:val="13"/>
                <w:color w:val="auto"/>
              </w:rPr>
            </w:pPr>
          </w:p>
        </w:tc>
        <w:tc>
          <w:tcPr>
            <w:tcW w:w="20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(0.19)</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0.47</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jc w:val="right"/>
              <w:ind w:right="53"/>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0.17</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0.93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60" w:type="dxa"/>
            <w:vAlign w:val="bottom"/>
          </w:tcPr>
          <w:p>
            <w:pPr>
              <w:ind w:left="120"/>
              <w:spacing w:after="0"/>
              <w:rPr>
                <w:sz w:val="20"/>
                <w:szCs w:val="20"/>
                <w:color w:val="auto"/>
              </w:rPr>
            </w:pPr>
            <w:r>
              <w:rPr>
                <w:rFonts w:ascii="Arial" w:cs="Arial" w:eastAsia="Arial" w:hAnsi="Arial"/>
                <w:sz w:val="14"/>
                <w:szCs w:val="14"/>
                <w:color w:val="auto"/>
              </w:rPr>
              <w:t>Loss per share of Class A common stock — diluted</w:t>
            </w:r>
          </w:p>
        </w:tc>
        <w:tc>
          <w:tcPr>
            <w:tcW w:w="36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(3.09)</w:t>
            </w:r>
          </w:p>
        </w:tc>
        <w:tc>
          <w:tcPr>
            <w:tcW w:w="38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(0.64)</w:t>
            </w:r>
          </w:p>
        </w:tc>
        <w:tc>
          <w:tcPr>
            <w:tcW w:w="300" w:type="dxa"/>
            <w:vAlign w:val="bottom"/>
            <w:gridSpan w:val="2"/>
          </w:tcPr>
          <w:p>
            <w:pPr>
              <w:jc w:val="right"/>
              <w:ind w:right="53"/>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(2.93)</w:t>
            </w:r>
          </w:p>
        </w:tc>
        <w:tc>
          <w:tcPr>
            <w:tcW w:w="38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(0.36)</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Non-GAAP Adjustments (p)</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660" w:type="dxa"/>
            <w:vAlign w:val="bottom"/>
          </w:tcPr>
          <w:p>
            <w:pPr>
              <w:ind w:left="220"/>
              <w:spacing w:after="0" w:line="153" w:lineRule="exact"/>
              <w:rPr>
                <w:sz w:val="20"/>
                <w:szCs w:val="20"/>
                <w:color w:val="auto"/>
              </w:rPr>
            </w:pPr>
            <w:r>
              <w:rPr>
                <w:rFonts w:ascii="Arial" w:cs="Arial" w:eastAsia="Arial" w:hAnsi="Arial"/>
                <w:sz w:val="14"/>
                <w:szCs w:val="14"/>
                <w:color w:val="auto"/>
              </w:rPr>
              <w:t>Dilutive redemption of common units in CWGS, LLC for shares of</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660" w:type="dxa"/>
            <w:vAlign w:val="bottom"/>
          </w:tcPr>
          <w:p>
            <w:pPr>
              <w:ind w:left="220"/>
              <w:spacing w:after="0"/>
              <w:rPr>
                <w:sz w:val="20"/>
                <w:szCs w:val="20"/>
                <w:color w:val="auto"/>
              </w:rPr>
            </w:pPr>
            <w:r>
              <w:rPr>
                <w:rFonts w:ascii="Arial" w:cs="Arial" w:eastAsia="Arial" w:hAnsi="Arial"/>
                <w:sz w:val="14"/>
                <w:szCs w:val="14"/>
                <w:color w:val="auto"/>
              </w:rPr>
              <w:t>Class A common stock (q)</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(0.04)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4660" w:type="dxa"/>
            <w:vAlign w:val="bottom"/>
            <w:tcBorders>
              <w:top w:val="single" w:sz="8" w:color="CCEEFF"/>
            </w:tcBorders>
            <w:shd w:val="clear" w:color="auto" w:fill="CCEEFF"/>
          </w:tcPr>
          <w:p>
            <w:pPr>
              <w:ind w:left="340"/>
              <w:spacing w:after="0" w:line="155" w:lineRule="exact"/>
              <w:rPr>
                <w:sz w:val="20"/>
                <w:szCs w:val="20"/>
                <w:color w:val="auto"/>
              </w:rPr>
            </w:pPr>
            <w:r>
              <w:rPr>
                <w:rFonts w:ascii="Arial" w:cs="Arial" w:eastAsia="Arial" w:hAnsi="Arial"/>
                <w:sz w:val="14"/>
                <w:szCs w:val="14"/>
                <w:color w:val="auto"/>
              </w:rPr>
              <w:t>Adjusted (loss) earnings per share - diluted</w:t>
            </w:r>
          </w:p>
        </w:tc>
        <w:tc>
          <w:tcPr>
            <w:tcW w:w="16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(0.19)</w:t>
            </w:r>
          </w:p>
        </w:tc>
        <w:tc>
          <w:tcPr>
            <w:tcW w:w="4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0.43</w:t>
            </w: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53"/>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0.17</w:t>
            </w:r>
          </w:p>
        </w:tc>
        <w:tc>
          <w:tcPr>
            <w:tcW w:w="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0.93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jc w:val="both"/>
        <w:ind w:left="460" w:right="79" w:hanging="329"/>
        <w:spacing w:after="0" w:line="256" w:lineRule="auto"/>
        <w:tabs>
          <w:tab w:leader="none" w:pos="460" w:val="left"/>
        </w:tabs>
        <w:numPr>
          <w:ilvl w:val="0"/>
          <w:numId w:val="32"/>
        </w:numPr>
        <w:rPr>
          <w:rFonts w:ascii="Arial" w:cs="Arial" w:eastAsia="Arial" w:hAnsi="Arial"/>
          <w:sz w:val="14"/>
          <w:szCs w:val="14"/>
          <w:color w:val="231F20"/>
        </w:rPr>
      </w:pPr>
      <w:r>
        <w:rPr>
          <w:rFonts w:ascii="Arial" w:cs="Arial" w:eastAsia="Arial" w:hAnsi="Arial"/>
          <w:sz w:val="14"/>
          <w:szCs w:val="14"/>
          <w:color w:val="auto"/>
        </w:rPr>
        <w:t>Represents the debt restructure expenses for third-party refinancing costs and loss on debt restructure for the write-off of unamortized finance costs on the refinancing of the M&amp;T Real Estate Facility in August 2026, which was accounted for as a modification. See Note 8 – Long-Term Debt to our condensed consolidated financial statements included in Part I, Item 1 of this Form 10-Q for additional information.</w:t>
      </w:r>
    </w:p>
    <w:p>
      <w:pPr>
        <w:spacing w:after="0" w:line="42" w:lineRule="exact"/>
        <w:rPr>
          <w:rFonts w:ascii="Arial" w:cs="Arial" w:eastAsia="Arial" w:hAnsi="Arial"/>
          <w:sz w:val="14"/>
          <w:szCs w:val="14"/>
          <w:color w:val="231F20"/>
        </w:rPr>
      </w:pPr>
    </w:p>
    <w:p>
      <w:pPr>
        <w:jc w:val="both"/>
        <w:ind w:left="460" w:right="79" w:hanging="329"/>
        <w:spacing w:after="0" w:line="263" w:lineRule="auto"/>
        <w:tabs>
          <w:tab w:leader="none" w:pos="460" w:val="left"/>
        </w:tabs>
        <w:numPr>
          <w:ilvl w:val="0"/>
          <w:numId w:val="32"/>
        </w:numPr>
        <w:rPr>
          <w:rFonts w:ascii="Arial" w:cs="Arial" w:eastAsia="Arial" w:hAnsi="Arial"/>
          <w:sz w:val="14"/>
          <w:szCs w:val="14"/>
          <w:color w:val="231F20"/>
        </w:rPr>
      </w:pPr>
      <w:r>
        <w:rPr>
          <w:rFonts w:ascii="Arial" w:cs="Arial" w:eastAsia="Arial" w:hAnsi="Arial"/>
          <w:sz w:val="14"/>
          <w:szCs w:val="14"/>
          <w:color w:val="auto"/>
        </w:rPr>
        <w:t>Represents a goodwill impairment charge of $286.7 million related to the RV and Outdoor Retail reporting unit in the third quarter of 2026. See Note 7 – Goodwill and Intangible Assets to our condensed consolidated financial statements in Part I, Item 1 of this Form 10-Q for additional information.</w:t>
      </w:r>
    </w:p>
    <w:p>
      <w:pPr>
        <w:spacing w:after="0" w:line="24" w:lineRule="exact"/>
        <w:rPr>
          <w:rFonts w:ascii="Arial" w:cs="Arial" w:eastAsia="Arial" w:hAnsi="Arial"/>
          <w:sz w:val="14"/>
          <w:szCs w:val="14"/>
          <w:color w:val="231F20"/>
        </w:rPr>
      </w:pPr>
    </w:p>
    <w:p>
      <w:pPr>
        <w:jc w:val="both"/>
        <w:ind w:left="460" w:right="79" w:hanging="329"/>
        <w:spacing w:after="0" w:line="248" w:lineRule="auto"/>
        <w:tabs>
          <w:tab w:leader="none" w:pos="460" w:val="left"/>
        </w:tabs>
        <w:numPr>
          <w:ilvl w:val="0"/>
          <w:numId w:val="32"/>
        </w:numPr>
        <w:rPr>
          <w:rFonts w:ascii="Arial" w:cs="Arial" w:eastAsia="Arial" w:hAnsi="Arial"/>
          <w:sz w:val="14"/>
          <w:szCs w:val="14"/>
          <w:color w:val="231F20"/>
        </w:rPr>
      </w:pPr>
      <w:r>
        <w:rPr>
          <w:rFonts w:ascii="Arial" w:cs="Arial" w:eastAsia="Arial" w:hAnsi="Arial"/>
          <w:sz w:val="14"/>
          <w:szCs w:val="14"/>
          <w:color w:val="auto"/>
        </w:rPr>
        <w:t>Represents the current and deferred income tax expense or benefit effect of the above adjustments. For the three and nine months ended September 30, 2026, the income tax impact for many of the adjustments related to the public holding company, CWH, which had a full valuation allowance against its net deferred tax assets, for which no income tax benefit or expense could be recognized. Additionally, substantially all of the goodwill impairment related to goodwill that is not deductible for income tax purposes, for which no income tax benefit was recognized. This assumption uses a blended statutory tax rate of 25.0% for the adjustments for the 2026 and 2025 periods, which represents the estimated tax rate that would apply had the above adjustments been included in the determination of our non-GAAP metric.</w:t>
      </w:r>
    </w:p>
    <w:p>
      <w:pPr>
        <w:spacing w:after="0" w:line="36" w:lineRule="exact"/>
        <w:rPr>
          <w:rFonts w:ascii="Arial" w:cs="Arial" w:eastAsia="Arial" w:hAnsi="Arial"/>
          <w:sz w:val="14"/>
          <w:szCs w:val="14"/>
          <w:color w:val="231F20"/>
        </w:rPr>
      </w:pPr>
    </w:p>
    <w:p>
      <w:pPr>
        <w:ind w:left="460" w:right="79" w:hanging="329"/>
        <w:spacing w:after="0" w:line="285" w:lineRule="auto"/>
        <w:tabs>
          <w:tab w:leader="none" w:pos="460" w:val="left"/>
        </w:tabs>
        <w:numPr>
          <w:ilvl w:val="0"/>
          <w:numId w:val="32"/>
        </w:numPr>
        <w:rPr>
          <w:rFonts w:ascii="Arial" w:cs="Arial" w:eastAsia="Arial" w:hAnsi="Arial"/>
          <w:sz w:val="14"/>
          <w:szCs w:val="14"/>
          <w:color w:val="231F20"/>
        </w:rPr>
      </w:pPr>
      <w:r>
        <w:rPr>
          <w:rFonts w:ascii="Arial" w:cs="Arial" w:eastAsia="Arial" w:hAnsi="Arial"/>
          <w:sz w:val="14"/>
          <w:szCs w:val="14"/>
          <w:color w:val="auto"/>
        </w:rPr>
        <w:t>Represents long-lived asset impairment charges related to the RV and Outdoor Retail segment. See Note 5 – Long-Lived Asset Impairment to our condensed consolidated financial statements included in Part I, Item 1 of this Form 10-Q for additional information.</w:t>
      </w:r>
    </w:p>
    <w:p>
      <w:pPr>
        <w:spacing w:after="0" w:line="22" w:lineRule="exact"/>
        <w:rPr>
          <w:rFonts w:ascii="Arial" w:cs="Arial" w:eastAsia="Arial" w:hAnsi="Arial"/>
          <w:sz w:val="14"/>
          <w:szCs w:val="14"/>
          <w:color w:val="231F20"/>
        </w:rPr>
      </w:pPr>
    </w:p>
    <w:p>
      <w:pPr>
        <w:ind w:left="460" w:right="79" w:hanging="329"/>
        <w:spacing w:after="0" w:line="285" w:lineRule="auto"/>
        <w:tabs>
          <w:tab w:leader="none" w:pos="460" w:val="left"/>
        </w:tabs>
        <w:numPr>
          <w:ilvl w:val="0"/>
          <w:numId w:val="32"/>
        </w:numPr>
        <w:rPr>
          <w:rFonts w:ascii="Arial" w:cs="Arial" w:eastAsia="Arial" w:hAnsi="Arial"/>
          <w:sz w:val="14"/>
          <w:szCs w:val="14"/>
          <w:color w:val="231F20"/>
        </w:rPr>
      </w:pPr>
      <w:r>
        <w:rPr>
          <w:rFonts w:ascii="Arial" w:cs="Arial" w:eastAsia="Arial" w:hAnsi="Arial"/>
          <w:sz w:val="14"/>
          <w:szCs w:val="14"/>
          <w:color w:val="auto"/>
        </w:rPr>
        <w:t>Represents the (gain) loss on termination and/or remeasurement of operating leases resulting from lease termination fees and the derecognition of the operating lease assets and liabilities.</w:t>
      </w:r>
    </w:p>
    <w:p>
      <w:pPr>
        <w:spacing w:after="0" w:line="9" w:lineRule="exact"/>
        <w:rPr>
          <w:rFonts w:ascii="Arial" w:cs="Arial" w:eastAsia="Arial" w:hAnsi="Arial"/>
          <w:sz w:val="14"/>
          <w:szCs w:val="14"/>
          <w:color w:val="231F20"/>
        </w:rPr>
      </w:pPr>
    </w:p>
    <w:p>
      <w:pPr>
        <w:ind w:left="460" w:hanging="329"/>
        <w:spacing w:after="0"/>
        <w:tabs>
          <w:tab w:leader="none" w:pos="460" w:val="left"/>
        </w:tabs>
        <w:numPr>
          <w:ilvl w:val="0"/>
          <w:numId w:val="32"/>
        </w:numPr>
        <w:rPr>
          <w:rFonts w:ascii="Arial" w:cs="Arial" w:eastAsia="Arial" w:hAnsi="Arial"/>
          <w:sz w:val="14"/>
          <w:szCs w:val="14"/>
          <w:color w:val="231F20"/>
        </w:rPr>
      </w:pPr>
      <w:r>
        <w:rPr>
          <w:rFonts w:ascii="Arial" w:cs="Arial" w:eastAsia="Arial" w:hAnsi="Arial"/>
          <w:sz w:val="14"/>
          <w:szCs w:val="14"/>
          <w:color w:val="auto"/>
        </w:rPr>
        <w:t>Represents an adjustment to eliminate the gains and losses on disposals and sales of various assets.</w:t>
      </w:r>
    </w:p>
    <w:p>
      <w:pPr>
        <w:spacing w:after="0" w:line="68" w:lineRule="exact"/>
        <w:rPr>
          <w:rFonts w:ascii="Arial" w:cs="Arial" w:eastAsia="Arial" w:hAnsi="Arial"/>
          <w:sz w:val="14"/>
          <w:szCs w:val="14"/>
          <w:color w:val="231F20"/>
        </w:rPr>
      </w:pPr>
    </w:p>
    <w:p>
      <w:pPr>
        <w:ind w:left="460" w:hanging="329"/>
        <w:spacing w:after="0"/>
        <w:tabs>
          <w:tab w:leader="none" w:pos="460" w:val="left"/>
        </w:tabs>
        <w:numPr>
          <w:ilvl w:val="0"/>
          <w:numId w:val="32"/>
        </w:numPr>
        <w:rPr>
          <w:rFonts w:ascii="Arial" w:cs="Arial" w:eastAsia="Arial" w:hAnsi="Arial"/>
          <w:sz w:val="14"/>
          <w:szCs w:val="14"/>
          <w:color w:val="231F20"/>
        </w:rPr>
      </w:pPr>
      <w:r>
        <w:rPr>
          <w:rFonts w:ascii="Arial" w:cs="Arial" w:eastAsia="Arial" w:hAnsi="Arial"/>
          <w:sz w:val="14"/>
          <w:szCs w:val="14"/>
          <w:color w:val="auto"/>
        </w:rPr>
        <w:t>Represents SBC expense relating to employees, directors, and consultants of the Company.</w:t>
      </w:r>
    </w:p>
    <w:p>
      <w:pPr>
        <w:spacing w:after="0" w:line="82" w:lineRule="exact"/>
        <w:rPr>
          <w:rFonts w:ascii="Arial" w:cs="Arial" w:eastAsia="Arial" w:hAnsi="Arial"/>
          <w:sz w:val="14"/>
          <w:szCs w:val="14"/>
          <w:color w:val="231F20"/>
        </w:rPr>
      </w:pPr>
    </w:p>
    <w:p>
      <w:pPr>
        <w:jc w:val="both"/>
        <w:ind w:left="460" w:right="79" w:hanging="329"/>
        <w:spacing w:after="0" w:line="263" w:lineRule="auto"/>
        <w:tabs>
          <w:tab w:leader="none" w:pos="460" w:val="left"/>
        </w:tabs>
        <w:numPr>
          <w:ilvl w:val="0"/>
          <w:numId w:val="32"/>
        </w:numPr>
        <w:rPr>
          <w:rFonts w:ascii="Arial" w:cs="Arial" w:eastAsia="Arial" w:hAnsi="Arial"/>
          <w:sz w:val="14"/>
          <w:szCs w:val="14"/>
          <w:color w:val="231F20"/>
        </w:rPr>
      </w:pPr>
      <w:r>
        <w:rPr>
          <w:rFonts w:ascii="Arial" w:cs="Arial" w:eastAsia="Arial" w:hAnsi="Arial"/>
          <w:sz w:val="14"/>
          <w:szCs w:val="14"/>
          <w:color w:val="auto"/>
        </w:rPr>
        <w:t>Represents costs under the Transition Agreement with the Company’s former Chief Administrative and Legal Officer and Secretary. See Note 11 – Commitments and Contingencies to our condensed consolidated financial statements included in Part I, Item 1 of this Form 10-Q for additional information.</w:t>
      </w:r>
    </w:p>
    <w:p>
      <w:pPr>
        <w:spacing w:after="0" w:line="24" w:lineRule="exact"/>
        <w:rPr>
          <w:rFonts w:ascii="Arial" w:cs="Arial" w:eastAsia="Arial" w:hAnsi="Arial"/>
          <w:sz w:val="14"/>
          <w:szCs w:val="14"/>
          <w:color w:val="231F20"/>
        </w:rPr>
      </w:pPr>
    </w:p>
    <w:p>
      <w:pPr>
        <w:jc w:val="both"/>
        <w:ind w:left="460" w:right="79" w:hanging="329"/>
        <w:spacing w:after="0" w:line="263" w:lineRule="auto"/>
        <w:tabs>
          <w:tab w:leader="none" w:pos="460" w:val="left"/>
        </w:tabs>
        <w:numPr>
          <w:ilvl w:val="0"/>
          <w:numId w:val="32"/>
        </w:numPr>
        <w:rPr>
          <w:rFonts w:ascii="Arial" w:cs="Arial" w:eastAsia="Arial" w:hAnsi="Arial"/>
          <w:sz w:val="14"/>
          <w:szCs w:val="14"/>
          <w:color w:val="231F20"/>
        </w:rPr>
      </w:pPr>
      <w:r>
        <w:rPr>
          <w:rFonts w:ascii="Arial" w:cs="Arial" w:eastAsia="Arial" w:hAnsi="Arial"/>
          <w:sz w:val="14"/>
          <w:szCs w:val="14"/>
          <w:color w:val="auto"/>
        </w:rPr>
        <w:t>Represents an adjustment to the Tax Receivable Agreement liability for the change in the determination of the realizability of future cash tax benefits underlying the estimate of future payments under the Tax Receivable Agreement. See Note 14 – Income Taxes to our condensed consolidated financial statements included in Part I, Item 1 of this Form 10-Q.</w:t>
      </w:r>
    </w:p>
    <w:p>
      <w:pPr>
        <w:spacing w:after="0" w:line="24" w:lineRule="exact"/>
        <w:rPr>
          <w:rFonts w:ascii="Arial" w:cs="Arial" w:eastAsia="Arial" w:hAnsi="Arial"/>
          <w:sz w:val="14"/>
          <w:szCs w:val="14"/>
          <w:color w:val="231F20"/>
        </w:rPr>
      </w:pPr>
    </w:p>
    <w:p>
      <w:pPr>
        <w:ind w:left="460" w:right="79" w:hanging="329"/>
        <w:spacing w:after="0" w:line="285" w:lineRule="auto"/>
        <w:tabs>
          <w:tab w:leader="none" w:pos="460" w:val="left"/>
        </w:tabs>
        <w:numPr>
          <w:ilvl w:val="0"/>
          <w:numId w:val="32"/>
        </w:numPr>
        <w:rPr>
          <w:rFonts w:ascii="Arial" w:cs="Arial" w:eastAsia="Arial" w:hAnsi="Arial"/>
          <w:sz w:val="14"/>
          <w:szCs w:val="14"/>
          <w:color w:val="231F20"/>
        </w:rPr>
      </w:pPr>
      <w:r>
        <w:rPr>
          <w:rFonts w:ascii="Arial" w:cs="Arial" w:eastAsia="Arial" w:hAnsi="Arial"/>
          <w:sz w:val="14"/>
          <w:szCs w:val="14"/>
          <w:color w:val="auto"/>
        </w:rPr>
        <w:t>Represents losses and/or impairment on investments in equity securities and interest income relating to any notes receivable with those investments.</w:t>
      </w:r>
    </w:p>
    <w:p>
      <w:pPr>
        <w:spacing w:after="0" w:line="22" w:lineRule="exact"/>
        <w:rPr>
          <w:rFonts w:ascii="Arial" w:cs="Arial" w:eastAsia="Arial" w:hAnsi="Arial"/>
          <w:sz w:val="14"/>
          <w:szCs w:val="14"/>
          <w:color w:val="231F20"/>
        </w:rPr>
      </w:pPr>
    </w:p>
    <w:p>
      <w:pPr>
        <w:ind w:left="460" w:right="79" w:hanging="329"/>
        <w:spacing w:after="0" w:line="285" w:lineRule="auto"/>
        <w:tabs>
          <w:tab w:leader="none" w:pos="460" w:val="left"/>
        </w:tabs>
        <w:numPr>
          <w:ilvl w:val="0"/>
          <w:numId w:val="32"/>
        </w:numPr>
        <w:rPr>
          <w:rFonts w:ascii="Arial" w:cs="Arial" w:eastAsia="Arial" w:hAnsi="Arial"/>
          <w:sz w:val="14"/>
          <w:szCs w:val="14"/>
          <w:color w:val="231F20"/>
        </w:rPr>
      </w:pPr>
      <w:r>
        <w:rPr>
          <w:rFonts w:ascii="Arial" w:cs="Arial" w:eastAsia="Arial" w:hAnsi="Arial"/>
          <w:sz w:val="14"/>
          <w:szCs w:val="14"/>
          <w:color w:val="auto"/>
        </w:rPr>
        <w:t>Represents the income tax expense relating to the significant change in the valuation allowance for deferred tax assets for CWH, the public holding company.</w:t>
      </w:r>
    </w:p>
    <w:p>
      <w:pPr>
        <w:spacing w:after="0" w:line="9" w:lineRule="exact"/>
        <w:rPr>
          <w:rFonts w:ascii="Arial" w:cs="Arial" w:eastAsia="Arial" w:hAnsi="Arial"/>
          <w:sz w:val="14"/>
          <w:szCs w:val="14"/>
          <w:color w:val="231F20"/>
        </w:rPr>
      </w:pPr>
    </w:p>
    <w:p>
      <w:pPr>
        <w:jc w:val="both"/>
        <w:ind w:left="460" w:right="79" w:hanging="329"/>
        <w:spacing w:after="0" w:line="256" w:lineRule="auto"/>
        <w:tabs>
          <w:tab w:leader="none" w:pos="460" w:val="left"/>
        </w:tabs>
        <w:numPr>
          <w:ilvl w:val="0"/>
          <w:numId w:val="32"/>
        </w:numPr>
        <w:rPr>
          <w:rFonts w:ascii="Arial" w:cs="Arial" w:eastAsia="Arial" w:hAnsi="Arial"/>
          <w:sz w:val="14"/>
          <w:szCs w:val="14"/>
          <w:color w:val="231F20"/>
        </w:rPr>
      </w:pPr>
      <w:r>
        <w:rPr>
          <w:rFonts w:ascii="Arial" w:cs="Arial" w:eastAsia="Arial" w:hAnsi="Arial"/>
          <w:sz w:val="14"/>
          <w:szCs w:val="14"/>
          <w:color w:val="auto"/>
        </w:rPr>
        <w:t>Represents the adjustment to net income attributable to non-controlling interests resulting from the above adjustments that impact the net income of CWGS, LLC. This adjustment uses the non-controlling interest’s weighted average ownership of CWGS, LLC of 38.5% and 38.8% for the three months ended September 30, 2026 and September 30, 2025, respectively, and 38.5% and 38.8% for the nine months ended September 30, 2026 and September 30, 2025, respectively.</w:t>
      </w:r>
    </w:p>
    <w:p>
      <w:pPr>
        <w:spacing w:after="0" w:line="28" w:lineRule="exact"/>
        <w:rPr>
          <w:rFonts w:ascii="Arial" w:cs="Arial" w:eastAsia="Arial" w:hAnsi="Arial"/>
          <w:sz w:val="14"/>
          <w:szCs w:val="14"/>
          <w:color w:val="231F20"/>
        </w:rPr>
      </w:pPr>
    </w:p>
    <w:p>
      <w:pPr>
        <w:ind w:left="460" w:right="79" w:hanging="329"/>
        <w:spacing w:after="0" w:line="285" w:lineRule="auto"/>
        <w:tabs>
          <w:tab w:leader="none" w:pos="460" w:val="left"/>
        </w:tabs>
        <w:numPr>
          <w:ilvl w:val="0"/>
          <w:numId w:val="32"/>
        </w:numPr>
        <w:rPr>
          <w:rFonts w:ascii="Arial" w:cs="Arial" w:eastAsia="Arial" w:hAnsi="Arial"/>
          <w:sz w:val="14"/>
          <w:szCs w:val="14"/>
          <w:color w:val="231F20"/>
        </w:rPr>
      </w:pPr>
      <w:r>
        <w:rPr>
          <w:rFonts w:ascii="Arial" w:cs="Arial" w:eastAsia="Arial" w:hAnsi="Arial"/>
          <w:sz w:val="14"/>
          <w:szCs w:val="14"/>
          <w:color w:val="auto"/>
        </w:rPr>
        <w:t>Represents the reallocation of net income attributable to non-controlling interests from the impact of the assumed change in ownership of CWGS, LLC from stock options, restricted stock units, performance stock units, and/or common units of CWGS, LLC.</w:t>
      </w:r>
    </w:p>
    <w:p>
      <w:pPr>
        <w:spacing w:after="0" w:line="22" w:lineRule="exact"/>
        <w:rPr>
          <w:rFonts w:ascii="Arial" w:cs="Arial" w:eastAsia="Arial" w:hAnsi="Arial"/>
          <w:sz w:val="14"/>
          <w:szCs w:val="14"/>
          <w:color w:val="231F20"/>
        </w:rPr>
      </w:pPr>
    </w:p>
    <w:p>
      <w:pPr>
        <w:ind w:left="460" w:hanging="329"/>
        <w:spacing w:after="0"/>
        <w:tabs>
          <w:tab w:leader="none" w:pos="460" w:val="left"/>
        </w:tabs>
        <w:numPr>
          <w:ilvl w:val="0"/>
          <w:numId w:val="32"/>
        </w:numPr>
        <w:rPr>
          <w:rFonts w:ascii="Arial" w:cs="Arial" w:eastAsia="Arial" w:hAnsi="Arial"/>
          <w:sz w:val="13"/>
          <w:szCs w:val="13"/>
          <w:color w:val="231F20"/>
        </w:rPr>
      </w:pPr>
      <w:r>
        <w:rPr>
          <w:rFonts w:ascii="Arial" w:cs="Arial" w:eastAsia="Arial" w:hAnsi="Arial"/>
          <w:sz w:val="13"/>
          <w:szCs w:val="13"/>
          <w:color w:val="auto"/>
        </w:rPr>
        <w:t>Represents the impact to the denominator for stock options, liability-classified awards, PSUs, RSUs, and/or common units of CWGS, LLC.</w:t>
      </w:r>
    </w:p>
    <w:p>
      <w:pPr>
        <w:spacing w:after="0" w:line="80" w:lineRule="exact"/>
        <w:rPr>
          <w:rFonts w:ascii="Arial" w:cs="Arial" w:eastAsia="Arial" w:hAnsi="Arial"/>
          <w:sz w:val="13"/>
          <w:szCs w:val="13"/>
          <w:color w:val="231F20"/>
        </w:rPr>
      </w:pPr>
    </w:p>
    <w:p>
      <w:pPr>
        <w:jc w:val="both"/>
        <w:ind w:left="460" w:right="79" w:hanging="329"/>
        <w:spacing w:after="0" w:line="266" w:lineRule="auto"/>
        <w:tabs>
          <w:tab w:leader="none" w:pos="460" w:val="left"/>
        </w:tabs>
        <w:numPr>
          <w:ilvl w:val="0"/>
          <w:numId w:val="32"/>
        </w:numPr>
        <w:rPr>
          <w:rFonts w:ascii="Arial" w:cs="Arial" w:eastAsia="Arial" w:hAnsi="Arial"/>
          <w:sz w:val="14"/>
          <w:szCs w:val="14"/>
          <w:color w:val="231F20"/>
        </w:rPr>
      </w:pPr>
      <w:r>
        <w:rPr>
          <w:rFonts w:ascii="Arial" w:cs="Arial" w:eastAsia="Arial" w:hAnsi="Arial"/>
          <w:sz w:val="14"/>
          <w:szCs w:val="14"/>
          <w:color w:val="auto"/>
        </w:rPr>
        <w:t>The below amounts have not been considered in our adjusted (loss) earnings per share – diluted amounts as the effect of these items is anti-dilutive. Additionally, 750,000 PSUs granted in January 2025 and 77,500 PSUs granted during the nine months ended September 30, 2026 were excluded from the calculation of our adjusted (loss) earnings per share – diluted, since they represent contingently issuable shares for which all of the necessary conditions had not been satisfied (see Note 17 — Stock-Based Compensation Plans to our condensed consolidated financial statements included in Part I, Item 1 of this Form 10-Q). These PSU quantities are based on target levels of performance and exclude minimum payouts, which are not contingently issuable shares.</w:t>
      </w:r>
    </w:p>
    <w:p>
      <w:pPr>
        <w:spacing w:after="0" w:line="22" w:lineRule="exact"/>
        <w:rPr>
          <w:rFonts w:ascii="Arial" w:cs="Arial" w:eastAsia="Arial" w:hAnsi="Arial"/>
          <w:sz w:val="14"/>
          <w:szCs w:val="14"/>
          <w:color w:val="231F20"/>
        </w:rPr>
      </w:pPr>
    </w:p>
    <w:p>
      <w:pPr>
        <w:ind w:left="460" w:hanging="329"/>
        <w:spacing w:after="0"/>
        <w:tabs>
          <w:tab w:leader="none" w:pos="460" w:val="left"/>
        </w:tabs>
        <w:numPr>
          <w:ilvl w:val="0"/>
          <w:numId w:val="32"/>
        </w:numPr>
        <w:rPr>
          <w:rFonts w:ascii="Arial" w:cs="Arial" w:eastAsia="Arial" w:hAnsi="Arial"/>
          <w:sz w:val="14"/>
          <w:szCs w:val="14"/>
          <w:color w:val="231F20"/>
        </w:rPr>
      </w:pPr>
      <w:r>
        <w:rPr>
          <w:rFonts w:ascii="Arial" w:cs="Arial" w:eastAsia="Arial" w:hAnsi="Arial"/>
          <w:sz w:val="14"/>
          <w:szCs w:val="14"/>
          <w:color w:val="auto"/>
        </w:rPr>
        <w:t>Represents the per share impact of the Non-GAAP adjustments to net income detailed above (see (a) through (l) above).</w:t>
      </w:r>
    </w:p>
    <w:p>
      <w:pPr>
        <w:spacing w:after="0" w:line="82" w:lineRule="exact"/>
        <w:rPr>
          <w:rFonts w:ascii="Arial" w:cs="Arial" w:eastAsia="Arial" w:hAnsi="Arial"/>
          <w:sz w:val="14"/>
          <w:szCs w:val="14"/>
          <w:color w:val="231F20"/>
        </w:rPr>
      </w:pPr>
    </w:p>
    <w:p>
      <w:pPr>
        <w:ind w:left="460" w:right="79" w:hanging="329"/>
        <w:spacing w:after="0" w:line="285" w:lineRule="auto"/>
        <w:tabs>
          <w:tab w:leader="none" w:pos="460" w:val="left"/>
        </w:tabs>
        <w:numPr>
          <w:ilvl w:val="0"/>
          <w:numId w:val="32"/>
        </w:numPr>
        <w:rPr>
          <w:rFonts w:ascii="Arial" w:cs="Arial" w:eastAsia="Arial" w:hAnsi="Arial"/>
          <w:sz w:val="14"/>
          <w:szCs w:val="14"/>
          <w:color w:val="231F20"/>
        </w:rPr>
      </w:pPr>
      <w:r>
        <w:rPr>
          <w:rFonts w:ascii="Arial" w:cs="Arial" w:eastAsia="Arial" w:hAnsi="Arial"/>
          <w:sz w:val="14"/>
          <w:szCs w:val="14"/>
          <w:color w:val="auto"/>
        </w:rPr>
        <w:t>Represents the per share impact of the assumed redemption of common units in CWGS, LLC for shares of Class A common stock, which was dilutive for the three months ended September 30, 2025.</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57" w:name="page58"/>
    <w:bookmarkEnd w:id="5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SG&amp;A Excluding SBC</w:t>
      </w:r>
    </w:p>
    <w:p>
      <w:pPr>
        <w:spacing w:after="0" w:line="210"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We define “SG&amp;A Excluding SBC” as SG&amp;A before SBC relating to SG&amp;A. We caution investors that amounts presented in accordance with our definition of SG&amp;A Excluding SBC may not be comparable to similar measures disclosed by our competitors, because not all companies and analysts calculate SG&amp;A Excluding SBC in the same manner. We present SG&amp;A Excluding SBC because we believe that investors’ understanding of our performance and drivers of our other Non-GAAP Financial Measures, such as Adjusted EBITDA, is enhanced by including this Non-GAAP Financial Measure. We believe it provides a reasonable basis for comparing our ongoing results of operations.</w:t>
      </w:r>
    </w:p>
    <w:p>
      <w:pPr>
        <w:spacing w:after="0" w:line="185"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The following table reconciles SG&amp;A Excluding SBC to the most directly comparable GAAP financial performance measure:</w:t>
      </w:r>
    </w:p>
    <w:p>
      <w:pPr>
        <w:spacing w:after="0" w:line="176" w:lineRule="exact"/>
        <w:rPr>
          <w:sz w:val="20"/>
          <w:szCs w:val="20"/>
          <w:color w:val="auto"/>
        </w:rPr>
      </w:pPr>
    </w:p>
    <w:tbl>
      <w:tblPr>
        <w:tblLayout w:type="fixed"/>
        <w:tblInd w:w="60" w:type="dxa"/>
        <w:tblCellMar>
          <w:top w:w="0" w:type="dxa"/>
          <w:left w:w="0" w:type="dxa"/>
          <w:bottom w:w="0" w:type="dxa"/>
          <w:right w:w="0" w:type="dxa"/>
        </w:tblCellMar>
      </w:tblPr>
      <w:tr>
        <w:trPr>
          <w:trHeight w:val="145"/>
        </w:trPr>
        <w:tc>
          <w:tcPr>
            <w:tcW w:w="4120" w:type="dxa"/>
            <w:vAlign w:val="bottom"/>
            <w:vMerge w:val="restart"/>
          </w:tcPr>
          <w:p>
            <w:pPr>
              <w:spacing w:after="0"/>
              <w:rPr>
                <w:sz w:val="20"/>
                <w:szCs w:val="20"/>
                <w:color w:val="auto"/>
              </w:rPr>
            </w:pPr>
            <w:r>
              <w:rPr>
                <w:rFonts w:ascii="Arial" w:cs="Arial" w:eastAsia="Arial" w:hAnsi="Arial"/>
                <w:sz w:val="12"/>
                <w:szCs w:val="12"/>
                <w:color w:val="auto"/>
              </w:rPr>
              <w:t>($ in thousands)</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00" w:type="dxa"/>
            <w:vAlign w:val="bottom"/>
            <w:gridSpan w:val="5"/>
          </w:tcPr>
          <w:p>
            <w:pPr>
              <w:spacing w:after="0"/>
              <w:rPr>
                <w:sz w:val="20"/>
                <w:szCs w:val="20"/>
                <w:color w:val="auto"/>
              </w:rPr>
            </w:pPr>
            <w:r>
              <w:rPr>
                <w:rFonts w:ascii="Arial" w:cs="Arial" w:eastAsia="Arial" w:hAnsi="Arial"/>
                <w:sz w:val="12"/>
                <w:szCs w:val="12"/>
                <w:b w:val="1"/>
                <w:bCs w:val="1"/>
                <w:color w:val="auto"/>
              </w:rPr>
              <w:t>Three Months Ended September 30,</w:t>
            </w:r>
          </w:p>
        </w:tc>
        <w:tc>
          <w:tcPr>
            <w:tcW w:w="120" w:type="dxa"/>
            <w:vAlign w:val="bottom"/>
          </w:tcPr>
          <w:p>
            <w:pPr>
              <w:spacing w:after="0"/>
              <w:rPr>
                <w:sz w:val="12"/>
                <w:szCs w:val="12"/>
                <w:color w:val="auto"/>
              </w:rPr>
            </w:pPr>
          </w:p>
        </w:tc>
        <w:tc>
          <w:tcPr>
            <w:tcW w:w="2080" w:type="dxa"/>
            <w:vAlign w:val="bottom"/>
            <w:gridSpan w:val="4"/>
          </w:tcPr>
          <w:p>
            <w:pPr>
              <w:jc w:val="right"/>
              <w:ind w:right="71"/>
              <w:spacing w:after="0"/>
              <w:rPr>
                <w:sz w:val="20"/>
                <w:szCs w:val="20"/>
                <w:color w:val="auto"/>
              </w:rPr>
            </w:pPr>
            <w:r>
              <w:rPr>
                <w:rFonts w:ascii="Arial" w:cs="Arial" w:eastAsia="Arial" w:hAnsi="Arial"/>
                <w:sz w:val="12"/>
                <w:szCs w:val="12"/>
                <w:b w:val="1"/>
                <w:bCs w:val="1"/>
                <w:color w:val="auto"/>
                <w:w w:val="97"/>
              </w:rPr>
              <w:t>Nine Months Ended September 30,</w:t>
            </w:r>
          </w:p>
        </w:tc>
        <w:tc>
          <w:tcPr>
            <w:tcW w:w="0" w:type="dxa"/>
            <w:vAlign w:val="bottom"/>
          </w:tcPr>
          <w:p>
            <w:pPr>
              <w:spacing w:after="0"/>
              <w:rPr>
                <w:sz w:val="1"/>
                <w:szCs w:val="1"/>
                <w:color w:val="auto"/>
              </w:rPr>
            </w:pPr>
          </w:p>
        </w:tc>
      </w:tr>
      <w:tr>
        <w:trPr>
          <w:trHeight w:val="128"/>
        </w:trPr>
        <w:tc>
          <w:tcPr>
            <w:tcW w:w="4120" w:type="dxa"/>
            <w:vAlign w:val="bottom"/>
            <w:tcBorders>
              <w:bottom w:val="single" w:sz="8" w:color="auto"/>
            </w:tcBorders>
            <w:vMerge w:val="continue"/>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jc w:val="right"/>
              <w:ind w:right="293"/>
              <w:spacing w:after="0" w:line="129" w:lineRule="exact"/>
              <w:rPr>
                <w:sz w:val="20"/>
                <w:szCs w:val="20"/>
                <w:color w:val="auto"/>
              </w:rPr>
            </w:pPr>
            <w:r>
              <w:rPr>
                <w:rFonts w:ascii="Arial" w:cs="Arial" w:eastAsia="Arial" w:hAnsi="Arial"/>
                <w:sz w:val="12"/>
                <w:szCs w:val="12"/>
                <w:b w:val="1"/>
                <w:bCs w:val="1"/>
                <w:color w:val="auto"/>
              </w:rPr>
              <w:t>2026</w:t>
            </w:r>
          </w:p>
        </w:tc>
        <w:tc>
          <w:tcPr>
            <w:tcW w:w="220" w:type="dxa"/>
            <w:vAlign w:val="bottom"/>
            <w:tcBorders>
              <w:top w:val="single" w:sz="8" w:color="auto"/>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ind w:right="291"/>
              <w:spacing w:after="0" w:line="129" w:lineRule="exact"/>
              <w:rPr>
                <w:sz w:val="20"/>
                <w:szCs w:val="20"/>
                <w:color w:val="auto"/>
              </w:rPr>
            </w:pPr>
            <w:r>
              <w:rPr>
                <w:rFonts w:ascii="Arial" w:cs="Arial" w:eastAsia="Arial" w:hAnsi="Arial"/>
                <w:sz w:val="12"/>
                <w:szCs w:val="12"/>
                <w:b w:val="1"/>
                <w:bCs w:val="1"/>
                <w:color w:val="auto"/>
              </w:rPr>
              <w:t>2025</w:t>
            </w:r>
          </w:p>
        </w:tc>
        <w:tc>
          <w:tcPr>
            <w:tcW w:w="22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ind w:right="293"/>
              <w:spacing w:after="0" w:line="129" w:lineRule="exact"/>
              <w:rPr>
                <w:sz w:val="20"/>
                <w:szCs w:val="20"/>
                <w:color w:val="auto"/>
              </w:rPr>
            </w:pPr>
            <w:r>
              <w:rPr>
                <w:rFonts w:ascii="Arial" w:cs="Arial" w:eastAsia="Arial" w:hAnsi="Arial"/>
                <w:sz w:val="12"/>
                <w:szCs w:val="12"/>
                <w:b w:val="1"/>
                <w:bCs w:val="1"/>
                <w:color w:val="auto"/>
              </w:rPr>
              <w:t>2026</w:t>
            </w:r>
          </w:p>
        </w:tc>
        <w:tc>
          <w:tcPr>
            <w:tcW w:w="220" w:type="dxa"/>
            <w:vAlign w:val="bottom"/>
            <w:tcBorders>
              <w:top w:val="single" w:sz="8" w:color="auto"/>
              <w:bottom w:val="single" w:sz="8" w:color="CCEEFF"/>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ind w:right="311"/>
              <w:spacing w:after="0" w:line="129" w:lineRule="exact"/>
              <w:rPr>
                <w:sz w:val="20"/>
                <w:szCs w:val="20"/>
                <w:color w:val="auto"/>
              </w:rPr>
            </w:pPr>
            <w:r>
              <w:rPr>
                <w:rFonts w:ascii="Arial" w:cs="Arial" w:eastAsia="Arial" w:hAnsi="Arial"/>
                <w:sz w:val="12"/>
                <w:szCs w:val="12"/>
                <w:b w:val="1"/>
                <w:bCs w:val="1"/>
                <w:color w:val="auto"/>
              </w:rPr>
              <w:t>2025</w:t>
            </w:r>
          </w:p>
        </w:tc>
        <w:tc>
          <w:tcPr>
            <w:tcW w:w="0" w:type="dxa"/>
            <w:vAlign w:val="bottom"/>
          </w:tcPr>
          <w:p>
            <w:pPr>
              <w:spacing w:after="0"/>
              <w:rPr>
                <w:sz w:val="1"/>
                <w:szCs w:val="1"/>
                <w:color w:val="auto"/>
              </w:rPr>
            </w:pPr>
          </w:p>
        </w:tc>
      </w:tr>
      <w:tr>
        <w:trPr>
          <w:trHeight w:val="156"/>
        </w:trPr>
        <w:tc>
          <w:tcPr>
            <w:tcW w:w="412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SG&amp;A Excluding SBC:</w:t>
            </w: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120" w:type="dxa"/>
            <w:vAlign w:val="bottom"/>
          </w:tcPr>
          <w:p>
            <w:pPr>
              <w:ind w:left="100"/>
              <w:spacing w:after="0"/>
              <w:rPr>
                <w:sz w:val="20"/>
                <w:szCs w:val="20"/>
                <w:color w:val="auto"/>
              </w:rPr>
            </w:pPr>
            <w:r>
              <w:rPr>
                <w:rFonts w:ascii="Arial" w:cs="Arial" w:eastAsia="Arial" w:hAnsi="Arial"/>
                <w:sz w:val="14"/>
                <w:szCs w:val="14"/>
                <w:color w:val="auto"/>
              </w:rPr>
              <w:t>SG&amp;A</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387,084</w:t>
            </w:r>
          </w:p>
        </w:tc>
        <w:tc>
          <w:tcPr>
            <w:tcW w:w="420" w:type="dxa"/>
            <w:vAlign w:val="bottom"/>
            <w:gridSpan w:val="2"/>
          </w:tcPr>
          <w:p>
            <w:pPr>
              <w:jc w:val="right"/>
              <w:ind w:right="89"/>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411,011</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1,156,248</w:t>
            </w:r>
          </w:p>
        </w:tc>
        <w:tc>
          <w:tcPr>
            <w:tcW w:w="220" w:type="dxa"/>
            <w:vAlign w:val="bottom"/>
          </w:tcPr>
          <w:p>
            <w:pPr>
              <w:spacing w:after="0"/>
              <w:rPr>
                <w:sz w:val="14"/>
                <w:szCs w:val="14"/>
                <w:color w:val="auto"/>
              </w:rPr>
            </w:pP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1,235,945</w:t>
            </w:r>
          </w:p>
        </w:tc>
        <w:tc>
          <w:tcPr>
            <w:tcW w:w="0" w:type="dxa"/>
            <w:vAlign w:val="bottom"/>
          </w:tcPr>
          <w:p>
            <w:pPr>
              <w:spacing w:after="0"/>
              <w:rPr>
                <w:sz w:val="1"/>
                <w:szCs w:val="1"/>
                <w:color w:val="auto"/>
              </w:rPr>
            </w:pPr>
          </w:p>
        </w:tc>
      </w:tr>
      <w:tr>
        <w:trPr>
          <w:trHeight w:val="162"/>
        </w:trPr>
        <w:tc>
          <w:tcPr>
            <w:tcW w:w="41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SBC - SG&amp;A</w:t>
            </w:r>
          </w:p>
        </w:tc>
        <w:tc>
          <w:tcPr>
            <w:tcW w:w="22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(3,467)</w:t>
            </w:r>
          </w:p>
        </w:tc>
        <w:tc>
          <w:tcPr>
            <w:tcW w:w="22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(7,632)</w:t>
            </w:r>
          </w:p>
        </w:tc>
        <w:tc>
          <w:tcPr>
            <w:tcW w:w="2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(12,365)</w:t>
            </w:r>
          </w:p>
        </w:tc>
        <w:tc>
          <w:tcPr>
            <w:tcW w:w="22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(23,121)</w:t>
            </w:r>
          </w:p>
        </w:tc>
        <w:tc>
          <w:tcPr>
            <w:tcW w:w="0" w:type="dxa"/>
            <w:vAlign w:val="bottom"/>
          </w:tcPr>
          <w:p>
            <w:pPr>
              <w:spacing w:after="0"/>
              <w:rPr>
                <w:sz w:val="1"/>
                <w:szCs w:val="1"/>
                <w:color w:val="auto"/>
              </w:rPr>
            </w:pPr>
          </w:p>
        </w:tc>
      </w:tr>
      <w:tr>
        <w:trPr>
          <w:trHeight w:val="196"/>
        </w:trPr>
        <w:tc>
          <w:tcPr>
            <w:tcW w:w="4120" w:type="dxa"/>
            <w:vAlign w:val="bottom"/>
            <w:tcBorders>
              <w:bottom w:val="single" w:sz="8" w:color="CCEEFF"/>
            </w:tcBorders>
          </w:tcPr>
          <w:p>
            <w:pPr>
              <w:ind w:left="320"/>
              <w:spacing w:after="0" w:line="155" w:lineRule="exact"/>
              <w:rPr>
                <w:sz w:val="20"/>
                <w:szCs w:val="20"/>
                <w:color w:val="auto"/>
              </w:rPr>
            </w:pPr>
            <w:r>
              <w:rPr>
                <w:rFonts w:ascii="Arial" w:cs="Arial" w:eastAsia="Arial" w:hAnsi="Arial"/>
                <w:sz w:val="14"/>
                <w:szCs w:val="14"/>
                <w:color w:val="auto"/>
              </w:rPr>
              <w:t>SG&amp;A Excluding SBC</w:t>
            </w:r>
          </w:p>
        </w:tc>
        <w:tc>
          <w:tcPr>
            <w:tcW w:w="22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383,617</w:t>
            </w: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403,379</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1,143,883</w:t>
            </w:r>
          </w:p>
        </w:tc>
        <w:tc>
          <w:tcPr>
            <w:tcW w:w="2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1,212,824</w:t>
            </w:r>
          </w:p>
        </w:tc>
        <w:tc>
          <w:tcPr>
            <w:tcW w:w="0" w:type="dxa"/>
            <w:vAlign w:val="bottom"/>
          </w:tcPr>
          <w:p>
            <w:pPr>
              <w:spacing w:after="0"/>
              <w:rPr>
                <w:sz w:val="1"/>
                <w:szCs w:val="1"/>
                <w:color w:val="auto"/>
              </w:rPr>
            </w:pPr>
          </w:p>
        </w:tc>
      </w:tr>
      <w:tr>
        <w:trPr>
          <w:trHeight w:val="143"/>
        </w:trPr>
        <w:tc>
          <w:tcPr>
            <w:tcW w:w="4120" w:type="dxa"/>
            <w:vAlign w:val="bottom"/>
            <w:shd w:val="clear" w:color="auto" w:fill="CCEEFF"/>
          </w:tcPr>
          <w:p>
            <w:pPr>
              <w:ind w:left="320"/>
              <w:spacing w:after="0" w:line="143" w:lineRule="exact"/>
              <w:rPr>
                <w:sz w:val="20"/>
                <w:szCs w:val="20"/>
                <w:color w:val="auto"/>
              </w:rPr>
            </w:pPr>
            <w:r>
              <w:rPr>
                <w:rFonts w:ascii="Arial" w:cs="Arial" w:eastAsia="Arial" w:hAnsi="Arial"/>
                <w:sz w:val="14"/>
                <w:szCs w:val="14"/>
                <w:color w:val="auto"/>
              </w:rPr>
              <w:t>As a percentage of gross profit</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88.3%</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78.0%</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83.1%</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78.8%</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General</w:t>
      </w:r>
    </w:p>
    <w:p>
      <w:pPr>
        <w:spacing w:after="0" w:line="210"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Our primary requirements for liquidity and capital have been working capital, inventory management, acquiring and building new store locations, the improvement and expansion of existing store locations, debt service, distributions/dividends to holders of equity interests in CWGS, LLC and our Class A common stock, and general corporate needs. These cash requirements have historically been met through cash provided by operating activities, cash and cash equivalents, proceeds from registered offerings of our Class A common stock, borrowings under our Senior Secured Credit Facilities (as defined in Part I, Item 1 of this Form 10-Q), borrowings under our Floor Plan Facility (as defined in Part I, Item 1 of this Form 10-Q), and borrowings under our Real Estate Facilities (as defined in Part I, Item 1 of this Form 10-Q).</w:t>
      </w:r>
    </w:p>
    <w:p>
      <w:pPr>
        <w:spacing w:after="0" w:line="180"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Our additional liquidity needs are expected to include public company costs; payment of cash dividends, if any; any exercise of the redemption right by the Continuing Equity Owners from time to time (should we elect to redeem common units for a cash payment); payments under the Tax Receivable Agreement to the extent that tax benefits underlying the Tax Receivable Agreement are realizable; and state and federal taxes to the extent not reduced as a result of the tax deductions generated by (i) payments under the Tax Receivable Agreement and (ii) redemptions of common units by the Continuing Equity Owners. The Continuing Equity Owners may exercise such redemption right for as long as their common units remain outstanding. Although the actual timing and amount of any payments that may be made under the Tax Receivable Agreement will vary, we expect that the payments that we will be required to make to the Continuing Equity Owners, Former Profits Unit Holders and Crestview Partners II GP, L.P. may be significant if the tax benefits underlying the Tax Receivable Agreement are realizable. Any payments made by us to Continuing Equity Owners, Former Profits Unit Holders and Crestview Partners II GP, L.P. under the Tax Receivable Agreement will generally reduce the amount of overall cash flow that might have otherwise been available to us or to CWGS, LLC and, to the extent that we are unable to make payments under the Tax Receivable Agreement for any reason, the unpaid amounts generally will be deferred and will accrue interest until paid by us; provided, however, that nonpayment for a specified period may constitute a material breach of a material obligation under the Tax Receivable Agreement and therefore may accelerate payments due under the Tax Receivable Agreement. For a discussion of the Tax Receivable Agreement, see Note 14 — Income Taxes to our condensed consolidated financial statements included in Part I, Item 1 of this Form 10-Q.</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Dividends</w:t>
      </w:r>
    </w:p>
    <w:p>
      <w:pPr>
        <w:spacing w:after="0" w:line="210"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We historically paid a quarterly cash dividend to holders of Class A common stock. In February 2026, following consideration of forecasted tax distributions, the reduced availability of excess tax distributions to fund</w:t>
      </w:r>
    </w:p>
    <w:p>
      <w:pPr>
        <w:sectPr>
          <w:pgSz w:w="11900" w:h="16838" w:orient="portrait"/>
          <w:cols w:equalWidth="0" w:num="1">
            <w:col w:w="9019"/>
          </w:cols>
          <w:pgMar w:left="1440" w:top="512" w:right="1440" w:bottom="1440" w:gutter="0" w:footer="0" w:header="0"/>
        </w:sect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58" w:name="page59"/>
    <w:bookmarkEnd w:id="5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dividend payments driven partly by the impact of recent tax law changes, and in consideration of our focus on reducing net debt leverage, our Board of Directors determined to pause our regular cash dividend program. Our Board of Directors will monitor changes in the above factors and plans to re-evaluate the future of our dividend program at a later date.</w:t>
      </w:r>
    </w:p>
    <w:p>
      <w:pPr>
        <w:spacing w:after="0" w:line="174"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If we determine to reinstate our regular quarterly cash dividend, our ability to pay cash dividends on our Class A common stock depends on, among other things, our results of operations, financial condition, level of indebtedness, capital requirements, contractual restrictions, restrictions in our debt agreements and in any preferred stock, restrictions under applicable law, the extent to which such distributions would render CWGS, LLC insolvent, our business prospects and other factors that our Board of Directors may deem relevant. See “Dividend Policy” included in Part II, Item 5 of our Annual Report and “Risk Factors ─ Risks Relating to Ownership of Our Class A Common Stock ─ Our ability and intention to pay dividends on our Class A common stock, if any, is subject to the discretion of our Board of Directors and may be limited by our structure and statutory restrictions” included in Part I, Item 1A of our Annual Report.</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Acquisitions and Capital Expenditures</w:t>
      </w:r>
    </w:p>
    <w:p>
      <w:pPr>
        <w:spacing w:after="0" w:line="210"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During the nine months ended September 30, 2026, the RV and Outdoor Retail segment purchased real property for an aggregate purchase price of $1.9 million.</w:t>
      </w:r>
    </w:p>
    <w:p>
      <w:pPr>
        <w:spacing w:after="0" w:line="154"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Over the twelve months ended September 30, 2026, our store location count remained unchanged. During that period, we opened four new locations, re-opened one location, temporarily closed one location, and closed four locations, including certain locations that were consolidated into other store locations to improve overall cost efficiency of the remaining store locations. Over the next twelve months, our expansion of existing and new dealerships through construction and/or acquisition is expected to cost between $18.3 million and $28.1 million from a combination of business acquisitions and/or capital expenditures relating to land, buildings, and improvements. These cost estimates exclude amounts for acquired inventories, which are primarily financed through our Floor Plan Facility. Additionally, the cost estimates do not consider potential funding received through sale-leaseback transactions or other means for real estate and construction activities. We will update our cost estimates in future periodic reports, if necessary, as there are further developments. Factors that could impact the quantity of future locations or the cost to acquire or open those locations include, but are not limited to, our ability to locate potential acquisition targets or greenfield locations in a geographic area and at a cost that meets our success criteria; continued strong cash flow generation to fund these acquisitions and new locations; and availability of financing.</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Tax Receivable Agreement Liability</w:t>
      </w:r>
    </w:p>
    <w:p>
      <w:pPr>
        <w:spacing w:after="0" w:line="210"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We paid $1.4 million under the Tax Receivable Agreement during the nine months ended September 30, 2026. While we cannot currently rely on future taxable income to support realizability of our deferred tax assets and related payments due under the Tax Receivable Agreement, it may be possible that payments could be due under the Tax Receivable Agreement for the 2026 tax year. Additionally, our future ability to utilize our net operating losses and other tax attributes may be limited under Internal Revenue Code Section 382 (“Section 382”), which could delay or reduce future cash payments under our Tax Receivable Agreement. If a Section 382 limitation is triggered, it could severely restrict our annual tax savings. The payments we are obligated to make under the Tax Receivable Agreement are directly tied to the cash tax savings we actually realize; therefore, any delay or restriction in utilizing our tax attributes will directly delay the timing of our payments under the Tax Receivable Agreement and could reduce the overall amount ultimately paid out. As of September 30, 2026, we did not have a Tax Receivable Agreement liability balance recorded on our condensed consolidated balance sheet.</w:t>
      </w:r>
    </w:p>
    <w:p>
      <w:pPr>
        <w:spacing w:after="0" w:line="183"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See Note 14 — Income Taxes to our condensed consolidated financial statements included in Part I, Item 1 of this Form 10-Q for additional information.</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Cash Requirements or Commitments</w:t>
      </w:r>
    </w:p>
    <w:p>
      <w:pPr>
        <w:spacing w:after="0" w:line="210"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Substantially all of our new RV inventory and, at times, certain of our used RV inventory is financed under our Floor Plan Facility (defined in Note 4 – Inventories and Floor Plan Payables to our condensed</w:t>
      </w:r>
    </w:p>
    <w:p>
      <w:pPr>
        <w:sectPr>
          <w:pgSz w:w="11900" w:h="16838" w:orient="portrait"/>
          <w:cols w:equalWidth="0" w:num="1">
            <w:col w:w="9019"/>
          </w:cols>
          <w:pgMar w:left="1440" w:top="512" w:right="1440" w:bottom="1440" w:gutter="0" w:footer="0" w:header="0"/>
        </w:sect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59" w:name="page60"/>
    <w:bookmarkEnd w:id="5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consolidated financial statements included in Part I, Item 1 of this Form 10-Q). See “Summary of Credit Facilities, Other Long-Term Debt, and Finance Lease Arrangements” for a summary of the cash requirements related to our indebtedness.</w:t>
      </w:r>
    </w:p>
    <w:p>
      <w:pPr>
        <w:spacing w:after="0" w:line="169"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Cash requirements relating to the Supplier Agreement, operating and finance lease obligations, and service and marketing sponsorship agreements have not materially changed since our Annual Report.</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Sources of Liquidity and Capital</w:t>
      </w:r>
    </w:p>
    <w:p>
      <w:pPr>
        <w:spacing w:after="0" w:line="210"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We believe that our sources of liquidity and capital including cash provided by operating activities, equity offerings and borrowings under our various credit facilities, other long-term debt, and finance lease arrangements (see “Summary of Credit Facilities, Other Long-Term Debt, and Finance Lease Arrangements” below), including additional borrowing capacity where applicable, will be sufficient to finance our continued operations, growth strategy, including the opening of any additional store locations, required payments for our obligations under the Tax Receivable Agreement to the extent that tax benefits underlying the Tax Receivable Agreement are realizable, and additional expenses we expect to incur for at least the next twelve months.</w:t>
      </w:r>
    </w:p>
    <w:p>
      <w:pPr>
        <w:spacing w:after="0" w:line="185"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However, we cannot assure you that our cash provided by operating activities, cash and cash equivalents, registered offerings of equity under our Registration Statement on Form S-3, or cash available under our Revolving Credit Facility, our Floor Plan Facility, and our Real Estate Facilities, will be sufficient to meet our future needs. If we are unable to generate sufficient cash flows from operations in the future and if availability under our Revolving Credit Facility, our Floor Plan Facility, and our Real Estate Facilities is not sufficient, we may have to obtain financing from additional sources, including, but not limited to, debt or equity offerings. If we obtain additional capital by issuing equity, the interests of our existing stockholders will be diluted. If we incur additional indebtedness, that indebtedness may impose significant financial and other covenants that may significantly restrict our operations. We cannot assure you that we could obtain refinancing or additional financing or capital on favorable terms or at all, including the potential refinancing of our Senior Secured Credit Facilities discussed below, and particularly in light of the current macroeconomic uncertainty. See “Risk Factors — Risks Related to our Business — Our ability to operate and expand our business and to respond to changing business and economic conditions will depend on the availability of adequate capital” included in Part I, Item 1A of our Annual Report.</w:t>
      </w:r>
    </w:p>
    <w:p>
      <w:pPr>
        <w:spacing w:after="0" w:line="189"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As of September 30, 2026, December 31, 2025, and September 30, 2025, we had working capital of $443.9 million, $435.1 million, and $540.7 million, respectively, including $263.8 million, $215.0 million, and $230.5 million, respectively, of cash and cash equivalents. Within current liabilities, which are deducted from current assets to calculate our working capital, we had deferred revenues of $88.9 million, $90.5 million, and $98.3 million as of September 30, 2026, December 31, 2025, and September 30, 2025, respectively. Deferred revenues primarily consist of cash collected for roadside assistance contracts and club memberships in advance of services to be provided, which is deferred and recognized as revenue over the life of the contract or membership, our Good Sam Club loyalty points liability, and deferred revenues for the annual campground guide. We use net proceeds from this deferred membership revenue to lower our long-term borrowings and finance our working capital needs. Our Floor Plan Facility includes a flooring line aggregate interest reduction (“FLAIR”) offset account that allows us to transfer cash as an offset to the payables under the Floor Plan Facility. There was no significant FLAIR offset amount as of September 30, 2026, which typically would have been available to be withdrawn while remaining in compliance with the financial covenants of the Floor Plan Facility. Cash may be transferred from the FLAIR offset account to cash and cash equivalents at our discretion.</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Seasonality</w:t>
      </w:r>
    </w:p>
    <w:p>
      <w:pPr>
        <w:spacing w:after="0" w:line="142" w:lineRule="exact"/>
        <w:rPr>
          <w:sz w:val="20"/>
          <w:szCs w:val="20"/>
          <w:color w:val="auto"/>
        </w:rPr>
      </w:pPr>
    </w:p>
    <w:p>
      <w:pPr>
        <w:jc w:val="both"/>
        <w:ind w:left="60" w:right="59" w:firstLine="648"/>
        <w:spacing w:after="0" w:line="245" w:lineRule="auto"/>
        <w:rPr>
          <w:sz w:val="20"/>
          <w:szCs w:val="20"/>
          <w:color w:val="auto"/>
        </w:rPr>
      </w:pPr>
      <w:r>
        <w:rPr>
          <w:rFonts w:ascii="Arial" w:cs="Arial" w:eastAsia="Arial" w:hAnsi="Arial"/>
          <w:sz w:val="18"/>
          <w:szCs w:val="18"/>
          <w:color w:val="auto"/>
        </w:rPr>
        <w:t>We have experienced, and expect to continue to experience, variability in revenue, net income, and cash flows as a result of annual seasonality in our business (see Note 1 — Summary of Significant Accounting</w:t>
      </w:r>
    </w:p>
    <w:p>
      <w:pPr>
        <w:jc w:val="both"/>
        <w:ind w:left="60" w:right="79"/>
        <w:spacing w:after="0" w:line="237" w:lineRule="auto"/>
        <w:rPr>
          <w:sz w:val="20"/>
          <w:szCs w:val="20"/>
          <w:color w:val="auto"/>
        </w:rPr>
      </w:pPr>
      <w:r>
        <w:rPr>
          <w:rFonts w:ascii="Arial" w:cs="Arial" w:eastAsia="Arial" w:hAnsi="Arial"/>
          <w:sz w:val="18"/>
          <w:szCs w:val="18"/>
          <w:color w:val="auto"/>
        </w:rPr>
        <w:t>Policies — Seasonality to our condensed consolidated financial statements included in Part I, Item 1 of this Form 10-Q).</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0" w:name="page61"/>
    <w:bookmarkEnd w:id="6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60" w:type="dxa"/>
        <w:tblCellMar>
          <w:top w:w="0" w:type="dxa"/>
          <w:left w:w="0" w:type="dxa"/>
          <w:bottom w:w="0" w:type="dxa"/>
          <w:right w:w="0" w:type="dxa"/>
        </w:tblCellMar>
      </w:tblPr>
      <w:tr>
        <w:trPr>
          <w:trHeight w:val="245"/>
        </w:trPr>
        <w:tc>
          <w:tcPr>
            <w:tcW w:w="53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Cash Flow</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1"/>
        </w:trPr>
        <w:tc>
          <w:tcPr>
            <w:tcW w:w="220" w:type="dxa"/>
            <w:vAlign w:val="bottom"/>
          </w:tcPr>
          <w:p>
            <w:pPr>
              <w:spacing w:after="0"/>
              <w:rPr>
                <w:sz w:val="24"/>
                <w:szCs w:val="24"/>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The following table shows summary cash flow information:</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1"/>
        </w:trPr>
        <w:tc>
          <w:tcPr>
            <w:tcW w:w="5360" w:type="dxa"/>
            <w:vAlign w:val="bottom"/>
            <w:gridSpan w:val="2"/>
            <w:vMerge w:val="restart"/>
          </w:tcPr>
          <w:p>
            <w:pPr>
              <w:ind w:left="220"/>
              <w:spacing w:after="0"/>
              <w:rPr>
                <w:sz w:val="20"/>
                <w:szCs w:val="20"/>
                <w:color w:val="auto"/>
              </w:rPr>
            </w:pPr>
            <w:r>
              <w:rPr>
                <w:rFonts w:ascii="Arial" w:cs="Arial" w:eastAsia="Arial" w:hAnsi="Arial"/>
                <w:sz w:val="18"/>
                <w:szCs w:val="18"/>
                <w:color w:val="auto"/>
              </w:rPr>
              <w:t>($ in thousands)</w:t>
            </w:r>
          </w:p>
        </w:tc>
        <w:tc>
          <w:tcPr>
            <w:tcW w:w="200" w:type="dxa"/>
            <w:vAlign w:val="bottom"/>
          </w:tcPr>
          <w:p>
            <w:pPr>
              <w:spacing w:after="0"/>
              <w:rPr>
                <w:sz w:val="24"/>
                <w:szCs w:val="24"/>
                <w:color w:val="auto"/>
              </w:rPr>
            </w:pPr>
          </w:p>
        </w:tc>
        <w:tc>
          <w:tcPr>
            <w:tcW w:w="312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Nine Months Ended September 30,</w:t>
            </w:r>
          </w:p>
        </w:tc>
        <w:tc>
          <w:tcPr>
            <w:tcW w:w="0" w:type="dxa"/>
            <w:vAlign w:val="bottom"/>
          </w:tcPr>
          <w:p>
            <w:pPr>
              <w:spacing w:after="0"/>
              <w:rPr>
                <w:sz w:val="1"/>
                <w:szCs w:val="1"/>
                <w:color w:val="auto"/>
              </w:rPr>
            </w:pPr>
          </w:p>
        </w:tc>
      </w:tr>
      <w:tr>
        <w:trPr>
          <w:trHeight w:val="196"/>
        </w:trPr>
        <w:tc>
          <w:tcPr>
            <w:tcW w:w="5360" w:type="dxa"/>
            <w:vAlign w:val="bottom"/>
            <w:gridSpan w:val="2"/>
            <w:vMerge w:val="continue"/>
          </w:tcPr>
          <w:p>
            <w:pPr>
              <w:spacing w:after="0"/>
              <w:rPr>
                <w:sz w:val="17"/>
                <w:szCs w:val="17"/>
                <w:color w:val="auto"/>
              </w:rPr>
            </w:pPr>
          </w:p>
        </w:tc>
        <w:tc>
          <w:tcPr>
            <w:tcW w:w="500" w:type="dxa"/>
            <w:vAlign w:val="bottom"/>
            <w:gridSpan w:val="2"/>
          </w:tcPr>
          <w:p>
            <w:pPr>
              <w:jc w:val="right"/>
              <w:ind w:right="170"/>
              <w:spacing w:after="0" w:line="196"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430"/>
              <w:spacing w:after="0" w:line="196" w:lineRule="exact"/>
              <w:rPr>
                <w:sz w:val="20"/>
                <w:szCs w:val="20"/>
                <w:color w:val="auto"/>
              </w:rPr>
            </w:pPr>
            <w:r>
              <w:rPr>
                <w:rFonts w:ascii="Arial" w:cs="Arial" w:eastAsia="Arial" w:hAnsi="Arial"/>
                <w:sz w:val="18"/>
                <w:szCs w:val="18"/>
                <w:b w:val="1"/>
                <w:bCs w:val="1"/>
                <w:color w:val="auto"/>
              </w:rPr>
              <w:t>2026</w:t>
            </w:r>
          </w:p>
        </w:tc>
        <w:tc>
          <w:tcPr>
            <w:tcW w:w="560" w:type="dxa"/>
            <w:vAlign w:val="bottom"/>
            <w:gridSpan w:val="3"/>
          </w:tcPr>
          <w:p>
            <w:pPr>
              <w:jc w:val="right"/>
              <w:ind w:right="247"/>
              <w:spacing w:after="0" w:line="196"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430"/>
              <w:spacing w:after="0" w:line="196" w:lineRule="exact"/>
              <w:rPr>
                <w:sz w:val="20"/>
                <w:szCs w:val="20"/>
                <w:color w:val="auto"/>
              </w:rPr>
            </w:pPr>
            <w:r>
              <w:rPr>
                <w:rFonts w:ascii="Arial" w:cs="Arial" w:eastAsia="Arial" w:hAnsi="Arial"/>
                <w:sz w:val="18"/>
                <w:szCs w:val="18"/>
                <w:b w:val="1"/>
                <w:bCs w:val="1"/>
                <w:color w:val="auto"/>
              </w:rPr>
              <w:t>2025</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51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Net cash provided by operating activities</w:t>
            </w:r>
          </w:p>
        </w:tc>
        <w:tc>
          <w:tcPr>
            <w:tcW w:w="2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488,008</w:t>
            </w:r>
          </w:p>
        </w:tc>
        <w:tc>
          <w:tcPr>
            <w:tcW w:w="260" w:type="dxa"/>
            <w:vAlign w:val="bottom"/>
            <w:tcBorders>
              <w:top w:val="single" w:sz="8" w:color="CCEEFF"/>
            </w:tcBorders>
            <w:gridSpan w:val="2"/>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95,236</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5140" w:type="dxa"/>
            <w:vAlign w:val="bottom"/>
          </w:tcPr>
          <w:p>
            <w:pPr>
              <w:spacing w:after="0" w:line="202" w:lineRule="exact"/>
              <w:rPr>
                <w:sz w:val="20"/>
                <w:szCs w:val="20"/>
                <w:color w:val="auto"/>
              </w:rPr>
            </w:pPr>
            <w:r>
              <w:rPr>
                <w:rFonts w:ascii="Arial" w:cs="Arial" w:eastAsia="Arial" w:hAnsi="Arial"/>
                <w:sz w:val="18"/>
                <w:szCs w:val="18"/>
                <w:color w:val="auto"/>
              </w:rPr>
              <w:t>Net cash used in investing activities</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(32,715)</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(226,071)</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(used in) provided by financing activities</w:t>
            </w:r>
          </w:p>
        </w:tc>
        <w:tc>
          <w:tcPr>
            <w:tcW w:w="2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(406,580)</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152,926</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5140" w:type="dxa"/>
            <w:vAlign w:val="bottom"/>
          </w:tcPr>
          <w:p>
            <w:pPr>
              <w:spacing w:after="0" w:line="196" w:lineRule="exact"/>
              <w:rPr>
                <w:sz w:val="20"/>
                <w:szCs w:val="20"/>
                <w:color w:val="auto"/>
              </w:rPr>
            </w:pPr>
            <w:r>
              <w:rPr>
                <w:rFonts w:ascii="Arial" w:cs="Arial" w:eastAsia="Arial" w:hAnsi="Arial"/>
                <w:sz w:val="18"/>
                <w:szCs w:val="18"/>
                <w:color w:val="auto"/>
              </w:rPr>
              <w:t>Net increase in cash and cash equivalents</w:t>
            </w:r>
          </w:p>
        </w:tc>
        <w:tc>
          <w:tcPr>
            <w:tcW w:w="200" w:type="dxa"/>
            <w:vAlign w:val="bottom"/>
          </w:tcPr>
          <w:p>
            <w:pPr>
              <w:spacing w:after="0"/>
              <w:rPr>
                <w:sz w:val="17"/>
                <w:szCs w:val="17"/>
                <w:color w:val="auto"/>
              </w:rPr>
            </w:pPr>
          </w:p>
        </w:tc>
        <w:tc>
          <w:tcPr>
            <w:tcW w:w="30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48,713</w:t>
            </w:r>
          </w:p>
        </w:tc>
        <w:tc>
          <w:tcPr>
            <w:tcW w:w="260" w:type="dxa"/>
            <w:vAlign w:val="bottom"/>
            <w:gridSpan w:val="2"/>
          </w:tcPr>
          <w:p>
            <w:pPr>
              <w:spacing w:after="0"/>
              <w:rPr>
                <w:sz w:val="17"/>
                <w:szCs w:val="17"/>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22,091</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Our cash flows from operating activities are primarily collections from contracts in</w:t>
      </w:r>
      <w:r>
        <w:rPr>
          <w:rFonts w:ascii="Arial" w:cs="Arial" w:eastAsia="Arial" w:hAnsi="Arial"/>
          <w:sz w:val="18"/>
          <w:szCs w:val="18"/>
          <w:i w:val="1"/>
          <w:iCs w:val="1"/>
          <w:color w:val="auto"/>
        </w:rPr>
        <w:t xml:space="preserve"> </w:t>
      </w:r>
      <w:r>
        <w:rPr>
          <w:rFonts w:ascii="Arial" w:cs="Arial" w:eastAsia="Arial" w:hAnsi="Arial"/>
          <w:sz w:val="18"/>
          <w:szCs w:val="18"/>
          <w:color w:val="auto"/>
        </w:rPr>
        <w:t>transit and customers following the sale of new and used vehicles, as well as from the sale of retail products and services and Good Sam services and plans. Contracts in transit represent amounts due from third -party lenders from whom pre-arranged agreements have been determined, and to whom the retail installment sales contracts have been assigned. Our primary uses of cash from operating activities are repayments of vehicle floor plan payables, payments to retail product suppliers, personnel-related expenditures, payments related to leased property, advertising, and various services and program costs.</w:t>
      </w:r>
    </w:p>
    <w:p>
      <w:pPr>
        <w:spacing w:after="0" w:line="185"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Net cash provided by operating activities was $488.0 million in the nine months ended September 30, 2026, an increase of $392.8 million from $95.2 million of net cash provided by operating activities in the nine months ended September 30, 2025. The increase was primarily due to a $483.9 million change in the working capital adjustment for inventory, a $286.7 million goodwill impairment charge, a $149.2 million change in the Tax Receivable Agreement liability adjustment, an $18.5 million increase in long-lived asset impairment, a $13.7 million increase in the working capital adjustment for other, net, a $9.1 million change in the working capital adjustment for receivables and contracts in transit, and a $7.8 million increase in the working capital adjustment for prepaid and other assets, partially offset by a $306.5 million reduction in net income, a $ 213.6 million reduction in deferred income taxes, a $ 32.5 million reduction in the working capital adjustment for accounts payable and other accrued expenses, a $12.3 million reduction in the working capital adjustment for deferred revenues, and a $10.7 million reduction in SBC.</w:t>
      </w:r>
    </w:p>
    <w:p>
      <w:pPr>
        <w:spacing w:after="0" w:line="186"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Our investment in business activities primarily consists of expanding our operations</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organic growth and the acquisition of RV dealership locations. Substantially all of our new RV dealership locations and capital expenditures have been financed using cash provided by operating activities and borrowings under our various credit facilities, other long-term debt, proceeds from registered offerings of our Class A common stock, and finance lease arrangements, as applicable (see “Liquidity and Capital Resources — Summary of Credit Facilities, Other Long-Term Debt, and Finance Lease Arrangements” in Part I, Item 2 of this Form 10-Q).</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table below summarizes our capital expenditures:</w:t>
      </w:r>
    </w:p>
    <w:p>
      <w:pPr>
        <w:spacing w:after="0" w:line="230" w:lineRule="exact"/>
        <w:rPr>
          <w:sz w:val="20"/>
          <w:szCs w:val="20"/>
          <w:color w:val="auto"/>
        </w:rPr>
      </w:pPr>
    </w:p>
    <w:tbl>
      <w:tblPr>
        <w:tblLayout w:type="fixed"/>
        <w:tblInd w:w="720" w:type="dxa"/>
        <w:tblCellMar>
          <w:top w:w="0" w:type="dxa"/>
          <w:left w:w="0" w:type="dxa"/>
          <w:bottom w:w="0" w:type="dxa"/>
          <w:right w:w="0" w:type="dxa"/>
        </w:tblCellMar>
      </w:tblPr>
      <w:tr>
        <w:trPr>
          <w:trHeight w:val="203"/>
        </w:trPr>
        <w:tc>
          <w:tcPr>
            <w:tcW w:w="4520" w:type="dxa"/>
            <w:vAlign w:val="bottom"/>
            <w:vMerge w:val="restart"/>
          </w:tcPr>
          <w:p>
            <w:pPr>
              <w:spacing w:after="0"/>
              <w:rPr>
                <w:sz w:val="20"/>
                <w:szCs w:val="20"/>
                <w:color w:val="auto"/>
              </w:rPr>
            </w:pPr>
            <w:r>
              <w:rPr>
                <w:rFonts w:ascii="Arial" w:cs="Arial" w:eastAsia="Arial" w:hAnsi="Arial"/>
                <w:sz w:val="18"/>
                <w:szCs w:val="18"/>
                <w:color w:val="auto"/>
              </w:rPr>
              <w:t>($ in thousands)</w:t>
            </w:r>
          </w:p>
        </w:tc>
        <w:tc>
          <w:tcPr>
            <w:tcW w:w="200" w:type="dxa"/>
            <w:vAlign w:val="bottom"/>
          </w:tcPr>
          <w:p>
            <w:pPr>
              <w:spacing w:after="0"/>
              <w:rPr>
                <w:sz w:val="17"/>
                <w:szCs w:val="17"/>
                <w:color w:val="auto"/>
              </w:rPr>
            </w:pPr>
          </w:p>
        </w:tc>
        <w:tc>
          <w:tcPr>
            <w:tcW w:w="2860" w:type="dxa"/>
            <w:vAlign w:val="bottom"/>
            <w:tcBorders>
              <w:bottom w:val="single" w:sz="8" w:color="auto"/>
            </w:tcBorders>
            <w:gridSpan w:val="5"/>
          </w:tcPr>
          <w:p>
            <w:pPr>
              <w:jc w:val="right"/>
              <w:ind w:right="52"/>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183"/>
        </w:trPr>
        <w:tc>
          <w:tcPr>
            <w:tcW w:w="4520" w:type="dxa"/>
            <w:vAlign w:val="bottom"/>
            <w:vMerge w:val="continue"/>
          </w:tcPr>
          <w:p>
            <w:pPr>
              <w:spacing w:after="0"/>
              <w:rPr>
                <w:sz w:val="15"/>
                <w:szCs w:val="15"/>
                <w:color w:val="auto"/>
              </w:rPr>
            </w:pPr>
          </w:p>
        </w:tc>
        <w:tc>
          <w:tcPr>
            <w:tcW w:w="480" w:type="dxa"/>
            <w:vAlign w:val="bottom"/>
            <w:gridSpan w:val="2"/>
          </w:tcPr>
          <w:p>
            <w:pPr>
              <w:jc w:val="right"/>
              <w:ind w:right="164"/>
              <w:spacing w:after="0" w:line="18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392"/>
              <w:spacing w:after="0" w:line="183" w:lineRule="exact"/>
              <w:rPr>
                <w:sz w:val="20"/>
                <w:szCs w:val="20"/>
                <w:color w:val="auto"/>
              </w:rPr>
            </w:pPr>
            <w:r>
              <w:rPr>
                <w:rFonts w:ascii="Arial" w:cs="Arial" w:eastAsia="Arial" w:hAnsi="Arial"/>
                <w:sz w:val="16"/>
                <w:szCs w:val="16"/>
                <w:b w:val="1"/>
                <w:bCs w:val="1"/>
                <w:color w:val="auto"/>
              </w:rPr>
              <w:t>2026</w:t>
            </w:r>
          </w:p>
        </w:tc>
        <w:tc>
          <w:tcPr>
            <w:tcW w:w="520" w:type="dxa"/>
            <w:vAlign w:val="bottom"/>
            <w:gridSpan w:val="2"/>
          </w:tcPr>
          <w:p>
            <w:pPr>
              <w:jc w:val="right"/>
              <w:ind w:right="227"/>
              <w:spacing w:after="0" w:line="183" w:lineRule="exact"/>
              <w:rPr>
                <w:sz w:val="20"/>
                <w:szCs w:val="20"/>
                <w:color w:val="auto"/>
              </w:rPr>
            </w:pPr>
            <w:r>
              <w:rPr>
                <w:rFonts w:ascii="Arial" w:cs="Arial" w:eastAsia="Arial" w:hAnsi="Arial"/>
                <w:sz w:val="16"/>
                <w:szCs w:val="16"/>
                <w:color w:val="auto"/>
              </w:rPr>
              <w:t>​​​</w:t>
            </w:r>
          </w:p>
        </w:tc>
        <w:tc>
          <w:tcPr>
            <w:tcW w:w="1040" w:type="dxa"/>
            <w:vAlign w:val="bottom"/>
          </w:tcPr>
          <w:p>
            <w:pPr>
              <w:jc w:val="right"/>
              <w:ind w:right="412"/>
              <w:spacing w:after="0" w:line="183" w:lineRule="exact"/>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196"/>
        </w:trPr>
        <w:tc>
          <w:tcPr>
            <w:tcW w:w="45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IT hardware and software</w:t>
            </w:r>
          </w:p>
        </w:tc>
        <w:tc>
          <w:tcPr>
            <w:tcW w:w="2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40,023</w:t>
            </w:r>
          </w:p>
        </w:tc>
        <w:tc>
          <w:tcPr>
            <w:tcW w:w="2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15,866</w:t>
            </w:r>
          </w:p>
        </w:tc>
        <w:tc>
          <w:tcPr>
            <w:tcW w:w="0" w:type="dxa"/>
            <w:vAlign w:val="bottom"/>
          </w:tcPr>
          <w:p>
            <w:pPr>
              <w:spacing w:after="0"/>
              <w:rPr>
                <w:sz w:val="1"/>
                <w:szCs w:val="1"/>
                <w:color w:val="auto"/>
              </w:rPr>
            </w:pPr>
          </w:p>
        </w:tc>
      </w:tr>
      <w:tr>
        <w:trPr>
          <w:trHeight w:val="202"/>
        </w:trPr>
        <w:tc>
          <w:tcPr>
            <w:tcW w:w="4520" w:type="dxa"/>
            <w:vAlign w:val="bottom"/>
          </w:tcPr>
          <w:p>
            <w:pPr>
              <w:spacing w:after="0" w:line="202" w:lineRule="exact"/>
              <w:rPr>
                <w:sz w:val="20"/>
                <w:szCs w:val="20"/>
                <w:color w:val="auto"/>
              </w:rPr>
            </w:pPr>
            <w:r>
              <w:rPr>
                <w:rFonts w:ascii="Arial" w:cs="Arial" w:eastAsia="Arial" w:hAnsi="Arial"/>
                <w:sz w:val="18"/>
                <w:szCs w:val="18"/>
                <w:color w:val="auto"/>
              </w:rPr>
              <w:t>Greenfield and acquired dealership locations</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6,905</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11,500</w:t>
            </w:r>
          </w:p>
        </w:tc>
        <w:tc>
          <w:tcPr>
            <w:tcW w:w="0" w:type="dxa"/>
            <w:vAlign w:val="bottom"/>
          </w:tcPr>
          <w:p>
            <w:pPr>
              <w:spacing w:after="0"/>
              <w:rPr>
                <w:sz w:val="1"/>
                <w:szCs w:val="1"/>
                <w:color w:val="auto"/>
              </w:rPr>
            </w:pPr>
          </w:p>
        </w:tc>
      </w:tr>
      <w:tr>
        <w:trPr>
          <w:trHeight w:val="203"/>
        </w:trPr>
        <w:tc>
          <w:tcPr>
            <w:tcW w:w="4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Existing store locations</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43,247</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54,646</w:t>
            </w:r>
          </w:p>
        </w:tc>
        <w:tc>
          <w:tcPr>
            <w:tcW w:w="0" w:type="dxa"/>
            <w:vAlign w:val="bottom"/>
          </w:tcPr>
          <w:p>
            <w:pPr>
              <w:spacing w:after="0"/>
              <w:rPr>
                <w:sz w:val="1"/>
                <w:szCs w:val="1"/>
                <w:color w:val="auto"/>
              </w:rPr>
            </w:pPr>
          </w:p>
        </w:tc>
      </w:tr>
      <w:tr>
        <w:trPr>
          <w:trHeight w:val="203"/>
        </w:trPr>
        <w:tc>
          <w:tcPr>
            <w:tcW w:w="452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Corporate and other</w:t>
            </w:r>
          </w:p>
        </w:tc>
        <w:tc>
          <w:tcPr>
            <w:tcW w:w="2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w:t>
            </w:r>
          </w:p>
        </w:tc>
        <w:tc>
          <w:tcPr>
            <w:tcW w:w="2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2,118</w:t>
            </w:r>
          </w:p>
        </w:tc>
        <w:tc>
          <w:tcPr>
            <w:tcW w:w="0" w:type="dxa"/>
            <w:vAlign w:val="bottom"/>
          </w:tcPr>
          <w:p>
            <w:pPr>
              <w:spacing w:after="0"/>
              <w:rPr>
                <w:sz w:val="1"/>
                <w:szCs w:val="1"/>
                <w:color w:val="auto"/>
              </w:rPr>
            </w:pPr>
          </w:p>
        </w:tc>
      </w:tr>
      <w:tr>
        <w:trPr>
          <w:trHeight w:val="196"/>
        </w:trPr>
        <w:tc>
          <w:tcPr>
            <w:tcW w:w="45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capital expenditures</w:t>
            </w:r>
          </w:p>
        </w:tc>
        <w:tc>
          <w:tcPr>
            <w:tcW w:w="2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90,213</w:t>
            </w:r>
          </w:p>
        </w:tc>
        <w:tc>
          <w:tcPr>
            <w:tcW w:w="2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84,130</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6"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Our capital expenditures consist primarily of investing in information technology, hardware, and software, acquired and greenfield retail and RV dealership locations, and existing retail locations. The expected minimum capital expenditures relating to new dealerships and real estate purchases through September 30, 2027 are discussed above. As of September 30, 2026, we had entered into contracts for construction, including remodels, new buildings, or other projects for an aggregate future capital expenditures commitment of $8.3 million. There were no other material commitments for capital expenditures as of September 30, 2026.</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61" w:name="page62"/>
    <w:bookmarkEnd w:id="6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Net cash used in investing activities was $32.7 million for the nine months ended September 30, 2026. The $32.7 million of cash used in investing activities was primarily comprised of $90.2 million of capital expenditures primarily related to retail locations and property and equipment related to IT hardware and software, $7.7 million for the purchase of other investments, and $7.1 million for the acquisition of RV dealerships, net of cash acquired, partially offset by $68.0 million of proceeds from the sale or disposal of real property and $5.7 million of proceeds from other investments.</w:t>
      </w:r>
    </w:p>
    <w:p>
      <w:pPr>
        <w:spacing w:after="0" w:line="179"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Net cash used in investing activities was $226.1 million for the nine months ended September 30, 2025. The $226.1 million of cash used in investing activities was primarily comprised of $122.8 million for the purchase of real property, $84.1 million of capital expenditures primarily related to retail locations, $81.2 million for the acquisition of RV dealerships, net of cash acquired and $11.0 million of deposits paid in 2024 for these 2025 acquisitions, partially offset by $53.8 million of proceeds from the sale of real property and $11.0 million of proceeds from a business divestiture.</w:t>
      </w:r>
    </w:p>
    <w:p>
      <w:pPr>
        <w:spacing w:after="0" w:line="179"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Our financing activities primarily consist of proceeds from the issuance of debt, the</w:t>
      </w:r>
      <w:r>
        <w:rPr>
          <w:rFonts w:ascii="Arial" w:cs="Arial" w:eastAsia="Arial" w:hAnsi="Arial"/>
          <w:sz w:val="18"/>
          <w:szCs w:val="18"/>
          <w:i w:val="1"/>
          <w:iCs w:val="1"/>
          <w:color w:val="auto"/>
        </w:rPr>
        <w:t xml:space="preserve"> </w:t>
      </w:r>
      <w:r>
        <w:rPr>
          <w:rFonts w:ascii="Arial" w:cs="Arial" w:eastAsia="Arial" w:hAnsi="Arial"/>
          <w:sz w:val="18"/>
          <w:szCs w:val="18"/>
          <w:color w:val="auto"/>
        </w:rPr>
        <w:t>repayment of principal, cash dividends to holders of Class A common stock, and cash distributions to holders of CWGS, LLC common units</w:t>
      </w:r>
      <w:r>
        <w:rPr>
          <w:rFonts w:ascii="Arial" w:cs="Arial" w:eastAsia="Arial" w:hAnsi="Arial"/>
          <w:sz w:val="18"/>
          <w:szCs w:val="18"/>
          <w:b w:val="1"/>
          <w:bCs w:val="1"/>
          <w:color w:val="auto"/>
        </w:rPr>
        <w:t>.</w:t>
      </w:r>
    </w:p>
    <w:p>
      <w:pPr>
        <w:spacing w:after="0" w:line="159"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Our net cash used in financing activities was $406.6 million for the nine months ended September 30, 2026. The $406.6 million of cash used in financing activities was primarily due to $347.1 million of net payments on borrowings under the Floor Plan Facility, payments totaling $183.9 million on long-term debt, and $5.7 million of payments on finance leases, partially offset by $132.8 million of proceeds from long-term debt relating to the A&amp;R Mortgage Facility.</w:t>
      </w:r>
    </w:p>
    <w:p>
      <w:pPr>
        <w:spacing w:after="0" w:line="176"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Our net cash provided by financing activities was $ 152.9 million for the nine months ended September 30, 2025. The $152.9 million of cash provided by financing activities was primarily due to $226.3 million of net proceeds on borrowings under the Floor Plan Facility, partially offset by payments totaling $38.2 million on long-term debt, $23.5 million of dividends paid on Class A common stock, and $5.5 million for finance lease payments.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Summary of Credit Facilities, Other Long-Term Debt, and Finance Lease Arrangements</w:t>
      </w:r>
    </w:p>
    <w:p>
      <w:pPr>
        <w:spacing w:after="0" w:line="210"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As of September 30, 2026, we had outstanding debt in the form of our Senior Secured Credit Facilities, our Floor Plan Facility, our Real Estate Facilities, other long-term debt, and finance lease obligations. We may from time to time seek to refinance, retire or exchange our outstanding debt. Such refinancings, repayments or exchanges, if any, will depend on prevailing market conditions, our liquidity requirements, contractual restrictions and other factors. The amounts involved may be material.</w:t>
      </w:r>
    </w:p>
    <w:p>
      <w:pPr>
        <w:spacing w:after="0" w:line="68"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In October 2026, we announced that we are exploring the refinancing of our existing Senior Secured Credit Facilities with the goal of increasing our financial flexibility. We are considering a range of possible refinancing alternatives, which may include a new term loan and other senior secured debt. Consummation of the potential refinancing is subject to market and other customary conditions, including, among other things, the execution of definitive documentation. There can be no assurances as to the terms and conditions on which a potential refinancing may be consummated, the timing of any potential refinancing, or that the potential refinancing will be consummated at all.</w:t>
      </w:r>
    </w:p>
    <w:p>
      <w:pPr>
        <w:spacing w:after="0" w:line="77"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As of September 30, 2026, the Term Loan Facility matures on June 3, 2028, and the Revolving Credit Facility matures on March 3, 2028. The Floor Plan Facility matures on February 18, 2030; however, its maturity will spring to March 5, 2028 if the Term Loan Facility has not been repaid, refinanced, or defeased, or had its maturity extended to a date at least 180 days after February 18, 2030.</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2" w:name="page63"/>
    <w:bookmarkEnd w:id="6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firstLine="648"/>
        <w:spacing w:after="0" w:line="244" w:lineRule="auto"/>
        <w:rPr>
          <w:sz w:val="20"/>
          <w:szCs w:val="20"/>
          <w:color w:val="auto"/>
        </w:rPr>
      </w:pPr>
      <w:r>
        <w:rPr>
          <w:rFonts w:ascii="Arial" w:cs="Arial" w:eastAsia="Arial" w:hAnsi="Arial"/>
          <w:sz w:val="18"/>
          <w:szCs w:val="18"/>
          <w:color w:val="auto"/>
        </w:rPr>
        <w:t>The following table shows a summary of the outstanding balances, current portion, and remaining available borrowings under our credit facilities, other long-term debt and finance lease arrangements (see definitions and further details in Note 4 – Inventories and Floor Plan Payables, Note 8 – Long-Term Debt, and Note 9 – Lease Obligations to our condensed consolidated financial statements included in Part I, Item 1 of this Form 10-Q) as of September 30, 2026:</w:t>
      </w:r>
    </w:p>
    <w:p>
      <w:pPr>
        <w:spacing w:after="0" w:line="91" w:lineRule="exact"/>
        <w:rPr>
          <w:sz w:val="20"/>
          <w:szCs w:val="20"/>
          <w:color w:val="auto"/>
        </w:rPr>
      </w:pPr>
    </w:p>
    <w:p>
      <w:pPr>
        <w:ind w:left="6760"/>
        <w:spacing w:after="0"/>
        <w:tabs>
          <w:tab w:leader="none" w:pos="7860" w:val="left"/>
        </w:tabs>
        <w:rPr>
          <w:sz w:val="20"/>
          <w:szCs w:val="20"/>
          <w:color w:val="auto"/>
        </w:rPr>
      </w:pPr>
      <w:r>
        <w:rPr>
          <w:rFonts w:ascii="Arial" w:cs="Arial" w:eastAsia="Arial" w:hAnsi="Arial"/>
          <w:sz w:val="14"/>
          <w:szCs w:val="14"/>
          <w:b w:val="1"/>
          <w:bCs w:val="1"/>
          <w:color w:val="auto"/>
        </w:rPr>
        <w:t>Current</w:t>
      </w:r>
      <w:r>
        <w:rPr>
          <w:sz w:val="20"/>
          <w:szCs w:val="20"/>
          <w:color w:val="auto"/>
        </w:rPr>
        <w:tab/>
      </w:r>
      <w:r>
        <w:rPr>
          <w:rFonts w:ascii="Arial" w:cs="Arial" w:eastAsia="Arial" w:hAnsi="Arial"/>
          <w:sz w:val="14"/>
          <w:szCs w:val="14"/>
          <w:b w:val="1"/>
          <w:bCs w:val="1"/>
          <w:color w:val="auto"/>
        </w:rPr>
        <w:t>Remaining</w:t>
      </w:r>
    </w:p>
    <w:p>
      <w:pPr>
        <w:spacing w:after="0" w:line="15" w:lineRule="exact"/>
        <w:rPr>
          <w:sz w:val="20"/>
          <w:szCs w:val="20"/>
          <w:color w:val="auto"/>
        </w:rPr>
      </w:pPr>
    </w:p>
    <w:p>
      <w:pPr>
        <w:ind w:left="60"/>
        <w:spacing w:after="0"/>
        <w:tabs>
          <w:tab w:leader="none" w:pos="5160" w:val="left"/>
          <w:tab w:leader="none" w:pos="6380" w:val="left"/>
          <w:tab w:leader="none" w:pos="6740" w:val="left"/>
          <w:tab w:leader="none" w:pos="7600" w:val="left"/>
          <w:tab w:leader="none" w:pos="7920" w:val="left"/>
          <w:tab w:leader="none" w:pos="8840" w:val="left"/>
        </w:tabs>
        <w:rPr>
          <w:sz w:val="20"/>
          <w:szCs w:val="20"/>
          <w:color w:val="auto"/>
        </w:rPr>
      </w:pPr>
      <w:r>
        <w:rPr>
          <w:rFonts w:ascii="Arial" w:cs="Arial" w:eastAsia="Arial" w:hAnsi="Arial"/>
          <w:sz w:val="14"/>
          <w:szCs w:val="14"/>
          <w:color w:val="auto"/>
        </w:rPr>
        <w:t>($ in thousands)</w:t>
      </w:r>
      <w:r>
        <w:rPr>
          <w:sz w:val="20"/>
          <w:szCs w:val="20"/>
          <w:color w:val="auto"/>
        </w:rPr>
        <w:tab/>
      </w:r>
      <w:r>
        <w:rPr>
          <w:rFonts w:ascii="Arial" w:cs="Arial" w:eastAsia="Arial" w:hAnsi="Arial"/>
          <w:sz w:val="14"/>
          <w:szCs w:val="14"/>
          <w:color w:val="auto"/>
        </w:rPr>
        <w:t xml:space="preserve">​​​ </w:t>
      </w:r>
      <w:r>
        <w:rPr>
          <w:rFonts w:ascii="Arial" w:cs="Arial" w:eastAsia="Arial" w:hAnsi="Arial"/>
          <w:sz w:val="14"/>
          <w:szCs w:val="14"/>
          <w:b w:val="1"/>
          <w:bCs w:val="1"/>
          <w:color w:val="auto"/>
        </w:rPr>
        <w:t>Outstanding</w:t>
      </w:r>
      <w:r>
        <w:rPr>
          <w:rFonts w:ascii="Arial" w:cs="Arial" w:eastAsia="Arial" w:hAnsi="Arial"/>
          <w:sz w:val="14"/>
          <w:szCs w:val="14"/>
          <w:color w:val="auto"/>
        </w:rPr>
        <w:tab/>
        <w:t>​​​</w:t>
      </w:r>
      <w:r>
        <w:rPr>
          <w:sz w:val="20"/>
          <w:szCs w:val="20"/>
          <w:color w:val="auto"/>
        </w:rPr>
        <w:tab/>
      </w:r>
      <w:r>
        <w:rPr>
          <w:rFonts w:ascii="Arial" w:cs="Arial" w:eastAsia="Arial" w:hAnsi="Arial"/>
          <w:sz w:val="14"/>
          <w:szCs w:val="14"/>
          <w:b w:val="1"/>
          <w:bCs w:val="1"/>
          <w:color w:val="auto"/>
        </w:rPr>
        <w:t>Portion</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b w:val="1"/>
          <w:bCs w:val="1"/>
          <w:color w:val="auto"/>
        </w:rPr>
        <w:t>Available</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-1905</wp:posOffset>
            </wp:positionV>
            <wp:extent cx="564896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60"/>
        <w:spacing w:after="0"/>
        <w:rPr>
          <w:sz w:val="20"/>
          <w:szCs w:val="20"/>
          <w:color w:val="auto"/>
        </w:rPr>
      </w:pPr>
      <w:r>
        <w:rPr>
          <w:rFonts w:ascii="Arial" w:cs="Arial" w:eastAsia="Arial" w:hAnsi="Arial"/>
          <w:sz w:val="18"/>
          <w:szCs w:val="18"/>
          <w:color w:val="auto"/>
        </w:rPr>
        <w:t>Floor Plan Facility:</w:t>
      </w:r>
    </w:p>
    <w:tbl>
      <w:tblPr>
        <w:tblLayout w:type="fixed"/>
        <w:tblInd w:w="60" w:type="dxa"/>
        <w:tblCellMar>
          <w:top w:w="0" w:type="dxa"/>
          <w:left w:w="0" w:type="dxa"/>
          <w:bottom w:w="0" w:type="dxa"/>
          <w:right w:w="0" w:type="dxa"/>
        </w:tblCellMar>
      </w:tblPr>
      <w:tr>
        <w:trPr>
          <w:trHeight w:val="204"/>
        </w:trPr>
        <w:tc>
          <w:tcPr>
            <w:tcW w:w="3880" w:type="dxa"/>
            <w:vAlign w:val="bottom"/>
          </w:tcPr>
          <w:p>
            <w:pPr>
              <w:ind w:left="100"/>
              <w:spacing w:after="0" w:line="205" w:lineRule="exact"/>
              <w:rPr>
                <w:sz w:val="20"/>
                <w:szCs w:val="20"/>
                <w:color w:val="auto"/>
              </w:rPr>
            </w:pPr>
            <w:r>
              <w:rPr>
                <w:rFonts w:ascii="Arial" w:cs="Arial" w:eastAsia="Arial" w:hAnsi="Arial"/>
                <w:sz w:val="18"/>
                <w:szCs w:val="18"/>
                <w:color w:val="auto"/>
              </w:rPr>
              <w:t>Notes payable - floor plan</w:t>
            </w:r>
          </w:p>
        </w:tc>
        <w:tc>
          <w:tcPr>
            <w:tcW w:w="152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1,254,357</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1,254,357</w:t>
            </w:r>
          </w:p>
        </w:tc>
        <w:tc>
          <w:tcPr>
            <w:tcW w:w="400" w:type="dxa"/>
            <w:vAlign w:val="bottom"/>
            <w:gridSpan w:val="2"/>
          </w:tcPr>
          <w:p>
            <w:pPr>
              <w:jc w:val="right"/>
              <w:ind w:right="84"/>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823,156</w:t>
            </w:r>
          </w:p>
        </w:tc>
        <w:tc>
          <w:tcPr>
            <w:tcW w:w="180" w:type="dxa"/>
            <w:vAlign w:val="bottom"/>
          </w:tcPr>
          <w:p>
            <w:pPr>
              <w:jc w:val="right"/>
              <w:spacing w:after="0"/>
              <w:rPr>
                <w:sz w:val="20"/>
                <w:szCs w:val="20"/>
                <w:color w:val="auto"/>
              </w:rPr>
            </w:pPr>
            <w:r>
              <w:rPr>
                <w:rFonts w:ascii="Arial" w:cs="Arial" w:eastAsia="Arial" w:hAnsi="Arial"/>
                <w:sz w:val="12"/>
                <w:szCs w:val="12"/>
                <w:color w:val="auto"/>
                <w:w w:val="95"/>
              </w:rPr>
              <w:t>(1)</w:t>
            </w:r>
          </w:p>
        </w:tc>
      </w:tr>
      <w:tr>
        <w:trPr>
          <w:trHeight w:val="203"/>
        </w:trPr>
        <w:tc>
          <w:tcPr>
            <w:tcW w:w="38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Revolving line of credit</w:t>
            </w:r>
          </w:p>
        </w:tc>
        <w:tc>
          <w:tcPr>
            <w:tcW w:w="1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70,000</w:t>
            </w: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5"/>
              </w:rPr>
              <w:t>(2)</w:t>
            </w:r>
          </w:p>
        </w:tc>
      </w:tr>
      <w:tr>
        <w:trPr>
          <w:trHeight w:val="203"/>
        </w:trPr>
        <w:tc>
          <w:tcPr>
            <w:tcW w:w="3880" w:type="dxa"/>
            <w:vAlign w:val="bottom"/>
          </w:tcPr>
          <w:p>
            <w:pPr>
              <w:spacing w:after="0" w:line="202" w:lineRule="exact"/>
              <w:rPr>
                <w:sz w:val="20"/>
                <w:szCs w:val="20"/>
                <w:color w:val="auto"/>
              </w:rPr>
            </w:pPr>
            <w:r>
              <w:rPr>
                <w:rFonts w:ascii="Arial" w:cs="Arial" w:eastAsia="Arial" w:hAnsi="Arial"/>
                <w:sz w:val="18"/>
                <w:szCs w:val="18"/>
                <w:color w:val="auto"/>
              </w:rPr>
              <w:t>Senior Secured Credit Facilities:</w:t>
            </w: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38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Term Loan Facility</w:t>
            </w:r>
          </w:p>
        </w:tc>
        <w:tc>
          <w:tcPr>
            <w:tcW w:w="1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1,284,057</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14,015</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r>
      <w:tr>
        <w:trPr>
          <w:trHeight w:val="203"/>
        </w:trPr>
        <w:tc>
          <w:tcPr>
            <w:tcW w:w="3880" w:type="dxa"/>
            <w:vAlign w:val="bottom"/>
          </w:tcPr>
          <w:p>
            <w:pPr>
              <w:ind w:left="100"/>
              <w:spacing w:after="0" w:line="202" w:lineRule="exact"/>
              <w:rPr>
                <w:sz w:val="20"/>
                <w:szCs w:val="20"/>
                <w:color w:val="auto"/>
              </w:rPr>
            </w:pPr>
            <w:r>
              <w:rPr>
                <w:rFonts w:ascii="Arial" w:cs="Arial" w:eastAsia="Arial" w:hAnsi="Arial"/>
                <w:sz w:val="18"/>
                <w:szCs w:val="18"/>
                <w:color w:val="auto"/>
              </w:rPr>
              <w:t>Revolving Credit Facility</w:t>
            </w: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22,750</w:t>
            </w:r>
          </w:p>
        </w:tc>
        <w:tc>
          <w:tcPr>
            <w:tcW w:w="180" w:type="dxa"/>
            <w:vAlign w:val="bottom"/>
          </w:tcPr>
          <w:p>
            <w:pPr>
              <w:jc w:val="right"/>
              <w:spacing w:after="0"/>
              <w:rPr>
                <w:sz w:val="20"/>
                <w:szCs w:val="20"/>
                <w:color w:val="auto"/>
              </w:rPr>
            </w:pPr>
            <w:r>
              <w:rPr>
                <w:rFonts w:ascii="Arial" w:cs="Arial" w:eastAsia="Arial" w:hAnsi="Arial"/>
                <w:sz w:val="12"/>
                <w:szCs w:val="12"/>
                <w:color w:val="auto"/>
                <w:w w:val="95"/>
              </w:rPr>
              <w:t>(3)</w:t>
            </w:r>
          </w:p>
        </w:tc>
      </w:tr>
      <w:tr>
        <w:trPr>
          <w:trHeight w:val="203"/>
        </w:trPr>
        <w:tc>
          <w:tcPr>
            <w:tcW w:w="3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1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03"/>
        </w:trPr>
        <w:tc>
          <w:tcPr>
            <w:tcW w:w="3880" w:type="dxa"/>
            <w:vAlign w:val="bottom"/>
          </w:tcPr>
          <w:p>
            <w:pPr>
              <w:ind w:left="100"/>
              <w:spacing w:after="0" w:line="202" w:lineRule="exact"/>
              <w:rPr>
                <w:sz w:val="20"/>
                <w:szCs w:val="20"/>
                <w:color w:val="auto"/>
              </w:rPr>
            </w:pPr>
            <w:r>
              <w:rPr>
                <w:rFonts w:ascii="Arial" w:cs="Arial" w:eastAsia="Arial" w:hAnsi="Arial"/>
                <w:sz w:val="18"/>
                <w:szCs w:val="18"/>
                <w:color w:val="auto"/>
              </w:rPr>
              <w:t>Real Estate Facilities</w:t>
            </w: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132,029</w:t>
            </w:r>
          </w:p>
        </w:tc>
        <w:tc>
          <w:tcPr>
            <w:tcW w:w="180" w:type="dxa"/>
            <w:vAlign w:val="bottom"/>
            <w:gridSpan w:val="2"/>
          </w:tcPr>
          <w:p>
            <w:pPr>
              <w:jc w:val="right"/>
              <w:spacing w:after="0"/>
              <w:rPr>
                <w:sz w:val="20"/>
                <w:szCs w:val="20"/>
                <w:color w:val="auto"/>
              </w:rPr>
            </w:pPr>
            <w:r>
              <w:rPr>
                <w:rFonts w:ascii="Arial" w:cs="Arial" w:eastAsia="Arial" w:hAnsi="Arial"/>
                <w:sz w:val="12"/>
                <w:szCs w:val="12"/>
                <w:color w:val="auto"/>
              </w:rPr>
              <w:t>(4)</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6,839</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42,213</w:t>
            </w:r>
          </w:p>
        </w:tc>
        <w:tc>
          <w:tcPr>
            <w:tcW w:w="180" w:type="dxa"/>
            <w:vAlign w:val="bottom"/>
          </w:tcPr>
          <w:p>
            <w:pPr>
              <w:spacing w:after="0"/>
              <w:rPr>
                <w:sz w:val="17"/>
                <w:szCs w:val="17"/>
                <w:color w:val="auto"/>
              </w:rPr>
            </w:pPr>
          </w:p>
        </w:tc>
      </w:tr>
      <w:tr>
        <w:trPr>
          <w:trHeight w:val="203"/>
        </w:trPr>
        <w:tc>
          <w:tcPr>
            <w:tcW w:w="38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Other long-term debt</w:t>
            </w:r>
          </w:p>
        </w:tc>
        <w:tc>
          <w:tcPr>
            <w:tcW w:w="1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7,328</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3,014</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r>
      <w:tr>
        <w:trPr>
          <w:trHeight w:val="203"/>
        </w:trPr>
        <w:tc>
          <w:tcPr>
            <w:tcW w:w="388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8"/>
                <w:szCs w:val="18"/>
                <w:color w:val="auto"/>
              </w:rPr>
              <w:t>Finance lease obligations</w:t>
            </w:r>
          </w:p>
        </w:tc>
        <w:tc>
          <w:tcPr>
            <w:tcW w:w="13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131,075</w:t>
            </w: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8,812</w:t>
            </w:r>
          </w:p>
        </w:tc>
        <w:tc>
          <w:tcPr>
            <w:tcW w:w="1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tcPr>
          <w:p>
            <w:pPr>
              <w:spacing w:after="0"/>
              <w:rPr>
                <w:sz w:val="17"/>
                <w:szCs w:val="17"/>
                <w:color w:val="auto"/>
              </w:rPr>
            </w:pPr>
          </w:p>
        </w:tc>
      </w:tr>
      <w:tr>
        <w:trPr>
          <w:trHeight w:val="183"/>
        </w:trPr>
        <w:tc>
          <w:tcPr>
            <w:tcW w:w="388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2,808,846</w:t>
            </w:r>
          </w:p>
        </w:tc>
        <w:tc>
          <w:tcPr>
            <w:tcW w:w="2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1,287,037</w:t>
            </w:r>
          </w:p>
        </w:tc>
        <w:tc>
          <w:tcPr>
            <w:tcW w:w="1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958,119</w:t>
            </w:r>
          </w:p>
        </w:tc>
        <w:tc>
          <w:tcPr>
            <w:tcW w:w="180" w:type="dxa"/>
            <w:vAlign w:val="bottom"/>
            <w:tcBorders>
              <w:bottom w:val="single" w:sz="8" w:color="CCEEFF"/>
            </w:tcBorders>
            <w:shd w:val="clear" w:color="auto" w:fill="CCEEFF"/>
          </w:tcPr>
          <w:p>
            <w:pPr>
              <w:spacing w:after="0"/>
              <w:rPr>
                <w:sz w:val="15"/>
                <w:szCs w:val="15"/>
                <w:color w:val="auto"/>
              </w:rPr>
            </w:pPr>
          </w:p>
        </w:tc>
      </w:tr>
      <w:tr>
        <w:trPr>
          <w:trHeight w:val="20"/>
        </w:trPr>
        <w:tc>
          <w:tcPr>
            <w:tcW w:w="38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301" w:lineRule="exact"/>
        <w:rPr>
          <w:sz w:val="20"/>
          <w:szCs w:val="20"/>
          <w:color w:val="auto"/>
        </w:rPr>
      </w:pPr>
    </w:p>
    <w:p>
      <w:pPr>
        <w:jc w:val="both"/>
        <w:ind w:left="380" w:right="79" w:hanging="330"/>
        <w:spacing w:after="0" w:line="245" w:lineRule="auto"/>
        <w:tabs>
          <w:tab w:leader="none" w:pos="380" w:val="left"/>
        </w:tabs>
        <w:numPr>
          <w:ilvl w:val="0"/>
          <w:numId w:val="33"/>
        </w:numPr>
        <w:rPr>
          <w:rFonts w:ascii="Arial" w:cs="Arial" w:eastAsia="Arial" w:hAnsi="Arial"/>
          <w:sz w:val="13"/>
          <w:szCs w:val="13"/>
          <w:color w:val="231F20"/>
        </w:rPr>
      </w:pPr>
      <w:r>
        <w:rPr>
          <w:rFonts w:ascii="Arial" w:cs="Arial" w:eastAsia="Arial" w:hAnsi="Arial"/>
          <w:sz w:val="14"/>
          <w:szCs w:val="14"/>
          <w:color w:val="auto"/>
        </w:rPr>
        <w:t>The unencumbered borrowing capacity for the Floor Plan Facility represents the additional borrowing capacity less any accounts payable for sold inventory and less any purchase commitments. Additional borrowings are subject to the vehicle collateral requirements under the Floor Plan Facility. The Floor Plan Facility also includes an accordion feature allowing us, at our option, to request to increase the aggregate amount of the floor plan notes payable in $50.0 million increments up to a maximum amount of $300.0 million. The Floor Plan Lenders are not under any obligation to provide commitments in respect of any future increase under the accordion feature. In February 2025, FreedomRoads, LLC entered into an amendment to the Floor Plan Facility, which (a) increased the commitment for floor plan borrowings by $300.0 million to $2.15 billion, (b) increased the commitment for the letter of credit facility by $15.0 million to $45.0 million, and (c) extended the maturity date from September 30, 2026 to the earlier of, if applicable, (i) February 18, 2030 or (ii) March 5, 2028, if the Company’s Term Loan Facility (as defined and discussed in Note 8 — Long-Term Debt to our condensed consolidated financial statements included in Part I, Item 1 of this Form 10-Q) has not been repaid, refinanced, or defeased, or had its maturity extended to a date at least 180 days after February 18, 2030.</w:t>
      </w:r>
    </w:p>
    <w:p>
      <w:pPr>
        <w:spacing w:after="0" w:line="28" w:lineRule="exact"/>
        <w:rPr>
          <w:rFonts w:ascii="Arial" w:cs="Arial" w:eastAsia="Arial" w:hAnsi="Arial"/>
          <w:sz w:val="13"/>
          <w:szCs w:val="13"/>
          <w:color w:val="231F20"/>
        </w:rPr>
      </w:pPr>
    </w:p>
    <w:p>
      <w:pPr>
        <w:ind w:left="380" w:hanging="330"/>
        <w:spacing w:after="0"/>
        <w:tabs>
          <w:tab w:leader="none" w:pos="380" w:val="left"/>
        </w:tabs>
        <w:numPr>
          <w:ilvl w:val="0"/>
          <w:numId w:val="33"/>
        </w:numPr>
        <w:rPr>
          <w:rFonts w:ascii="Arial" w:cs="Arial" w:eastAsia="Arial" w:hAnsi="Arial"/>
          <w:sz w:val="13"/>
          <w:szCs w:val="13"/>
          <w:color w:val="231F20"/>
        </w:rPr>
      </w:pPr>
      <w:r>
        <w:rPr>
          <w:rFonts w:ascii="Arial" w:cs="Arial" w:eastAsia="Arial" w:hAnsi="Arial"/>
          <w:sz w:val="14"/>
          <w:szCs w:val="14"/>
          <w:color w:val="auto"/>
        </w:rPr>
        <w:t>The revolving line of credit borrowings are subject to a borrowing base calculation but were not limited as of September 30, 2026.</w:t>
      </w:r>
    </w:p>
    <w:p>
      <w:pPr>
        <w:spacing w:after="0" w:line="55" w:lineRule="exact"/>
        <w:rPr>
          <w:rFonts w:ascii="Arial" w:cs="Arial" w:eastAsia="Arial" w:hAnsi="Arial"/>
          <w:sz w:val="13"/>
          <w:szCs w:val="13"/>
          <w:color w:val="231F20"/>
        </w:rPr>
      </w:pPr>
    </w:p>
    <w:p>
      <w:pPr>
        <w:jc w:val="both"/>
        <w:ind w:left="380" w:right="79" w:hanging="330"/>
        <w:spacing w:after="0" w:line="287" w:lineRule="auto"/>
        <w:tabs>
          <w:tab w:leader="none" w:pos="380" w:val="left"/>
        </w:tabs>
        <w:numPr>
          <w:ilvl w:val="0"/>
          <w:numId w:val="33"/>
        </w:numPr>
        <w:rPr>
          <w:rFonts w:ascii="Arial" w:cs="Arial" w:eastAsia="Arial" w:hAnsi="Arial"/>
          <w:sz w:val="13"/>
          <w:szCs w:val="13"/>
          <w:color w:val="231F20"/>
        </w:rPr>
      </w:pPr>
      <w:r>
        <w:rPr>
          <w:rFonts w:ascii="Arial" w:cs="Arial" w:eastAsia="Arial" w:hAnsi="Arial"/>
          <w:sz w:val="14"/>
          <w:szCs w:val="14"/>
          <w:color w:val="auto"/>
        </w:rPr>
        <w:t>The Revolving Credit Facility remaining available balance was reduced by outstanding undrawn letters of credit. The Credit Agreement requires compliance with a Total Net Leverage Ratio covenant when borrowings on the Revolving Credit Facility (excluding certain amounts relating to letters of credit) are over a 35%, or $22.8 million, threshold (Note 8 – Long-Term Debt to our condensed consolidated financial statements included in Part I, Item 1 of this Form 10-Q). The otherwise remaining available borrowings of $60.1 million were reduced by $37.3 million to $22.8 million in light of this financial covenant as of September 30, 2026.</w:t>
      </w:r>
    </w:p>
    <w:p>
      <w:pPr>
        <w:spacing w:after="0" w:line="9" w:lineRule="exact"/>
        <w:rPr>
          <w:rFonts w:ascii="Arial" w:cs="Arial" w:eastAsia="Arial" w:hAnsi="Arial"/>
          <w:sz w:val="13"/>
          <w:szCs w:val="13"/>
          <w:color w:val="231F20"/>
        </w:rPr>
      </w:pPr>
    </w:p>
    <w:p>
      <w:pPr>
        <w:jc w:val="both"/>
        <w:ind w:left="380" w:right="79" w:hanging="330"/>
        <w:spacing w:after="0" w:line="289" w:lineRule="auto"/>
        <w:tabs>
          <w:tab w:leader="none" w:pos="380" w:val="left"/>
        </w:tabs>
        <w:numPr>
          <w:ilvl w:val="0"/>
          <w:numId w:val="33"/>
        </w:numPr>
        <w:rPr>
          <w:rFonts w:ascii="Arial" w:cs="Arial" w:eastAsia="Arial" w:hAnsi="Arial"/>
          <w:sz w:val="13"/>
          <w:szCs w:val="13"/>
          <w:color w:val="231F20"/>
        </w:rPr>
      </w:pPr>
      <w:r>
        <w:rPr>
          <w:rFonts w:ascii="Arial" w:cs="Arial" w:eastAsia="Arial" w:hAnsi="Arial"/>
          <w:sz w:val="14"/>
          <w:szCs w:val="14"/>
          <w:color w:val="auto"/>
        </w:rPr>
        <w:t>Additional borrowings on the Real Estate Facilities are subject to a debt service coverage ratio covenant and to the property collateral requirements under the Real Estate Facilities. In August 2026, we amended and restated the M&amp;T Real Estate Facility to extend the maturity to August 2031 and retained our option to request an additional $100.0 million of principal capacity. The lenders under the M&amp;T Real Estate Facility are not under any obligation to provide commitments in respect of any such increase.</w:t>
      </w:r>
    </w:p>
    <w:p>
      <w:pPr>
        <w:spacing w:after="0" w:line="146"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As of September 30, 2026 and September 30, 2025, the applicable interest rate for the floor plan notes payable under the Floor Plan Facility was 5.70% and 6.29%, respectively. As of September 30, 2026 and September 30, 2025, the average interest rate for the Term Loan Facility was 6.52% and 6.78%, respectively. Our combined floor plan interest expense and other interest expense, net decreased $11.7 million for the nine months ended September 30, 2026 compared to the nine months ended September 30, 2025 primarily as a result of reduced interest rates for our Term Loan Facility, our Floor Plan Facility and our Real Estate Facilities, and reduced borrowings on our Term Loan Facility and Real Estate Facilities, partially offset by increased average borrowings on the Floor Plan Facility.</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Sale/Leaseback Arrangements</w:t>
      </w:r>
    </w:p>
    <w:p>
      <w:pPr>
        <w:spacing w:after="0" w:line="210"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We have in the past and may in the future enter into sale-leaseback transactions to finance certain property acquisitions and capital expenditures, pursuant to which we sell property and/or leasehold improvements to third parties and agree to lease those assets back for a certain period of time. Such sales generate proceeds which vary from period to period. During each of the nine months ended September 30, 2026 and 2025, we entered into sale-leaseback transactions for three properties, each associated with store locations in the RV and Outdoor Retail segment, and received consideration of $11.0 million and $40.2 million of cash, respectively. We recorded a $0.6 million loss and a $0.1 million gain for the nine months ended</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63" w:name="page64"/>
    <w:bookmarkEnd w:id="6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September 30, 2026 and September 30, 2025, respectively, that was included in (gain) loss on sale or disposal of assets in the condensed consolidated statements of operations. In 2026, we entered into a 19-year lease agreement as the lessee with the buyer for two of the properties, and a 12.5-year lease agreement as the lessee with the buyer for one of the properties. In 2025, we entered into 17-year lease agreements as the lessee with the buyers of two of the properties, and a 19-year lease agreement as the lessee with the buyer of one of the properties.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Deferred Revenue</w:t>
      </w:r>
    </w:p>
    <w:p>
      <w:pPr>
        <w:spacing w:after="0" w:line="210"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Deferred revenue consists of our sales for products not yet recognized as revenue at the end of a given period. Our deferred revenue as of September 30, 2026 was $139.3 million.</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We prepare our condensed consolidated financial statements in accordance with GAAP, and in doing so, we have to make estimates, assumptions and judgments affecting the reported amounts of assets, liabilities, revenues and expenses, as well as the related disclosure of contingent assets and liabilities. We base our estimates, assumptions and judgments on historical experience and on various other factors we believe to be reasonable under the circumstances. Different assumptions and judgments would change estimates used in the preparation of our condensed consolidated financial statements, which, in turn, could change our results from those reported. We evaluate our critical accounting estimates, assumptions and judgments on an ongoing basis.</w:t>
      </w:r>
    </w:p>
    <w:p>
      <w:pPr>
        <w:spacing w:after="0" w:line="180"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Other than Goodwill — Impairment discussed below, there has been no material change in our critical accounting policies and estimates from those previously reported and disclosed in our Annual Report.</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Goodwill — Impairment</w:t>
      </w:r>
    </w:p>
    <w:p>
      <w:pPr>
        <w:spacing w:after="0" w:line="210"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Goodwill is reviewed at least annually for impairment on October 1 and we evaluate our reporting units for potential triggering events on a quarterly basis. For the annual goodwill impairment test or when we determine there has been a triggering event for a reporting unit, we have the option to first assess qualitative factors to determine whether it is more likely than not that the fair value of a reporting unit is less than its carrying value. If the qualitative assessment leads to a determination that the fair value of a reporting unit is more likely than not less than its carrying value, or if we elect to bypass the qualitative assessment altogether, we perform a quantitative impairment test by calculating the fair value of the reporting unit and comparing the fair value with its associated carrying value. When we perform the quantitative test for goodwill, we establish the fair value for the reporting unit based on a combination of the income approach, in which a discounted cash flow model is utilized, and the market approach, in which market multiples of comparable companies are utilized. The income approach requires the use of significant estimates and assumptions, including forecasted revenue growth, EBITDA projections, and discount rates and changes in these assumptions may adversely impact the fair value assessments. The market approach requires significant assumptions related to the selection of comparable publicly traded companies and the market multiples. Significant negative industry or macroeconomic trends, disruptions to our business, changes in customer behavior, inability to effectively integrate acquired businesses, unexpected significant changes or planned changes in use of the assets or in entity structure, and divestitures may adversely impact the assumptions used in the valuations. In the event the fair value of a reporting unit is less than the carrying value, we would recognize an impairment charge for the amount by which the carrying amount of the reporting unit exceeds the fair value.</w:t>
      </w:r>
    </w:p>
    <w:p>
      <w:pPr>
        <w:spacing w:after="0" w:line="180"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When we evaluate our reporting units for potential triggering events on a quarterly basis, we consider multiple internal and external factors, including, but not limited to, (i) macroeconomic conditions, (ii) industry and market factors such as competition and changes in the market for the reporting unit's products, (iii) changes in costs for the reporting unit’s products, (iv) overall financial performance of the reporting unit, and (v) if there has been a sustained decrease in our stock price since the most recent annual goodwill impairment test.</w:t>
      </w:r>
    </w:p>
    <w:p>
      <w:pPr>
        <w:spacing w:after="0" w:line="176" w:lineRule="exact"/>
        <w:rPr>
          <w:sz w:val="20"/>
          <w:szCs w:val="20"/>
          <w:color w:val="auto"/>
        </w:rPr>
      </w:pPr>
    </w:p>
    <w:p>
      <w:pPr>
        <w:jc w:val="both"/>
        <w:ind w:left="60" w:right="79" w:firstLine="648"/>
        <w:spacing w:after="0" w:line="253" w:lineRule="auto"/>
        <w:rPr>
          <w:sz w:val="20"/>
          <w:szCs w:val="20"/>
          <w:color w:val="auto"/>
        </w:rPr>
      </w:pPr>
      <w:r>
        <w:rPr>
          <w:rFonts w:ascii="Arial" w:cs="Arial" w:eastAsia="Arial" w:hAnsi="Arial"/>
          <w:sz w:val="18"/>
          <w:szCs w:val="18"/>
          <w:color w:val="auto"/>
        </w:rPr>
        <w:t>As of October 1, 2025, we performed the quantitative assessment for all of our reporting units with goodwill balances and determined that their fair values exceeded the carrying value for each reporting unit, and as such, goodwill was not considered impaired. As of December 31, 2025, the RV and Outdoor Retail reporting</w:t>
      </w:r>
    </w:p>
    <w:p>
      <w:pPr>
        <w:sectPr>
          <w:pgSz w:w="11900" w:h="16838" w:orient="portrait"/>
          <w:cols w:equalWidth="0" w:num="1">
            <w:col w:w="9019"/>
          </w:cols>
          <w:pgMar w:left="1440" w:top="512" w:right="1440" w:bottom="1440" w:gutter="0" w:footer="0" w:header="0"/>
        </w:sect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64" w:name="page65"/>
    <w:bookmarkEnd w:id="6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unit was allocated $723.5 million of our goodwill, which represented 96.6% of our total goodwill. The RV and Outdoor Retail reporting unit’s fair value exceeded its carrying value by 11% and the remaining reporting units’ fair values exceeded their carrying values by a significant amount.</w:t>
      </w:r>
    </w:p>
    <w:p>
      <w:pPr>
        <w:spacing w:after="0" w:line="169"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During the three months ended September 30, 2026, our financial performance was below the forecasts utilized in the most recent interim goodwill impairment test as of June 30, 2026 (“Q2 26 Interim Goodwill Test”), driven by continued pressure on new RV industry demand and promotional pricing pressure in core travel trailer offerings. After considering this performance, the sustained decline in our share price, and other factors, we concluded that it was more likely than not that the fair value of the RV and Outdoor Retail reporting unit was less than its carrying value as of September 30, 2026. Macroeconomic factors impacting the industry in the third quarter of 2026 included further increases in consumer interest rates, elevated diesel fuel prices, and further declines in consumer sentiment, all of which exceeded the assumptions underlying the Q2 26 Interim Goodwill Test.</w:t>
      </w:r>
    </w:p>
    <w:p>
      <w:pPr>
        <w:spacing w:after="0" w:line="183"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We performed the quantitative assessment for the RV and Outdoor Retail reporting unit and determined that a goodwill impairment of $286.7 million was recorded for the three and nine months ended September 30, 2026. As of September 30, 2026, the RV and Outdoor Retail reporting unit was allocated $439.1 million of our goodwill, after the goodwill impairment, which represents 94.5% of our total goodwill. Following the impairment, the RV and Outdoor Retail reporting unit’s fair value equals its carrying value.</w:t>
      </w:r>
    </w:p>
    <w:p>
      <w:pPr>
        <w:spacing w:after="0" w:line="176"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Of the key assumptions to the determination of fair value discussed above for the RV and Outdoor Retail reporting unit, (i) revenue and EBITDA projections, (ii) discount rate, and (iii) market multiples of comparable public companies are subject to the most uncertainty and could negatively impact the fair value of the RV and Outdoor Retail reporting unit. For instance, uncertainties associated with these key assumptions include:</w:t>
      </w:r>
    </w:p>
    <w:p>
      <w:pPr>
        <w:spacing w:after="0" w:line="176" w:lineRule="exact"/>
        <w:rPr>
          <w:sz w:val="20"/>
          <w:szCs w:val="20"/>
          <w:color w:val="auto"/>
        </w:rPr>
      </w:pPr>
    </w:p>
    <w:p>
      <w:pPr>
        <w:ind w:left="1340" w:right="159" w:hanging="402"/>
        <w:spacing w:after="0"/>
        <w:tabs>
          <w:tab w:leader="none" w:pos="1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Projections: the expected timing of the next upswing for the RV industry and the impact to RV gross margins from variations in average selling prices and related cost of RVs, which could be negatively impacted by an extended delay in the growth of the RV industry, our inability to gain market share, customer demand or competition pressure on average selling prices of RVs, and/or increased procurement costs of inventory. As of the September 30, 2026 test date, a 100-basis point decrease in the terminal growth rate would have resulted in an additional impairment of goodwill being recognized of $38.3 million when estimating the fair value of the RV and Outdoor Retail reporting unit.</w:t>
      </w:r>
    </w:p>
    <w:p>
      <w:pPr>
        <w:spacing w:after="0" w:line="180" w:lineRule="exact"/>
        <w:rPr>
          <w:rFonts w:ascii="Arial" w:cs="Arial" w:eastAsia="Arial" w:hAnsi="Arial"/>
          <w:sz w:val="18"/>
          <w:szCs w:val="18"/>
          <w:color w:val="auto"/>
        </w:rPr>
      </w:pPr>
    </w:p>
    <w:p>
      <w:pPr>
        <w:ind w:left="1340" w:right="79" w:hanging="439"/>
        <w:spacing w:after="0" w:line="242" w:lineRule="auto"/>
        <w:tabs>
          <w:tab w:leader="none" w:pos="1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Discount Rate: the general and industry-specific macroeconomic environment, which could be negatively impacted by higher inflation, higher unemployment, higher interest rates, further declines in consumer sentiment, and/or a reduction in consumer spending, particularly within our industry. As of the September 30, 2026 test date, a 100-basis point increase in the discount rate would have resulted in an additional impairment of goodwill being recognized of $68.0 million when estimating the fair value of the RV and Outdoor Retail reporting unit.</w:t>
      </w:r>
    </w:p>
    <w:p>
      <w:pPr>
        <w:spacing w:after="0" w:line="178" w:lineRule="exact"/>
        <w:rPr>
          <w:rFonts w:ascii="Arial" w:cs="Arial" w:eastAsia="Arial" w:hAnsi="Arial"/>
          <w:sz w:val="18"/>
          <w:szCs w:val="18"/>
          <w:color w:val="auto"/>
        </w:rPr>
      </w:pPr>
    </w:p>
    <w:p>
      <w:pPr>
        <w:ind w:left="1340" w:right="119" w:hanging="477"/>
        <w:spacing w:after="0"/>
        <w:tabs>
          <w:tab w:leader="none" w:pos="1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Market Multiples: the industry-specific macroeconomic environment, which could be negatively impacted by downward stock market trends that, in turn, can be driven by similar factors as the discount rate, as discussed above. As of the September 30, 2026 test date, a 1.0x decrease in the EBITDA multiple assumption would have resulted in an additional impairment of goodwill being recognized of $69.4 million when estimating the fair value of the RV and Outdoor Retail reporting unit. A revenue multiple, instead of an EBITDA multiple, was applied to a portion of the RV and Outdoor Retail reporting unit that represents less than 10% of the reporting unit’s estimated fair value.</w:t>
      </w:r>
    </w:p>
    <w:p>
      <w:pPr>
        <w:spacing w:after="0" w:line="180" w:lineRule="exact"/>
        <w:rPr>
          <w:sz w:val="20"/>
          <w:szCs w:val="20"/>
          <w:color w:val="auto"/>
        </w:rPr>
      </w:pPr>
    </w:p>
    <w:p>
      <w:pPr>
        <w:ind w:left="60" w:right="59" w:firstLine="648"/>
        <w:spacing w:after="0" w:line="271" w:lineRule="auto"/>
        <w:rPr>
          <w:sz w:val="20"/>
          <w:szCs w:val="20"/>
          <w:color w:val="auto"/>
        </w:rPr>
      </w:pPr>
      <w:r>
        <w:rPr>
          <w:rFonts w:ascii="Arial" w:cs="Arial" w:eastAsia="Arial" w:hAnsi="Arial"/>
          <w:sz w:val="18"/>
          <w:szCs w:val="18"/>
          <w:color w:val="auto"/>
        </w:rPr>
        <w:t>See Note 7 — Goodwill and Intangible Assets to our condensed consolidated financial statements included in Part I, Item 1 of this Form 10-Q.</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5" w:name="page66"/>
    <w:bookmarkEnd w:id="6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212"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See Note 1 — Summary of Significant Accounting Policies to our condensed consolidated financial statements in Part I, Item 1 of this Form 10-Q.</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1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We are exposed to market risk from changes in interest rates. This market risk arises in the normal course of business, as we do not engage in speculative trading activities. The following analysis provides quantitative information regarding this risk.</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Rate Risk</w:t>
      </w:r>
    </w:p>
    <w:p>
      <w:pPr>
        <w:spacing w:after="0" w:line="210"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Our operating results are subject to risk from interest rate fluctuations on our Senior Secured Credit Facilities, our Floor Plan Facility, and our Real Estate Facilities, which carry variable interest rates. Interest rate risk is the exposure to loss resulting from changes in the level of interest rates and the spread between different interest rates. Because our Senior Secured Credit Facilities, Floor Plan Facility, and Real Estate Facilities bear interest at variable rates, we are exposed to market risks relating to changes in interest rates. Interest rate risk is highly sensitive due to many factors, including U.S. monetary and tax policies, U.S. and international economic factors and other factors beyond our control.</w:t>
      </w:r>
    </w:p>
    <w:p>
      <w:pPr>
        <w:spacing w:after="0" w:line="185"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Based on September 30, 2026 debt levels (see Liquidity and Capital Resources — Summary of Credit Facilities, Other Long-Term Debt, and Finance Lease Arrangements in Part I, Item 2 of this Form 10-Q), an increase or decrease of 100 basis points in the effective interest rate would cause an increase or decrease in interest expense:</w:t>
      </w:r>
    </w:p>
    <w:p>
      <w:pPr>
        <w:spacing w:after="0" w:line="174" w:lineRule="exact"/>
        <w:rPr>
          <w:sz w:val="20"/>
          <w:szCs w:val="20"/>
          <w:color w:val="auto"/>
        </w:rPr>
      </w:pPr>
    </w:p>
    <w:p>
      <w:pPr>
        <w:ind w:left="1340" w:hanging="642"/>
        <w:spacing w:after="0"/>
        <w:tabs>
          <w:tab w:leader="none" w:pos="1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under our Floor Plan Facility of approximately $12.5 million over the next 12 months;</w:t>
      </w:r>
    </w:p>
    <w:p>
      <w:pPr>
        <w:spacing w:after="0" w:line="211" w:lineRule="exact"/>
        <w:rPr>
          <w:rFonts w:ascii="Arial" w:cs="Arial" w:eastAsia="Arial" w:hAnsi="Arial"/>
          <w:sz w:val="18"/>
          <w:szCs w:val="18"/>
          <w:color w:val="auto"/>
        </w:rPr>
      </w:pPr>
    </w:p>
    <w:p>
      <w:pPr>
        <w:ind w:left="1340" w:hanging="642"/>
        <w:spacing w:after="0"/>
        <w:tabs>
          <w:tab w:leader="none" w:pos="1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under our Term Loan Facility of $12.8 million over the next 12 months;</w:t>
      </w:r>
    </w:p>
    <w:p>
      <w:pPr>
        <w:spacing w:after="0" w:line="211" w:lineRule="exact"/>
        <w:rPr>
          <w:rFonts w:ascii="Arial" w:cs="Arial" w:eastAsia="Arial" w:hAnsi="Arial"/>
          <w:sz w:val="18"/>
          <w:szCs w:val="18"/>
          <w:color w:val="auto"/>
        </w:rPr>
      </w:pPr>
    </w:p>
    <w:p>
      <w:pPr>
        <w:ind w:left="1340" w:hanging="642"/>
        <w:spacing w:after="0"/>
        <w:tabs>
          <w:tab w:leader="none" w:pos="1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under our Real Estate Facilities of approximately $1.3 million over the next 12 months; and</w:t>
      </w:r>
    </w:p>
    <w:p>
      <w:pPr>
        <w:spacing w:after="0" w:line="211" w:lineRule="exact"/>
        <w:rPr>
          <w:rFonts w:ascii="Arial" w:cs="Arial" w:eastAsia="Arial" w:hAnsi="Arial"/>
          <w:sz w:val="18"/>
          <w:szCs w:val="18"/>
          <w:color w:val="auto"/>
        </w:rPr>
      </w:pPr>
    </w:p>
    <w:p>
      <w:pPr>
        <w:ind w:left="1340" w:hanging="642"/>
        <w:spacing w:after="0"/>
        <w:tabs>
          <w:tab w:leader="none" w:pos="1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under our Other Long-Term Debt would be immaterial.</w:t>
      </w:r>
    </w:p>
    <w:p>
      <w:pPr>
        <w:spacing w:after="0" w:line="21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 interest rate exposure on the Floor Plan Facility was the only significant change from the quantitative analysis performed as of December 31, 2025, since the outstanding balance of the notes payable — Floor plan, net decreased $349.3 million during the nine months ended September 30, 2026.</w:t>
      </w:r>
    </w:p>
    <w:p>
      <w:pPr>
        <w:spacing w:after="0" w:line="169"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See “Results of Operations” and “Summary of Credit Facilities, Other Long-Term Debt, and Finance Lease Arrangements” in Part I, Item 2 of this Form 10-Q for a discussion of interest expense for the nine months ended September 30, 2026 compared to the nine months ended September 30, 2025.</w:t>
      </w:r>
    </w:p>
    <w:p>
      <w:pPr>
        <w:spacing w:after="0" w:line="169"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We do not use derivative financial instruments for speculative or trading purposes. We may adopt specific hedging strategies, such as interest rate hedges, in the future.</w:t>
      </w:r>
    </w:p>
    <w:p>
      <w:pPr>
        <w:spacing w:after="0" w:line="200" w:lineRule="exact"/>
        <w:rPr>
          <w:sz w:val="20"/>
          <w:szCs w:val="20"/>
          <w:color w:val="auto"/>
        </w:rPr>
      </w:pPr>
    </w:p>
    <w:p>
      <w:pPr>
        <w:spacing w:after="0" w:line="35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Limitations on Effectiveness of Controls and Procedures</w:t>
      </w:r>
    </w:p>
    <w:p>
      <w:pPr>
        <w:spacing w:after="0" w:line="210"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w:t>
      </w:r>
    </w:p>
    <w:p>
      <w:pPr>
        <w:sectPr>
          <w:pgSz w:w="11900" w:h="16838" w:orient="portrait"/>
          <w:cols w:equalWidth="0" w:num="1">
            <w:col w:w="9019"/>
          </w:cols>
          <w:pgMar w:left="1440" w:top="512" w:right="1440" w:bottom="1440" w:gutter="0" w:footer="0" w:header="0"/>
        </w:sect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66" w:name="page67"/>
    <w:bookmarkEnd w:id="6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reflect the fact that there are resource constraints and that management is required to apply judgment in evaluating the benefits of possible controls and procedures relative to their costs.</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10"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Our management carried out an evaluation, under the supervision and with the participation of our Chief Executive Officer (principal executive officer) and our Chief Financial Officer (principal financial officer), of the effectiveness of our disclosure controls and procedures (as defined in Rules 13a-15(e) and 15d-15(e) under the Securities Exchange Act of 1934, as amended (the “Exchange Act”)) as of the end of the period covered by this Form 10-Q. Based on our management’s evaluation, our Chief Executive Officer (principal executive officer) and our Chief Financial Officer (principal financial officer) concluded that our disclosure controls and procedures were effective at the reasonable assurance level as of September 30, 2026.</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10"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identified in connection with the evaluation of our internal control performed during the fiscal quarter ended September 30, 2026, that have materially affected, or are reasonably likely to materially affect, our internal control over financial reporting.</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21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See Note 11 — Commitments and Contingencies to our condensed consolidated financial statements in Part I, Item 1 of this Form 10-Q for information on legal proceedings that constitute material contingencies for financial reporting purposes that could have a material effect on our financial condition or results of operations.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12"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There have been no material changes to our risk factors as previously disclosed in Item 1A of Part I of our Annual Report other than as described below.</w:t>
      </w:r>
    </w:p>
    <w:p>
      <w:pPr>
        <w:spacing w:after="0" w:line="156" w:lineRule="exact"/>
        <w:rPr>
          <w:sz w:val="20"/>
          <w:szCs w:val="20"/>
          <w:color w:val="auto"/>
        </w:rPr>
      </w:pPr>
    </w:p>
    <w:p>
      <w:pPr>
        <w:jc w:val="both"/>
        <w:ind w:left="60" w:right="59" w:firstLine="648"/>
        <w:spacing w:after="0" w:line="249" w:lineRule="auto"/>
        <w:rPr>
          <w:sz w:val="20"/>
          <w:szCs w:val="20"/>
          <w:color w:val="auto"/>
        </w:rPr>
      </w:pPr>
      <w:r>
        <w:rPr>
          <w:rFonts w:ascii="Arial" w:cs="Arial" w:eastAsia="Arial" w:hAnsi="Arial"/>
          <w:sz w:val="18"/>
          <w:szCs w:val="18"/>
          <w:b w:val="1"/>
          <w:bCs w:val="1"/>
          <w:i w:val="1"/>
          <w:iCs w:val="1"/>
          <w:color w:val="auto"/>
        </w:rPr>
        <w:t>Our business model is impacted by general economic conditions in our markets, including inflation and interest rates, as well as the health of the RV industry, geopolitical conflicts, and ongoing economic and financial uncertainties could cause a decline in consumer spending that could adversely affect our business, financial condition and results of operations.</w:t>
      </w:r>
    </w:p>
    <w:p>
      <w:pPr>
        <w:spacing w:after="0" w:line="165"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As a business that relies on consumer discretionary spending, we have in the past and may in the future be adversely affected if our customers reduce, delay or forgo their purchases of our services, protection plans and products as a result of:</w:t>
      </w:r>
    </w:p>
    <w:p>
      <w:pPr>
        <w:spacing w:after="0" w:line="169" w:lineRule="exact"/>
        <w:rPr>
          <w:sz w:val="20"/>
          <w:szCs w:val="20"/>
          <w:color w:val="auto"/>
        </w:rPr>
      </w:pPr>
    </w:p>
    <w:p>
      <w:pPr>
        <w:ind w:left="720" w:hanging="319"/>
        <w:spacing w:after="0"/>
        <w:tabs>
          <w:tab w:leader="none" w:pos="7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job losses, lower income levels or other population and employment trends;</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bankruptcies;</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higher consumer debt and interest rates;</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reduced access to credit;</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higher energy and fuel costs;</w:t>
      </w:r>
    </w:p>
    <w:p>
      <w:pPr>
        <w:spacing w:after="0" w:line="224"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relative or perceived cost, availability and comfort of RV use versus other modes of travel, such as air travel and rail;</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67" w:name="page68"/>
    <w:bookmarkEnd w:id="6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falling home prices;</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lower consumer confidence or discretionary consumer spending;</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higher inflation rates;</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uncertainty or changes in tax policies and tax rates;</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uncertainty or changes in import/export policies, including tariffs;</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uncertainty due to national or international security concerns; or</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other general economic conditions, including deflation and recessions.</w:t>
      </w:r>
    </w:p>
    <w:p>
      <w:pPr>
        <w:spacing w:after="0" w:line="224"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We also rely on our store locations to attract and retain customers and to build our customer database. If we close store locations, are unable to open new store locations, including greenfield locations and acquisitions, on the timelines we anticipate or at all due to general economic conditions or otherwise, or experience declines in customer transactions in our existing store locations due to general economic conditions or otherwise, our ability to maintain and grow our customer database and our Active Customers will be limited, which could have a material adverse effect on our business, financial condition and results of operations.</w:t>
      </w:r>
    </w:p>
    <w:p>
      <w:pPr>
        <w:spacing w:after="0" w:line="179"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In addition, political conditions, including new and changing laws or tariffs, regulations, executive orders and enforcement priorities, may create uncertainty about how such laws and regulations will be interpreted and applied and, consequently, may create market uncertainty. This may adversely impact customer demand, increase our costs and adversely impact our business.</w:t>
      </w:r>
    </w:p>
    <w:p>
      <w:pPr>
        <w:spacing w:after="0" w:line="174"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Decreases in Active Customers, average spend per customer, or retention and renewal rates for our Good Sam services and plans have, at times, negatively affected and could in the future negatively affect our financial performance, and a prolonged period of depressed consumer spending could have a material adverse effect on our business. For instance, our Active Customers declined in 2025. In prior years and to some extent in 2025, promotional activities and decreased demand for consumer products affected our profitability and margins, and this negative impact could return or worsen in future periods. In addition, adverse economic conditions may result in an increase in our operating expenses due to, among other things, higher costs of labor, energy, equipment and facilities, as well as higher tariffs. Due to fluctuations in the U.S. economy, our sales, operating and financial results for a particular period are difficult to predict, making it difficult to forecast results for future periods. Additionally, we are subject to economic fluctuations in local markets that may not reflect the economic conditions of the U.S. economy. Any of the foregoing factors could have a material adverse effect on our business, financial condition and results of operations.</w:t>
      </w:r>
    </w:p>
    <w:p>
      <w:pPr>
        <w:spacing w:after="0" w:line="183"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In addition, the success of our recurring Good Sam services and plans, as well as our RV and outdoor retail business, depends, in part, on our customers’ use of certain RV websites and/or the purchase of services, protection plans, products and resources through participating merchants, as well as the health of the RV industry generally.</w:t>
      </w:r>
    </w:p>
    <w:p>
      <w:pPr>
        <w:spacing w:after="0" w:line="174"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In addition, during recent periods we have faced, and may continue to face, increased competition from other businesses with similar product and service offerings. For example, our competitors have listed RVs at or below cost. As a result, we responded and may need to further respond by establishing pricing, marketing and other programs or by seeking out additional strategic alliances or acquisitions that may be less favorable to us than we could otherwise establish or obtain in more favorable economic environments. Such programs have adversely impacted our gross margin, operating margin and selling, general and administrative expenses. In addition, declines in the national economy could cause partners who participate in our programs to go out of business. Should the number of partners entering bankruptcy rise, it is likely that the number of uncollectible accounts would also rise. These factors could have a material adverse effect on our business, financial condition and results of operations.</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68" w:name="page69"/>
    <w:bookmarkEnd w:id="6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In February 2026, the United States and Israel launched coordinated military strikes against Iran, which retaliated with missile attacks across the region. Although we do not have material operations in the Middle East, the ongoing conflict and any further escalation have led, and could continue to lead, to significant disruption of global energy supplies and increases in global energy prices, which could reduce consumer demand for RVs and apply downward pressure on average selling prices, particularly given the seasonal nature of our business and our reliance on discretionary consumer spending during peak spring and summer selling months. The conflict could also heighten inflationary pressures on our input costs and supply chain, adversely affect global supply chains, energy markets, commodity prices, currency exchange rates, interest rates, financial markets and overall macroeconomic conditions, increase our borrowing costs under our variable-rate credit facilities, reduce the availability or increase the cost of debt financing, and adversely impact consumer spending patterns in markets in which we operate. While the impacts of the conflict between the United States, Israel and Iran may have an adverse effect on our business, financial condition and results of operations, we are unable to predict the extent or nature of these impacts at this time.</w:t>
      </w:r>
    </w:p>
    <w:p>
      <w:pPr>
        <w:spacing w:after="0" w:line="182" w:lineRule="exact"/>
        <w:rPr>
          <w:sz w:val="20"/>
          <w:szCs w:val="20"/>
          <w:color w:val="auto"/>
        </w:rPr>
      </w:pPr>
    </w:p>
    <w:p>
      <w:pPr>
        <w:jc w:val="both"/>
        <w:ind w:left="60" w:right="79" w:firstLine="648"/>
        <w:spacing w:after="0" w:line="278" w:lineRule="auto"/>
        <w:rPr>
          <w:sz w:val="20"/>
          <w:szCs w:val="20"/>
          <w:color w:val="auto"/>
        </w:rPr>
      </w:pPr>
      <w:r>
        <w:rPr>
          <w:rFonts w:ascii="Arial" w:cs="Arial" w:eastAsia="Arial" w:hAnsi="Arial"/>
          <w:sz w:val="18"/>
          <w:szCs w:val="18"/>
          <w:b w:val="1"/>
          <w:bCs w:val="1"/>
          <w:i w:val="1"/>
          <w:iCs w:val="1"/>
          <w:color w:val="auto"/>
        </w:rPr>
        <w:t>We have been named in litigation, which has resulted in substantial costs and may result in reputational harm and divert management’s attention and resources.</w:t>
      </w:r>
    </w:p>
    <w:p>
      <w:pPr>
        <w:spacing w:after="0" w:line="139"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We face legal risks in our business, including claims from disputes with our employees and our former employees and claims associated with general commercial disputes, product liability and other matters. Risks associated with legal liability often are difficult to assess or quantify and their existence and magnitude can remain unknown for significant periods of time.</w:t>
      </w:r>
    </w:p>
    <w:p>
      <w:pPr>
        <w:spacing w:after="0" w:line="174"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We have been named in the past, are currently named and may be named in the future as defendants of class action lawsuits, including wage and hour class action litigation. We have been and currently are subject to securities class action litigation and may be subject to similar or other litigation in the future. For information regarding these lawsuits, refer to Note 11 – Commitments and Contingencies – Litigation to our condensed consolidated financial statements included in Part I, Item 1 of this Form 10-Q.</w:t>
      </w:r>
    </w:p>
    <w:p>
      <w:pPr>
        <w:spacing w:after="0" w:line="176"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The results of any current or future legal proceedings cannot be predicted with certainty. Regardless of their subject matter or merits, such legal proceedings have resulted in and are likely to continue to result in significant cost to us, which may not be covered by insurance, may divert the attention of management or may otherwise have an adverse effect on our business, financial condition and results of operations. Negative publicity or negative outcomes from litigation, whether or not resulting in a substantial cost, could materially damage our reputation, could limit our operations and could have a material adverse effect on our business, financial condition, results of operations, and the price of our Class A common stock. In addition, such legal proceedings may make it more difficult to finance our operations.</w:t>
      </w:r>
    </w:p>
    <w:p>
      <w:pPr>
        <w:spacing w:after="0" w:line="182" w:lineRule="exact"/>
        <w:rPr>
          <w:sz w:val="20"/>
          <w:szCs w:val="20"/>
          <w:color w:val="auto"/>
        </w:rPr>
      </w:pPr>
    </w:p>
    <w:p>
      <w:pPr>
        <w:jc w:val="both"/>
        <w:ind w:left="60" w:right="59" w:firstLine="648"/>
        <w:spacing w:after="0" w:line="278" w:lineRule="auto"/>
        <w:rPr>
          <w:sz w:val="20"/>
          <w:szCs w:val="20"/>
          <w:color w:val="auto"/>
        </w:rPr>
      </w:pPr>
      <w:r>
        <w:rPr>
          <w:rFonts w:ascii="Arial" w:cs="Arial" w:eastAsia="Arial" w:hAnsi="Arial"/>
          <w:sz w:val="18"/>
          <w:szCs w:val="18"/>
          <w:b w:val="1"/>
          <w:bCs w:val="1"/>
          <w:i w:val="1"/>
          <w:iCs w:val="1"/>
          <w:color w:val="auto"/>
        </w:rPr>
        <w:t>We have incurred, and could incur, asset impairment charges for goodwill, intangible assets or other long-lived assets.</w:t>
      </w:r>
    </w:p>
    <w:p>
      <w:pPr>
        <w:spacing w:after="0" w:line="139"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We have a significant amount of goodwill, intangible assets and other long-lived assets. At least annually, we review goodwill for impairment. Long-lived assets, operating lease assets, identifiable intangible assets and goodwill are also reviewed for impairment whenever events or changes in circumstances indicate the carrying amount of an asset may not be recoverable from future cash flows. These events or circumstances could include a significant change in the business climate, legal factors, operating performance indicators, competition, sale or disposition of a significant portion of the business or other factors. If the carrying value of a long-lived asset is considered impaired, an impairment charge is recorded for the amount by which the carrying value of the long-lived asset exceeds its fair value. Our determination of future cash flows, future recoverability and fair value of our long-lived assets as well as the reporting unit fair value used in our goodwill analysis include significant estimates and assumptions. Changes in those estimates or assumptions or lower than anticipated future financial performance have resulted in, and may in the future result in, the identification of an impaired asset and a noncash impairment charge, which could be material. For example, during the third quarter of 2026, we recognized a material goodwill impairment charge of $286.7 million relating to our RV and Outdoor Retail reporting unit. Following this impairment, the fair value of the RV and Outdoor Retail reporting unit equals its carrying value, and any further decline in our projected results, increase in discount rates or decrease in market multiples of comparable companies could result in additional impairment charges, which could be material. See Note 5 ─ Restructuring and Long-Lived Asset Impairment to our consolidated financial</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69" w:name="page70"/>
    <w:bookmarkEnd w:id="6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44" w:lineRule="auto"/>
        <w:rPr>
          <w:sz w:val="20"/>
          <w:szCs w:val="20"/>
          <w:color w:val="auto"/>
        </w:rPr>
      </w:pPr>
      <w:r>
        <w:rPr>
          <w:rFonts w:ascii="Arial" w:cs="Arial" w:eastAsia="Arial" w:hAnsi="Arial"/>
          <w:sz w:val="18"/>
          <w:szCs w:val="18"/>
          <w:color w:val="auto"/>
        </w:rPr>
        <w:t>statements included in Item 8 of Part II of our Annual Report for a discussion of impairment charges for the year ended December 31, 2025 and Note 7 ─ Goodwill and Intangible Assets to our Unaudited Condensed Consolidated Financial Statements included in Item 1 of Part I of this Form 10-Q. We may in the future identify additional impairment charges and any such charges could adversely affect our business, financial condition and results of operations.</w:t>
      </w:r>
    </w:p>
    <w:p>
      <w:pPr>
        <w:spacing w:after="0" w:line="178" w:lineRule="exact"/>
        <w:rPr>
          <w:sz w:val="20"/>
          <w:szCs w:val="20"/>
          <w:color w:val="auto"/>
        </w:rPr>
      </w:pPr>
    </w:p>
    <w:p>
      <w:pPr>
        <w:jc w:val="both"/>
        <w:ind w:left="60" w:right="59" w:firstLine="648"/>
        <w:spacing w:after="0" w:line="278" w:lineRule="auto"/>
        <w:rPr>
          <w:sz w:val="20"/>
          <w:szCs w:val="20"/>
          <w:color w:val="auto"/>
        </w:rPr>
      </w:pPr>
      <w:r>
        <w:rPr>
          <w:rFonts w:ascii="Arial" w:cs="Arial" w:eastAsia="Arial" w:hAnsi="Arial"/>
          <w:sz w:val="18"/>
          <w:szCs w:val="18"/>
          <w:b w:val="1"/>
          <w:bCs w:val="1"/>
          <w:i w:val="1"/>
          <w:iCs w:val="1"/>
          <w:color w:val="auto"/>
        </w:rPr>
        <w:t>Our ability to operate and expand our business and to respond to changing business and economic conditions will depend on the availability of adequate capital.</w:t>
      </w:r>
    </w:p>
    <w:p>
      <w:pPr>
        <w:spacing w:after="0" w:line="139"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The operation of our business, the rate of our expansion and our ability to respond to changing business and economic conditions depend on the availability of adequate capital, which in turn depends partly on cash flow generated by our business. We also require sufficient cash flow to meet our obligations under our existing debt agreements. (See “Management's Discussion and Analysis of Financial Condition and Results of Operations — Liquidity and Capital Resources — Description of Senior Secured Credit Facilities and Floor Plan Facility” in Item 7 of Part II of our Annual Report). We cannot assure you that our cash flow from operations or cash available under our financing agreements, including our $65.0 million revolving credit facility (the “Revolving Credit Facility”) or our floor plan financing through the Floor Plan Facility, will be sufficient to meet our needs. If we are unable to generate sufficient cash flows from operations in the future, and if availability under our Revolving Credit Facility or our Floor Plan Facility is not sufficient, or if additional borrowings under our Real Estate Facilities (as defined in Note 10 — Long-Term Debt to our consolidated financial statements included in Item 8 of Part II of our Annual Report) are unavailable, we may have to obtain additional financing. If we obtain additional capital by issuing equity, the interests of our existing stockholders will be diluted. If we incur additional indebtedness, that indebtedness may contain significant financial and other covenants that may significantly restrict our operations.</w:t>
      </w:r>
    </w:p>
    <w:p>
      <w:pPr>
        <w:spacing w:after="0" w:line="188"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In October 2026, we announced that we are exploring the refinancing of our Senior Secured Credit Facilities. Our ability to refinance our indebtedness on acceptable terms, or at all, will depend on, among other things, conditions in the credit markets, prevailing interest rates, our financial performance and leverage, and our credit ratings, many of which are beyond our control. Any refinancing may bear interest at higher rates than our existing indebtedness, may require us to pay significant fees and expenses, and may contain covenants that are more restrictive than those in our existing agreements.</w:t>
      </w:r>
    </w:p>
    <w:p>
      <w:pPr>
        <w:spacing w:after="0" w:line="179"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Our Term Loan Facility matures on June 3, 2028 and our Revolving Credit Facility matures on March 3, 2028. In addition, the maturity of our Floor Plan Facility, which is otherwise February 18, 2030, will accelerate to March 5, 2028 if, by that date, our Term Loan Facility has not been repaid, refinanced, or defeased, or had its maturity extended to a date at least 180 days after February 18, 2030.</w:t>
      </w:r>
    </w:p>
    <w:p>
      <w:pPr>
        <w:spacing w:after="0" w:line="174"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If we are unable to refinance our Senior Secured Credit Facilities on acceptable terms before the Term Loan Facility’s maturity, or before March 5, 2028 in the case of the Floor Plan Facility, we may not have sufficient liquidity to repay our indebtedness or to finance our new and used vehicle inventory, which would have a material adverse effect on our business, financial condition and results of operations. In addition, substantially all of our borrowings bear interest at variable rates, and increases in interest rates, such as the increase in the federal funds rate in September 2026, increase our interest expense and reduce the cash flow available for our operations.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12"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7"/>
          <w:szCs w:val="17"/>
          <w:color w:val="auto"/>
        </w:rPr>
        <w:t>Since we are a holding company, our ability to pay cash dividends on our Class A common stock, if any, depends on our receipt of cash distributions from CWGS, LLC and, through CWGS, LLC, cash distributions and dividends from its operating subsidiaries, which may restrict our ability to pay dividends as a result of the laws of their jurisdiction of organization, agreements of our subsidiaries or covenants under any existing and future outstanding indebtedness we or our subsidiaries incur. In particular, our ability to pay any cash dividends on our Class A common stock is limited by restrictions on the ability of CWGS, LLC and our other subsidiaries and us to pay dividends or make distributions to us under the terms of our Senior Secured Credit Facilities and Floor Plan Facility. See “Dividend Policy” included in Part II, Item 5 of our Annual Report and “Risk Factors ─ Risks Relating to Ownership of Our Class A Common Stock ─ Our ability and intention to pay dividends on our</w:t>
      </w:r>
    </w:p>
    <w:p>
      <w:pPr>
        <w:sectPr>
          <w:pgSz w:w="11900" w:h="16838" w:orient="portrait"/>
          <w:cols w:equalWidth="0" w:num="1">
            <w:col w:w="9019"/>
          </w:cols>
          <w:pgMar w:left="1440" w:top="512" w:right="1440"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70" w:name="page71"/>
    <w:bookmarkEnd w:id="7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71" w:lineRule="auto"/>
        <w:rPr>
          <w:sz w:val="20"/>
          <w:szCs w:val="20"/>
          <w:color w:val="auto"/>
        </w:rPr>
      </w:pPr>
      <w:r>
        <w:rPr>
          <w:rFonts w:ascii="Arial" w:cs="Arial" w:eastAsia="Arial" w:hAnsi="Arial"/>
          <w:sz w:val="18"/>
          <w:szCs w:val="18"/>
          <w:color w:val="auto"/>
        </w:rPr>
        <w:t>Class A common stock, if any, is subject to the discretion of our Board of Directors and may be limited by our structure and statutory restrictions” included in Part I, Item 1A of our Annual Report.</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212" w:lineRule="exact"/>
        <w:rPr>
          <w:sz w:val="20"/>
          <w:szCs w:val="20"/>
          <w:color w:val="auto"/>
        </w:rPr>
      </w:pPr>
    </w:p>
    <w:p>
      <w:pPr>
        <w:ind w:left="700" w:right="3439" w:hanging="650"/>
        <w:spacing w:after="0" w:line="485" w:lineRule="auto"/>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Disclosure in lieu of reporting on a Current Report on Form 8-K. None.</w:t>
      </w:r>
    </w:p>
    <w:p>
      <w:pPr>
        <w:ind w:left="700" w:right="279" w:hanging="650"/>
        <w:spacing w:after="0" w:line="271" w:lineRule="auto"/>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Material changes to the procedures by which security holders may recommend nominees to the board of directors.</w:t>
      </w:r>
    </w:p>
    <w:p>
      <w:pPr>
        <w:spacing w:after="0" w:line="153" w:lineRule="exact"/>
        <w:rPr>
          <w:rFonts w:ascii="Arial" w:cs="Arial" w:eastAsia="Arial" w:hAnsi="Arial"/>
          <w:sz w:val="18"/>
          <w:szCs w:val="18"/>
          <w:color w:val="auto"/>
        </w:rPr>
      </w:pPr>
    </w:p>
    <w:p>
      <w:pPr>
        <w:ind w:left="700"/>
        <w:spacing w:after="0"/>
        <w:rPr>
          <w:rFonts w:ascii="Arial" w:cs="Arial" w:eastAsia="Arial" w:hAnsi="Arial"/>
          <w:sz w:val="18"/>
          <w:szCs w:val="18"/>
          <w:color w:val="auto"/>
        </w:rPr>
      </w:pPr>
      <w:r>
        <w:rPr>
          <w:rFonts w:ascii="Arial" w:cs="Arial" w:eastAsia="Arial" w:hAnsi="Arial"/>
          <w:sz w:val="18"/>
          <w:szCs w:val="18"/>
          <w:color w:val="auto"/>
        </w:rPr>
        <w:t>None.</w:t>
      </w:r>
    </w:p>
    <w:p>
      <w:pPr>
        <w:spacing w:after="0" w:line="211" w:lineRule="exact"/>
        <w:rPr>
          <w:rFonts w:ascii="Arial" w:cs="Arial" w:eastAsia="Arial" w:hAnsi="Arial"/>
          <w:sz w:val="18"/>
          <w:szCs w:val="18"/>
          <w:color w:val="auto"/>
        </w:rPr>
      </w:pPr>
    </w:p>
    <w:p>
      <w:pPr>
        <w:ind w:left="700" w:hanging="650"/>
        <w:spacing w:after="0"/>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Insider trading arrangements and policies.</w:t>
      </w:r>
    </w:p>
    <w:p>
      <w:pPr>
        <w:spacing w:after="0" w:line="212" w:lineRule="exact"/>
        <w:rPr>
          <w:sz w:val="20"/>
          <w:szCs w:val="20"/>
          <w:color w:val="auto"/>
        </w:rPr>
      </w:pPr>
    </w:p>
    <w:p>
      <w:pPr>
        <w:jc w:val="both"/>
        <w:ind w:left="60" w:right="79" w:firstLine="648"/>
        <w:spacing w:after="0" w:line="253" w:lineRule="auto"/>
        <w:rPr>
          <w:sz w:val="20"/>
          <w:szCs w:val="20"/>
          <w:color w:val="auto"/>
        </w:rPr>
      </w:pPr>
      <w:r>
        <w:rPr>
          <w:rFonts w:ascii="Arial" w:cs="Arial" w:eastAsia="Arial" w:hAnsi="Arial"/>
          <w:sz w:val="18"/>
          <w:szCs w:val="18"/>
          <w:color w:val="auto"/>
        </w:rPr>
        <w:t>During the three months ended September 30, 2026, no director or officer of the Company adopted or terminated a “Rule 10b5-1 trading arrangement” or “non-Rule 10b5-1 trading arrangement,” as each term is defined in Item 408(a) of Regulation S-K.</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Exhibits Index</w:t>
      </w:r>
    </w:p>
    <w:p>
      <w:pPr>
        <w:spacing w:after="0" w:line="37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Incorporated by Reference</w:t>
            </w:r>
          </w:p>
        </w:tc>
        <w:tc>
          <w:tcPr>
            <w:tcW w:w="7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ind w:left="160"/>
              <w:spacing w:after="0"/>
              <w:rPr>
                <w:sz w:val="20"/>
                <w:szCs w:val="20"/>
                <w:color w:val="auto"/>
              </w:rPr>
            </w:pPr>
            <w:r>
              <w:rPr>
                <w:rFonts w:ascii="Arial" w:cs="Arial" w:eastAsia="Arial" w:hAnsi="Arial"/>
                <w:sz w:val="14"/>
                <w:szCs w:val="14"/>
                <w:b w:val="1"/>
                <w:bCs w:val="1"/>
                <w:color w:val="auto"/>
              </w:rPr>
              <w:t>Filing</w:t>
            </w:r>
          </w:p>
        </w:tc>
        <w:tc>
          <w:tcPr>
            <w:tcW w:w="10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Furnished</w:t>
            </w:r>
          </w:p>
        </w:tc>
        <w:tc>
          <w:tcPr>
            <w:tcW w:w="0" w:type="dxa"/>
            <w:vAlign w:val="bottom"/>
          </w:tcPr>
          <w:p>
            <w:pPr>
              <w:spacing w:after="0"/>
              <w:rPr>
                <w:sz w:val="1"/>
                <w:szCs w:val="1"/>
                <w:color w:val="auto"/>
              </w:rPr>
            </w:pPr>
          </w:p>
        </w:tc>
      </w:tr>
      <w:tr>
        <w:trPr>
          <w:trHeight w:val="171"/>
        </w:trPr>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ind w:lef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3020" w:type="dxa"/>
            <w:vAlign w:val="bottom"/>
            <w:gridSpan w:val="12"/>
          </w:tcPr>
          <w:p>
            <w:pPr>
              <w:ind w:left="840"/>
              <w:spacing w:after="0"/>
              <w:rPr>
                <w:sz w:val="20"/>
                <w:szCs w:val="20"/>
                <w:color w:val="auto"/>
              </w:rPr>
            </w:pPr>
            <w:r>
              <w:rPr>
                <w:rFonts w:ascii="Arial" w:cs="Arial" w:eastAsia="Arial" w:hAnsi="Arial"/>
                <w:sz w:val="14"/>
                <w:szCs w:val="14"/>
                <w:b w:val="1"/>
                <w:bCs w:val="1"/>
                <w:color w:val="auto"/>
              </w:rPr>
              <w:t>Exhibit Description</w:t>
            </w:r>
          </w:p>
        </w:tc>
        <w:tc>
          <w:tcPr>
            <w:tcW w:w="860" w:type="dxa"/>
            <w:vAlign w:val="bottom"/>
            <w:gridSpan w:val="3"/>
          </w:tcPr>
          <w:p>
            <w:pPr>
              <w:jc w:val="center"/>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Form</w:t>
            </w:r>
            <w:r>
              <w:rPr>
                <w:rFonts w:ascii="Arial" w:cs="Arial" w:eastAsia="Arial" w:hAnsi="Arial"/>
                <w:sz w:val="14"/>
                <w:szCs w:val="14"/>
                <w:color w:val="auto"/>
              </w:rPr>
              <w:t xml:space="preserve">  ​</w:t>
            </w:r>
          </w:p>
        </w:tc>
        <w:tc>
          <w:tcPr>
            <w:tcW w:w="980" w:type="dxa"/>
            <w:vAlign w:val="bottom"/>
          </w:tcPr>
          <w:p>
            <w:pPr>
              <w:ind w:left="220"/>
              <w:spacing w:after="0"/>
              <w:rPr>
                <w:sz w:val="20"/>
                <w:szCs w:val="20"/>
                <w:color w:val="auto"/>
              </w:rPr>
            </w:pPr>
            <w:r>
              <w:rPr>
                <w:rFonts w:ascii="Arial" w:cs="Arial" w:eastAsia="Arial" w:hAnsi="Arial"/>
                <w:sz w:val="14"/>
                <w:szCs w:val="14"/>
                <w:b w:val="1"/>
                <w:bCs w:val="1"/>
                <w:color w:val="auto"/>
              </w:rPr>
              <w:t>File No.</w:t>
            </w:r>
          </w:p>
        </w:tc>
        <w:tc>
          <w:tcPr>
            <w:tcW w:w="1040" w:type="dxa"/>
            <w:vAlign w:val="bottom"/>
            <w:gridSpan w:val="3"/>
          </w:tcPr>
          <w:p>
            <w:pPr>
              <w:jc w:val="center"/>
              <w:spacing w:after="0"/>
              <w:rPr>
                <w:sz w:val="20"/>
                <w:szCs w:val="20"/>
                <w:color w:val="auto"/>
              </w:rPr>
            </w:pPr>
            <w:r>
              <w:rPr>
                <w:rFonts w:ascii="Arial" w:cs="Arial" w:eastAsia="Arial" w:hAnsi="Arial"/>
                <w:sz w:val="14"/>
                <w:szCs w:val="14"/>
                <w:b w:val="1"/>
                <w:bCs w:val="1"/>
                <w:color w:val="auto"/>
              </w:rPr>
              <w:t>​  Exhibit  ​</w:t>
            </w:r>
          </w:p>
        </w:tc>
        <w:tc>
          <w:tcPr>
            <w:tcW w:w="880" w:type="dxa"/>
            <w:vAlign w:val="bottom"/>
            <w:gridSpan w:val="2"/>
          </w:tcPr>
          <w:p>
            <w:pPr>
              <w:ind w:left="200"/>
              <w:spacing w:after="0"/>
              <w:rPr>
                <w:sz w:val="20"/>
                <w:szCs w:val="20"/>
                <w:color w:val="auto"/>
              </w:rPr>
            </w:pPr>
            <w:r>
              <w:rPr>
                <w:rFonts w:ascii="Arial" w:cs="Arial" w:eastAsia="Arial" w:hAnsi="Arial"/>
                <w:sz w:val="14"/>
                <w:szCs w:val="14"/>
                <w:b w:val="1"/>
                <w:bCs w:val="1"/>
                <w:color w:val="auto"/>
              </w:rPr>
              <w:t>Date    ​</w:t>
            </w:r>
          </w:p>
        </w:tc>
        <w:tc>
          <w:tcPr>
            <w:tcW w:w="10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2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3.1</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20" w:type="dxa"/>
            <w:vAlign w:val="bottom"/>
            <w:tcBorders>
              <w:top w:val="single" w:sz="8" w:color="auto"/>
            </w:tcBorders>
            <w:gridSpan w:val="12"/>
          </w:tcPr>
          <w:p>
            <w:pPr>
              <w:spacing w:after="0" w:line="169" w:lineRule="exact"/>
              <w:rPr>
                <w:rFonts w:ascii="Arial" w:cs="Arial" w:eastAsia="Arial" w:hAnsi="Arial"/>
                <w:sz w:val="18"/>
                <w:szCs w:val="18"/>
                <w:color w:val="0000EE"/>
              </w:rPr>
            </w:pPr>
            <w:hyperlink r:id="rId80">
              <w:r>
                <w:rPr>
                  <w:rFonts w:ascii="Arial" w:cs="Arial" w:eastAsia="Arial" w:hAnsi="Arial"/>
                  <w:sz w:val="18"/>
                  <w:szCs w:val="18"/>
                  <w:color w:val="0000EE"/>
                </w:rPr>
                <w:t>Amended and Restated Certificate of</w:t>
              </w:r>
            </w:hyperlink>
          </w:p>
        </w:tc>
        <w:tc>
          <w:tcPr>
            <w:tcW w:w="180" w:type="dxa"/>
            <w:vAlign w:val="bottom"/>
          </w:tcPr>
          <w:p>
            <w:pPr>
              <w:spacing w:after="0"/>
              <w:rPr>
                <w:sz w:val="14"/>
                <w:szCs w:val="14"/>
                <w:color w:val="auto"/>
              </w:rPr>
            </w:pPr>
          </w:p>
        </w:tc>
        <w:tc>
          <w:tcPr>
            <w:tcW w:w="48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9"/>
              </w:rPr>
              <w:t>10-Q</w:t>
            </w:r>
          </w:p>
        </w:tc>
        <w:tc>
          <w:tcPr>
            <w:tcW w:w="200" w:type="dxa"/>
            <w:vAlign w:val="bottom"/>
          </w:tcPr>
          <w:p>
            <w:pPr>
              <w:spacing w:after="0"/>
              <w:rPr>
                <w:sz w:val="14"/>
                <w:szCs w:val="14"/>
                <w:color w:val="auto"/>
              </w:rPr>
            </w:pPr>
          </w:p>
        </w:tc>
        <w:tc>
          <w:tcPr>
            <w:tcW w:w="98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9"/>
              </w:rPr>
              <w:t>001-37908</w:t>
            </w:r>
          </w:p>
        </w:tc>
        <w:tc>
          <w:tcPr>
            <w:tcW w:w="200" w:type="dxa"/>
            <w:vAlign w:val="bottom"/>
          </w:tcPr>
          <w:p>
            <w:pPr>
              <w:spacing w:after="0"/>
              <w:rPr>
                <w:sz w:val="14"/>
                <w:szCs w:val="14"/>
                <w:color w:val="auto"/>
              </w:rPr>
            </w:pPr>
          </w:p>
        </w:tc>
        <w:tc>
          <w:tcPr>
            <w:tcW w:w="66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5"/>
              </w:rPr>
              <w:t>3.1</w:t>
            </w:r>
          </w:p>
        </w:tc>
        <w:tc>
          <w:tcPr>
            <w:tcW w:w="180" w:type="dxa"/>
            <w:vAlign w:val="bottom"/>
          </w:tcPr>
          <w:p>
            <w:pPr>
              <w:spacing w:after="0"/>
              <w:rPr>
                <w:sz w:val="14"/>
                <w:szCs w:val="14"/>
                <w:color w:val="auto"/>
              </w:rPr>
            </w:pPr>
          </w:p>
        </w:tc>
        <w:tc>
          <w:tcPr>
            <w:tcW w:w="72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6"/>
              </w:rPr>
              <w:t>11/10/16</w:t>
            </w:r>
          </w:p>
        </w:tc>
        <w:tc>
          <w:tcPr>
            <w:tcW w:w="160" w:type="dxa"/>
            <w:vAlign w:val="bottom"/>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60" w:type="dxa"/>
            <w:vAlign w:val="bottom"/>
            <w:tcBorders>
              <w:top w:val="single" w:sz="8" w:color="0000EE"/>
            </w:tcBorders>
            <w:gridSpan w:val="12"/>
          </w:tcPr>
          <w:p>
            <w:pPr>
              <w:spacing w:after="0" w:line="182" w:lineRule="exact"/>
              <w:rPr>
                <w:rFonts w:ascii="Arial" w:cs="Arial" w:eastAsia="Arial" w:hAnsi="Arial"/>
                <w:sz w:val="18"/>
                <w:szCs w:val="18"/>
                <w:color w:val="0000EE"/>
              </w:rPr>
            </w:pPr>
            <w:hyperlink r:id="rId80">
              <w:r>
                <w:rPr>
                  <w:rFonts w:ascii="Arial" w:cs="Arial" w:eastAsia="Arial" w:hAnsi="Arial"/>
                  <w:sz w:val="18"/>
                  <w:szCs w:val="18"/>
                  <w:color w:val="0000EE"/>
                </w:rPr>
                <w:t>Incorporation of Camping World</w:t>
              </w:r>
            </w:hyperlink>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8"/>
              </w:rPr>
            </w:pPr>
            <w:hyperlink r:id="rId80">
              <w:r>
                <w:rPr>
                  <w:rFonts w:ascii="Arial" w:cs="Arial" w:eastAsia="Arial" w:hAnsi="Arial"/>
                  <w:sz w:val="18"/>
                  <w:szCs w:val="18"/>
                  <w:color w:val="0000EE"/>
                  <w:w w:val="98"/>
                </w:rPr>
                <w:t>Holdings, Inc.</w:t>
              </w:r>
            </w:hyperlink>
          </w:p>
        </w:tc>
        <w:tc>
          <w:tcPr>
            <w:tcW w:w="1440" w:type="dxa"/>
            <w:vAlign w:val="bottom"/>
            <w:tcBorders>
              <w:top w:val="single" w:sz="8" w:color="0000EE"/>
            </w:tcBorders>
            <w:gridSpan w:val="5"/>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gridSpan w:val="2"/>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840" w:type="dxa"/>
            <w:vAlign w:val="bottom"/>
            <w:gridSpan w:val="2"/>
          </w:tcPr>
          <w:p>
            <w:pPr>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24"/>
                <w:szCs w:val="24"/>
                <w:color w:val="auto"/>
              </w:rPr>
            </w:pPr>
          </w:p>
        </w:tc>
        <w:tc>
          <w:tcPr>
            <w:tcW w:w="2240" w:type="dxa"/>
            <w:vAlign w:val="bottom"/>
            <w:tcBorders>
              <w:bottom w:val="single" w:sz="8" w:color="0000EE"/>
            </w:tcBorders>
            <w:gridSpan w:val="5"/>
          </w:tcPr>
          <w:p>
            <w:pPr>
              <w:spacing w:after="0"/>
              <w:rPr>
                <w:rFonts w:ascii="Arial" w:cs="Arial" w:eastAsia="Arial" w:hAnsi="Arial"/>
                <w:sz w:val="18"/>
                <w:szCs w:val="18"/>
                <w:color w:val="0000EE"/>
                <w:w w:val="99"/>
              </w:rPr>
            </w:pPr>
            <w:hyperlink r:id="rId81">
              <w:r>
                <w:rPr>
                  <w:rFonts w:ascii="Arial" w:cs="Arial" w:eastAsia="Arial" w:hAnsi="Arial"/>
                  <w:sz w:val="18"/>
                  <w:szCs w:val="18"/>
                  <w:color w:val="0000EE"/>
                  <w:w w:val="99"/>
                </w:rPr>
                <w:t>Certificate of Amendment to</w:t>
              </w:r>
            </w:hyperlink>
          </w:p>
        </w:tc>
        <w:tc>
          <w:tcPr>
            <w:tcW w:w="800" w:type="dxa"/>
            <w:vAlign w:val="bottom"/>
            <w:gridSpan w:val="8"/>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8-K</w:t>
            </w: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001-37908</w:t>
            </w:r>
          </w:p>
        </w:tc>
        <w:tc>
          <w:tcPr>
            <w:tcW w:w="860" w:type="dxa"/>
            <w:vAlign w:val="bottom"/>
            <w:gridSpan w:val="2"/>
          </w:tcPr>
          <w:p>
            <w:pPr>
              <w:jc w:val="center"/>
              <w:ind w:left="95"/>
              <w:spacing w:after="0"/>
              <w:rPr>
                <w:sz w:val="20"/>
                <w:szCs w:val="20"/>
                <w:color w:val="auto"/>
              </w:rPr>
            </w:pPr>
            <w:r>
              <w:rPr>
                <w:rFonts w:ascii="Arial" w:cs="Arial" w:eastAsia="Arial" w:hAnsi="Arial"/>
                <w:sz w:val="18"/>
                <w:szCs w:val="18"/>
                <w:color w:val="auto"/>
                <w:w w:val="95"/>
              </w:rPr>
              <w:t>3.1</w:t>
            </w:r>
          </w:p>
        </w:tc>
        <w:tc>
          <w:tcPr>
            <w:tcW w:w="18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5/19/25</w:t>
            </w: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40" w:type="dxa"/>
            <w:vAlign w:val="bottom"/>
            <w:gridSpan w:val="13"/>
          </w:tcPr>
          <w:p>
            <w:pPr>
              <w:spacing w:after="0" w:line="182" w:lineRule="exact"/>
              <w:rPr>
                <w:rFonts w:ascii="Arial" w:cs="Arial" w:eastAsia="Arial" w:hAnsi="Arial"/>
                <w:sz w:val="18"/>
                <w:szCs w:val="18"/>
                <w:color w:val="0000EE"/>
              </w:rPr>
            </w:pPr>
            <w:hyperlink r:id="rId81">
              <w:r>
                <w:rPr>
                  <w:rFonts w:ascii="Arial" w:cs="Arial" w:eastAsia="Arial" w:hAnsi="Arial"/>
                  <w:sz w:val="18"/>
                  <w:szCs w:val="18"/>
                  <w:color w:val="0000EE"/>
                </w:rPr>
                <w:t>Amended and Restated Certificate of</w:t>
              </w:r>
            </w:hyperlink>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60" w:type="dxa"/>
            <w:vAlign w:val="bottom"/>
            <w:tcBorders>
              <w:top w:val="single" w:sz="8" w:color="0000EE"/>
              <w:bottom w:val="single" w:sz="8" w:color="0000EE"/>
            </w:tcBorders>
            <w:gridSpan w:val="8"/>
          </w:tcPr>
          <w:p>
            <w:pPr>
              <w:spacing w:after="0" w:line="182" w:lineRule="exact"/>
              <w:rPr>
                <w:rFonts w:ascii="Arial" w:cs="Arial" w:eastAsia="Arial" w:hAnsi="Arial"/>
                <w:sz w:val="18"/>
                <w:szCs w:val="18"/>
                <w:color w:val="0000EE"/>
                <w:w w:val="99"/>
              </w:rPr>
            </w:pPr>
            <w:hyperlink r:id="rId81">
              <w:r>
                <w:rPr>
                  <w:rFonts w:ascii="Arial" w:cs="Arial" w:eastAsia="Arial" w:hAnsi="Arial"/>
                  <w:sz w:val="18"/>
                  <w:szCs w:val="18"/>
                  <w:color w:val="0000EE"/>
                  <w:w w:val="99"/>
                </w:rPr>
                <w:t>Incorporation of Camping World</w:t>
              </w:r>
            </w:hyperlink>
          </w:p>
        </w:tc>
        <w:tc>
          <w:tcPr>
            <w:tcW w:w="400" w:type="dxa"/>
            <w:vAlign w:val="bottom"/>
            <w:tcBorders>
              <w:top w:val="single" w:sz="8" w:color="0000EE"/>
            </w:tcBorders>
            <w:gridSpan w:val="4"/>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40" w:type="dxa"/>
            <w:vAlign w:val="bottom"/>
            <w:gridSpan w:val="13"/>
          </w:tcPr>
          <w:p>
            <w:pPr>
              <w:spacing w:after="0" w:line="182" w:lineRule="exact"/>
              <w:rPr>
                <w:rFonts w:ascii="Arial" w:cs="Arial" w:eastAsia="Arial" w:hAnsi="Arial"/>
                <w:sz w:val="18"/>
                <w:szCs w:val="18"/>
                <w:color w:val="0000EE"/>
              </w:rPr>
            </w:pPr>
            <w:hyperlink r:id="rId81">
              <w:r>
                <w:rPr>
                  <w:rFonts w:ascii="Arial" w:cs="Arial" w:eastAsia="Arial" w:hAnsi="Arial"/>
                  <w:sz w:val="18"/>
                  <w:szCs w:val="18"/>
                  <w:color w:val="0000EE"/>
                </w:rPr>
                <w:t>Holdings, Inc., dated May 16, 2025</w:t>
              </w:r>
            </w:hyperlink>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840" w:type="dxa"/>
            <w:vAlign w:val="bottom"/>
            <w:gridSpan w:val="2"/>
          </w:tcPr>
          <w:p>
            <w:pPr>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24"/>
                <w:szCs w:val="24"/>
                <w:color w:val="auto"/>
              </w:rPr>
            </w:pPr>
          </w:p>
        </w:tc>
        <w:tc>
          <w:tcPr>
            <w:tcW w:w="2780" w:type="dxa"/>
            <w:vAlign w:val="bottom"/>
            <w:tcBorders>
              <w:top w:val="single" w:sz="8" w:color="0000EE"/>
            </w:tcBorders>
            <w:gridSpan w:val="11"/>
          </w:tcPr>
          <w:p>
            <w:pPr>
              <w:spacing w:after="0"/>
              <w:rPr>
                <w:rFonts w:ascii="Arial" w:cs="Arial" w:eastAsia="Arial" w:hAnsi="Arial"/>
                <w:sz w:val="18"/>
                <w:szCs w:val="18"/>
                <w:color w:val="0000EE"/>
              </w:rPr>
            </w:pPr>
            <w:hyperlink r:id="rId82">
              <w:r>
                <w:rPr>
                  <w:rFonts w:ascii="Arial" w:cs="Arial" w:eastAsia="Arial" w:hAnsi="Arial"/>
                  <w:sz w:val="18"/>
                  <w:szCs w:val="18"/>
                  <w:color w:val="0000EE"/>
                </w:rPr>
                <w:t>Amended and Restated Bylaws of</w:t>
              </w:r>
            </w:hyperlink>
          </w:p>
        </w:tc>
        <w:tc>
          <w:tcPr>
            <w:tcW w:w="26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10-Q</w:t>
            </w: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001-37908</w:t>
            </w:r>
          </w:p>
        </w:tc>
        <w:tc>
          <w:tcPr>
            <w:tcW w:w="860" w:type="dxa"/>
            <w:vAlign w:val="bottom"/>
            <w:gridSpan w:val="2"/>
          </w:tcPr>
          <w:p>
            <w:pPr>
              <w:jc w:val="center"/>
              <w:ind w:left="95"/>
              <w:spacing w:after="0"/>
              <w:rPr>
                <w:sz w:val="20"/>
                <w:szCs w:val="20"/>
                <w:color w:val="auto"/>
              </w:rPr>
            </w:pPr>
            <w:r>
              <w:rPr>
                <w:rFonts w:ascii="Arial" w:cs="Arial" w:eastAsia="Arial" w:hAnsi="Arial"/>
                <w:sz w:val="18"/>
                <w:szCs w:val="18"/>
                <w:color w:val="auto"/>
                <w:w w:val="95"/>
              </w:rPr>
              <w:t>3.2</w:t>
            </w:r>
          </w:p>
        </w:tc>
        <w:tc>
          <w:tcPr>
            <w:tcW w:w="18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5/1/25</w:t>
            </w: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20" w:type="dxa"/>
            <w:vAlign w:val="bottom"/>
            <w:tcBorders>
              <w:top w:val="single" w:sz="8" w:color="0000EE"/>
            </w:tcBorders>
            <w:gridSpan w:val="10"/>
          </w:tcPr>
          <w:p>
            <w:pPr>
              <w:spacing w:after="0" w:line="182" w:lineRule="exact"/>
              <w:rPr>
                <w:rFonts w:ascii="Arial" w:cs="Arial" w:eastAsia="Arial" w:hAnsi="Arial"/>
                <w:sz w:val="18"/>
                <w:szCs w:val="18"/>
                <w:color w:val="0000EE"/>
              </w:rPr>
            </w:pPr>
            <w:hyperlink r:id="rId82">
              <w:r>
                <w:rPr>
                  <w:rFonts w:ascii="Arial" w:cs="Arial" w:eastAsia="Arial" w:hAnsi="Arial"/>
                  <w:sz w:val="18"/>
                  <w:szCs w:val="18"/>
                  <w:color w:val="0000EE"/>
                </w:rPr>
                <w:t>Camping World Holdings, Inc.</w:t>
              </w:r>
            </w:hyperlink>
          </w:p>
        </w:tc>
        <w:tc>
          <w:tcPr>
            <w:tcW w:w="320" w:type="dxa"/>
            <w:vAlign w:val="bottom"/>
            <w:gridSpan w:val="3"/>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840" w:type="dxa"/>
            <w:vAlign w:val="bottom"/>
            <w:gridSpan w:val="2"/>
          </w:tcPr>
          <w:p>
            <w:pPr>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24"/>
                <w:szCs w:val="24"/>
                <w:color w:val="auto"/>
              </w:rPr>
            </w:pPr>
          </w:p>
        </w:tc>
        <w:tc>
          <w:tcPr>
            <w:tcW w:w="2380" w:type="dxa"/>
            <w:vAlign w:val="bottom"/>
            <w:tcBorders>
              <w:top w:val="single" w:sz="8" w:color="0000EE"/>
            </w:tcBorders>
            <w:gridSpan w:val="6"/>
          </w:tcPr>
          <w:p>
            <w:pPr>
              <w:spacing w:after="0"/>
              <w:rPr>
                <w:rFonts w:ascii="Arial" w:cs="Arial" w:eastAsia="Arial" w:hAnsi="Arial"/>
                <w:sz w:val="18"/>
                <w:szCs w:val="18"/>
                <w:color w:val="0000EE"/>
              </w:rPr>
            </w:pPr>
            <w:hyperlink r:id="rId83">
              <w:r>
                <w:rPr>
                  <w:rFonts w:ascii="Arial" w:cs="Arial" w:eastAsia="Arial" w:hAnsi="Arial"/>
                  <w:sz w:val="18"/>
                  <w:szCs w:val="18"/>
                  <w:color w:val="0000EE"/>
                </w:rPr>
                <w:t>Specimen Stock Certificate</w:t>
              </w:r>
            </w:hyperlink>
          </w:p>
        </w:tc>
        <w:tc>
          <w:tcPr>
            <w:tcW w:w="660" w:type="dxa"/>
            <w:vAlign w:val="bottom"/>
            <w:gridSpan w:val="7"/>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8"/>
                <w:szCs w:val="18"/>
                <w:color w:val="auto"/>
                <w:w w:val="97"/>
              </w:rPr>
              <w:t>S-1/A</w:t>
            </w:r>
          </w:p>
        </w:tc>
        <w:tc>
          <w:tcPr>
            <w:tcW w:w="980" w:type="dxa"/>
            <w:vAlign w:val="bottom"/>
          </w:tcPr>
          <w:p>
            <w:pPr>
              <w:jc w:val="center"/>
              <w:spacing w:after="0"/>
              <w:rPr>
                <w:sz w:val="20"/>
                <w:szCs w:val="20"/>
                <w:color w:val="auto"/>
              </w:rPr>
            </w:pPr>
            <w:r>
              <w:rPr>
                <w:rFonts w:ascii="Arial" w:cs="Arial" w:eastAsia="Arial" w:hAnsi="Arial"/>
                <w:sz w:val="18"/>
                <w:szCs w:val="18"/>
                <w:color w:val="auto"/>
                <w:w w:val="97"/>
              </w:rPr>
              <w:t>333-211977</w:t>
            </w:r>
          </w:p>
        </w:tc>
        <w:tc>
          <w:tcPr>
            <w:tcW w:w="860" w:type="dxa"/>
            <w:vAlign w:val="bottom"/>
            <w:gridSpan w:val="2"/>
          </w:tcPr>
          <w:p>
            <w:pPr>
              <w:jc w:val="center"/>
              <w:ind w:left="95"/>
              <w:spacing w:after="0"/>
              <w:rPr>
                <w:sz w:val="20"/>
                <w:szCs w:val="20"/>
                <w:color w:val="auto"/>
              </w:rPr>
            </w:pPr>
            <w:r>
              <w:rPr>
                <w:rFonts w:ascii="Arial" w:cs="Arial" w:eastAsia="Arial" w:hAnsi="Arial"/>
                <w:sz w:val="18"/>
                <w:szCs w:val="18"/>
                <w:color w:val="auto"/>
                <w:w w:val="95"/>
              </w:rPr>
              <w:t>4.1</w:t>
            </w:r>
          </w:p>
        </w:tc>
        <w:tc>
          <w:tcPr>
            <w:tcW w:w="18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9/13/16</w:t>
            </w: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40" w:type="dxa"/>
            <w:vAlign w:val="bottom"/>
            <w:gridSpan w:val="13"/>
          </w:tcPr>
          <w:p>
            <w:pPr>
              <w:spacing w:after="0" w:line="182" w:lineRule="exact"/>
              <w:rPr>
                <w:rFonts w:ascii="Arial" w:cs="Arial" w:eastAsia="Arial" w:hAnsi="Arial"/>
                <w:sz w:val="18"/>
                <w:szCs w:val="18"/>
                <w:color w:val="0000EE"/>
              </w:rPr>
            </w:pPr>
            <w:hyperlink r:id="rId83">
              <w:r>
                <w:rPr>
                  <w:rFonts w:ascii="Arial" w:cs="Arial" w:eastAsia="Arial" w:hAnsi="Arial"/>
                  <w:sz w:val="18"/>
                  <w:szCs w:val="18"/>
                  <w:color w:val="0000EE"/>
                </w:rPr>
                <w:t>evidencing the shares of Class A</w:t>
              </w:r>
            </w:hyperlink>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20" w:type="dxa"/>
            <w:vAlign w:val="bottom"/>
            <w:tcBorders>
              <w:top w:val="single" w:sz="8" w:color="0000EE"/>
            </w:tcBorders>
            <w:gridSpan w:val="9"/>
          </w:tcPr>
          <w:p>
            <w:pPr>
              <w:spacing w:after="0" w:line="182" w:lineRule="exact"/>
              <w:rPr>
                <w:rFonts w:ascii="Arial" w:cs="Arial" w:eastAsia="Arial" w:hAnsi="Arial"/>
                <w:sz w:val="18"/>
                <w:szCs w:val="18"/>
                <w:color w:val="0000EE"/>
              </w:rPr>
            </w:pPr>
            <w:hyperlink r:id="rId83">
              <w:r>
                <w:rPr>
                  <w:rFonts w:ascii="Arial" w:cs="Arial" w:eastAsia="Arial" w:hAnsi="Arial"/>
                  <w:sz w:val="18"/>
                  <w:szCs w:val="18"/>
                  <w:color w:val="0000EE"/>
                </w:rPr>
                <w:t>common stock</w:t>
              </w:r>
            </w:hyperlink>
          </w:p>
        </w:tc>
        <w:tc>
          <w:tcPr>
            <w:tcW w:w="420" w:type="dxa"/>
            <w:vAlign w:val="bottom"/>
            <w:gridSpan w:val="4"/>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75"/>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2"/>
          </w:tcPr>
          <w:p>
            <w:pPr>
              <w:jc w:val="right"/>
              <w:ind w:right="90"/>
              <w:spacing w:after="0"/>
              <w:rPr>
                <w:sz w:val="20"/>
                <w:szCs w:val="20"/>
                <w:color w:val="auto"/>
              </w:rPr>
            </w:pPr>
            <w:r>
              <w:rPr>
                <w:rFonts w:ascii="Arial" w:cs="Arial" w:eastAsia="Arial" w:hAnsi="Arial"/>
                <w:sz w:val="18"/>
                <w:szCs w:val="18"/>
                <w:color w:val="auto"/>
              </w:rPr>
              <w:t>69</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3"/>
        </w:trPr>
        <w:tc>
          <w:tcPr>
            <w:tcW w:w="2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2" w:right="1440" w:bottom="1440" w:gutter="0" w:footer="0" w:header="0"/>
        </w:sectPr>
      </w:pPr>
    </w:p>
    <w:bookmarkStart w:id="71" w:name="page72"/>
    <w:bookmarkEnd w:id="7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Incorporated by Reference</w:t>
            </w:r>
          </w:p>
        </w:tc>
        <w:tc>
          <w:tcPr>
            <w:tcW w:w="7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Filing</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Furnished</w:t>
            </w:r>
          </w:p>
        </w:tc>
        <w:tc>
          <w:tcPr>
            <w:tcW w:w="0" w:type="dxa"/>
            <w:vAlign w:val="bottom"/>
          </w:tcPr>
          <w:p>
            <w:pPr>
              <w:spacing w:after="0"/>
              <w:rPr>
                <w:sz w:val="1"/>
                <w:szCs w:val="1"/>
                <w:color w:val="auto"/>
              </w:rPr>
            </w:pPr>
          </w:p>
        </w:tc>
      </w:tr>
      <w:tr>
        <w:trPr>
          <w:trHeight w:val="171"/>
        </w:trPr>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ind w:lef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500" w:type="dxa"/>
            <w:vAlign w:val="bottom"/>
            <w:gridSpan w:val="26"/>
          </w:tcPr>
          <w:p>
            <w:pPr>
              <w:ind w:left="320"/>
              <w:spacing w:after="0"/>
              <w:rPr>
                <w:sz w:val="20"/>
                <w:szCs w:val="20"/>
                <w:color w:val="auto"/>
              </w:rPr>
            </w:pPr>
            <w:r>
              <w:rPr>
                <w:rFonts w:ascii="Arial" w:cs="Arial" w:eastAsia="Arial" w:hAnsi="Arial"/>
                <w:sz w:val="14"/>
                <w:szCs w:val="14"/>
                <w:b w:val="1"/>
                <w:bCs w:val="1"/>
                <w:color w:val="auto"/>
              </w:rPr>
              <w:t>Exhibit Description</w:t>
            </w:r>
          </w:p>
        </w:tc>
        <w:tc>
          <w:tcPr>
            <w:tcW w:w="860" w:type="dxa"/>
            <w:vAlign w:val="bottom"/>
            <w:gridSpan w:val="3"/>
          </w:tcPr>
          <w:p>
            <w:pPr>
              <w:jc w:val="center"/>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Form</w:t>
            </w:r>
            <w:r>
              <w:rPr>
                <w:rFonts w:ascii="Arial" w:cs="Arial" w:eastAsia="Arial" w:hAnsi="Arial"/>
                <w:sz w:val="14"/>
                <w:szCs w:val="14"/>
                <w:color w:val="auto"/>
              </w:rPr>
              <w:t xml:space="preserve">  ​</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File No.</w:t>
            </w:r>
          </w:p>
        </w:tc>
        <w:tc>
          <w:tcPr>
            <w:tcW w:w="1040" w:type="dxa"/>
            <w:vAlign w:val="bottom"/>
            <w:gridSpan w:val="3"/>
          </w:tcPr>
          <w:p>
            <w:pPr>
              <w:jc w:val="center"/>
              <w:spacing w:after="0"/>
              <w:rPr>
                <w:sz w:val="20"/>
                <w:szCs w:val="20"/>
                <w:color w:val="auto"/>
              </w:rPr>
            </w:pPr>
            <w:r>
              <w:rPr>
                <w:rFonts w:ascii="Arial" w:cs="Arial" w:eastAsia="Arial" w:hAnsi="Arial"/>
                <w:sz w:val="14"/>
                <w:szCs w:val="14"/>
                <w:b w:val="1"/>
                <w:bCs w:val="1"/>
                <w:color w:val="auto"/>
              </w:rPr>
              <w:t>​  Exhibit  ​</w:t>
            </w:r>
          </w:p>
        </w:tc>
        <w:tc>
          <w:tcPr>
            <w:tcW w:w="880" w:type="dxa"/>
            <w:vAlign w:val="bottom"/>
            <w:gridSpan w:val="2"/>
          </w:tcPr>
          <w:p>
            <w:pPr>
              <w:ind w:left="200"/>
              <w:spacing w:after="0"/>
              <w:rPr>
                <w:sz w:val="20"/>
                <w:szCs w:val="20"/>
                <w:color w:val="auto"/>
              </w:rPr>
            </w:pPr>
            <w:r>
              <w:rPr>
                <w:rFonts w:ascii="Arial" w:cs="Arial" w:eastAsia="Arial" w:hAnsi="Arial"/>
                <w:sz w:val="14"/>
                <w:szCs w:val="14"/>
                <w:b w:val="1"/>
                <w:bCs w:val="1"/>
                <w:color w:val="auto"/>
              </w:rPr>
              <w:t>Date    ​</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2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10.1</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20" w:type="dxa"/>
            <w:vAlign w:val="bottom"/>
            <w:tcBorders>
              <w:top w:val="single" w:sz="8" w:color="auto"/>
            </w:tcBorders>
            <w:gridSpan w:val="27"/>
          </w:tcPr>
          <w:p>
            <w:pPr>
              <w:spacing w:after="0" w:line="169" w:lineRule="exact"/>
              <w:rPr>
                <w:rFonts w:ascii="Arial" w:cs="Arial" w:eastAsia="Arial" w:hAnsi="Arial"/>
                <w:sz w:val="18"/>
                <w:szCs w:val="18"/>
                <w:color w:val="0000EE"/>
              </w:rPr>
            </w:pPr>
            <w:hyperlink r:id="rId84">
              <w:r>
                <w:rPr>
                  <w:rFonts w:ascii="Arial" w:cs="Arial" w:eastAsia="Arial" w:hAnsi="Arial"/>
                  <w:sz w:val="18"/>
                  <w:szCs w:val="18"/>
                  <w:color w:val="0000EE"/>
                </w:rPr>
                <w:t>Amended and Restated Credit</w:t>
              </w:r>
            </w:hyperlink>
          </w:p>
        </w:tc>
        <w:tc>
          <w:tcPr>
            <w:tcW w:w="180" w:type="dxa"/>
            <w:vAlign w:val="bottom"/>
          </w:tcPr>
          <w:p>
            <w:pPr>
              <w:spacing w:after="0"/>
              <w:rPr>
                <w:sz w:val="14"/>
                <w:szCs w:val="14"/>
                <w:color w:val="auto"/>
              </w:rPr>
            </w:pPr>
          </w:p>
        </w:tc>
        <w:tc>
          <w:tcPr>
            <w:tcW w:w="48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9"/>
              </w:rPr>
              <w:t>8-K</w:t>
            </w:r>
          </w:p>
        </w:tc>
        <w:tc>
          <w:tcPr>
            <w:tcW w:w="200" w:type="dxa"/>
            <w:vAlign w:val="bottom"/>
          </w:tcPr>
          <w:p>
            <w:pPr>
              <w:spacing w:after="0"/>
              <w:rPr>
                <w:sz w:val="14"/>
                <w:szCs w:val="14"/>
                <w:color w:val="auto"/>
              </w:rPr>
            </w:pPr>
          </w:p>
        </w:tc>
        <w:tc>
          <w:tcPr>
            <w:tcW w:w="98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9"/>
              </w:rPr>
              <w:t>001-37908</w:t>
            </w:r>
          </w:p>
        </w:tc>
        <w:tc>
          <w:tcPr>
            <w:tcW w:w="200" w:type="dxa"/>
            <w:vAlign w:val="bottom"/>
          </w:tcPr>
          <w:p>
            <w:pPr>
              <w:spacing w:after="0"/>
              <w:rPr>
                <w:sz w:val="14"/>
                <w:szCs w:val="14"/>
                <w:color w:val="auto"/>
              </w:rPr>
            </w:pPr>
          </w:p>
        </w:tc>
        <w:tc>
          <w:tcPr>
            <w:tcW w:w="66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rPr>
              <w:t>10.1</w:t>
            </w:r>
          </w:p>
        </w:tc>
        <w:tc>
          <w:tcPr>
            <w:tcW w:w="180" w:type="dxa"/>
            <w:vAlign w:val="bottom"/>
          </w:tcPr>
          <w:p>
            <w:pPr>
              <w:spacing w:after="0"/>
              <w:rPr>
                <w:sz w:val="14"/>
                <w:szCs w:val="14"/>
                <w:color w:val="auto"/>
              </w:rPr>
            </w:pPr>
          </w:p>
        </w:tc>
        <w:tc>
          <w:tcPr>
            <w:tcW w:w="72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9"/>
              </w:rPr>
              <w:t>8/31/26</w:t>
            </w:r>
          </w:p>
        </w:tc>
        <w:tc>
          <w:tcPr>
            <w:tcW w:w="160" w:type="dxa"/>
            <w:vAlign w:val="bottom"/>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20" w:type="dxa"/>
            <w:vAlign w:val="bottom"/>
            <w:tcBorders>
              <w:top w:val="single" w:sz="8" w:color="0000EE"/>
            </w:tcBorders>
            <w:gridSpan w:val="6"/>
          </w:tcPr>
          <w:p>
            <w:pPr>
              <w:spacing w:after="0" w:line="182" w:lineRule="exact"/>
              <w:rPr>
                <w:rFonts w:ascii="Arial" w:cs="Arial" w:eastAsia="Arial" w:hAnsi="Arial"/>
                <w:sz w:val="18"/>
                <w:szCs w:val="18"/>
                <w:color w:val="0000EE"/>
              </w:rPr>
            </w:pPr>
            <w:hyperlink r:id="rId84">
              <w:r>
                <w:rPr>
                  <w:rFonts w:ascii="Arial" w:cs="Arial" w:eastAsia="Arial" w:hAnsi="Arial"/>
                  <w:sz w:val="18"/>
                  <w:szCs w:val="18"/>
                  <w:color w:val="0000EE"/>
                </w:rPr>
                <w:t>Agreement, dated August 25,</w:t>
              </w:r>
            </w:hyperlink>
          </w:p>
        </w:tc>
        <w:tc>
          <w:tcPr>
            <w:tcW w:w="440" w:type="dxa"/>
            <w:vAlign w:val="bottom"/>
            <w:gridSpan w:val="16"/>
          </w:tcPr>
          <w:p>
            <w:pPr>
              <w:jc w:val="right"/>
              <w:ind w:right="20"/>
              <w:spacing w:after="0" w:line="182" w:lineRule="exact"/>
              <w:rPr>
                <w:rFonts w:ascii="Arial" w:cs="Arial" w:eastAsia="Arial" w:hAnsi="Arial"/>
                <w:sz w:val="18"/>
                <w:szCs w:val="18"/>
                <w:color w:val="0000EE"/>
                <w:w w:val="88"/>
              </w:rPr>
            </w:pPr>
            <w:hyperlink r:id="rId84">
              <w:r>
                <w:rPr>
                  <w:rFonts w:ascii="Arial" w:cs="Arial" w:eastAsia="Arial" w:hAnsi="Arial"/>
                  <w:sz w:val="18"/>
                  <w:szCs w:val="18"/>
                  <w:color w:val="0000EE"/>
                  <w:w w:val="88"/>
                </w:rPr>
                <w:t>2026,</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40" w:type="dxa"/>
            <w:vAlign w:val="bottom"/>
            <w:tcBorders>
              <w:top w:val="single" w:sz="8" w:color="0000EE"/>
              <w:bottom w:val="single" w:sz="8" w:color="0000EE"/>
            </w:tcBorders>
            <w:gridSpan w:val="21"/>
          </w:tcPr>
          <w:p>
            <w:pPr>
              <w:spacing w:after="0" w:line="182" w:lineRule="exact"/>
              <w:rPr>
                <w:rFonts w:ascii="Arial" w:cs="Arial" w:eastAsia="Arial" w:hAnsi="Arial"/>
                <w:sz w:val="18"/>
                <w:szCs w:val="18"/>
                <w:color w:val="0000EE"/>
                <w:w w:val="97"/>
              </w:rPr>
            </w:pPr>
            <w:hyperlink r:id="rId84">
              <w:r>
                <w:rPr>
                  <w:rFonts w:ascii="Arial" w:cs="Arial" w:eastAsia="Arial" w:hAnsi="Arial"/>
                  <w:sz w:val="18"/>
                  <w:szCs w:val="18"/>
                  <w:color w:val="0000EE"/>
                  <w:w w:val="97"/>
                </w:rPr>
                <w:t>by and among subsidiaries of FRHP</w:t>
              </w:r>
            </w:hyperlink>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80" w:type="dxa"/>
            <w:vAlign w:val="bottom"/>
            <w:gridSpan w:val="23"/>
          </w:tcPr>
          <w:p>
            <w:pPr>
              <w:spacing w:after="0" w:line="182" w:lineRule="exact"/>
              <w:rPr>
                <w:rFonts w:ascii="Arial" w:cs="Arial" w:eastAsia="Arial" w:hAnsi="Arial"/>
                <w:sz w:val="18"/>
                <w:szCs w:val="18"/>
                <w:color w:val="0000EE"/>
              </w:rPr>
            </w:pPr>
            <w:hyperlink r:id="rId84">
              <w:r>
                <w:rPr>
                  <w:rFonts w:ascii="Arial" w:cs="Arial" w:eastAsia="Arial" w:hAnsi="Arial"/>
                  <w:sz w:val="18"/>
                  <w:szCs w:val="18"/>
                  <w:color w:val="0000EE"/>
                </w:rPr>
                <w:t>Lincolnshire, LLC (as borrowers),</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40" w:type="dxa"/>
            <w:vAlign w:val="bottom"/>
            <w:tcBorders>
              <w:top w:val="single" w:sz="8" w:color="0000EE"/>
              <w:bottom w:val="single" w:sz="8" w:color="0000EE"/>
            </w:tcBorders>
            <w:gridSpan w:val="12"/>
          </w:tcPr>
          <w:p>
            <w:pPr>
              <w:spacing w:after="0" w:line="182" w:lineRule="exact"/>
              <w:rPr>
                <w:rFonts w:ascii="Arial" w:cs="Arial" w:eastAsia="Arial" w:hAnsi="Arial"/>
                <w:sz w:val="18"/>
                <w:szCs w:val="18"/>
                <w:color w:val="0000EE"/>
                <w:w w:val="99"/>
              </w:rPr>
            </w:pPr>
            <w:hyperlink r:id="rId84">
              <w:r>
                <w:rPr>
                  <w:rFonts w:ascii="Arial" w:cs="Arial" w:eastAsia="Arial" w:hAnsi="Arial"/>
                  <w:sz w:val="18"/>
                  <w:szCs w:val="18"/>
                  <w:color w:val="0000EE"/>
                  <w:w w:val="99"/>
                </w:rPr>
                <w:t>Manufacturers and Traders Trust</w:t>
              </w:r>
            </w:hyperlink>
          </w:p>
        </w:tc>
        <w:tc>
          <w:tcPr>
            <w:tcW w:w="60" w:type="dxa"/>
            <w:vAlign w:val="bottom"/>
            <w:tcBorders>
              <w:top w:val="single" w:sz="8" w:color="0000EE"/>
            </w:tcBorders>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40" w:type="dxa"/>
            <w:vAlign w:val="bottom"/>
            <w:gridSpan w:val="28"/>
          </w:tcPr>
          <w:p>
            <w:pPr>
              <w:spacing w:after="0" w:line="182" w:lineRule="exact"/>
              <w:rPr>
                <w:rFonts w:ascii="Arial" w:cs="Arial" w:eastAsia="Arial" w:hAnsi="Arial"/>
                <w:sz w:val="18"/>
                <w:szCs w:val="18"/>
                <w:color w:val="0000EE"/>
              </w:rPr>
            </w:pPr>
            <w:hyperlink r:id="rId84">
              <w:r>
                <w:rPr>
                  <w:rFonts w:ascii="Arial" w:cs="Arial" w:eastAsia="Arial" w:hAnsi="Arial"/>
                  <w:sz w:val="18"/>
                  <w:szCs w:val="18"/>
                  <w:color w:val="0000EE"/>
                </w:rPr>
                <w:t>Company, as administrative agent,</w:t>
              </w:r>
            </w:hyperlink>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80" w:type="dxa"/>
            <w:vAlign w:val="bottom"/>
            <w:tcBorders>
              <w:top w:val="single" w:sz="8" w:color="0000EE"/>
              <w:bottom w:val="single" w:sz="8" w:color="0000EE"/>
            </w:tcBorders>
            <w:gridSpan w:val="18"/>
          </w:tcPr>
          <w:p>
            <w:pPr>
              <w:spacing w:after="0" w:line="182" w:lineRule="exact"/>
              <w:rPr>
                <w:rFonts w:ascii="Arial" w:cs="Arial" w:eastAsia="Arial" w:hAnsi="Arial"/>
                <w:sz w:val="18"/>
                <w:szCs w:val="18"/>
                <w:color w:val="0000EE"/>
                <w:w w:val="99"/>
              </w:rPr>
            </w:pPr>
            <w:hyperlink r:id="rId84">
              <w:r>
                <w:rPr>
                  <w:rFonts w:ascii="Arial" w:cs="Arial" w:eastAsia="Arial" w:hAnsi="Arial"/>
                  <w:sz w:val="18"/>
                  <w:szCs w:val="18"/>
                  <w:color w:val="0000EE"/>
                  <w:w w:val="99"/>
                </w:rPr>
                <w:t>and the other lenders party thereto</w:t>
              </w:r>
            </w:hyperlink>
          </w:p>
        </w:tc>
        <w:tc>
          <w:tcPr>
            <w:tcW w:w="2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840" w:type="dxa"/>
            <w:vAlign w:val="bottom"/>
            <w:gridSpan w:val="2"/>
          </w:tcPr>
          <w:p>
            <w:pPr>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rPr>
                <w:sz w:val="24"/>
                <w:szCs w:val="24"/>
                <w:color w:val="auto"/>
              </w:rPr>
            </w:pPr>
          </w:p>
        </w:tc>
        <w:tc>
          <w:tcPr>
            <w:tcW w:w="3040" w:type="dxa"/>
            <w:vAlign w:val="bottom"/>
            <w:gridSpan w:val="28"/>
          </w:tcPr>
          <w:p>
            <w:pPr>
              <w:spacing w:after="0"/>
              <w:rPr>
                <w:rFonts w:ascii="Arial" w:cs="Arial" w:eastAsia="Arial" w:hAnsi="Arial"/>
                <w:sz w:val="18"/>
                <w:szCs w:val="18"/>
                <w:color w:val="0000EE"/>
              </w:rPr>
            </w:pPr>
            <w:hyperlink r:id="rId85">
              <w:r>
                <w:rPr>
                  <w:rFonts w:ascii="Arial" w:cs="Arial" w:eastAsia="Arial" w:hAnsi="Arial"/>
                  <w:sz w:val="18"/>
                  <w:szCs w:val="18"/>
                  <w:color w:val="0000EE"/>
                </w:rPr>
                <w:t>Employment Transition and Release</w:t>
              </w:r>
            </w:hyperlink>
          </w:p>
        </w:tc>
        <w:tc>
          <w:tcPr>
            <w:tcW w:w="180" w:type="dxa"/>
            <w:vAlign w:val="bottom"/>
          </w:tcPr>
          <w:p>
            <w:pPr>
              <w:spacing w:after="0"/>
              <w:rPr>
                <w:sz w:val="24"/>
                <w:szCs w:val="2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10-Q</w:t>
            </w: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001-37908</w:t>
            </w:r>
          </w:p>
        </w:tc>
        <w:tc>
          <w:tcPr>
            <w:tcW w:w="860" w:type="dxa"/>
            <w:vAlign w:val="bottom"/>
            <w:gridSpan w:val="2"/>
          </w:tcPr>
          <w:p>
            <w:pPr>
              <w:jc w:val="center"/>
              <w:ind w:left="99"/>
              <w:spacing w:after="0"/>
              <w:rPr>
                <w:sz w:val="20"/>
                <w:szCs w:val="20"/>
                <w:color w:val="auto"/>
              </w:rPr>
            </w:pPr>
            <w:r>
              <w:rPr>
                <w:rFonts w:ascii="Arial" w:cs="Arial" w:eastAsia="Arial" w:hAnsi="Arial"/>
                <w:sz w:val="18"/>
                <w:szCs w:val="18"/>
                <w:color w:val="auto"/>
              </w:rPr>
              <w:t>10.5</w:t>
            </w:r>
          </w:p>
        </w:tc>
        <w:tc>
          <w:tcPr>
            <w:tcW w:w="18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7/31/26</w:t>
            </w: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00" w:type="dxa"/>
            <w:vAlign w:val="bottom"/>
            <w:tcBorders>
              <w:top w:val="single" w:sz="8" w:color="0000EE"/>
            </w:tcBorders>
            <w:gridSpan w:val="24"/>
          </w:tcPr>
          <w:p>
            <w:pPr>
              <w:spacing w:after="0" w:line="182" w:lineRule="exact"/>
              <w:rPr>
                <w:rFonts w:ascii="Arial" w:cs="Arial" w:eastAsia="Arial" w:hAnsi="Arial"/>
                <w:sz w:val="18"/>
                <w:szCs w:val="18"/>
                <w:color w:val="0000EE"/>
              </w:rPr>
            </w:pPr>
            <w:hyperlink r:id="rId85">
              <w:r>
                <w:rPr>
                  <w:rFonts w:ascii="Arial" w:cs="Arial" w:eastAsia="Arial" w:hAnsi="Arial"/>
                  <w:sz w:val="18"/>
                  <w:szCs w:val="18"/>
                  <w:color w:val="0000EE"/>
                </w:rPr>
                <w:t>Agreement, effective as of July 29,</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60" w:type="dxa"/>
            <w:vAlign w:val="bottom"/>
            <w:tcBorders>
              <w:top w:val="single" w:sz="8" w:color="0000EE"/>
            </w:tcBorders>
            <w:gridSpan w:val="17"/>
          </w:tcPr>
          <w:p>
            <w:pPr>
              <w:spacing w:after="0" w:line="182" w:lineRule="exact"/>
              <w:rPr>
                <w:rFonts w:ascii="Arial" w:cs="Arial" w:eastAsia="Arial" w:hAnsi="Arial"/>
                <w:sz w:val="18"/>
                <w:szCs w:val="18"/>
                <w:color w:val="0000EE"/>
              </w:rPr>
            </w:pPr>
            <w:hyperlink r:id="rId85">
              <w:r>
                <w:rPr>
                  <w:rFonts w:ascii="Arial" w:cs="Arial" w:eastAsia="Arial" w:hAnsi="Arial"/>
                  <w:sz w:val="18"/>
                  <w:szCs w:val="18"/>
                  <w:color w:val="0000EE"/>
                </w:rPr>
                <w:t>2026, by and between Lindsey J.</w:t>
              </w:r>
            </w:hyperlink>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60" w:type="dxa"/>
            <w:vAlign w:val="bottom"/>
            <w:tcBorders>
              <w:top w:val="single" w:sz="8" w:color="0000EE"/>
              <w:bottom w:val="single" w:sz="8" w:color="0000EE"/>
            </w:tcBorders>
            <w:gridSpan w:val="13"/>
          </w:tcPr>
          <w:p>
            <w:pPr>
              <w:spacing w:after="0" w:line="182" w:lineRule="exact"/>
              <w:rPr>
                <w:rFonts w:ascii="Arial" w:cs="Arial" w:eastAsia="Arial" w:hAnsi="Arial"/>
                <w:sz w:val="18"/>
                <w:szCs w:val="18"/>
                <w:color w:val="0000EE"/>
                <w:w w:val="93"/>
              </w:rPr>
            </w:pPr>
            <w:hyperlink r:id="rId85">
              <w:r>
                <w:rPr>
                  <w:rFonts w:ascii="Arial" w:cs="Arial" w:eastAsia="Arial" w:hAnsi="Arial"/>
                  <w:sz w:val="18"/>
                  <w:szCs w:val="18"/>
                  <w:color w:val="0000EE"/>
                  <w:w w:val="93"/>
                </w:rPr>
                <w:t>Christen, Camping World Holdings,</w:t>
              </w:r>
            </w:hyperlink>
          </w:p>
        </w:tc>
        <w:tc>
          <w:tcPr>
            <w:tcW w:w="20" w:type="dxa"/>
            <w:vAlign w:val="bottom"/>
            <w:tcBorders>
              <w:bottom w:val="single" w:sz="8" w:color="0000EE"/>
            </w:tcBorders>
          </w:tcPr>
          <w:p>
            <w:pPr>
              <w:spacing w:after="0"/>
              <w:rPr>
                <w:sz w:val="15"/>
                <w:szCs w:val="15"/>
                <w:color w:val="auto"/>
              </w:rPr>
            </w:pPr>
          </w:p>
        </w:tc>
        <w:tc>
          <w:tcPr>
            <w:tcW w:w="40" w:type="dxa"/>
            <w:vAlign w:val="bottom"/>
            <w:tcBorders>
              <w:bottom w:val="single" w:sz="8" w:color="0000EE"/>
            </w:tcBorders>
            <w:gridSpan w:val="2"/>
          </w:tcPr>
          <w:p>
            <w:pPr>
              <w:spacing w:after="0"/>
              <w:rPr>
                <w:sz w:val="15"/>
                <w:szCs w:val="15"/>
                <w:color w:val="auto"/>
              </w:rPr>
            </w:pPr>
          </w:p>
        </w:tc>
        <w:tc>
          <w:tcPr>
            <w:tcW w:w="100" w:type="dxa"/>
            <w:vAlign w:val="bottom"/>
            <w:tcBorders>
              <w:bottom w:val="single" w:sz="8" w:color="0000EE"/>
            </w:tcBorders>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80" w:type="dxa"/>
            <w:vAlign w:val="bottom"/>
            <w:tcBorders>
              <w:bottom w:val="single" w:sz="8" w:color="0000EE"/>
            </w:tcBorders>
            <w:gridSpan w:val="14"/>
          </w:tcPr>
          <w:p>
            <w:pPr>
              <w:spacing w:after="0" w:line="182" w:lineRule="exact"/>
              <w:rPr>
                <w:rFonts w:ascii="Arial" w:cs="Arial" w:eastAsia="Arial" w:hAnsi="Arial"/>
                <w:sz w:val="18"/>
                <w:szCs w:val="18"/>
                <w:color w:val="0000EE"/>
              </w:rPr>
            </w:pPr>
            <w:hyperlink r:id="rId85">
              <w:r>
                <w:rPr>
                  <w:rFonts w:ascii="Arial" w:cs="Arial" w:eastAsia="Arial" w:hAnsi="Arial"/>
                  <w:sz w:val="18"/>
                  <w:szCs w:val="18"/>
                  <w:color w:val="0000EE"/>
                </w:rPr>
                <w:t>Inc. and CWGS Enterprises, LLC</w:t>
              </w:r>
            </w:hyperlink>
          </w:p>
        </w:tc>
        <w:tc>
          <w:tcPr>
            <w:tcW w:w="140" w:type="dxa"/>
            <w:vAlign w:val="bottom"/>
            <w:gridSpan w:val="6"/>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840" w:type="dxa"/>
            <w:vAlign w:val="bottom"/>
            <w:gridSpan w:val="2"/>
          </w:tcPr>
          <w:p>
            <w:pPr>
              <w:spacing w:after="0"/>
              <w:rPr>
                <w:sz w:val="20"/>
                <w:szCs w:val="20"/>
                <w:color w:val="auto"/>
              </w:rPr>
            </w:pPr>
            <w:r>
              <w:rPr>
                <w:rFonts w:ascii="Arial" w:cs="Arial" w:eastAsia="Arial" w:hAnsi="Arial"/>
                <w:sz w:val="18"/>
                <w:szCs w:val="18"/>
                <w:color w:val="auto"/>
              </w:rPr>
              <w:t>10.3</w:t>
            </w:r>
          </w:p>
        </w:tc>
        <w:tc>
          <w:tcPr>
            <w:tcW w:w="200" w:type="dxa"/>
            <w:vAlign w:val="bottom"/>
          </w:tcPr>
          <w:p>
            <w:pPr>
              <w:spacing w:after="0"/>
              <w:rPr>
                <w:sz w:val="24"/>
                <w:szCs w:val="24"/>
                <w:color w:val="auto"/>
              </w:rPr>
            </w:pPr>
          </w:p>
        </w:tc>
        <w:tc>
          <w:tcPr>
            <w:tcW w:w="3040" w:type="dxa"/>
            <w:vAlign w:val="bottom"/>
            <w:gridSpan w:val="28"/>
          </w:tcPr>
          <w:p>
            <w:pPr>
              <w:spacing w:after="0"/>
              <w:rPr>
                <w:sz w:val="20"/>
                <w:szCs w:val="20"/>
                <w:color w:val="auto"/>
              </w:rPr>
            </w:pPr>
            <w:r>
              <w:rPr>
                <w:rFonts w:ascii="Arial" w:cs="Arial" w:eastAsia="Arial" w:hAnsi="Arial"/>
                <w:sz w:val="18"/>
                <w:szCs w:val="18"/>
                <w:color w:val="0000EE"/>
              </w:rPr>
              <w:t>Amendment No. 1 to Ninth Amended</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40" w:type="dxa"/>
            <w:vAlign w:val="bottom"/>
            <w:tcBorders>
              <w:top w:val="single" w:sz="8" w:color="0000EE"/>
            </w:tcBorders>
            <w:gridSpan w:val="26"/>
          </w:tcPr>
          <w:p>
            <w:pPr>
              <w:spacing w:after="0" w:line="182" w:lineRule="exact"/>
              <w:rPr>
                <w:sz w:val="20"/>
                <w:szCs w:val="20"/>
                <w:color w:val="auto"/>
              </w:rPr>
            </w:pPr>
            <w:r>
              <w:rPr>
                <w:rFonts w:ascii="Arial" w:cs="Arial" w:eastAsia="Arial" w:hAnsi="Arial"/>
                <w:sz w:val="18"/>
                <w:szCs w:val="18"/>
                <w:color w:val="0000EE"/>
              </w:rPr>
              <w:t>and Restated Credit Agreement,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80" w:type="dxa"/>
            <w:vAlign w:val="bottom"/>
            <w:tcBorders>
              <w:top w:val="single" w:sz="8" w:color="0000EE"/>
            </w:tcBorders>
            <w:gridSpan w:val="10"/>
          </w:tcPr>
          <w:p>
            <w:pPr>
              <w:spacing w:after="0" w:line="182" w:lineRule="exact"/>
              <w:rPr>
                <w:sz w:val="20"/>
                <w:szCs w:val="20"/>
                <w:color w:val="auto"/>
              </w:rPr>
            </w:pPr>
            <w:r>
              <w:rPr>
                <w:rFonts w:ascii="Arial" w:cs="Arial" w:eastAsia="Arial" w:hAnsi="Arial"/>
                <w:sz w:val="18"/>
                <w:szCs w:val="18"/>
                <w:color w:val="0000EE"/>
              </w:rPr>
              <w:t>dated October 19, 2026, among</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140" w:type="dxa"/>
            <w:vAlign w:val="bottom"/>
            <w:gridSpan w:val="6"/>
          </w:tcPr>
          <w:p>
            <w:pPr>
              <w:spacing w:after="0"/>
              <w:rPr>
                <w:sz w:val="15"/>
                <w:szCs w:val="15"/>
                <w:color w:val="auto"/>
              </w:rPr>
            </w:pPr>
          </w:p>
        </w:tc>
        <w:tc>
          <w:tcPr>
            <w:tcW w:w="60" w:type="dxa"/>
            <w:vAlign w:val="bottom"/>
            <w:gridSpan w:val="3"/>
          </w:tcPr>
          <w:p>
            <w:pPr>
              <w:spacing w:after="0"/>
              <w:rPr>
                <w:sz w:val="15"/>
                <w:szCs w:val="15"/>
                <w:color w:val="auto"/>
              </w:rPr>
            </w:pPr>
          </w:p>
        </w:tc>
        <w:tc>
          <w:tcPr>
            <w:tcW w:w="6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40" w:type="dxa"/>
            <w:vAlign w:val="bottom"/>
            <w:tcBorders>
              <w:top w:val="single" w:sz="8" w:color="0000EE"/>
            </w:tcBorders>
            <w:gridSpan w:val="8"/>
          </w:tcPr>
          <w:p>
            <w:pPr>
              <w:spacing w:after="0" w:line="182" w:lineRule="exact"/>
              <w:rPr>
                <w:sz w:val="20"/>
                <w:szCs w:val="20"/>
                <w:color w:val="auto"/>
              </w:rPr>
            </w:pPr>
            <w:r>
              <w:rPr>
                <w:rFonts w:ascii="Arial" w:cs="Arial" w:eastAsia="Arial" w:hAnsi="Arial"/>
                <w:sz w:val="18"/>
                <w:szCs w:val="18"/>
                <w:color w:val="0000EE"/>
              </w:rPr>
              <w:t>FreedomRoads, LLC, as the</w:t>
            </w: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140" w:type="dxa"/>
            <w:vAlign w:val="bottom"/>
            <w:gridSpan w:val="6"/>
          </w:tcPr>
          <w:p>
            <w:pPr>
              <w:spacing w:after="0"/>
              <w:rPr>
                <w:sz w:val="15"/>
                <w:szCs w:val="15"/>
                <w:color w:val="auto"/>
              </w:rPr>
            </w:pPr>
          </w:p>
        </w:tc>
        <w:tc>
          <w:tcPr>
            <w:tcW w:w="60" w:type="dxa"/>
            <w:vAlign w:val="bottom"/>
            <w:gridSpan w:val="3"/>
          </w:tcPr>
          <w:p>
            <w:pPr>
              <w:spacing w:after="0"/>
              <w:rPr>
                <w:sz w:val="15"/>
                <w:szCs w:val="15"/>
                <w:color w:val="auto"/>
              </w:rPr>
            </w:pPr>
          </w:p>
        </w:tc>
        <w:tc>
          <w:tcPr>
            <w:tcW w:w="6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40" w:type="dxa"/>
            <w:vAlign w:val="bottom"/>
            <w:gridSpan w:val="28"/>
          </w:tcPr>
          <w:p>
            <w:pPr>
              <w:spacing w:after="0" w:line="182" w:lineRule="exact"/>
              <w:rPr>
                <w:sz w:val="20"/>
                <w:szCs w:val="20"/>
                <w:color w:val="auto"/>
              </w:rPr>
            </w:pPr>
            <w:r>
              <w:rPr>
                <w:rFonts w:ascii="Arial" w:cs="Arial" w:eastAsia="Arial" w:hAnsi="Arial"/>
                <w:sz w:val="18"/>
                <w:szCs w:val="18"/>
                <w:color w:val="0000EE"/>
              </w:rPr>
              <w:t>company and a borrower, certain</w:t>
            </w: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40" w:type="dxa"/>
            <w:vAlign w:val="bottom"/>
            <w:tcBorders>
              <w:top w:val="single" w:sz="8" w:color="0000EE"/>
            </w:tcBorders>
            <w:gridSpan w:val="12"/>
          </w:tcPr>
          <w:p>
            <w:pPr>
              <w:spacing w:after="0" w:line="182" w:lineRule="exact"/>
              <w:rPr>
                <w:sz w:val="20"/>
                <w:szCs w:val="20"/>
                <w:color w:val="auto"/>
              </w:rPr>
            </w:pPr>
            <w:r>
              <w:rPr>
                <w:rFonts w:ascii="Arial" w:cs="Arial" w:eastAsia="Arial" w:hAnsi="Arial"/>
                <w:sz w:val="18"/>
                <w:szCs w:val="18"/>
                <w:color w:val="0000EE"/>
              </w:rPr>
              <w:t>subsidiaries of FreedomRoads,</w:t>
            </w:r>
          </w:p>
        </w:tc>
        <w:tc>
          <w:tcPr>
            <w:tcW w:w="400" w:type="dxa"/>
            <w:vAlign w:val="bottom"/>
            <w:gridSpan w:val="16"/>
          </w:tcPr>
          <w:p>
            <w:pPr>
              <w:spacing w:after="0" w:line="182" w:lineRule="exact"/>
              <w:rPr>
                <w:sz w:val="20"/>
                <w:szCs w:val="20"/>
                <w:color w:val="auto"/>
              </w:rPr>
            </w:pPr>
            <w:r>
              <w:rPr>
                <w:rFonts w:ascii="Arial" w:cs="Arial" w:eastAsia="Arial" w:hAnsi="Arial"/>
                <w:sz w:val="18"/>
                <w:szCs w:val="18"/>
                <w:color w:val="0000EE"/>
                <w:w w:val="99"/>
              </w:rPr>
              <w:t>LLC,</w:t>
            </w: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20" w:type="dxa"/>
            <w:vAlign w:val="bottom"/>
            <w:tcBorders>
              <w:top w:val="single" w:sz="8" w:color="0000EE"/>
            </w:tcBorders>
            <w:gridSpan w:val="25"/>
          </w:tcPr>
          <w:p>
            <w:pPr>
              <w:spacing w:after="0" w:line="182" w:lineRule="exact"/>
              <w:rPr>
                <w:sz w:val="20"/>
                <w:szCs w:val="20"/>
                <w:color w:val="auto"/>
              </w:rPr>
            </w:pPr>
            <w:r>
              <w:rPr>
                <w:rFonts w:ascii="Arial" w:cs="Arial" w:eastAsia="Arial" w:hAnsi="Arial"/>
                <w:sz w:val="18"/>
                <w:szCs w:val="18"/>
                <w:color w:val="0000EE"/>
              </w:rPr>
              <w:t>as subsidiary borrowers, Bank of</w:t>
            </w:r>
          </w:p>
        </w:tc>
        <w:tc>
          <w:tcPr>
            <w:tcW w:w="6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20" w:type="dxa"/>
            <w:vAlign w:val="bottom"/>
            <w:tcBorders>
              <w:top w:val="single" w:sz="8" w:color="0000EE"/>
            </w:tcBorders>
            <w:gridSpan w:val="11"/>
          </w:tcPr>
          <w:p>
            <w:pPr>
              <w:spacing w:after="0" w:line="182" w:lineRule="exact"/>
              <w:rPr>
                <w:sz w:val="20"/>
                <w:szCs w:val="20"/>
                <w:color w:val="auto"/>
              </w:rPr>
            </w:pPr>
            <w:r>
              <w:rPr>
                <w:rFonts w:ascii="Arial" w:cs="Arial" w:eastAsia="Arial" w:hAnsi="Arial"/>
                <w:sz w:val="18"/>
                <w:szCs w:val="18"/>
                <w:color w:val="0000EE"/>
              </w:rPr>
              <w:t>America, N.A., as administrative</w:t>
            </w:r>
          </w:p>
        </w:tc>
        <w:tc>
          <w:tcPr>
            <w:tcW w:w="100" w:type="dxa"/>
            <w:vAlign w:val="bottom"/>
            <w:gridSpan w:val="5"/>
          </w:tcPr>
          <w:p>
            <w:pPr>
              <w:spacing w:after="0"/>
              <w:rPr>
                <w:sz w:val="15"/>
                <w:szCs w:val="15"/>
                <w:color w:val="auto"/>
              </w:rPr>
            </w:pPr>
          </w:p>
        </w:tc>
        <w:tc>
          <w:tcPr>
            <w:tcW w:w="140" w:type="dxa"/>
            <w:vAlign w:val="bottom"/>
            <w:gridSpan w:val="6"/>
          </w:tcPr>
          <w:p>
            <w:pPr>
              <w:spacing w:after="0"/>
              <w:rPr>
                <w:sz w:val="15"/>
                <w:szCs w:val="15"/>
                <w:color w:val="auto"/>
              </w:rPr>
            </w:pPr>
          </w:p>
        </w:tc>
        <w:tc>
          <w:tcPr>
            <w:tcW w:w="120" w:type="dxa"/>
            <w:vAlign w:val="bottom"/>
            <w:gridSpan w:val="5"/>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60" w:type="dxa"/>
            <w:vAlign w:val="bottom"/>
            <w:tcBorders>
              <w:bottom w:val="single" w:sz="8" w:color="0000EE"/>
            </w:tcBorders>
            <w:gridSpan w:val="22"/>
          </w:tcPr>
          <w:p>
            <w:pPr>
              <w:spacing w:after="0" w:line="182" w:lineRule="exact"/>
              <w:rPr>
                <w:sz w:val="20"/>
                <w:szCs w:val="20"/>
                <w:color w:val="auto"/>
              </w:rPr>
            </w:pPr>
            <w:r>
              <w:rPr>
                <w:rFonts w:ascii="Arial" w:cs="Arial" w:eastAsia="Arial" w:hAnsi="Arial"/>
                <w:sz w:val="18"/>
                <w:szCs w:val="18"/>
                <w:color w:val="0000EE"/>
                <w:w w:val="99"/>
              </w:rPr>
              <w:t>agent, and the lenders party thereto</w:t>
            </w:r>
          </w:p>
        </w:tc>
        <w:tc>
          <w:tcPr>
            <w:tcW w:w="180" w:type="dxa"/>
            <w:vAlign w:val="bottom"/>
            <w:gridSpan w:val="6"/>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840" w:type="dxa"/>
            <w:vAlign w:val="bottom"/>
            <w:gridSpan w:val="2"/>
          </w:tcPr>
          <w:p>
            <w:pPr>
              <w:spacing w:after="0"/>
              <w:rPr>
                <w:sz w:val="20"/>
                <w:szCs w:val="20"/>
                <w:color w:val="auto"/>
              </w:rPr>
            </w:pPr>
            <w:r>
              <w:rPr>
                <w:rFonts w:ascii="Arial" w:cs="Arial" w:eastAsia="Arial" w:hAnsi="Arial"/>
                <w:sz w:val="18"/>
                <w:szCs w:val="18"/>
                <w:color w:val="auto"/>
              </w:rPr>
              <w:t>31.1</w:t>
            </w:r>
          </w:p>
        </w:tc>
        <w:tc>
          <w:tcPr>
            <w:tcW w:w="200" w:type="dxa"/>
            <w:vAlign w:val="bottom"/>
          </w:tcPr>
          <w:p>
            <w:pPr>
              <w:spacing w:after="0"/>
              <w:rPr>
                <w:sz w:val="24"/>
                <w:szCs w:val="24"/>
                <w:color w:val="auto"/>
              </w:rPr>
            </w:pPr>
          </w:p>
        </w:tc>
        <w:tc>
          <w:tcPr>
            <w:tcW w:w="214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9"/>
              </w:rPr>
              <w:t>Rule 13a-14(a) / 15d-14(a)</w:t>
            </w:r>
          </w:p>
        </w:tc>
        <w:tc>
          <w:tcPr>
            <w:tcW w:w="900" w:type="dxa"/>
            <w:vAlign w:val="bottom"/>
            <w:gridSpan w:val="24"/>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40" w:type="dxa"/>
            <w:vAlign w:val="bottom"/>
            <w:gridSpan w:val="28"/>
          </w:tcPr>
          <w:p>
            <w:pPr>
              <w:spacing w:after="0" w:line="182" w:lineRule="exact"/>
              <w:rPr>
                <w:sz w:val="20"/>
                <w:szCs w:val="20"/>
                <w:color w:val="auto"/>
              </w:rPr>
            </w:pPr>
            <w:r>
              <w:rPr>
                <w:rFonts w:ascii="Arial" w:cs="Arial" w:eastAsia="Arial" w:hAnsi="Arial"/>
                <w:sz w:val="18"/>
                <w:szCs w:val="18"/>
                <w:color w:val="0000EE"/>
              </w:rPr>
              <w:t>Certification of Chief Executive</w:t>
            </w: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Borders>
              <w:top w:val="single" w:sz="8" w:color="0000EE"/>
              <w:bottom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8"/>
              </w:rPr>
              <w:t>Officer</w:t>
            </w:r>
          </w:p>
        </w:tc>
        <w:tc>
          <w:tcPr>
            <w:tcW w:w="1920" w:type="dxa"/>
            <w:vAlign w:val="bottom"/>
            <w:tcBorders>
              <w:top w:val="single" w:sz="8" w:color="0000EE"/>
            </w:tcBorders>
            <w:gridSpan w:val="5"/>
          </w:tcPr>
          <w:p>
            <w:pPr>
              <w:spacing w:after="0"/>
              <w:rPr>
                <w:sz w:val="15"/>
                <w:szCs w:val="15"/>
                <w:color w:val="auto"/>
              </w:rPr>
            </w:pPr>
          </w:p>
        </w:tc>
        <w:tc>
          <w:tcPr>
            <w:tcW w:w="260" w:type="dxa"/>
            <w:vAlign w:val="bottom"/>
            <w:gridSpan w:val="9"/>
          </w:tcPr>
          <w:p>
            <w:pPr>
              <w:spacing w:after="0"/>
              <w:rPr>
                <w:sz w:val="15"/>
                <w:szCs w:val="15"/>
                <w:color w:val="auto"/>
              </w:rPr>
            </w:pPr>
          </w:p>
        </w:tc>
        <w:tc>
          <w:tcPr>
            <w:tcW w:w="260" w:type="dxa"/>
            <w:vAlign w:val="bottom"/>
            <w:gridSpan w:val="11"/>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840" w:type="dxa"/>
            <w:vAlign w:val="bottom"/>
            <w:gridSpan w:val="2"/>
          </w:tcPr>
          <w:p>
            <w:pPr>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24"/>
                <w:szCs w:val="24"/>
                <w:color w:val="auto"/>
              </w:rPr>
            </w:pPr>
          </w:p>
        </w:tc>
        <w:tc>
          <w:tcPr>
            <w:tcW w:w="214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9"/>
              </w:rPr>
              <w:t>Rule 13a-14(a) / 15d-14(a)</w:t>
            </w:r>
          </w:p>
        </w:tc>
        <w:tc>
          <w:tcPr>
            <w:tcW w:w="900" w:type="dxa"/>
            <w:vAlign w:val="bottom"/>
            <w:gridSpan w:val="24"/>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80" w:type="dxa"/>
            <w:vAlign w:val="bottom"/>
            <w:tcBorders>
              <w:bottom w:val="single" w:sz="8" w:color="0000EE"/>
            </w:tcBorders>
            <w:gridSpan w:val="27"/>
          </w:tcPr>
          <w:p>
            <w:pPr>
              <w:spacing w:after="0" w:line="182" w:lineRule="exact"/>
              <w:rPr>
                <w:sz w:val="20"/>
                <w:szCs w:val="20"/>
                <w:color w:val="auto"/>
              </w:rPr>
            </w:pPr>
            <w:r>
              <w:rPr>
                <w:rFonts w:ascii="Arial" w:cs="Arial" w:eastAsia="Arial" w:hAnsi="Arial"/>
                <w:sz w:val="18"/>
                <w:szCs w:val="18"/>
                <w:color w:val="0000EE"/>
                <w:w w:val="99"/>
              </w:rPr>
              <w:t>Certification of Chief Financial Officer</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840" w:type="dxa"/>
            <w:vAlign w:val="bottom"/>
            <w:gridSpan w:val="2"/>
          </w:tcPr>
          <w:p>
            <w:pPr>
              <w:spacing w:after="0"/>
              <w:rPr>
                <w:sz w:val="20"/>
                <w:szCs w:val="20"/>
                <w:color w:val="auto"/>
              </w:rPr>
            </w:pPr>
            <w:r>
              <w:rPr>
                <w:rFonts w:ascii="Arial" w:cs="Arial" w:eastAsia="Arial" w:hAnsi="Arial"/>
                <w:sz w:val="18"/>
                <w:szCs w:val="18"/>
                <w:color w:val="auto"/>
              </w:rPr>
              <w:t>32.1</w:t>
            </w:r>
          </w:p>
        </w:tc>
        <w:tc>
          <w:tcPr>
            <w:tcW w:w="200" w:type="dxa"/>
            <w:vAlign w:val="bottom"/>
          </w:tcPr>
          <w:p>
            <w:pPr>
              <w:spacing w:after="0"/>
              <w:rPr>
                <w:sz w:val="24"/>
                <w:szCs w:val="24"/>
                <w:color w:val="auto"/>
              </w:rPr>
            </w:pPr>
          </w:p>
        </w:tc>
        <w:tc>
          <w:tcPr>
            <w:tcW w:w="3040" w:type="dxa"/>
            <w:vAlign w:val="bottom"/>
            <w:gridSpan w:val="28"/>
          </w:tcPr>
          <w:p>
            <w:pPr>
              <w:spacing w:after="0"/>
              <w:rPr>
                <w:sz w:val="20"/>
                <w:szCs w:val="20"/>
                <w:color w:val="auto"/>
              </w:rPr>
            </w:pPr>
            <w:r>
              <w:rPr>
                <w:rFonts w:ascii="Arial" w:cs="Arial" w:eastAsia="Arial" w:hAnsi="Arial"/>
                <w:sz w:val="18"/>
                <w:szCs w:val="18"/>
                <w:color w:val="0000EE"/>
              </w:rPr>
              <w:t>Section 1350 Certification of Chief</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20" w:type="dxa"/>
            <w:vAlign w:val="bottom"/>
            <w:tcBorders>
              <w:top w:val="single" w:sz="8" w:color="0000EE"/>
            </w:tcBorders>
            <w:gridSpan w:val="16"/>
          </w:tcPr>
          <w:p>
            <w:pPr>
              <w:spacing w:after="0" w:line="182" w:lineRule="exact"/>
              <w:rPr>
                <w:sz w:val="20"/>
                <w:szCs w:val="20"/>
                <w:color w:val="auto"/>
              </w:rPr>
            </w:pPr>
            <w:r>
              <w:rPr>
                <w:rFonts w:ascii="Arial" w:cs="Arial" w:eastAsia="Arial" w:hAnsi="Arial"/>
                <w:sz w:val="18"/>
                <w:szCs w:val="18"/>
                <w:color w:val="0000EE"/>
              </w:rPr>
              <w:t>Executive Officer</w:t>
            </w:r>
          </w:p>
        </w:tc>
        <w:tc>
          <w:tcPr>
            <w:tcW w:w="320" w:type="dxa"/>
            <w:vAlign w:val="bottom"/>
            <w:gridSpan w:val="12"/>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1740" w:type="dxa"/>
            <w:vAlign w:val="bottom"/>
            <w:tcBorders>
              <w:left w:val="single" w:sz="8" w:color="0000EE"/>
            </w:tcBorders>
            <w:gridSpan w:val="2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840" w:type="dxa"/>
            <w:vAlign w:val="bottom"/>
            <w:gridSpan w:val="2"/>
          </w:tcPr>
          <w:p>
            <w:pPr>
              <w:spacing w:after="0"/>
              <w:rPr>
                <w:sz w:val="20"/>
                <w:szCs w:val="20"/>
                <w:color w:val="auto"/>
              </w:rPr>
            </w:pPr>
            <w:r>
              <w:rPr>
                <w:rFonts w:ascii="Arial" w:cs="Arial" w:eastAsia="Arial" w:hAnsi="Arial"/>
                <w:sz w:val="18"/>
                <w:szCs w:val="18"/>
                <w:color w:val="auto"/>
              </w:rPr>
              <w:t>32.2</w:t>
            </w:r>
          </w:p>
        </w:tc>
        <w:tc>
          <w:tcPr>
            <w:tcW w:w="200" w:type="dxa"/>
            <w:vAlign w:val="bottom"/>
          </w:tcPr>
          <w:p>
            <w:pPr>
              <w:spacing w:after="0"/>
              <w:rPr>
                <w:sz w:val="24"/>
                <w:szCs w:val="24"/>
                <w:color w:val="auto"/>
              </w:rPr>
            </w:pPr>
          </w:p>
        </w:tc>
        <w:tc>
          <w:tcPr>
            <w:tcW w:w="3040" w:type="dxa"/>
            <w:vAlign w:val="bottom"/>
            <w:gridSpan w:val="28"/>
          </w:tcPr>
          <w:p>
            <w:pPr>
              <w:spacing w:after="0"/>
              <w:rPr>
                <w:sz w:val="20"/>
                <w:szCs w:val="20"/>
                <w:color w:val="auto"/>
              </w:rPr>
            </w:pPr>
            <w:r>
              <w:rPr>
                <w:rFonts w:ascii="Arial" w:cs="Arial" w:eastAsia="Arial" w:hAnsi="Arial"/>
                <w:sz w:val="18"/>
                <w:szCs w:val="18"/>
                <w:color w:val="0000EE"/>
              </w:rPr>
              <w:t>Section 1350 Certification of Chief</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20" w:type="dxa"/>
            <w:vAlign w:val="bottom"/>
            <w:tcBorders>
              <w:top w:val="single" w:sz="8" w:color="0000EE"/>
            </w:tcBorders>
            <w:gridSpan w:val="16"/>
          </w:tcPr>
          <w:p>
            <w:pPr>
              <w:spacing w:after="0" w:line="182" w:lineRule="exact"/>
              <w:rPr>
                <w:sz w:val="20"/>
                <w:szCs w:val="20"/>
                <w:color w:val="auto"/>
              </w:rPr>
            </w:pPr>
            <w:r>
              <w:rPr>
                <w:rFonts w:ascii="Arial" w:cs="Arial" w:eastAsia="Arial" w:hAnsi="Arial"/>
                <w:sz w:val="18"/>
                <w:szCs w:val="18"/>
                <w:color w:val="0000EE"/>
              </w:rPr>
              <w:t>Financial Officer</w:t>
            </w:r>
          </w:p>
        </w:tc>
        <w:tc>
          <w:tcPr>
            <w:tcW w:w="320" w:type="dxa"/>
            <w:vAlign w:val="bottom"/>
            <w:gridSpan w:val="12"/>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1740" w:type="dxa"/>
            <w:vAlign w:val="bottom"/>
            <w:gridSpan w:val="2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840" w:type="dxa"/>
            <w:vAlign w:val="bottom"/>
            <w:gridSpan w:val="2"/>
          </w:tcPr>
          <w:p>
            <w:pPr>
              <w:spacing w:after="0"/>
              <w:rPr>
                <w:sz w:val="20"/>
                <w:szCs w:val="20"/>
                <w:color w:val="auto"/>
              </w:rPr>
            </w:pPr>
            <w:r>
              <w:rPr>
                <w:rFonts w:ascii="Arial" w:cs="Arial" w:eastAsia="Arial" w:hAnsi="Arial"/>
                <w:sz w:val="18"/>
                <w:szCs w:val="18"/>
                <w:color w:val="auto"/>
              </w:rPr>
              <w:t>101.INS</w:t>
            </w:r>
          </w:p>
        </w:tc>
        <w:tc>
          <w:tcPr>
            <w:tcW w:w="200" w:type="dxa"/>
            <w:vAlign w:val="bottom"/>
          </w:tcPr>
          <w:p>
            <w:pPr>
              <w:spacing w:after="0"/>
              <w:rPr>
                <w:sz w:val="24"/>
                <w:szCs w:val="24"/>
                <w:color w:val="auto"/>
              </w:rPr>
            </w:pPr>
          </w:p>
        </w:tc>
        <w:tc>
          <w:tcPr>
            <w:tcW w:w="3040" w:type="dxa"/>
            <w:vAlign w:val="bottom"/>
            <w:gridSpan w:val="28"/>
          </w:tcPr>
          <w:p>
            <w:pPr>
              <w:spacing w:after="0"/>
              <w:rPr>
                <w:sz w:val="20"/>
                <w:szCs w:val="20"/>
                <w:color w:val="auto"/>
              </w:rPr>
            </w:pPr>
            <w:r>
              <w:rPr>
                <w:rFonts w:ascii="Arial" w:cs="Arial" w:eastAsia="Arial" w:hAnsi="Arial"/>
                <w:sz w:val="18"/>
                <w:szCs w:val="18"/>
                <w:color w:val="auto"/>
              </w:rPr>
              <w:t>Inline XBRL Instance Document – the</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40" w:type="dxa"/>
            <w:vAlign w:val="bottom"/>
            <w:gridSpan w:val="28"/>
          </w:tcPr>
          <w:p>
            <w:pPr>
              <w:spacing w:after="0" w:line="202" w:lineRule="exact"/>
              <w:rPr>
                <w:sz w:val="20"/>
                <w:szCs w:val="20"/>
                <w:color w:val="auto"/>
              </w:rPr>
            </w:pPr>
            <w:r>
              <w:rPr>
                <w:rFonts w:ascii="Arial" w:cs="Arial" w:eastAsia="Arial" w:hAnsi="Arial"/>
                <w:sz w:val="18"/>
                <w:szCs w:val="18"/>
                <w:color w:val="auto"/>
              </w:rPr>
              <w:t>instance document does not appear</w:t>
            </w: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40" w:type="dxa"/>
            <w:vAlign w:val="bottom"/>
            <w:gridSpan w:val="28"/>
          </w:tcPr>
          <w:p>
            <w:pPr>
              <w:spacing w:after="0" w:line="202" w:lineRule="exact"/>
              <w:rPr>
                <w:sz w:val="20"/>
                <w:szCs w:val="20"/>
                <w:color w:val="auto"/>
              </w:rPr>
            </w:pPr>
            <w:r>
              <w:rPr>
                <w:rFonts w:ascii="Arial" w:cs="Arial" w:eastAsia="Arial" w:hAnsi="Arial"/>
                <w:sz w:val="18"/>
                <w:szCs w:val="18"/>
                <w:color w:val="auto"/>
              </w:rPr>
              <w:t>in the Interactive Data File because</w:t>
            </w: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40" w:type="dxa"/>
            <w:vAlign w:val="bottom"/>
            <w:gridSpan w:val="28"/>
          </w:tcPr>
          <w:p>
            <w:pPr>
              <w:spacing w:after="0" w:line="202" w:lineRule="exact"/>
              <w:rPr>
                <w:sz w:val="20"/>
                <w:szCs w:val="20"/>
                <w:color w:val="auto"/>
              </w:rPr>
            </w:pPr>
            <w:r>
              <w:rPr>
                <w:rFonts w:ascii="Arial" w:cs="Arial" w:eastAsia="Arial" w:hAnsi="Arial"/>
                <w:sz w:val="18"/>
                <w:szCs w:val="18"/>
                <w:color w:val="auto"/>
              </w:rPr>
              <w:t>its XBRL tags are embedded within</w:t>
            </w: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40" w:type="dxa"/>
            <w:vAlign w:val="bottom"/>
            <w:gridSpan w:val="28"/>
          </w:tcPr>
          <w:p>
            <w:pPr>
              <w:spacing w:after="0"/>
              <w:rPr>
                <w:sz w:val="20"/>
                <w:szCs w:val="20"/>
                <w:color w:val="auto"/>
              </w:rPr>
            </w:pPr>
            <w:r>
              <w:rPr>
                <w:rFonts w:ascii="Arial" w:cs="Arial" w:eastAsia="Arial" w:hAnsi="Arial"/>
                <w:sz w:val="18"/>
                <w:szCs w:val="18"/>
                <w:color w:val="auto"/>
              </w:rPr>
              <w:t>the Inline XBRL document.</w:t>
            </w: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8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200" w:type="dxa"/>
            <w:vAlign w:val="bottom"/>
          </w:tcPr>
          <w:p>
            <w:pPr>
              <w:spacing w:after="0"/>
              <w:rPr>
                <w:sz w:val="24"/>
                <w:szCs w:val="24"/>
                <w:color w:val="auto"/>
              </w:rPr>
            </w:pPr>
          </w:p>
        </w:tc>
        <w:tc>
          <w:tcPr>
            <w:tcW w:w="3040" w:type="dxa"/>
            <w:vAlign w:val="bottom"/>
            <w:gridSpan w:val="28"/>
          </w:tcPr>
          <w:p>
            <w:pPr>
              <w:spacing w:after="0"/>
              <w:rPr>
                <w:sz w:val="20"/>
                <w:szCs w:val="20"/>
                <w:color w:val="auto"/>
              </w:rPr>
            </w:pPr>
            <w:r>
              <w:rPr>
                <w:rFonts w:ascii="Arial" w:cs="Arial" w:eastAsia="Arial" w:hAnsi="Arial"/>
                <w:sz w:val="18"/>
                <w:szCs w:val="18"/>
                <w:color w:val="auto"/>
              </w:rPr>
              <w:t>Inline XBRL Taxonomy Extension</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40" w:type="dxa"/>
            <w:vAlign w:val="bottom"/>
            <w:gridSpan w:val="28"/>
          </w:tcPr>
          <w:p>
            <w:pPr>
              <w:spacing w:after="0"/>
              <w:rPr>
                <w:sz w:val="20"/>
                <w:szCs w:val="20"/>
                <w:color w:val="auto"/>
              </w:rPr>
            </w:pPr>
            <w:r>
              <w:rPr>
                <w:rFonts w:ascii="Arial" w:cs="Arial" w:eastAsia="Arial" w:hAnsi="Arial"/>
                <w:sz w:val="18"/>
                <w:szCs w:val="18"/>
                <w:color w:val="auto"/>
              </w:rPr>
              <w:t>Schema Document</w:t>
            </w: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8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200" w:type="dxa"/>
            <w:vAlign w:val="bottom"/>
          </w:tcPr>
          <w:p>
            <w:pPr>
              <w:spacing w:after="0"/>
              <w:rPr>
                <w:sz w:val="24"/>
                <w:szCs w:val="24"/>
                <w:color w:val="auto"/>
              </w:rPr>
            </w:pPr>
          </w:p>
        </w:tc>
        <w:tc>
          <w:tcPr>
            <w:tcW w:w="3040" w:type="dxa"/>
            <w:vAlign w:val="bottom"/>
            <w:gridSpan w:val="28"/>
          </w:tcPr>
          <w:p>
            <w:pPr>
              <w:spacing w:after="0"/>
              <w:rPr>
                <w:sz w:val="20"/>
                <w:szCs w:val="20"/>
                <w:color w:val="auto"/>
              </w:rPr>
            </w:pPr>
            <w:r>
              <w:rPr>
                <w:rFonts w:ascii="Arial" w:cs="Arial" w:eastAsia="Arial" w:hAnsi="Arial"/>
                <w:sz w:val="18"/>
                <w:szCs w:val="18"/>
                <w:color w:val="auto"/>
              </w:rPr>
              <w:t>Inline XBRL Taxonomy Extension</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40" w:type="dxa"/>
            <w:vAlign w:val="bottom"/>
            <w:gridSpan w:val="28"/>
          </w:tcPr>
          <w:p>
            <w:pPr>
              <w:spacing w:after="0"/>
              <w:rPr>
                <w:sz w:val="20"/>
                <w:szCs w:val="20"/>
                <w:color w:val="auto"/>
              </w:rPr>
            </w:pPr>
            <w:r>
              <w:rPr>
                <w:rFonts w:ascii="Arial" w:cs="Arial" w:eastAsia="Arial" w:hAnsi="Arial"/>
                <w:sz w:val="18"/>
                <w:szCs w:val="18"/>
                <w:color w:val="auto"/>
              </w:rPr>
              <w:t>Calculation Linkbase Document</w:t>
            </w: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8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200" w:type="dxa"/>
            <w:vAlign w:val="bottom"/>
          </w:tcPr>
          <w:p>
            <w:pPr>
              <w:spacing w:after="0"/>
              <w:rPr>
                <w:sz w:val="24"/>
                <w:szCs w:val="24"/>
                <w:color w:val="auto"/>
              </w:rPr>
            </w:pPr>
          </w:p>
        </w:tc>
        <w:tc>
          <w:tcPr>
            <w:tcW w:w="3040" w:type="dxa"/>
            <w:vAlign w:val="bottom"/>
            <w:gridSpan w:val="28"/>
          </w:tcPr>
          <w:p>
            <w:pPr>
              <w:spacing w:after="0"/>
              <w:rPr>
                <w:sz w:val="20"/>
                <w:szCs w:val="20"/>
                <w:color w:val="auto"/>
              </w:rPr>
            </w:pPr>
            <w:r>
              <w:rPr>
                <w:rFonts w:ascii="Arial" w:cs="Arial" w:eastAsia="Arial" w:hAnsi="Arial"/>
                <w:sz w:val="18"/>
                <w:szCs w:val="18"/>
                <w:color w:val="auto"/>
              </w:rPr>
              <w:t>Inline XBRL Extension Definition</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40" w:type="dxa"/>
            <w:vAlign w:val="bottom"/>
            <w:gridSpan w:val="28"/>
          </w:tcPr>
          <w:p>
            <w:pPr>
              <w:spacing w:after="0"/>
              <w:rPr>
                <w:sz w:val="20"/>
                <w:szCs w:val="20"/>
                <w:color w:val="auto"/>
              </w:rPr>
            </w:pPr>
            <w:r>
              <w:rPr>
                <w:rFonts w:ascii="Arial" w:cs="Arial" w:eastAsia="Arial" w:hAnsi="Arial"/>
                <w:sz w:val="18"/>
                <w:szCs w:val="18"/>
                <w:color w:val="auto"/>
              </w:rPr>
              <w:t>Linkbase Document</w:t>
            </w: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2" w:right="1440" w:bottom="1440" w:gutter="0" w:footer="0" w:header="0"/>
        </w:sect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72" w:name="page73"/>
    <w:bookmarkEnd w:id="7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Incorporated by Reference</w:t>
            </w:r>
          </w:p>
        </w:tc>
        <w:tc>
          <w:tcPr>
            <w:tcW w:w="160" w:type="dxa"/>
            <w:vAlign w:val="bottom"/>
          </w:tcPr>
          <w:p>
            <w:pPr>
              <w:spacing w:after="0"/>
              <w:rPr>
                <w:sz w:val="14"/>
                <w:szCs w:val="14"/>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146"/>
        </w:trPr>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4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ind w:left="160"/>
              <w:spacing w:after="0"/>
              <w:rPr>
                <w:sz w:val="20"/>
                <w:szCs w:val="20"/>
                <w:color w:val="auto"/>
              </w:rPr>
            </w:pPr>
            <w:r>
              <w:rPr>
                <w:rFonts w:ascii="Arial" w:cs="Arial" w:eastAsia="Arial" w:hAnsi="Arial"/>
                <w:sz w:val="14"/>
                <w:szCs w:val="14"/>
                <w:b w:val="1"/>
                <w:bCs w:val="1"/>
                <w:color w:val="auto"/>
              </w:rPr>
              <w:t>Filing</w:t>
            </w:r>
          </w:p>
        </w:tc>
        <w:tc>
          <w:tcPr>
            <w:tcW w:w="1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Furnished</w:t>
            </w:r>
          </w:p>
        </w:tc>
        <w:tc>
          <w:tcPr>
            <w:tcW w:w="0" w:type="dxa"/>
            <w:vAlign w:val="bottom"/>
          </w:tcPr>
          <w:p>
            <w:pPr>
              <w:spacing w:after="0"/>
              <w:rPr>
                <w:sz w:val="1"/>
                <w:szCs w:val="1"/>
                <w:color w:val="auto"/>
              </w:rPr>
            </w:pPr>
          </w:p>
        </w:tc>
      </w:tr>
      <w:tr>
        <w:trPr>
          <w:trHeight w:val="171"/>
        </w:trPr>
        <w:tc>
          <w:tcPr>
            <w:tcW w:w="84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ind w:lef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3040" w:type="dxa"/>
            <w:vAlign w:val="bottom"/>
          </w:tcPr>
          <w:p>
            <w:pPr>
              <w:ind w:left="860"/>
              <w:spacing w:after="0"/>
              <w:rPr>
                <w:sz w:val="20"/>
                <w:szCs w:val="20"/>
                <w:color w:val="auto"/>
              </w:rPr>
            </w:pPr>
            <w:r>
              <w:rPr>
                <w:rFonts w:ascii="Arial" w:cs="Arial" w:eastAsia="Arial" w:hAnsi="Arial"/>
                <w:sz w:val="14"/>
                <w:szCs w:val="14"/>
                <w:b w:val="1"/>
                <w:bCs w:val="1"/>
                <w:color w:val="auto"/>
              </w:rPr>
              <w:t>Exhibit Description</w:t>
            </w:r>
          </w:p>
        </w:tc>
        <w:tc>
          <w:tcPr>
            <w:tcW w:w="1840" w:type="dxa"/>
            <w:vAlign w:val="bottom"/>
            <w:gridSpan w:val="4"/>
          </w:tcPr>
          <w:p>
            <w:pPr>
              <w:ind w:left="8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Form</w:t>
            </w:r>
            <w:r>
              <w:rPr>
                <w:rFonts w:ascii="Arial" w:cs="Arial" w:eastAsia="Arial" w:hAnsi="Arial"/>
                <w:sz w:val="14"/>
                <w:szCs w:val="14"/>
                <w:color w:val="auto"/>
              </w:rPr>
              <w:t xml:space="preserve">  ​</w:t>
            </w:r>
            <w:r>
              <w:rPr>
                <w:rFonts w:ascii="Arial" w:cs="Arial" w:eastAsia="Arial" w:hAnsi="Arial"/>
                <w:sz w:val="14"/>
                <w:szCs w:val="14"/>
                <w:b w:val="1"/>
                <w:bCs w:val="1"/>
                <w:color w:val="auto"/>
              </w:rPr>
              <w:t>File No.</w:t>
            </w:r>
          </w:p>
        </w:tc>
        <w:tc>
          <w:tcPr>
            <w:tcW w:w="1760" w:type="dxa"/>
            <w:vAlign w:val="bottom"/>
            <w:gridSpan w:val="4"/>
          </w:tcPr>
          <w:p>
            <w:pPr>
              <w:ind w:left="80"/>
              <w:spacing w:after="0"/>
              <w:rPr>
                <w:sz w:val="20"/>
                <w:szCs w:val="20"/>
                <w:color w:val="auto"/>
              </w:rPr>
            </w:pPr>
            <w:r>
              <w:rPr>
                <w:rFonts w:ascii="Arial" w:cs="Arial" w:eastAsia="Arial" w:hAnsi="Arial"/>
                <w:sz w:val="14"/>
                <w:szCs w:val="14"/>
                <w:b w:val="1"/>
                <w:bCs w:val="1"/>
                <w:color w:val="auto"/>
              </w:rPr>
              <w:t>​  Exhibit  ​    Date</w:t>
            </w: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    Herewith</w:t>
            </w:r>
          </w:p>
        </w:tc>
        <w:tc>
          <w:tcPr>
            <w:tcW w:w="0" w:type="dxa"/>
            <w:vAlign w:val="bottom"/>
          </w:tcPr>
          <w:p>
            <w:pPr>
              <w:spacing w:after="0"/>
              <w:rPr>
                <w:sz w:val="1"/>
                <w:szCs w:val="1"/>
                <w:color w:val="auto"/>
              </w:rPr>
            </w:pPr>
          </w:p>
        </w:tc>
      </w:tr>
      <w:tr>
        <w:trPr>
          <w:trHeight w:val="380"/>
        </w:trPr>
        <w:tc>
          <w:tcPr>
            <w:tcW w:w="8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101.LAB</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Inline XBRL Taxonomy Label</w:t>
            </w:r>
          </w:p>
        </w:tc>
        <w:tc>
          <w:tcPr>
            <w:tcW w:w="18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80" w:type="dxa"/>
            <w:vAlign w:val="bottom"/>
            <w:gridSpan w:val="2"/>
          </w:tcPr>
          <w:p>
            <w:pPr>
              <w:ind w:left="40"/>
              <w:spacing w:after="0"/>
              <w:rPr>
                <w:sz w:val="20"/>
                <w:szCs w:val="20"/>
                <w:color w:val="auto"/>
              </w:rPr>
            </w:pPr>
            <w:r>
              <w:rPr>
                <w:rFonts w:ascii="Arial" w:cs="Arial" w:eastAsia="Arial" w:hAnsi="Arial"/>
                <w:sz w:val="18"/>
                <w:szCs w:val="18"/>
                <w:color w:val="auto"/>
              </w:rPr>
              <w:t>Linkbase Document</w:t>
            </w: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840" w:type="dxa"/>
            <w:vAlign w:val="bottom"/>
          </w:tcPr>
          <w:p>
            <w:pPr>
              <w:spacing w:after="0"/>
              <w:rPr>
                <w:sz w:val="20"/>
                <w:szCs w:val="20"/>
                <w:color w:val="auto"/>
              </w:rPr>
            </w:pPr>
            <w:r>
              <w:rPr>
                <w:rFonts w:ascii="Arial" w:cs="Arial" w:eastAsia="Arial" w:hAnsi="Arial"/>
                <w:sz w:val="18"/>
                <w:szCs w:val="18"/>
                <w:color w:val="auto"/>
              </w:rPr>
              <w:t>101.PRE</w:t>
            </w:r>
          </w:p>
        </w:tc>
        <w:tc>
          <w:tcPr>
            <w:tcW w:w="160" w:type="dxa"/>
            <w:vAlign w:val="bottom"/>
          </w:tcPr>
          <w:p>
            <w:pPr>
              <w:spacing w:after="0"/>
              <w:rPr>
                <w:sz w:val="24"/>
                <w:szCs w:val="24"/>
                <w:color w:val="auto"/>
              </w:rPr>
            </w:pPr>
          </w:p>
        </w:tc>
        <w:tc>
          <w:tcPr>
            <w:tcW w:w="3080" w:type="dxa"/>
            <w:vAlign w:val="bottom"/>
            <w:gridSpan w:val="2"/>
          </w:tcPr>
          <w:p>
            <w:pPr>
              <w:ind w:left="40"/>
              <w:spacing w:after="0"/>
              <w:rPr>
                <w:sz w:val="20"/>
                <w:szCs w:val="20"/>
                <w:color w:val="auto"/>
              </w:rPr>
            </w:pPr>
            <w:r>
              <w:rPr>
                <w:rFonts w:ascii="Arial" w:cs="Arial" w:eastAsia="Arial" w:hAnsi="Arial"/>
                <w:sz w:val="18"/>
                <w:szCs w:val="18"/>
                <w:color w:val="auto"/>
              </w:rPr>
              <w:t>Inline XBRL Taxonomy Extension</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20" w:type="dxa"/>
            <w:vAlign w:val="bottom"/>
            <w:gridSpan w:val="2"/>
          </w:tcPr>
          <w:p>
            <w:pPr>
              <w:jc w:val="center"/>
              <w:ind w:left="7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80" w:type="dxa"/>
            <w:vAlign w:val="bottom"/>
            <w:gridSpan w:val="2"/>
          </w:tcPr>
          <w:p>
            <w:pPr>
              <w:ind w:left="40"/>
              <w:spacing w:after="0"/>
              <w:rPr>
                <w:sz w:val="20"/>
                <w:szCs w:val="20"/>
                <w:color w:val="auto"/>
              </w:rPr>
            </w:pPr>
            <w:r>
              <w:rPr>
                <w:rFonts w:ascii="Arial" w:cs="Arial" w:eastAsia="Arial" w:hAnsi="Arial"/>
                <w:sz w:val="18"/>
                <w:szCs w:val="18"/>
                <w:color w:val="auto"/>
              </w:rPr>
              <w:t>Presentation Linkbase Document</w:t>
            </w: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840" w:type="dxa"/>
            <w:vAlign w:val="bottom"/>
          </w:tcPr>
          <w:p>
            <w:pPr>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24"/>
                <w:szCs w:val="24"/>
                <w:color w:val="auto"/>
              </w:rPr>
            </w:pPr>
          </w:p>
        </w:tc>
        <w:tc>
          <w:tcPr>
            <w:tcW w:w="3080" w:type="dxa"/>
            <w:vAlign w:val="bottom"/>
            <w:gridSpan w:val="2"/>
          </w:tcPr>
          <w:p>
            <w:pPr>
              <w:ind w:left="40"/>
              <w:spacing w:after="0"/>
              <w:rPr>
                <w:sz w:val="20"/>
                <w:szCs w:val="20"/>
                <w:color w:val="auto"/>
              </w:rPr>
            </w:pPr>
            <w:r>
              <w:rPr>
                <w:rFonts w:ascii="Arial" w:cs="Arial" w:eastAsia="Arial" w:hAnsi="Arial"/>
                <w:sz w:val="18"/>
                <w:szCs w:val="18"/>
                <w:color w:val="auto"/>
              </w:rPr>
              <w:t>Cover Page Interactive Data File</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20" w:type="dxa"/>
            <w:vAlign w:val="bottom"/>
            <w:gridSpan w:val="2"/>
          </w:tcPr>
          <w:p>
            <w:pPr>
              <w:jc w:val="center"/>
              <w:ind w:left="7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8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(formatted as Inline XBRL and</w:t>
            </w: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80" w:type="dxa"/>
            <w:vAlign w:val="bottom"/>
            <w:gridSpan w:val="2"/>
          </w:tcPr>
          <w:p>
            <w:pPr>
              <w:ind w:left="40"/>
              <w:spacing w:after="0"/>
              <w:rPr>
                <w:sz w:val="20"/>
                <w:szCs w:val="20"/>
                <w:color w:val="auto"/>
              </w:rPr>
            </w:pPr>
            <w:r>
              <w:rPr>
                <w:rFonts w:ascii="Arial" w:cs="Arial" w:eastAsia="Arial" w:hAnsi="Arial"/>
                <w:sz w:val="18"/>
                <w:szCs w:val="18"/>
                <w:color w:val="auto"/>
              </w:rPr>
              <w:t>contained in Exhibit 101)</w:t>
            </w: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320" w:hanging="270"/>
        <w:spacing w:after="0"/>
        <w:tabs>
          <w:tab w:leader="none" w:pos="3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29" w:lineRule="exact"/>
        <w:rPr>
          <w:sz w:val="20"/>
          <w:szCs w:val="20"/>
          <w:color w:val="auto"/>
        </w:rPr>
      </w:pPr>
    </w:p>
    <w:p>
      <w:pPr>
        <w:ind w:left="320" w:hanging="270"/>
        <w:spacing w:after="0"/>
        <w:tabs>
          <w:tab w:leader="none" w:pos="3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Furnished herewith</w:t>
      </w:r>
    </w:p>
    <w:p>
      <w:pPr>
        <w:spacing w:after="0" w:line="15" w:lineRule="exact"/>
        <w:rPr>
          <w:rFonts w:ascii="Arial" w:cs="Arial" w:eastAsia="Arial" w:hAnsi="Arial"/>
          <w:sz w:val="14"/>
          <w:szCs w:val="14"/>
          <w:color w:val="auto"/>
        </w:rPr>
      </w:pPr>
    </w:p>
    <w:p>
      <w:pPr>
        <w:ind w:left="320" w:hanging="270"/>
        <w:spacing w:after="0"/>
        <w:tabs>
          <w:tab w:leader="none" w:pos="3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Submitted electronically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3" w:name="page74"/>
    <w:bookmarkEnd w:id="7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98" w:lineRule="exact"/>
        <w:rPr>
          <w:sz w:val="20"/>
          <w:szCs w:val="20"/>
          <w:color w:val="auto"/>
        </w:rPr>
      </w:pPr>
    </w:p>
    <w:p>
      <w:pPr>
        <w:ind w:left="60" w:right="59" w:firstLine="648"/>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060" w:type="dxa"/>
            <w:vAlign w:val="bottom"/>
          </w:tcPr>
          <w:p>
            <w:pPr>
              <w:spacing w:after="0"/>
              <w:rPr>
                <w:sz w:val="17"/>
                <w:szCs w:val="17"/>
                <w:color w:val="auto"/>
              </w:rPr>
            </w:pPr>
          </w:p>
        </w:tc>
        <w:tc>
          <w:tcPr>
            <w:tcW w:w="5860" w:type="dxa"/>
            <w:vAlign w:val="bottom"/>
            <w:gridSpan w:val="2"/>
          </w:tcPr>
          <w:p>
            <w:pPr>
              <w:ind w:left="1080"/>
              <w:spacing w:after="0"/>
              <w:rPr>
                <w:sz w:val="20"/>
                <w:szCs w:val="20"/>
                <w:color w:val="auto"/>
              </w:rPr>
            </w:pPr>
            <w:r>
              <w:rPr>
                <w:rFonts w:ascii="Arial" w:cs="Arial" w:eastAsia="Arial" w:hAnsi="Arial"/>
                <w:sz w:val="18"/>
                <w:szCs w:val="18"/>
                <w:b w:val="1"/>
                <w:bCs w:val="1"/>
                <w:color w:val="auto"/>
              </w:rPr>
              <w:t>Camping World Holdings, Inc</w:t>
            </w:r>
            <w:r>
              <w:rPr>
                <w:rFonts w:ascii="Arial" w:cs="Arial" w:eastAsia="Arial" w:hAnsi="Arial"/>
                <w:sz w:val="18"/>
                <w:szCs w:val="18"/>
                <w:color w:val="auto"/>
              </w:rPr>
              <w:t>.</w:t>
            </w:r>
          </w:p>
        </w:tc>
      </w:tr>
      <w:tr>
        <w:trPr>
          <w:trHeight w:val="221"/>
        </w:trPr>
        <w:tc>
          <w:tcPr>
            <w:tcW w:w="3060" w:type="dxa"/>
            <w:vAlign w:val="bottom"/>
          </w:tcPr>
          <w:p>
            <w:pPr>
              <w:ind w:left="20"/>
              <w:spacing w:after="0"/>
              <w:rPr>
                <w:sz w:val="20"/>
                <w:szCs w:val="20"/>
                <w:color w:val="auto"/>
              </w:rPr>
            </w:pPr>
            <w:r>
              <w:rPr>
                <w:rFonts w:ascii="Arial" w:cs="Arial" w:eastAsia="Arial" w:hAnsi="Arial"/>
                <w:sz w:val="18"/>
                <w:szCs w:val="18"/>
                <w:color w:val="auto"/>
              </w:rPr>
              <w:t>Date: November 5, 2026</w:t>
            </w:r>
          </w:p>
        </w:tc>
        <w:tc>
          <w:tcPr>
            <w:tcW w:w="5860" w:type="dxa"/>
            <w:vAlign w:val="bottom"/>
            <w:gridSpan w:val="2"/>
          </w:tcPr>
          <w:p>
            <w:pPr>
              <w:ind w:left="1080"/>
              <w:spacing w:after="0"/>
              <w:rPr>
                <w:sz w:val="20"/>
                <w:szCs w:val="20"/>
                <w:color w:val="auto"/>
              </w:rPr>
            </w:pPr>
            <w:r>
              <w:rPr>
                <w:rFonts w:ascii="Arial" w:cs="Arial" w:eastAsia="Arial" w:hAnsi="Arial"/>
                <w:sz w:val="18"/>
                <w:szCs w:val="18"/>
                <w:color w:val="auto"/>
              </w:rPr>
              <w:t>By: /s/ Thomas E. Kirn</w:t>
            </w:r>
          </w:p>
        </w:tc>
      </w:tr>
      <w:tr>
        <w:trPr>
          <w:trHeight w:val="177"/>
        </w:trPr>
        <w:tc>
          <w:tcPr>
            <w:tcW w:w="30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4460" w:type="dxa"/>
            <w:vAlign w:val="bottom"/>
            <w:tcBorders>
              <w:top w:val="single" w:sz="8" w:color="auto"/>
            </w:tcBorders>
          </w:tcPr>
          <w:p>
            <w:pPr>
              <w:spacing w:after="0" w:line="177" w:lineRule="exact"/>
              <w:rPr>
                <w:sz w:val="20"/>
                <w:szCs w:val="20"/>
                <w:color w:val="auto"/>
              </w:rPr>
            </w:pPr>
            <w:r>
              <w:rPr>
                <w:rFonts w:ascii="Arial" w:cs="Arial" w:eastAsia="Arial" w:hAnsi="Arial"/>
                <w:sz w:val="18"/>
                <w:szCs w:val="18"/>
                <w:color w:val="auto"/>
              </w:rPr>
              <w:t>Thomas E. Kirn</w:t>
            </w:r>
          </w:p>
        </w:tc>
      </w:tr>
      <w:tr>
        <w:trPr>
          <w:trHeight w:val="203"/>
        </w:trPr>
        <w:tc>
          <w:tcPr>
            <w:tcW w:w="30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460" w:type="dxa"/>
            <w:vAlign w:val="bottom"/>
          </w:tcPr>
          <w:p>
            <w:pPr>
              <w:spacing w:after="0" w:line="202" w:lineRule="exact"/>
              <w:rPr>
                <w:sz w:val="20"/>
                <w:szCs w:val="20"/>
                <w:color w:val="auto"/>
              </w:rPr>
            </w:pPr>
            <w:r>
              <w:rPr>
                <w:rFonts w:ascii="Arial" w:cs="Arial" w:eastAsia="Arial" w:hAnsi="Arial"/>
                <w:sz w:val="18"/>
                <w:szCs w:val="18"/>
                <w:color w:val="auto"/>
              </w:rPr>
              <w:t>Chief Financial Officer</w:t>
            </w:r>
          </w:p>
        </w:tc>
      </w:tr>
      <w:tr>
        <w:trPr>
          <w:trHeight w:val="203"/>
        </w:trPr>
        <w:tc>
          <w:tcPr>
            <w:tcW w:w="30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460" w:type="dxa"/>
            <w:vAlign w:val="bottom"/>
          </w:tcPr>
          <w:p>
            <w:pPr>
              <w:spacing w:after="0" w:line="202" w:lineRule="exact"/>
              <w:rPr>
                <w:sz w:val="20"/>
                <w:szCs w:val="20"/>
                <w:color w:val="auto"/>
              </w:rPr>
            </w:pPr>
            <w:r>
              <w:rPr>
                <w:rFonts w:ascii="Arial" w:cs="Arial" w:eastAsia="Arial" w:hAnsi="Arial"/>
                <w:sz w:val="18"/>
                <w:szCs w:val="18"/>
                <w:color w:val="auto"/>
              </w:rPr>
              <w:t>(Principal Financial Officer and Principal</w:t>
            </w:r>
          </w:p>
        </w:tc>
      </w:tr>
      <w:tr>
        <w:trPr>
          <w:trHeight w:val="239"/>
        </w:trPr>
        <w:tc>
          <w:tcPr>
            <w:tcW w:w="30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Accounting Officer)</w:t>
            </w:r>
          </w:p>
        </w:tc>
      </w:tr>
      <w:tr>
        <w:trPr>
          <w:trHeight w:val="851"/>
        </w:trPr>
        <w:tc>
          <w:tcPr>
            <w:tcW w:w="3060" w:type="dxa"/>
            <w:vAlign w:val="bottom"/>
          </w:tcPr>
          <w:p>
            <w:pPr>
              <w:spacing w:after="0"/>
              <w:rPr>
                <w:sz w:val="24"/>
                <w:szCs w:val="24"/>
                <w:color w:val="auto"/>
              </w:rPr>
            </w:pPr>
          </w:p>
        </w:tc>
        <w:tc>
          <w:tcPr>
            <w:tcW w:w="5860" w:type="dxa"/>
            <w:vAlign w:val="bottom"/>
            <w:gridSpan w:val="2"/>
          </w:tcPr>
          <w:p>
            <w:pPr>
              <w:jc w:val="right"/>
              <w:ind w:right="4270"/>
              <w:spacing w:after="0"/>
              <w:rPr>
                <w:sz w:val="20"/>
                <w:szCs w:val="20"/>
                <w:color w:val="auto"/>
              </w:rPr>
            </w:pPr>
            <w:r>
              <w:rPr>
                <w:rFonts w:ascii="Arial" w:cs="Arial" w:eastAsia="Arial" w:hAnsi="Arial"/>
                <w:sz w:val="18"/>
                <w:szCs w:val="18"/>
                <w:color w:val="auto"/>
              </w:rPr>
              <w:t>72</w:t>
            </w:r>
          </w:p>
        </w:tc>
      </w:tr>
      <w:tr>
        <w:trPr>
          <w:trHeight w:val="543"/>
        </w:trPr>
        <w:tc>
          <w:tcPr>
            <w:tcW w:w="30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2" w:right="1440" w:bottom="1440" w:gutter="0" w:footer="0" w:header="0"/>
        </w:sectPr>
      </w:pPr>
    </w:p>
    <w:bookmarkStart w:id="74" w:name="page75"/>
    <w:bookmarkEnd w:id="74"/>
    <w:p>
      <w:pPr>
        <w:jc w:val="right"/>
        <w:ind w:right="59"/>
        <w:spacing w:after="0"/>
        <w:rPr>
          <w:sz w:val="20"/>
          <w:szCs w:val="20"/>
          <w:color w:val="auto"/>
        </w:rPr>
      </w:pPr>
      <w:r>
        <w:rPr>
          <w:rFonts w:ascii="Times New Roman" w:cs="Times New Roman" w:eastAsia="Times New Roman" w:hAnsi="Times New Roman"/>
          <w:sz w:val="20"/>
          <w:szCs w:val="20"/>
          <w:b w:val="1"/>
          <w:bCs w:val="1"/>
          <w:color w:val="auto"/>
        </w:rPr>
        <w:t>Exhibit 10.3</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FIRST AMENDMENT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NINTH AMENDED AND RESTATED CREDIT AGREEMENT</w:t>
      </w:r>
    </w:p>
    <w:p>
      <w:pPr>
        <w:spacing w:after="0" w:line="190" w:lineRule="exact"/>
        <w:rPr>
          <w:sz w:val="20"/>
          <w:szCs w:val="20"/>
          <w:color w:val="auto"/>
        </w:rPr>
      </w:pPr>
    </w:p>
    <w:p>
      <w:pPr>
        <w:jc w:val="both"/>
        <w:ind w:left="60" w:right="59" w:firstLine="648"/>
        <w:spacing w:after="0" w:line="243" w:lineRule="auto"/>
        <w:rPr>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b w:val="1"/>
          <w:bCs w:val="1"/>
          <w:color w:val="auto"/>
        </w:rPr>
        <w:t>FIRST AMENDMENT TO NINTH AMENDED AND RESTATED CREDIT AGREEMENT</w:t>
      </w:r>
      <w:r>
        <w:rPr>
          <w:rFonts w:ascii="Times New Roman" w:cs="Times New Roman" w:eastAsia="Times New Roman" w:hAnsi="Times New Roman"/>
          <w:sz w:val="20"/>
          <w:szCs w:val="20"/>
          <w:color w:val="auto"/>
        </w:rPr>
        <w:t xml:space="preserve"> (this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xml:space="preserve">”) dated as of October 19, 2026 is made by and among </w:t>
      </w:r>
      <w:r>
        <w:rPr>
          <w:rFonts w:ascii="Times New Roman" w:cs="Times New Roman" w:eastAsia="Times New Roman" w:hAnsi="Times New Roman"/>
          <w:sz w:val="20"/>
          <w:szCs w:val="20"/>
          <w:b w:val="1"/>
          <w:bCs w:val="1"/>
          <w:color w:val="auto"/>
        </w:rPr>
        <w:t>FREEDOMROADS, LLC</w:t>
      </w:r>
      <w:r>
        <w:rPr>
          <w:rFonts w:ascii="Times New Roman" w:cs="Times New Roman" w:eastAsia="Times New Roman" w:hAnsi="Times New Roman"/>
          <w:sz w:val="20"/>
          <w:szCs w:val="20"/>
          <w:color w:val="auto"/>
        </w:rPr>
        <w:t>, a Minnesota limited liability company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each of the Subsidiaries of the Company party hereto as borrowers (together with the Company, collectively, the “</w:t>
      </w:r>
      <w:r>
        <w:rPr>
          <w:rFonts w:ascii="Times New Roman" w:cs="Times New Roman" w:eastAsia="Times New Roman" w:hAnsi="Times New Roman"/>
          <w:sz w:val="20"/>
          <w:szCs w:val="20"/>
          <w:b w:val="1"/>
          <w:bCs w:val="1"/>
          <w:i w:val="1"/>
          <w:iCs w:val="1"/>
          <w:color w:val="auto"/>
        </w:rPr>
        <w:t>Borrowers</w:t>
      </w:r>
      <w:r>
        <w:rPr>
          <w:rFonts w:ascii="Times New Roman" w:cs="Times New Roman" w:eastAsia="Times New Roman" w:hAnsi="Times New Roman"/>
          <w:sz w:val="20"/>
          <w:szCs w:val="20"/>
          <w:color w:val="auto"/>
        </w:rPr>
        <w:t>”, and each individually, a “</w:t>
      </w:r>
      <w:r>
        <w:rPr>
          <w:rFonts w:ascii="Times New Roman" w:cs="Times New Roman" w:eastAsia="Times New Roman" w:hAnsi="Times New Roman"/>
          <w:sz w:val="20"/>
          <w:szCs w:val="20"/>
          <w:b w:val="1"/>
          <w:bCs w:val="1"/>
          <w:i w:val="1"/>
          <w:iCs w:val="1"/>
          <w:color w:val="auto"/>
        </w:rPr>
        <w:t>Borrower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FREEDOMROADS INTERMEDIATE HOLDCO, LLC</w:t>
      </w:r>
      <w:r>
        <w:rPr>
          <w:rFonts w:ascii="Times New Roman" w:cs="Times New Roman" w:eastAsia="Times New Roman" w:hAnsi="Times New Roman"/>
          <w:sz w:val="20"/>
          <w:szCs w:val="20"/>
          <w:color w:val="auto"/>
        </w:rPr>
        <w:t>, a Minnesota limited liability company (“</w:t>
      </w:r>
      <w:r>
        <w:rPr>
          <w:rFonts w:ascii="Times New Roman" w:cs="Times New Roman" w:eastAsia="Times New Roman" w:hAnsi="Times New Roman"/>
          <w:sz w:val="20"/>
          <w:szCs w:val="20"/>
          <w:b w:val="1"/>
          <w:bCs w:val="1"/>
          <w:i w:val="1"/>
          <w:iCs w:val="1"/>
          <w:color w:val="auto"/>
        </w:rPr>
        <w:t>FRI</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each of the Subsidiaries of the Company party hereto as guarantors (collectively, the “</w:t>
      </w:r>
      <w:r>
        <w:rPr>
          <w:rFonts w:ascii="Times New Roman" w:cs="Times New Roman" w:eastAsia="Times New Roman" w:hAnsi="Times New Roman"/>
          <w:sz w:val="20"/>
          <w:szCs w:val="20"/>
          <w:b w:val="1"/>
          <w:bCs w:val="1"/>
          <w:i w:val="1"/>
          <w:iCs w:val="1"/>
          <w:color w:val="auto"/>
        </w:rPr>
        <w:t>Subsidiary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Guarantors</w:t>
      </w:r>
      <w:r>
        <w:rPr>
          <w:rFonts w:ascii="Times New Roman" w:cs="Times New Roman" w:eastAsia="Times New Roman" w:hAnsi="Times New Roman"/>
          <w:sz w:val="20"/>
          <w:szCs w:val="20"/>
          <w:color w:val="auto"/>
        </w:rPr>
        <w:t>”, and together with</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b w:val="1"/>
          <w:bCs w:val="1"/>
          <w:color w:val="auto"/>
        </w:rPr>
        <w:t>FRI</w:t>
      </w:r>
      <w:r>
        <w:rPr>
          <w:rFonts w:ascii="Times New Roman" w:cs="Times New Roman" w:eastAsia="Times New Roman" w:hAnsi="Times New Roman"/>
          <w:sz w:val="20"/>
          <w:szCs w:val="20"/>
          <w:color w:val="auto"/>
        </w:rPr>
        <w:t>, collectively, the “</w:t>
      </w:r>
      <w:r>
        <w:rPr>
          <w:rFonts w:ascii="Times New Roman" w:cs="Times New Roman" w:eastAsia="Times New Roman" w:hAnsi="Times New Roman"/>
          <w:sz w:val="20"/>
          <w:szCs w:val="20"/>
          <w:b w:val="1"/>
          <w:bCs w:val="1"/>
          <w:i w:val="1"/>
          <w:iCs w:val="1"/>
          <w:color w:val="auto"/>
        </w:rPr>
        <w:t>Guarantors</w:t>
      </w:r>
      <w:r>
        <w:rPr>
          <w:rFonts w:ascii="Times New Roman" w:cs="Times New Roman" w:eastAsia="Times New Roman" w:hAnsi="Times New Roman"/>
          <w:sz w:val="20"/>
          <w:szCs w:val="20"/>
          <w:color w:val="auto"/>
        </w:rPr>
        <w:t>”, and each individually, a “</w:t>
      </w:r>
      <w:r>
        <w:rPr>
          <w:rFonts w:ascii="Times New Roman" w:cs="Times New Roman" w:eastAsia="Times New Roman" w:hAnsi="Times New Roman"/>
          <w:sz w:val="20"/>
          <w:szCs w:val="20"/>
          <w:b w:val="1"/>
          <w:bCs w:val="1"/>
          <w:i w:val="1"/>
          <w:iCs w:val="1"/>
          <w:color w:val="auto"/>
        </w:rPr>
        <w:t>Guarantor</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b w:val="1"/>
          <w:bCs w:val="1"/>
          <w:color w:val="auto"/>
        </w:rPr>
        <w:t>BANK OF AMERICA, N.A.</w:t>
      </w:r>
      <w:r>
        <w:rPr>
          <w:rFonts w:ascii="Times New Roman" w:cs="Times New Roman" w:eastAsia="Times New Roman" w:hAnsi="Times New Roman"/>
          <w:sz w:val="20"/>
          <w:szCs w:val="20"/>
          <w:color w:val="auto"/>
        </w:rPr>
        <w:t>, a national banking association organized and existing under the laws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United States (“</w:t>
      </w:r>
      <w:r>
        <w:rPr>
          <w:rFonts w:ascii="Times New Roman" w:cs="Times New Roman" w:eastAsia="Times New Roman" w:hAnsi="Times New Roman"/>
          <w:sz w:val="20"/>
          <w:szCs w:val="20"/>
          <w:b w:val="1"/>
          <w:bCs w:val="1"/>
          <w:i w:val="1"/>
          <w:iCs w:val="1"/>
          <w:color w:val="auto"/>
        </w:rPr>
        <w:t>Bank of America</w:t>
      </w:r>
      <w:r>
        <w:rPr>
          <w:rFonts w:ascii="Times New Roman" w:cs="Times New Roman" w:eastAsia="Times New Roman" w:hAnsi="Times New Roman"/>
          <w:sz w:val="20"/>
          <w:szCs w:val="20"/>
          <w:color w:val="auto"/>
        </w:rPr>
        <w:t>”), in its capacity as administrative agent (in such capacity, the “</w:t>
      </w:r>
      <w:r>
        <w:rPr>
          <w:rFonts w:ascii="Times New Roman" w:cs="Times New Roman" w:eastAsia="Times New Roman" w:hAnsi="Times New Roman"/>
          <w:sz w:val="20"/>
          <w:szCs w:val="20"/>
          <w:b w:val="1"/>
          <w:bCs w:val="1"/>
          <w:i w:val="1"/>
          <w:iCs w:val="1"/>
          <w:color w:val="auto"/>
        </w:rPr>
        <w:t>Administrative Agent</w:t>
      </w:r>
      <w:r>
        <w:rPr>
          <w:rFonts w:ascii="Times New Roman" w:cs="Times New Roman" w:eastAsia="Times New Roman" w:hAnsi="Times New Roman"/>
          <w:sz w:val="20"/>
          <w:szCs w:val="20"/>
          <w:color w:val="auto"/>
        </w:rPr>
        <w:t>”), and each of the Lenders signatory hereto.</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 I T N E S S E T H:</w:t>
      </w:r>
    </w:p>
    <w:p>
      <w:pPr>
        <w:spacing w:after="0" w:line="216" w:lineRule="exact"/>
        <w:rPr>
          <w:sz w:val="20"/>
          <w:szCs w:val="20"/>
          <w:color w:val="auto"/>
        </w:rPr>
      </w:pPr>
    </w:p>
    <w:p>
      <w:pPr>
        <w:jc w:val="both"/>
        <w:ind w:left="60" w:right="59" w:firstLine="648"/>
        <w:spacing w:after="0" w:line="246"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Borrowers, the Administrative Agent and the Lenders have entered into that certain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Ninth Amended and Restated Credit Agreement dated as of February 18, 2025 (as hereby amended and as from time to time hereafter further amended, modified, supplemented, restated, or amended and restated, the “</w:t>
      </w:r>
      <w:r>
        <w:rPr>
          <w:rFonts w:ascii="Times New Roman" w:cs="Times New Roman" w:eastAsia="Times New Roman" w:hAnsi="Times New Roman"/>
          <w:sz w:val="20"/>
          <w:szCs w:val="20"/>
          <w:b w:val="1"/>
          <w:bCs w:val="1"/>
          <w:i w:val="1"/>
          <w:iCs w:val="1"/>
          <w:color w:val="auto"/>
        </w:rPr>
        <w:t>Credit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pursuant to which the Lenders have made available to the Borrowers various credit facilities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(capitalized terms used in this Agreement and not otherwise defined herein shall have the respective meanings given thereto in the Credit Agreement);</w:t>
      </w:r>
    </w:p>
    <w:p>
      <w:pPr>
        <w:spacing w:after="0" w:line="179" w:lineRule="exact"/>
        <w:rPr>
          <w:sz w:val="20"/>
          <w:szCs w:val="20"/>
          <w:color w:val="auto"/>
        </w:rPr>
      </w:pPr>
    </w:p>
    <w:p>
      <w:pPr>
        <w:jc w:val="both"/>
        <w:ind w:left="60" w:right="59" w:firstLine="648"/>
        <w:spacing w:after="0" w:line="250"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Borrowers and the Guarantors have requested that the Administrative Agent and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Lenders agree to amend the definition of “Permitted Holders” contained in the Credit Agreement, and the Administrative Agent and the Lenders signatory hereto are willing to so amend the Credit Agreement on the terms and conditions contained in this Agreement.</w:t>
      </w:r>
    </w:p>
    <w:p>
      <w:pPr>
        <w:spacing w:after="0" w:line="176" w:lineRule="exact"/>
        <w:rPr>
          <w:sz w:val="20"/>
          <w:szCs w:val="20"/>
          <w:color w:val="auto"/>
        </w:rPr>
      </w:pPr>
    </w:p>
    <w:p>
      <w:pPr>
        <w:jc w:val="both"/>
        <w:ind w:left="60" w:right="59"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in consideration of the premises and further valuable consideration, the receipt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sufficiency of which is hereby acknowledged, the parties hereto agree as follows:</w:t>
      </w:r>
    </w:p>
    <w:p>
      <w:pPr>
        <w:spacing w:after="0" w:line="152" w:lineRule="exact"/>
        <w:rPr>
          <w:sz w:val="20"/>
          <w:szCs w:val="20"/>
          <w:color w:val="auto"/>
        </w:rPr>
      </w:pPr>
    </w:p>
    <w:p>
      <w:pPr>
        <w:jc w:val="both"/>
        <w:ind w:left="60" w:right="59" w:firstLine="638"/>
        <w:spacing w:after="0" w:line="256" w:lineRule="auto"/>
        <w:tabs>
          <w:tab w:leader="none" w:pos="1356"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Amendment to Credit Agreement</w:t>
      </w:r>
      <w:r>
        <w:rPr>
          <w:rFonts w:ascii="Times New Roman" w:cs="Times New Roman" w:eastAsia="Times New Roman" w:hAnsi="Times New Roman"/>
          <w:sz w:val="20"/>
          <w:szCs w:val="20"/>
          <w:color w:val="auto"/>
        </w:rPr>
        <w:t>. Subject to the terms and conditions set forth herein,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Credit Agreement is hereby amended to restate the definition of “Permitted Holders” in its entirety to read as follows:</w:t>
      </w:r>
    </w:p>
    <w:p>
      <w:pPr>
        <w:spacing w:after="0" w:line="173" w:lineRule="exact"/>
        <w:rPr>
          <w:sz w:val="20"/>
          <w:szCs w:val="20"/>
          <w:color w:val="auto"/>
        </w:rPr>
      </w:pPr>
    </w:p>
    <w:p>
      <w:pPr>
        <w:jc w:val="both"/>
        <w:ind w:left="700" w:right="59" w:firstLine="648"/>
        <w:spacing w:after="0" w:line="25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Permitted Holders</w:t>
      </w:r>
      <w:r>
        <w:rPr>
          <w:rFonts w:ascii="Times New Roman" w:cs="Times New Roman" w:eastAsia="Times New Roman" w:hAnsi="Times New Roman"/>
          <w:sz w:val="19"/>
          <w:szCs w:val="19"/>
          <w:color w:val="auto"/>
        </w:rPr>
        <w:t>” means, with respect to any Equity Interests of any Person (the “</w:t>
      </w:r>
      <w:r>
        <w:rPr>
          <w:rFonts w:ascii="Times New Roman" w:cs="Times New Roman" w:eastAsia="Times New Roman" w:hAnsi="Times New Roman"/>
          <w:sz w:val="19"/>
          <w:szCs w:val="19"/>
          <w:u w:val="single" w:color="auto"/>
          <w:color w:val="auto"/>
        </w:rPr>
        <w:t>Designated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Equity Interests</w:t>
      </w:r>
      <w:r>
        <w:rPr>
          <w:rFonts w:ascii="Times New Roman" w:cs="Times New Roman" w:eastAsia="Times New Roman" w:hAnsi="Times New Roman"/>
          <w:sz w:val="19"/>
          <w:szCs w:val="19"/>
          <w:color w:val="auto"/>
        </w:rPr>
        <w:t>”): (a) Marcus Lemonis, (b) the widow, children and grandchildren of Stephen Adams and representatives of their estates, trusts, or investment vehicles of which the widow, children and grandchildren of Stephen Adams are beneficiaries or owners (in each case, directly or indirectly, including through one or more investment vehicles) (such Persons, “</w:t>
      </w:r>
      <w:r>
        <w:rPr>
          <w:rFonts w:ascii="Times New Roman" w:cs="Times New Roman" w:eastAsia="Times New Roman" w:hAnsi="Times New Roman"/>
          <w:sz w:val="19"/>
          <w:szCs w:val="19"/>
          <w:u w:val="single" w:color="auto"/>
          <w:color w:val="auto"/>
        </w:rPr>
        <w:t>Adams Persons</w:t>
      </w:r>
      <w:r>
        <w:rPr>
          <w:rFonts w:ascii="Times New Roman" w:cs="Times New Roman" w:eastAsia="Times New Roman" w:hAnsi="Times New Roman"/>
          <w:sz w:val="19"/>
          <w:szCs w:val="19"/>
          <w:color w:val="auto"/>
        </w:rPr>
        <w:t>”), (c) trusts or investment vehicles of which one or more Adams Persons are the beneficiaries or owners and for which one or more of such individuals are the trustee(s), (d) any other entity provided (in the case of this clause (d)) that any one or more Adams Persons and/or Marcus Lemonis, directly or indirectly, has the power to exercise voting rights with respect to any Designated Equity Interests held by such entity.</w:t>
      </w:r>
    </w:p>
    <w:p>
      <w:pPr>
        <w:spacing w:after="0" w:line="172" w:lineRule="exact"/>
        <w:rPr>
          <w:sz w:val="20"/>
          <w:szCs w:val="20"/>
          <w:color w:val="auto"/>
        </w:rPr>
      </w:pPr>
    </w:p>
    <w:p>
      <w:pPr>
        <w:jc w:val="both"/>
        <w:ind w:left="60" w:right="79" w:firstLine="638"/>
        <w:spacing w:after="0" w:line="256" w:lineRule="auto"/>
        <w:tabs>
          <w:tab w:leader="none" w:pos="1356"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Effectiveness; Conditions Precedent</w:t>
      </w:r>
      <w:r>
        <w:rPr>
          <w:rFonts w:ascii="Times New Roman" w:cs="Times New Roman" w:eastAsia="Times New Roman" w:hAnsi="Times New Roman"/>
          <w:sz w:val="20"/>
          <w:szCs w:val="20"/>
          <w:color w:val="auto"/>
        </w:rPr>
        <w:t>. This Agreement and the amendments to the Credit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set forth herein shall become effective at the time (the “</w:t>
      </w:r>
      <w:r>
        <w:rPr>
          <w:rFonts w:ascii="Times New Roman" w:cs="Times New Roman" w:eastAsia="Times New Roman" w:hAnsi="Times New Roman"/>
          <w:sz w:val="20"/>
          <w:szCs w:val="20"/>
          <w:b w:val="1"/>
          <w:bCs w:val="1"/>
          <w:i w:val="1"/>
          <w:iCs w:val="1"/>
          <w:color w:val="auto"/>
        </w:rPr>
        <w:t>First Amendment Effective Date</w:t>
      </w:r>
      <w:r>
        <w:rPr>
          <w:rFonts w:ascii="Times New Roman" w:cs="Times New Roman" w:eastAsia="Times New Roman" w:hAnsi="Times New Roman"/>
          <w:sz w:val="20"/>
          <w:szCs w:val="20"/>
          <w:color w:val="auto"/>
        </w:rPr>
        <w:t>”) when each of the following conditions has been satisfied: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612775</wp:posOffset>
            </wp:positionV>
            <wp:extent cx="565785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75" w:name="page76"/>
    <w:bookmarkEnd w:id="75"/>
    <w:p>
      <w:pPr>
        <w:jc w:val="both"/>
        <w:ind w:left="700" w:right="59" w:firstLine="646"/>
        <w:spacing w:after="0" w:line="253" w:lineRule="auto"/>
        <w:tabs>
          <w:tab w:leader="none" w:pos="1996"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Agent’s receipt of counterparts of this Agreement duly executed by a Responsible Officer of each Borrower and each Guarantor and by the Required Lenders, which counterparts may be delivered by facsimile or other electronic means;</w:t>
      </w:r>
    </w:p>
    <w:p>
      <w:pPr>
        <w:spacing w:after="0" w:line="176" w:lineRule="exact"/>
        <w:rPr>
          <w:rFonts w:ascii="Times New Roman" w:cs="Times New Roman" w:eastAsia="Times New Roman" w:hAnsi="Times New Roman"/>
          <w:sz w:val="20"/>
          <w:szCs w:val="20"/>
          <w:color w:val="auto"/>
        </w:rPr>
      </w:pPr>
    </w:p>
    <w:p>
      <w:pPr>
        <w:jc w:val="both"/>
        <w:ind w:left="60" w:right="59" w:firstLine="1286"/>
        <w:spacing w:after="0" w:line="254" w:lineRule="auto"/>
        <w:tabs>
          <w:tab w:leader="none" w:pos="2004"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fees and expenses payable to the Administrative Agent and the Lenders (including the fees and expenses of counsel to the Administrative Agent) estimated to date shall have been paid in full (without prejudice to final settling of accounts for such fees and expenses).</w:t>
      </w:r>
    </w:p>
    <w:p>
      <w:pPr>
        <w:spacing w:after="0" w:line="170" w:lineRule="exact"/>
        <w:rPr>
          <w:rFonts w:ascii="Times New Roman" w:cs="Times New Roman" w:eastAsia="Times New Roman" w:hAnsi="Times New Roman"/>
          <w:sz w:val="20"/>
          <w:szCs w:val="20"/>
          <w:color w:val="auto"/>
        </w:rPr>
      </w:pPr>
    </w:p>
    <w:p>
      <w:pPr>
        <w:jc w:val="both"/>
        <w:ind w:left="60" w:right="59" w:firstLine="638"/>
        <w:spacing w:after="0" w:line="243" w:lineRule="auto"/>
        <w:tabs>
          <w:tab w:leader="none" w:pos="1356"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Consent of the Guarantors; Reaffirmation of Loan Documents</w:t>
      </w:r>
      <w:r>
        <w:rPr>
          <w:rFonts w:ascii="Times New Roman" w:cs="Times New Roman" w:eastAsia="Times New Roman" w:hAnsi="Times New Roman"/>
          <w:sz w:val="20"/>
          <w:szCs w:val="20"/>
          <w:color w:val="auto"/>
        </w:rPr>
        <w:t>. Each Guarantor hereby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consents, acknowledges and agrees to the amendments set forth herein and hereby confirms and ratifies in all respects the Guaranty to which such Guarantor is a party (including without limitation the continuation of such Guarantor’s payment and performance obligations thereunder upon and after the effectiveness of this Agreement and the amendments contemplated hereby) and the enforceability of such Guaranty against such Guarantor in accordance with its terms. Each Borrower and each Guarantor further reaffirms, ratifies and confirms its respective obligations under each Loan Document to which such Borrower or Guarantor is a party, and agrees that each Loan Document shall remain extant and in full force and effect following the execution and delivery of this Agreement, provided that the Credit Agreement shall be amended as set forth herein. Without limiting the generality of the foregoing, each Borrower and each Guarantor reaffirms:</w:t>
      </w:r>
    </w:p>
    <w:p>
      <w:pPr>
        <w:spacing w:after="0" w:line="186" w:lineRule="exact"/>
        <w:rPr>
          <w:rFonts w:ascii="Times New Roman" w:cs="Times New Roman" w:eastAsia="Times New Roman" w:hAnsi="Times New Roman"/>
          <w:sz w:val="20"/>
          <w:szCs w:val="20"/>
          <w:color w:val="auto"/>
        </w:rPr>
      </w:pPr>
    </w:p>
    <w:p>
      <w:pPr>
        <w:jc w:val="both"/>
        <w:ind w:left="60" w:right="59" w:firstLine="1286"/>
        <w:spacing w:after="0" w:line="244" w:lineRule="auto"/>
        <w:tabs>
          <w:tab w:leader="none" w:pos="2004"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its obligations as a grantor under the Security Agreement, including without limitation the grant pursuant to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 xml:space="preserve"> of the Security Agreement of a security interest to the Administrative Agent for the benefit of the Secured Parties in the property and property rights constituting Collateral (as defined in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 xml:space="preserve"> of the Security Agreement) of such Borrower or Guarantor or in which such Borrower or Guarantor has or may have or acquire an interest or the power to transfer rights therein, whether now owned or existing or hereafter created, acquired or arising and wheresoever located, as security for the payment and performance of the Secured Obligations (as defined in the Security Agreement), and</w:t>
      </w:r>
    </w:p>
    <w:p>
      <w:pPr>
        <w:spacing w:after="0" w:line="185" w:lineRule="exact"/>
        <w:rPr>
          <w:rFonts w:ascii="Times New Roman" w:cs="Times New Roman" w:eastAsia="Times New Roman" w:hAnsi="Times New Roman"/>
          <w:sz w:val="20"/>
          <w:szCs w:val="20"/>
          <w:color w:val="auto"/>
        </w:rPr>
      </w:pPr>
    </w:p>
    <w:p>
      <w:pPr>
        <w:jc w:val="both"/>
        <w:ind w:left="60" w:right="59" w:firstLine="1286"/>
        <w:spacing w:after="0" w:line="243" w:lineRule="auto"/>
        <w:tabs>
          <w:tab w:leader="none" w:pos="2004"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its obligations as a pledgor under the Pledge Agreement, including without limitation the grant pursuant to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 xml:space="preserve"> of the Pledge Agreement of a security interest to the Administrative Agent for the benefit of the Secured Parties in, and collateral assignment and pledge to the Administrative Agent of, the Pledged Interests (as defined in the Pledge Agreement) and other property constituting Collateral (as defined in the Pledge Agreement) of such Borrower or Guarantor or in which such Borrower or Guarantor has or may have or acquire an interest or the power to transfer rights therein, whether now owned or existing or hereafter created, acquired or arising and wheresoever located, as security for the payment and performance of the Secured Obligations (as defined in the Pledge Agreement).</w:t>
      </w:r>
    </w:p>
    <w:p>
      <w:pPr>
        <w:spacing w:after="0" w:line="185" w:lineRule="exact"/>
        <w:rPr>
          <w:rFonts w:ascii="Times New Roman" w:cs="Times New Roman" w:eastAsia="Times New Roman" w:hAnsi="Times New Roman"/>
          <w:sz w:val="20"/>
          <w:szCs w:val="20"/>
          <w:color w:val="auto"/>
        </w:rPr>
      </w:pPr>
    </w:p>
    <w:p>
      <w:pPr>
        <w:jc w:val="both"/>
        <w:ind w:left="60" w:right="59" w:firstLine="638"/>
        <w:spacing w:after="0" w:line="256" w:lineRule="auto"/>
        <w:tabs>
          <w:tab w:leader="none" w:pos="1356"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Representations and Warranties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order to induce the Administrative Agent and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Lenders to enter into this Agreement, the Borrowers represent and warrant to the Administrative Agent and the Lenders as follows:</w:t>
      </w:r>
    </w:p>
    <w:p>
      <w:pPr>
        <w:spacing w:after="0" w:line="172" w:lineRule="exact"/>
        <w:rPr>
          <w:rFonts w:ascii="Times New Roman" w:cs="Times New Roman" w:eastAsia="Times New Roman" w:hAnsi="Times New Roman"/>
          <w:sz w:val="20"/>
          <w:szCs w:val="20"/>
          <w:color w:val="auto"/>
        </w:rPr>
      </w:pPr>
    </w:p>
    <w:p>
      <w:pPr>
        <w:jc w:val="both"/>
        <w:ind w:left="60" w:right="59" w:firstLine="1286"/>
        <w:spacing w:after="0" w:line="243" w:lineRule="auto"/>
        <w:tabs>
          <w:tab w:leader="none" w:pos="2004"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representations and warranties made by each Obligated Party in </w:t>
      </w:r>
      <w:r>
        <w:rPr>
          <w:rFonts w:ascii="Times New Roman" w:cs="Times New Roman" w:eastAsia="Times New Roman" w:hAnsi="Times New Roman"/>
          <w:sz w:val="20"/>
          <w:szCs w:val="20"/>
          <w:u w:val="single" w:color="auto"/>
          <w:color w:val="auto"/>
        </w:rPr>
        <w:t>Article V</w:t>
      </w:r>
      <w:r>
        <w:rPr>
          <w:rFonts w:ascii="Times New Roman" w:cs="Times New Roman" w:eastAsia="Times New Roman" w:hAnsi="Times New Roman"/>
          <w:sz w:val="20"/>
          <w:szCs w:val="20"/>
          <w:color w:val="auto"/>
        </w:rPr>
        <w:t xml:space="preserve"> of the Credit Agreement and in each of the other Loan Documents to which such Obligated Party is a party are true and correct on and as of the First Amendment Effective Date, except to the extent that such representations and warranties expressly relate to an earlier date, in which case they are true and correct as of such earlier date, and except that for purposes of this clause (a), the representations and warranties contained in </w:t>
      </w:r>
      <w:r>
        <w:rPr>
          <w:rFonts w:ascii="Times New Roman" w:cs="Times New Roman" w:eastAsia="Times New Roman" w:hAnsi="Times New Roman"/>
          <w:sz w:val="20"/>
          <w:szCs w:val="20"/>
          <w:u w:val="single" w:color="auto"/>
          <w:color w:val="auto"/>
        </w:rPr>
        <w:t>Section 5.05(a)</w:t>
      </w:r>
      <w:r>
        <w:rPr>
          <w:rFonts w:ascii="Times New Roman" w:cs="Times New Roman" w:eastAsia="Times New Roman" w:hAnsi="Times New Roman"/>
          <w:sz w:val="20"/>
          <w:szCs w:val="20"/>
          <w:color w:val="auto"/>
        </w:rPr>
        <w:t xml:space="preserve"> of the Credit Agreement shall be deemed to refer to each of (x) the most recent annual statements furnished pursuant to </w:t>
      </w:r>
      <w:r>
        <w:rPr>
          <w:rFonts w:ascii="Times New Roman" w:cs="Times New Roman" w:eastAsia="Times New Roman" w:hAnsi="Times New Roman"/>
          <w:sz w:val="20"/>
          <w:szCs w:val="20"/>
          <w:u w:val="single" w:color="auto"/>
          <w:color w:val="auto"/>
        </w:rPr>
        <w:t>Section 6.01(c)</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of the Credit Agreement, (y) the most recent monthly statements for March, June or September furnished pursuant to </w:t>
      </w:r>
      <w:r>
        <w:rPr>
          <w:rFonts w:ascii="Times New Roman" w:cs="Times New Roman" w:eastAsia="Times New Roman" w:hAnsi="Times New Roman"/>
          <w:sz w:val="20"/>
          <w:szCs w:val="20"/>
          <w:u w:val="single" w:color="auto"/>
          <w:color w:val="auto"/>
        </w:rPr>
        <w:t>Section 6.01(a)</w:t>
      </w:r>
      <w:r>
        <w:rPr>
          <w:rFonts w:ascii="Times New Roman" w:cs="Times New Roman" w:eastAsia="Times New Roman" w:hAnsi="Times New Roman"/>
          <w:sz w:val="20"/>
          <w:szCs w:val="20"/>
          <w:color w:val="auto"/>
        </w:rPr>
        <w:t xml:space="preserve"> of the Credit Agreement, and (z) the most recent quarterly statements furnished pursuant to </w:t>
      </w:r>
      <w:r>
        <w:rPr>
          <w:rFonts w:ascii="Times New Roman" w:cs="Times New Roman" w:eastAsia="Times New Roman" w:hAnsi="Times New Roman"/>
          <w:sz w:val="20"/>
          <w:szCs w:val="20"/>
          <w:u w:val="single" w:color="auto"/>
          <w:color w:val="auto"/>
        </w:rPr>
        <w:t>Section 6.01(b)</w:t>
      </w:r>
      <w:r>
        <w:rPr>
          <w:rFonts w:ascii="Times New Roman" w:cs="Times New Roman" w:eastAsia="Times New Roman" w:hAnsi="Times New Roman"/>
          <w:sz w:val="20"/>
          <w:szCs w:val="20"/>
          <w:color w:val="auto"/>
        </w:rPr>
        <w:t xml:space="preserve"> of the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76" w:name="page77"/>
    <w:bookmarkEnd w:id="76"/>
    <w:p>
      <w:pPr>
        <w:jc w:val="both"/>
        <w:ind w:left="60" w:right="59" w:firstLine="1286"/>
        <w:spacing w:after="0" w:line="253" w:lineRule="auto"/>
        <w:tabs>
          <w:tab w:leader="none" w:pos="2004"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Since December 31, 2025, no act, event, condition or circumstance has occurred or arisen which, singly or in the aggregate with one or more other acts, events, occurrences or conditions (whenever occurring or arising), has had or could reasonably be expected to have a Material Adverse Effect;</w:t>
      </w:r>
    </w:p>
    <w:p>
      <w:pPr>
        <w:spacing w:after="0" w:line="176" w:lineRule="exact"/>
        <w:rPr>
          <w:rFonts w:ascii="Times New Roman" w:cs="Times New Roman" w:eastAsia="Times New Roman" w:hAnsi="Times New Roman"/>
          <w:sz w:val="20"/>
          <w:szCs w:val="20"/>
          <w:color w:val="auto"/>
        </w:rPr>
      </w:pPr>
    </w:p>
    <w:p>
      <w:pPr>
        <w:jc w:val="both"/>
        <w:ind w:left="60" w:right="59" w:firstLine="1286"/>
        <w:spacing w:after="0" w:line="246" w:lineRule="auto"/>
        <w:tabs>
          <w:tab w:leader="none" w:pos="2004"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Persons appearing as Guarantors on the signature pages to this Agreement constitute all Persons who are required to be Guarantors pursuant to the terms of the Credit Agreement and the other Loan Documents, including without limitation all Persons who became Subsidiaries or were otherwise required to become Guarantors after the Effective Date of the Credit Agreement, and each of such Persons has become and remains a party to a Guaranty as a Guarantor;</w:t>
      </w:r>
    </w:p>
    <w:p>
      <w:pPr>
        <w:spacing w:after="0" w:line="184" w:lineRule="exact"/>
        <w:rPr>
          <w:rFonts w:ascii="Times New Roman" w:cs="Times New Roman" w:eastAsia="Times New Roman" w:hAnsi="Times New Roman"/>
          <w:sz w:val="20"/>
          <w:szCs w:val="20"/>
          <w:color w:val="auto"/>
        </w:rPr>
      </w:pPr>
    </w:p>
    <w:p>
      <w:pPr>
        <w:jc w:val="both"/>
        <w:ind w:left="60" w:right="59" w:firstLine="1286"/>
        <w:spacing w:after="0" w:line="249" w:lineRule="auto"/>
        <w:tabs>
          <w:tab w:leader="none" w:pos="2004"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has been duly authorized, executed and delivered by the Borrowers and Guarantors party hereto and constitutes a legal, valid and binding obligation of such parties, except as may be limited by general principles of equity or by the effect of any applicable bankruptcy, insolvency, reorganization, moratorium or similar law affecting creditors’ rights generally;</w:t>
      </w:r>
    </w:p>
    <w:p>
      <w:pPr>
        <w:spacing w:after="0" w:line="179" w:lineRule="exact"/>
        <w:rPr>
          <w:rFonts w:ascii="Times New Roman" w:cs="Times New Roman" w:eastAsia="Times New Roman" w:hAnsi="Times New Roman"/>
          <w:sz w:val="20"/>
          <w:szCs w:val="20"/>
          <w:color w:val="auto"/>
        </w:rPr>
      </w:pPr>
    </w:p>
    <w:p>
      <w:pPr>
        <w:ind w:left="2000" w:hanging="654"/>
        <w:spacing w:after="0"/>
        <w:tabs>
          <w:tab w:leader="none" w:pos="2000"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 exists immediately prior to or after giving effect to this Amendment; and</w:t>
      </w:r>
    </w:p>
    <w:p>
      <w:pPr>
        <w:spacing w:after="0" w:line="215" w:lineRule="exact"/>
        <w:rPr>
          <w:rFonts w:ascii="Times New Roman" w:cs="Times New Roman" w:eastAsia="Times New Roman" w:hAnsi="Times New Roman"/>
          <w:sz w:val="20"/>
          <w:szCs w:val="20"/>
          <w:color w:val="auto"/>
        </w:rPr>
      </w:pPr>
    </w:p>
    <w:p>
      <w:pPr>
        <w:ind w:left="60" w:right="59" w:firstLine="1286"/>
        <w:spacing w:after="0" w:line="269" w:lineRule="auto"/>
        <w:tabs>
          <w:tab w:leader="none" w:pos="2004"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the First Amendment Effective Date, the information included in the Beneficial Ownership Certification, if applicable, is true and correct in all respects.</w:t>
      </w:r>
    </w:p>
    <w:p>
      <w:pPr>
        <w:spacing w:after="0" w:line="155" w:lineRule="exact"/>
        <w:rPr>
          <w:rFonts w:ascii="Times New Roman" w:cs="Times New Roman" w:eastAsia="Times New Roman" w:hAnsi="Times New Roman"/>
          <w:sz w:val="20"/>
          <w:szCs w:val="20"/>
          <w:color w:val="auto"/>
        </w:rPr>
      </w:pPr>
    </w:p>
    <w:p>
      <w:pPr>
        <w:jc w:val="both"/>
        <w:ind w:left="60" w:right="59" w:firstLine="638"/>
        <w:spacing w:after="0" w:line="243" w:lineRule="auto"/>
        <w:tabs>
          <w:tab w:leader="none" w:pos="1356"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Entire Agreement</w:t>
      </w:r>
      <w:r>
        <w:rPr>
          <w:rFonts w:ascii="Times New Roman" w:cs="Times New Roman" w:eastAsia="Times New Roman" w:hAnsi="Times New Roman"/>
          <w:sz w:val="20"/>
          <w:szCs w:val="20"/>
          <w:color w:val="auto"/>
        </w:rPr>
        <w:t>. This Agreement, together with all the Loan Documents (collectively,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Relevant Documents</w:t>
      </w:r>
      <w:r>
        <w:rPr>
          <w:rFonts w:ascii="Times New Roman" w:cs="Times New Roman" w:eastAsia="Times New Roman" w:hAnsi="Times New Roman"/>
          <w:sz w:val="20"/>
          <w:szCs w:val="20"/>
          <w:color w:val="auto"/>
        </w:rPr>
        <w:t xml:space="preserve">”), sets forth the entire understanding and agreement of the parties hereto in relation to the subject matter hereof and supersedes any prior negotiations and agreements among the parties relating to such subject matter. No promise, condition, representation or warranty, express or implied, not set forth in the Relevant Documents shall bind any party hereto, and no such party has relied on any such promise, condition, representation or warranty. Each of the parties hereto acknowledges that, except as otherwise expressly stated in the Relevant Documents, no representations, warranties or commitments, express or implied, have been made by any party to the other in relation to the subject matter hereof or thereof. None of the terms or conditions of this Agreement may be changed, modified, waived or canceled orally or otherwise, except in writing and in accordance with </w:t>
      </w:r>
      <w:r>
        <w:rPr>
          <w:rFonts w:ascii="Times New Roman" w:cs="Times New Roman" w:eastAsia="Times New Roman" w:hAnsi="Times New Roman"/>
          <w:sz w:val="20"/>
          <w:szCs w:val="20"/>
          <w:u w:val="single" w:color="auto"/>
          <w:color w:val="auto"/>
        </w:rPr>
        <w:t>Section 10.01</w:t>
      </w:r>
      <w:r>
        <w:rPr>
          <w:rFonts w:ascii="Times New Roman" w:cs="Times New Roman" w:eastAsia="Times New Roman" w:hAnsi="Times New Roman"/>
          <w:sz w:val="20"/>
          <w:szCs w:val="20"/>
          <w:color w:val="auto"/>
        </w:rPr>
        <w:t xml:space="preserve"> of the Credit Agreement.</w:t>
      </w:r>
    </w:p>
    <w:p>
      <w:pPr>
        <w:spacing w:after="0" w:line="182" w:lineRule="exact"/>
        <w:rPr>
          <w:rFonts w:ascii="Times New Roman" w:cs="Times New Roman" w:eastAsia="Times New Roman" w:hAnsi="Times New Roman"/>
          <w:sz w:val="20"/>
          <w:szCs w:val="20"/>
          <w:color w:val="auto"/>
        </w:rPr>
      </w:pPr>
    </w:p>
    <w:p>
      <w:pPr>
        <w:jc w:val="both"/>
        <w:ind w:left="60" w:right="59" w:firstLine="638"/>
        <w:spacing w:after="0" w:line="242" w:lineRule="auto"/>
        <w:tabs>
          <w:tab w:leader="none" w:pos="1356"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Full Force and Effect of Agreement</w:t>
      </w:r>
      <w:r>
        <w:rPr>
          <w:rFonts w:ascii="Times New Roman" w:cs="Times New Roman" w:eastAsia="Times New Roman" w:hAnsi="Times New Roman"/>
          <w:sz w:val="20"/>
          <w:szCs w:val="20"/>
          <w:color w:val="auto"/>
        </w:rPr>
        <w:t>. The execution, delivery and effectiveness of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shall not operate as a waiver of any right, power or remedy of any Lender or the Administrative Agent under any of the Loan Documents, nor constitute a waiver of any provision of the Loan Documents or in any way limit, impair or otherwise affect the rights and remedies of the Administrative Agent or the Lenders under the Loan Documents. Nothing herein shall be deemed to entitle any Loan Party to a consent to, or a waiver, amendment, modification or other change of, any of the terms, conditions, obligations, covenants or agreements contained in the Credit Agreement or any other Loan Document in similar or different circumstances. Nothing expressed or implied in this Agreement shall be construed as a release or other discharge of any Loan Party under any Loan Document from any of its obligations and liabilities thereunder. Except as hereby specifically amended, modified or supplemented, the Credit Agreement is hereby confirmed and ratified in all respects and shall be and remain in full force and effect according to its terms. All Loan Documents (other than the Credit Agreement) are hereby confirmed and ratified in all respects and shall be and remain in full force and effect according to their respective terms.</w:t>
      </w:r>
    </w:p>
    <w:p>
      <w:pPr>
        <w:spacing w:after="0" w:line="184" w:lineRule="exact"/>
        <w:rPr>
          <w:rFonts w:ascii="Times New Roman" w:cs="Times New Roman" w:eastAsia="Times New Roman" w:hAnsi="Times New Roman"/>
          <w:sz w:val="20"/>
          <w:szCs w:val="20"/>
          <w:color w:val="auto"/>
        </w:rPr>
      </w:pPr>
    </w:p>
    <w:p>
      <w:pPr>
        <w:jc w:val="both"/>
        <w:ind w:left="60" w:right="59" w:firstLine="638"/>
        <w:spacing w:after="0" w:line="247" w:lineRule="auto"/>
        <w:tabs>
          <w:tab w:leader="none" w:pos="1356"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Counterparts</w:t>
      </w:r>
      <w:r>
        <w:rPr>
          <w:rFonts w:ascii="Times New Roman" w:cs="Times New Roman" w:eastAsia="Times New Roman" w:hAnsi="Times New Roman"/>
          <w:sz w:val="20"/>
          <w:szCs w:val="20"/>
          <w:color w:val="auto"/>
        </w:rPr>
        <w:t>. This Agreement may be executed in any number of counterparts, each of which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be deemed an original as against any party whose signature appears thereon, and all of which shall together constitute one and the same instrument. Delivery of an executed counterpart of a signature page of this Agreement by facsimile or other electronic imaging means (e.g., “.pdf” or “tif”) shall be effective as delivery of a manually executed counterpart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77" w:name="page78"/>
    <w:bookmarkEnd w:id="77"/>
    <w:p>
      <w:pPr>
        <w:jc w:val="both"/>
        <w:ind w:left="60" w:right="59" w:firstLine="638"/>
        <w:spacing w:after="0" w:line="255" w:lineRule="auto"/>
        <w:tabs>
          <w:tab w:leader="none" w:pos="1356"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Governing Law</w:t>
      </w:r>
      <w:r>
        <w:rPr>
          <w:rFonts w:ascii="Times New Roman" w:cs="Times New Roman" w:eastAsia="Times New Roman" w:hAnsi="Times New Roman"/>
          <w:sz w:val="20"/>
          <w:szCs w:val="20"/>
          <w:color w:val="auto"/>
        </w:rPr>
        <w:t>. This Agreement shall in all respects be governed by, and construed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accordance with, the laws of the State of Illinois applicable to contracts executed and to be performed entirely within such State, and shall be further subject to the provisions of </w:t>
      </w:r>
      <w:r>
        <w:rPr>
          <w:rFonts w:ascii="Times New Roman" w:cs="Times New Roman" w:eastAsia="Times New Roman" w:hAnsi="Times New Roman"/>
          <w:sz w:val="20"/>
          <w:szCs w:val="20"/>
          <w:u w:val="single" w:color="auto"/>
          <w:color w:val="auto"/>
        </w:rPr>
        <w:t>Section 10.14</w:t>
      </w:r>
      <w:r>
        <w:rPr>
          <w:rFonts w:ascii="Times New Roman" w:cs="Times New Roman" w:eastAsia="Times New Roman" w:hAnsi="Times New Roman"/>
          <w:sz w:val="20"/>
          <w:szCs w:val="20"/>
          <w:color w:val="auto"/>
        </w:rPr>
        <w:t xml:space="preserve"> of the Credit Agreement.</w:t>
      </w:r>
    </w:p>
    <w:p>
      <w:pPr>
        <w:spacing w:after="0" w:line="170" w:lineRule="exact"/>
        <w:rPr>
          <w:rFonts w:ascii="Times New Roman" w:cs="Times New Roman" w:eastAsia="Times New Roman" w:hAnsi="Times New Roman"/>
          <w:sz w:val="20"/>
          <w:szCs w:val="20"/>
          <w:color w:val="auto"/>
        </w:rPr>
      </w:pPr>
    </w:p>
    <w:p>
      <w:pPr>
        <w:jc w:val="both"/>
        <w:ind w:left="60" w:right="59" w:firstLine="638"/>
        <w:spacing w:after="0" w:line="256" w:lineRule="auto"/>
        <w:tabs>
          <w:tab w:leader="none" w:pos="1356"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WAIVER OF JURY TRIAL</w:t>
      </w:r>
      <w:r>
        <w:rPr>
          <w:rFonts w:ascii="Times New Roman" w:cs="Times New Roman" w:eastAsia="Times New Roman" w:hAnsi="Times New Roman"/>
          <w:sz w:val="19"/>
          <w:szCs w:val="19"/>
          <w:color w:val="auto"/>
        </w:rPr>
        <w:t>. EACH PARTY HERETO HEREBY IRREVOCABLY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WAIVES, TO THE FULLEST EXTENT PERMITTED BY APPLICABLE LAW, ANY RIGHT IT MAY HAVE TO A TRIAL BY JURY IN ANY LEGAL PROCEEDING DIRECTLY OR INDIRECTLY ARISING OUT OF OR RELATING TO THIS AGREEMENT OR ANY OTHER LOAN DOCUMENT ENTERED INTO IN CONNECTION HEREWITH,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ENTERED INTO IN CONNECTION HEREWITH BY, AMONG OTHER THINGS, THE MUTUAL WAIVERS AND CERTIFICATIONS IN THIS SECTION.</w:t>
      </w:r>
    </w:p>
    <w:p>
      <w:pPr>
        <w:spacing w:after="0" w:line="173" w:lineRule="exact"/>
        <w:rPr>
          <w:rFonts w:ascii="Times New Roman" w:cs="Times New Roman" w:eastAsia="Times New Roman" w:hAnsi="Times New Roman"/>
          <w:sz w:val="19"/>
          <w:szCs w:val="19"/>
          <w:color w:val="auto"/>
        </w:rPr>
      </w:pPr>
    </w:p>
    <w:p>
      <w:pPr>
        <w:jc w:val="both"/>
        <w:ind w:left="60" w:right="79" w:firstLine="638"/>
        <w:spacing w:after="0" w:line="256" w:lineRule="auto"/>
        <w:tabs>
          <w:tab w:leader="none" w:pos="1356"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Enforceability</w:t>
      </w:r>
      <w:r>
        <w:rPr>
          <w:rFonts w:ascii="Times New Roman" w:cs="Times New Roman" w:eastAsia="Times New Roman" w:hAnsi="Times New Roman"/>
          <w:sz w:val="20"/>
          <w:szCs w:val="20"/>
          <w:color w:val="auto"/>
        </w:rPr>
        <w:t>. Should any one or more of the provisions of this Agreement be determined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 illegal or unenforceable as to one or more of the parties hereto, all other provisions nevertheless shall remain effective and binding on the parties hereto.</w:t>
      </w:r>
    </w:p>
    <w:p>
      <w:pPr>
        <w:spacing w:after="0" w:line="168" w:lineRule="exact"/>
        <w:rPr>
          <w:rFonts w:ascii="Times New Roman" w:cs="Times New Roman" w:eastAsia="Times New Roman" w:hAnsi="Times New Roman"/>
          <w:sz w:val="20"/>
          <w:szCs w:val="20"/>
          <w:color w:val="auto"/>
        </w:rPr>
      </w:pPr>
    </w:p>
    <w:p>
      <w:pPr>
        <w:jc w:val="both"/>
        <w:ind w:left="60" w:right="59" w:firstLine="638"/>
        <w:spacing w:after="0" w:line="256" w:lineRule="auto"/>
        <w:tabs>
          <w:tab w:leader="none" w:pos="1356"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References</w:t>
      </w:r>
      <w:r>
        <w:rPr>
          <w:rFonts w:ascii="Times New Roman" w:cs="Times New Roman" w:eastAsia="Times New Roman" w:hAnsi="Times New Roman"/>
          <w:sz w:val="20"/>
          <w:szCs w:val="20"/>
          <w:color w:val="auto"/>
        </w:rPr>
        <w:t>. All references in any of the Loan Documents to the “Credit Agreement” shall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mean the Credit Agreement, as previously amended, as amended hereby and as further amended, supplemented, restated or amended and restated from time to time in accordance with the terms thereof.</w:t>
      </w:r>
    </w:p>
    <w:p>
      <w:pPr>
        <w:spacing w:after="0" w:line="168" w:lineRule="exact"/>
        <w:rPr>
          <w:rFonts w:ascii="Times New Roman" w:cs="Times New Roman" w:eastAsia="Times New Roman" w:hAnsi="Times New Roman"/>
          <w:sz w:val="20"/>
          <w:szCs w:val="20"/>
          <w:color w:val="auto"/>
        </w:rPr>
      </w:pPr>
    </w:p>
    <w:p>
      <w:pPr>
        <w:jc w:val="both"/>
        <w:ind w:left="60" w:right="59" w:firstLine="638"/>
        <w:spacing w:after="0" w:line="250" w:lineRule="auto"/>
        <w:tabs>
          <w:tab w:leader="none" w:pos="1356"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Successors and Assigns</w:t>
      </w:r>
      <w:r>
        <w:rPr>
          <w:rFonts w:ascii="Times New Roman" w:cs="Times New Roman" w:eastAsia="Times New Roman" w:hAnsi="Times New Roman"/>
          <w:sz w:val="20"/>
          <w:szCs w:val="20"/>
          <w:color w:val="auto"/>
        </w:rPr>
        <w:t>. This Agreement shall be binding upon and inure to the benefit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Borrowers, the Administrative Agent and each of the Guarantors and Lenders, and their respective successors, legal representatives, and assignees to the extent such assignees are permitted assignees as provided in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10.06</w:t>
      </w:r>
      <w:r>
        <w:rPr>
          <w:rFonts w:ascii="Times New Roman" w:cs="Times New Roman" w:eastAsia="Times New Roman" w:hAnsi="Times New Roman"/>
          <w:sz w:val="20"/>
          <w:szCs w:val="20"/>
          <w:color w:val="auto"/>
        </w:rPr>
        <w:t xml:space="preserve"> of the Credit Agreement.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78" w:name="page79"/>
    <w:bookmarkEnd w:id="78"/>
    <w:p>
      <w:pPr>
        <w:ind w:left="60" w:right="59" w:firstLine="648"/>
        <w:spacing w:after="0" w:line="272" w:lineRule="auto"/>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hereto have caused this instrument to be made, executed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delivered by their duly authorized officers as of the day and year first above written.</w:t>
      </w:r>
    </w:p>
    <w:p>
      <w:pPr>
        <w:spacing w:after="0" w:line="166"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b w:val="1"/>
          <w:bCs w:val="1"/>
          <w:u w:val="single" w:color="auto"/>
          <w:color w:val="auto"/>
        </w:rPr>
        <w:t>BORROWERS</w:t>
      </w:r>
      <w:r>
        <w:rPr>
          <w:rFonts w:ascii="Times New Roman" w:cs="Times New Roman" w:eastAsia="Times New Roman" w:hAnsi="Times New Roman"/>
          <w:sz w:val="20"/>
          <w:szCs w:val="20"/>
          <w:b w:val="1"/>
          <w:bCs w:val="1"/>
          <w:color w:val="auto"/>
        </w:rPr>
        <w:t>:</w:t>
      </w:r>
    </w:p>
    <w:p>
      <w:pPr>
        <w:spacing w:after="0" w:line="229"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0"/>
          <w:szCs w:val="20"/>
          <w:b w:val="1"/>
          <w:bCs w:val="1"/>
          <w:color w:val="auto"/>
        </w:rPr>
        <w:t>​​​FREEDOMROADS, LLC</w:t>
      </w:r>
    </w:p>
    <w:p>
      <w:pPr>
        <w:spacing w:after="0" w:line="233"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By: /s/ Thomas E. Kirn</w:t>
      </w:r>
    </w:p>
    <w:p>
      <w:pPr>
        <w:spacing w:after="0" w:line="2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Name: Thomas E. Kirn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-144780</wp:posOffset>
            </wp:positionV>
            <wp:extent cx="288036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2">
                      <a:extLst>
                        <a:ext uri="{28A0092B-C50C-407E-A947-70E740481C1C}"/>
                      </a:extLst>
                    </a:blip>
                    <a:srcRect/>
                    <a:stretch>
                      <a:fillRect/>
                    </a:stretch>
                  </pic:blipFill>
                  <pic:spPr bwMode="auto">
                    <a:xfrm>
                      <a:off x="0" y="0"/>
                      <a:ext cx="2880360" cy="8890"/>
                    </a:xfrm>
                    <a:prstGeom prst="rect">
                      <a:avLst/>
                    </a:prstGeom>
                    <a:noFill/>
                  </pic:spPr>
                </pic:pic>
              </a:graphicData>
            </a:graphic>
          </wp:anchor>
        </w:drawing>
      </w:r>
    </w:p>
    <w:p>
      <w:pPr>
        <w:ind w:left="4080"/>
        <w:spacing w:after="0"/>
        <w:rPr>
          <w:sz w:val="20"/>
          <w:szCs w:val="20"/>
          <w:color w:val="auto"/>
        </w:rPr>
      </w:pPr>
      <w:r>
        <w:rPr>
          <w:rFonts w:ascii="Times New Roman" w:cs="Times New Roman" w:eastAsia="Times New Roman" w:hAnsi="Times New Roman"/>
          <w:sz w:val="20"/>
          <w:szCs w:val="20"/>
          <w:color w:val="auto"/>
        </w:rPr>
        <w:t>Title: Chief Financial Officer</w:t>
      </w:r>
    </w:p>
    <w:p>
      <w:pPr>
        <w:spacing w:after="0" w:line="200" w:lineRule="exact"/>
        <w:rPr>
          <w:sz w:val="20"/>
          <w:szCs w:val="20"/>
          <w:color w:val="auto"/>
        </w:rPr>
      </w:pPr>
    </w:p>
    <w:p>
      <w:pPr>
        <w:spacing w:after="0" w:line="21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b w:val="1"/>
          <w:bCs w:val="1"/>
          <w:color w:val="auto"/>
        </w:rPr>
        <w:t>AMERICAN RV CENTERS, LLC</w:t>
      </w:r>
    </w:p>
    <w:p>
      <w:pPr>
        <w:spacing w:after="0" w:line="2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b w:val="1"/>
          <w:bCs w:val="1"/>
          <w:color w:val="auto"/>
        </w:rPr>
        <w:t>ARIZONA RV CENTERS, LLC</w:t>
      </w:r>
    </w:p>
    <w:p>
      <w:pPr>
        <w:ind w:left="4080"/>
        <w:spacing w:after="0"/>
        <w:rPr>
          <w:sz w:val="20"/>
          <w:szCs w:val="20"/>
          <w:color w:val="auto"/>
        </w:rPr>
      </w:pPr>
      <w:r>
        <w:rPr>
          <w:rFonts w:ascii="Times New Roman" w:cs="Times New Roman" w:eastAsia="Times New Roman" w:hAnsi="Times New Roman"/>
          <w:sz w:val="20"/>
          <w:szCs w:val="20"/>
          <w:b w:val="1"/>
          <w:bCs w:val="1"/>
          <w:color w:val="auto"/>
        </w:rPr>
        <w:t>ATLANTIC RV CENTERS, LLC</w:t>
      </w:r>
    </w:p>
    <w:p>
      <w:pPr>
        <w:ind w:left="4080"/>
        <w:spacing w:after="0"/>
        <w:rPr>
          <w:sz w:val="20"/>
          <w:szCs w:val="20"/>
          <w:color w:val="auto"/>
        </w:rPr>
      </w:pPr>
      <w:r>
        <w:rPr>
          <w:rFonts w:ascii="Times New Roman" w:cs="Times New Roman" w:eastAsia="Times New Roman" w:hAnsi="Times New Roman"/>
          <w:sz w:val="20"/>
          <w:szCs w:val="20"/>
          <w:b w:val="1"/>
          <w:bCs w:val="1"/>
          <w:color w:val="auto"/>
        </w:rPr>
        <w:t>B &amp; B RV, INC.</w:t>
      </w:r>
    </w:p>
    <w:p>
      <w:pPr>
        <w:ind w:left="4080"/>
        <w:spacing w:after="0"/>
        <w:rPr>
          <w:sz w:val="20"/>
          <w:szCs w:val="20"/>
          <w:color w:val="auto"/>
        </w:rPr>
      </w:pPr>
      <w:r>
        <w:rPr>
          <w:rFonts w:ascii="Times New Roman" w:cs="Times New Roman" w:eastAsia="Times New Roman" w:hAnsi="Times New Roman"/>
          <w:sz w:val="20"/>
          <w:szCs w:val="20"/>
          <w:b w:val="1"/>
          <w:bCs w:val="1"/>
          <w:color w:val="auto"/>
        </w:rPr>
        <w:t>BLAINE JENSEN RV CENTERS, LLC</w:t>
      </w:r>
    </w:p>
    <w:p>
      <w:pPr>
        <w:ind w:left="4080"/>
        <w:spacing w:after="0"/>
        <w:rPr>
          <w:sz w:val="20"/>
          <w:szCs w:val="20"/>
          <w:color w:val="auto"/>
        </w:rPr>
      </w:pPr>
      <w:r>
        <w:rPr>
          <w:rFonts w:ascii="Times New Roman" w:cs="Times New Roman" w:eastAsia="Times New Roman" w:hAnsi="Times New Roman"/>
          <w:sz w:val="20"/>
          <w:szCs w:val="20"/>
          <w:b w:val="1"/>
          <w:bCs w:val="1"/>
          <w:color w:val="auto"/>
        </w:rPr>
        <w:t>BODILY RV, INC.</w:t>
      </w:r>
    </w:p>
    <w:p>
      <w:pPr>
        <w:ind w:left="4080"/>
        <w:spacing w:after="0"/>
        <w:rPr>
          <w:sz w:val="20"/>
          <w:szCs w:val="20"/>
          <w:color w:val="auto"/>
        </w:rPr>
      </w:pPr>
      <w:r>
        <w:rPr>
          <w:rFonts w:ascii="Times New Roman" w:cs="Times New Roman" w:eastAsia="Times New Roman" w:hAnsi="Times New Roman"/>
          <w:sz w:val="20"/>
          <w:szCs w:val="20"/>
          <w:b w:val="1"/>
          <w:bCs w:val="1"/>
          <w:color w:val="auto"/>
        </w:rPr>
        <w:t>BURNSIDE RV CENTERS, LLC</w:t>
      </w:r>
    </w:p>
    <w:p>
      <w:pPr>
        <w:ind w:left="4080"/>
        <w:spacing w:after="0"/>
        <w:rPr>
          <w:sz w:val="20"/>
          <w:szCs w:val="20"/>
          <w:color w:val="auto"/>
        </w:rPr>
      </w:pPr>
      <w:r>
        <w:rPr>
          <w:rFonts w:ascii="Times New Roman" w:cs="Times New Roman" w:eastAsia="Times New Roman" w:hAnsi="Times New Roman"/>
          <w:sz w:val="20"/>
          <w:szCs w:val="20"/>
          <w:b w:val="1"/>
          <w:bCs w:val="1"/>
          <w:color w:val="auto"/>
        </w:rPr>
        <w:t>CAMPING TIME RV CENTERS, LLC</w:t>
      </w:r>
    </w:p>
    <w:p>
      <w:pPr>
        <w:ind w:left="4080"/>
        <w:spacing w:after="0"/>
        <w:rPr>
          <w:sz w:val="20"/>
          <w:szCs w:val="20"/>
          <w:color w:val="auto"/>
        </w:rPr>
      </w:pPr>
      <w:r>
        <w:rPr>
          <w:rFonts w:ascii="Times New Roman" w:cs="Times New Roman" w:eastAsia="Times New Roman" w:hAnsi="Times New Roman"/>
          <w:sz w:val="20"/>
          <w:szCs w:val="20"/>
          <w:b w:val="1"/>
          <w:bCs w:val="1"/>
          <w:color w:val="auto"/>
        </w:rPr>
        <w:t>CAMPING WORLD LEASING COMPANY, LLC</w:t>
      </w:r>
    </w:p>
    <w:p>
      <w:pPr>
        <w:ind w:left="4080"/>
        <w:spacing w:after="0"/>
        <w:rPr>
          <w:sz w:val="20"/>
          <w:szCs w:val="20"/>
          <w:color w:val="auto"/>
        </w:rPr>
      </w:pPr>
      <w:r>
        <w:rPr>
          <w:rFonts w:ascii="Times New Roman" w:cs="Times New Roman" w:eastAsia="Times New Roman" w:hAnsi="Times New Roman"/>
          <w:sz w:val="20"/>
          <w:szCs w:val="20"/>
          <w:b w:val="1"/>
          <w:bCs w:val="1"/>
          <w:color w:val="auto"/>
        </w:rPr>
        <w:t>CAMPING WORLD RV SALES, LLC</w:t>
      </w:r>
    </w:p>
    <w:p>
      <w:pPr>
        <w:ind w:left="4080"/>
        <w:spacing w:after="0"/>
        <w:rPr>
          <w:sz w:val="20"/>
          <w:szCs w:val="20"/>
          <w:color w:val="auto"/>
        </w:rPr>
      </w:pPr>
      <w:r>
        <w:rPr>
          <w:rFonts w:ascii="Times New Roman" w:cs="Times New Roman" w:eastAsia="Times New Roman" w:hAnsi="Times New Roman"/>
          <w:sz w:val="20"/>
          <w:szCs w:val="20"/>
          <w:b w:val="1"/>
          <w:bCs w:val="1"/>
          <w:color w:val="auto"/>
        </w:rPr>
        <w:t>CULLUM &amp; MAXEY CAMPING CENTER, INC.</w:t>
      </w:r>
    </w:p>
    <w:p>
      <w:pPr>
        <w:ind w:left="4080"/>
        <w:spacing w:after="0"/>
        <w:rPr>
          <w:sz w:val="20"/>
          <w:szCs w:val="20"/>
          <w:color w:val="auto"/>
        </w:rPr>
      </w:pPr>
      <w:r>
        <w:rPr>
          <w:rFonts w:ascii="Times New Roman" w:cs="Times New Roman" w:eastAsia="Times New Roman" w:hAnsi="Times New Roman"/>
          <w:sz w:val="20"/>
          <w:szCs w:val="20"/>
          <w:b w:val="1"/>
          <w:bCs w:val="1"/>
          <w:color w:val="auto"/>
        </w:rPr>
        <w:t>DUSTY’S CAMPER WORLD, LLC</w:t>
      </w:r>
    </w:p>
    <w:p>
      <w:pPr>
        <w:ind w:left="4080"/>
        <w:spacing w:after="0"/>
        <w:rPr>
          <w:sz w:val="20"/>
          <w:szCs w:val="20"/>
          <w:color w:val="auto"/>
        </w:rPr>
      </w:pPr>
      <w:r>
        <w:rPr>
          <w:rFonts w:ascii="Times New Roman" w:cs="Times New Roman" w:eastAsia="Times New Roman" w:hAnsi="Times New Roman"/>
          <w:sz w:val="20"/>
          <w:szCs w:val="20"/>
          <w:b w:val="1"/>
          <w:bCs w:val="1"/>
          <w:color w:val="auto"/>
        </w:rPr>
        <w:t>EMERALD COAST RV CENTER, LLC</w:t>
      </w:r>
    </w:p>
    <w:p>
      <w:pPr>
        <w:ind w:left="4080"/>
        <w:spacing w:after="0"/>
        <w:rPr>
          <w:sz w:val="20"/>
          <w:szCs w:val="20"/>
          <w:color w:val="auto"/>
        </w:rPr>
      </w:pPr>
      <w:r>
        <w:rPr>
          <w:rFonts w:ascii="Times New Roman" w:cs="Times New Roman" w:eastAsia="Times New Roman" w:hAnsi="Times New Roman"/>
          <w:sz w:val="20"/>
          <w:szCs w:val="20"/>
          <w:b w:val="1"/>
          <w:bCs w:val="1"/>
          <w:color w:val="auto"/>
        </w:rPr>
        <w:t>FOLEY RV CENTER, LLC</w:t>
      </w:r>
    </w:p>
    <w:p>
      <w:pPr>
        <w:ind w:left="4080"/>
        <w:spacing w:after="0"/>
        <w:rPr>
          <w:sz w:val="20"/>
          <w:szCs w:val="20"/>
          <w:color w:val="auto"/>
        </w:rPr>
      </w:pPr>
      <w:r>
        <w:rPr>
          <w:rFonts w:ascii="Times New Roman" w:cs="Times New Roman" w:eastAsia="Times New Roman" w:hAnsi="Times New Roman"/>
          <w:sz w:val="20"/>
          <w:szCs w:val="20"/>
          <w:b w:val="1"/>
          <w:bCs w:val="1"/>
          <w:color w:val="auto"/>
        </w:rPr>
        <w:t>FREEDOMROADS OPERATIONS COMPANY, LLC</w:t>
      </w:r>
    </w:p>
    <w:p>
      <w:pPr>
        <w:ind w:left="4080"/>
        <w:spacing w:after="0"/>
        <w:rPr>
          <w:sz w:val="20"/>
          <w:szCs w:val="20"/>
          <w:color w:val="auto"/>
        </w:rPr>
      </w:pPr>
      <w:r>
        <w:rPr>
          <w:rFonts w:ascii="Times New Roman" w:cs="Times New Roman" w:eastAsia="Times New Roman" w:hAnsi="Times New Roman"/>
          <w:sz w:val="20"/>
          <w:szCs w:val="20"/>
          <w:b w:val="1"/>
          <w:bCs w:val="1"/>
          <w:color w:val="auto"/>
        </w:rPr>
        <w:t>FREEDOMROADS RV, INC.</w:t>
      </w:r>
    </w:p>
    <w:p>
      <w:pPr>
        <w:ind w:left="4080"/>
        <w:spacing w:after="0"/>
        <w:rPr>
          <w:sz w:val="20"/>
          <w:szCs w:val="20"/>
          <w:color w:val="auto"/>
        </w:rPr>
      </w:pPr>
      <w:r>
        <w:rPr>
          <w:rFonts w:ascii="Times New Roman" w:cs="Times New Roman" w:eastAsia="Times New Roman" w:hAnsi="Times New Roman"/>
          <w:sz w:val="20"/>
          <w:szCs w:val="20"/>
          <w:b w:val="1"/>
          <w:bCs w:val="1"/>
          <w:color w:val="auto"/>
        </w:rPr>
        <w:t>GARY’S RV CENTERS, LLC</w:t>
      </w:r>
    </w:p>
    <w:p>
      <w:pPr>
        <w:ind w:left="4080"/>
        <w:spacing w:after="0"/>
        <w:rPr>
          <w:sz w:val="20"/>
          <w:szCs w:val="20"/>
          <w:color w:val="auto"/>
        </w:rPr>
      </w:pPr>
      <w:r>
        <w:rPr>
          <w:rFonts w:ascii="Times New Roman" w:cs="Times New Roman" w:eastAsia="Times New Roman" w:hAnsi="Times New Roman"/>
          <w:sz w:val="20"/>
          <w:szCs w:val="20"/>
          <w:b w:val="1"/>
          <w:bCs w:val="1"/>
          <w:color w:val="auto"/>
        </w:rPr>
        <w:t>HOLIDAY KAMPER COMPANY OF COLUMBIA,</w:t>
      </w:r>
    </w:p>
    <w:p>
      <w:pPr>
        <w:ind w:left="4080"/>
        <w:spacing w:after="0"/>
        <w:rPr>
          <w:sz w:val="20"/>
          <w:szCs w:val="20"/>
          <w:color w:val="auto"/>
        </w:rPr>
      </w:pPr>
      <w:r>
        <w:rPr>
          <w:rFonts w:ascii="Times New Roman" w:cs="Times New Roman" w:eastAsia="Times New Roman" w:hAnsi="Times New Roman"/>
          <w:sz w:val="20"/>
          <w:szCs w:val="20"/>
          <w:b w:val="1"/>
          <w:bCs w:val="1"/>
          <w:color w:val="auto"/>
        </w:rPr>
        <w:t>LLC</w:t>
      </w:r>
    </w:p>
    <w:p>
      <w:pPr>
        <w:ind w:left="4080"/>
        <w:spacing w:after="0"/>
        <w:rPr>
          <w:sz w:val="20"/>
          <w:szCs w:val="20"/>
          <w:color w:val="auto"/>
        </w:rPr>
      </w:pPr>
      <w:r>
        <w:rPr>
          <w:rFonts w:ascii="Times New Roman" w:cs="Times New Roman" w:eastAsia="Times New Roman" w:hAnsi="Times New Roman"/>
          <w:sz w:val="20"/>
          <w:szCs w:val="20"/>
          <w:b w:val="1"/>
          <w:bCs w:val="1"/>
          <w:color w:val="auto"/>
        </w:rPr>
        <w:t>K&amp;C RV CENTERS, LLC</w:t>
      </w:r>
    </w:p>
    <w:p>
      <w:pPr>
        <w:ind w:left="4080"/>
        <w:spacing w:after="0"/>
        <w:rPr>
          <w:sz w:val="20"/>
          <w:szCs w:val="20"/>
          <w:color w:val="auto"/>
        </w:rPr>
      </w:pPr>
      <w:r>
        <w:rPr>
          <w:rFonts w:ascii="Times New Roman" w:cs="Times New Roman" w:eastAsia="Times New Roman" w:hAnsi="Times New Roman"/>
          <w:sz w:val="20"/>
          <w:szCs w:val="20"/>
          <w:b w:val="1"/>
          <w:bCs w:val="1"/>
          <w:color w:val="auto"/>
        </w:rPr>
        <w:t>MEYER’S RV CENTERS, LLC</w:t>
      </w:r>
    </w:p>
    <w:p>
      <w:pPr>
        <w:ind w:left="4080"/>
        <w:spacing w:after="0"/>
        <w:rPr>
          <w:sz w:val="20"/>
          <w:szCs w:val="20"/>
          <w:color w:val="auto"/>
        </w:rPr>
      </w:pPr>
      <w:r>
        <w:rPr>
          <w:rFonts w:ascii="Times New Roman" w:cs="Times New Roman" w:eastAsia="Times New Roman" w:hAnsi="Times New Roman"/>
          <w:sz w:val="20"/>
          <w:szCs w:val="20"/>
          <w:b w:val="1"/>
          <w:bCs w:val="1"/>
          <w:color w:val="auto"/>
        </w:rPr>
        <w:t>NORTHWEST RV CENTERS, LLC</w:t>
      </w:r>
    </w:p>
    <w:p>
      <w:pPr>
        <w:ind w:left="4080"/>
        <w:spacing w:after="0"/>
        <w:rPr>
          <w:sz w:val="20"/>
          <w:szCs w:val="20"/>
          <w:color w:val="auto"/>
        </w:rPr>
      </w:pPr>
      <w:r>
        <w:rPr>
          <w:rFonts w:ascii="Times New Roman" w:cs="Times New Roman" w:eastAsia="Times New Roman" w:hAnsi="Times New Roman"/>
          <w:sz w:val="20"/>
          <w:szCs w:val="20"/>
          <w:b w:val="1"/>
          <w:bCs w:val="1"/>
          <w:color w:val="auto"/>
        </w:rPr>
        <w:t>OLINGER RV CENTERS, LLC</w:t>
      </w:r>
    </w:p>
    <w:p>
      <w:pPr>
        <w:ind w:left="4080"/>
        <w:spacing w:after="0"/>
        <w:rPr>
          <w:sz w:val="20"/>
          <w:szCs w:val="20"/>
          <w:color w:val="auto"/>
        </w:rPr>
      </w:pPr>
      <w:r>
        <w:rPr>
          <w:rFonts w:ascii="Times New Roman" w:cs="Times New Roman" w:eastAsia="Times New Roman" w:hAnsi="Times New Roman"/>
          <w:sz w:val="20"/>
          <w:szCs w:val="20"/>
          <w:b w:val="1"/>
          <w:bCs w:val="1"/>
          <w:color w:val="auto"/>
        </w:rPr>
        <w:t>RV WORLD, LLC</w:t>
      </w:r>
    </w:p>
    <w:p>
      <w:pPr>
        <w:ind w:left="4080"/>
        <w:spacing w:after="0"/>
        <w:rPr>
          <w:sz w:val="20"/>
          <w:szCs w:val="20"/>
          <w:color w:val="auto"/>
        </w:rPr>
      </w:pPr>
      <w:r>
        <w:rPr>
          <w:rFonts w:ascii="Times New Roman" w:cs="Times New Roman" w:eastAsia="Times New Roman" w:hAnsi="Times New Roman"/>
          <w:sz w:val="20"/>
          <w:szCs w:val="20"/>
          <w:b w:val="1"/>
          <w:bCs w:val="1"/>
          <w:color w:val="auto"/>
        </w:rPr>
        <w:t>SHIPP’S RV CENTERS, LLC</w:t>
      </w:r>
    </w:p>
    <w:p>
      <w:pPr>
        <w:ind w:left="4080"/>
        <w:spacing w:after="0"/>
        <w:rPr>
          <w:sz w:val="20"/>
          <w:szCs w:val="20"/>
          <w:color w:val="auto"/>
        </w:rPr>
      </w:pPr>
      <w:r>
        <w:rPr>
          <w:rFonts w:ascii="Times New Roman" w:cs="Times New Roman" w:eastAsia="Times New Roman" w:hAnsi="Times New Roman"/>
          <w:sz w:val="20"/>
          <w:szCs w:val="20"/>
          <w:b w:val="1"/>
          <w:bCs w:val="1"/>
          <w:color w:val="auto"/>
        </w:rPr>
        <w:t>SIRPILLA RV CENTERS, LLC</w:t>
      </w:r>
    </w:p>
    <w:p>
      <w:pPr>
        <w:ind w:left="4080"/>
        <w:spacing w:after="0"/>
        <w:rPr>
          <w:sz w:val="20"/>
          <w:szCs w:val="20"/>
          <w:color w:val="auto"/>
        </w:rPr>
      </w:pPr>
      <w:r>
        <w:rPr>
          <w:rFonts w:ascii="Times New Roman" w:cs="Times New Roman" w:eastAsia="Times New Roman" w:hAnsi="Times New Roman"/>
          <w:sz w:val="20"/>
          <w:szCs w:val="20"/>
          <w:b w:val="1"/>
          <w:bCs w:val="1"/>
          <w:color w:val="auto"/>
        </w:rPr>
        <w:t>SOUTHWEST RV CENTERS, LLC</w:t>
      </w:r>
    </w:p>
    <w:p>
      <w:pPr>
        <w:ind w:left="4080"/>
        <w:spacing w:after="0"/>
        <w:rPr>
          <w:sz w:val="20"/>
          <w:szCs w:val="20"/>
          <w:color w:val="auto"/>
        </w:rPr>
      </w:pPr>
      <w:r>
        <w:rPr>
          <w:rFonts w:ascii="Times New Roman" w:cs="Times New Roman" w:eastAsia="Times New Roman" w:hAnsi="Times New Roman"/>
          <w:sz w:val="20"/>
          <w:szCs w:val="20"/>
          <w:b w:val="1"/>
          <w:bCs w:val="1"/>
          <w:color w:val="auto"/>
        </w:rPr>
        <w:t>STIER’S RV CENTERS, LLC</w:t>
      </w:r>
    </w:p>
    <w:p>
      <w:pPr>
        <w:ind w:left="4080"/>
        <w:spacing w:after="0"/>
        <w:rPr>
          <w:sz w:val="20"/>
          <w:szCs w:val="20"/>
          <w:color w:val="auto"/>
        </w:rPr>
      </w:pPr>
      <w:r>
        <w:rPr>
          <w:rFonts w:ascii="Times New Roman" w:cs="Times New Roman" w:eastAsia="Times New Roman" w:hAnsi="Times New Roman"/>
          <w:sz w:val="20"/>
          <w:szCs w:val="20"/>
          <w:b w:val="1"/>
          <w:bCs w:val="1"/>
          <w:color w:val="auto"/>
        </w:rPr>
        <w:t>STOUT’S RV CENTER, LLC</w:t>
      </w:r>
    </w:p>
    <w:p>
      <w:pPr>
        <w:ind w:left="4080"/>
        <w:spacing w:after="0"/>
        <w:rPr>
          <w:sz w:val="20"/>
          <w:szCs w:val="20"/>
          <w:color w:val="auto"/>
        </w:rPr>
      </w:pPr>
      <w:r>
        <w:rPr>
          <w:rFonts w:ascii="Times New Roman" w:cs="Times New Roman" w:eastAsia="Times New Roman" w:hAnsi="Times New Roman"/>
          <w:sz w:val="20"/>
          <w:szCs w:val="20"/>
          <w:b w:val="1"/>
          <w:bCs w:val="1"/>
          <w:color w:val="auto"/>
        </w:rPr>
        <w:t>TOM JOHNSON CAMPING CENTER, INC.</w:t>
      </w:r>
    </w:p>
    <w:p>
      <w:pPr>
        <w:ind w:left="4080"/>
        <w:spacing w:after="0"/>
        <w:rPr>
          <w:sz w:val="20"/>
          <w:szCs w:val="20"/>
          <w:color w:val="auto"/>
        </w:rPr>
      </w:pPr>
      <w:r>
        <w:rPr>
          <w:rFonts w:ascii="Times New Roman" w:cs="Times New Roman" w:eastAsia="Times New Roman" w:hAnsi="Times New Roman"/>
          <w:sz w:val="20"/>
          <w:szCs w:val="20"/>
          <w:b w:val="1"/>
          <w:bCs w:val="1"/>
          <w:color w:val="auto"/>
        </w:rPr>
        <w:t>TOM JOHNSON CAMPING CENTER CHARLOTTE,</w:t>
      </w:r>
    </w:p>
    <w:p>
      <w:pPr>
        <w:ind w:left="4080"/>
        <w:spacing w:after="0"/>
        <w:rPr>
          <w:sz w:val="20"/>
          <w:szCs w:val="20"/>
          <w:color w:val="auto"/>
        </w:rPr>
      </w:pPr>
      <w:r>
        <w:rPr>
          <w:rFonts w:ascii="Times New Roman" w:cs="Times New Roman" w:eastAsia="Times New Roman" w:hAnsi="Times New Roman"/>
          <w:sz w:val="20"/>
          <w:szCs w:val="20"/>
          <w:b w:val="1"/>
          <w:bCs w:val="1"/>
          <w:color w:val="auto"/>
        </w:rPr>
        <w:t>INC.</w:t>
      </w:r>
    </w:p>
    <w:p>
      <w:pPr>
        <w:ind w:left="4080"/>
        <w:spacing w:after="0"/>
        <w:rPr>
          <w:sz w:val="20"/>
          <w:szCs w:val="20"/>
          <w:color w:val="auto"/>
        </w:rPr>
      </w:pPr>
      <w:r>
        <w:rPr>
          <w:rFonts w:ascii="Times New Roman" w:cs="Times New Roman" w:eastAsia="Times New Roman" w:hAnsi="Times New Roman"/>
          <w:sz w:val="20"/>
          <w:szCs w:val="20"/>
          <w:b w:val="1"/>
          <w:bCs w:val="1"/>
          <w:color w:val="auto"/>
        </w:rPr>
        <w:t>WHEELER RV LAS VEGAS, LLC</w:t>
      </w:r>
    </w:p>
    <w:p>
      <w:pPr>
        <w:spacing w:after="0" w:line="20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By: /s/ Thomas E. Kirn</w:t>
      </w:r>
    </w:p>
    <w:p>
      <w:pPr>
        <w:spacing w:after="0" w:line="2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Name: Thomas E. Kirn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-144780</wp:posOffset>
            </wp:positionV>
            <wp:extent cx="288036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3">
                      <a:extLst>
                        <a:ext uri="{28A0092B-C50C-407E-A947-70E740481C1C}"/>
                      </a:extLst>
                    </a:blip>
                    <a:srcRect/>
                    <a:stretch>
                      <a:fillRect/>
                    </a:stretch>
                  </pic:blipFill>
                  <pic:spPr bwMode="auto">
                    <a:xfrm>
                      <a:off x="0" y="0"/>
                      <a:ext cx="2880360" cy="8890"/>
                    </a:xfrm>
                    <a:prstGeom prst="rect">
                      <a:avLst/>
                    </a:prstGeom>
                    <a:noFill/>
                  </pic:spPr>
                </pic:pic>
              </a:graphicData>
            </a:graphic>
          </wp:anchor>
        </w:drawing>
      </w:r>
    </w:p>
    <w:p>
      <w:pPr>
        <w:ind w:left="4080"/>
        <w:spacing w:after="0"/>
        <w:rPr>
          <w:sz w:val="20"/>
          <w:szCs w:val="20"/>
          <w:color w:val="auto"/>
        </w:rPr>
      </w:pPr>
      <w:r>
        <w:rPr>
          <w:rFonts w:ascii="Times New Roman" w:cs="Times New Roman" w:eastAsia="Times New Roman" w:hAnsi="Times New Roman"/>
          <w:sz w:val="20"/>
          <w:szCs w:val="20"/>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FIRST AMENDMENT TO NINTH AMENDED AND RESTATED CREDIT AGREEMENT</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(FREEDOMROADS, LLC)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79" w:name="page80"/>
    <w:bookmarkEnd w:id="79"/>
    <w:p>
      <w:pPr>
        <w:ind w:left="4080"/>
        <w:spacing w:after="0"/>
        <w:rPr>
          <w:sz w:val="20"/>
          <w:szCs w:val="20"/>
          <w:color w:val="auto"/>
        </w:rPr>
      </w:pPr>
      <w:r>
        <w:rPr>
          <w:rFonts w:ascii="Times New Roman" w:cs="Times New Roman" w:eastAsia="Times New Roman" w:hAnsi="Times New Roman"/>
          <w:sz w:val="20"/>
          <w:szCs w:val="20"/>
          <w:b w:val="1"/>
          <w:bCs w:val="1"/>
          <w:u w:val="single" w:color="auto"/>
          <w:color w:val="auto"/>
        </w:rPr>
        <w:t>GUARANTORS</w:t>
      </w:r>
      <w:r>
        <w:rPr>
          <w:rFonts w:ascii="Times New Roman" w:cs="Times New Roman" w:eastAsia="Times New Roman" w:hAnsi="Times New Roman"/>
          <w:sz w:val="20"/>
          <w:szCs w:val="20"/>
          <w:b w:val="1"/>
          <w:bCs w:val="1"/>
          <w:color w:val="auto"/>
        </w:rPr>
        <w:t>:</w:t>
      </w:r>
    </w:p>
    <w:p>
      <w:pPr>
        <w:spacing w:after="0" w:line="229" w:lineRule="exact"/>
        <w:rPr>
          <w:sz w:val="20"/>
          <w:szCs w:val="20"/>
          <w:color w:val="auto"/>
        </w:rPr>
      </w:pPr>
    </w:p>
    <w:p>
      <w:pPr>
        <w:jc w:val="right"/>
        <w:ind w:right="179"/>
        <w:spacing w:after="0"/>
        <w:rPr>
          <w:sz w:val="20"/>
          <w:szCs w:val="20"/>
          <w:color w:val="auto"/>
        </w:rPr>
      </w:pPr>
      <w:r>
        <w:rPr>
          <w:rFonts w:ascii="Times New Roman" w:cs="Times New Roman" w:eastAsia="Times New Roman" w:hAnsi="Times New Roman"/>
          <w:sz w:val="20"/>
          <w:szCs w:val="20"/>
          <w:b w:val="1"/>
          <w:bCs w:val="1"/>
          <w:color w:val="auto"/>
        </w:rPr>
        <w:t>​​​FREEDOMROADS INTERMEDIATE HOLDCO, LLC</w:t>
      </w:r>
    </w:p>
    <w:p>
      <w:pPr>
        <w:spacing w:after="0" w:line="233"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By: /s/ Thomas E. Kirn</w:t>
      </w:r>
    </w:p>
    <w:p>
      <w:pPr>
        <w:spacing w:after="0" w:line="2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Name: Thomas E. Kirn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-144780</wp:posOffset>
            </wp:positionV>
            <wp:extent cx="28803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5">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ind w:left="4080"/>
        <w:spacing w:after="0"/>
        <w:rPr>
          <w:sz w:val="20"/>
          <w:szCs w:val="20"/>
          <w:color w:val="auto"/>
        </w:rPr>
      </w:pPr>
      <w:r>
        <w:rPr>
          <w:rFonts w:ascii="Times New Roman" w:cs="Times New Roman" w:eastAsia="Times New Roman" w:hAnsi="Times New Roman"/>
          <w:sz w:val="20"/>
          <w:szCs w:val="20"/>
          <w:color w:val="auto"/>
        </w:rPr>
        <w:t>Title: Chief Financial Officer</w:t>
      </w:r>
    </w:p>
    <w:p>
      <w:pPr>
        <w:spacing w:after="0" w:line="200" w:lineRule="exact"/>
        <w:rPr>
          <w:sz w:val="20"/>
          <w:szCs w:val="20"/>
          <w:color w:val="auto"/>
        </w:rPr>
      </w:pPr>
    </w:p>
    <w:p>
      <w:pPr>
        <w:spacing w:after="0" w:line="21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b w:val="1"/>
          <w:bCs w:val="1"/>
          <w:color w:val="auto"/>
        </w:rPr>
        <w:t>AMERICAN RV CENTERS, LLC</w:t>
      </w:r>
    </w:p>
    <w:p>
      <w:pPr>
        <w:spacing w:after="0" w:line="2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b w:val="1"/>
          <w:bCs w:val="1"/>
          <w:color w:val="auto"/>
        </w:rPr>
        <w:t>ARIZONA RV CENTERS, LLC</w:t>
      </w:r>
    </w:p>
    <w:p>
      <w:pPr>
        <w:ind w:left="4080"/>
        <w:spacing w:after="0"/>
        <w:rPr>
          <w:sz w:val="20"/>
          <w:szCs w:val="20"/>
          <w:color w:val="auto"/>
        </w:rPr>
      </w:pPr>
      <w:r>
        <w:rPr>
          <w:rFonts w:ascii="Times New Roman" w:cs="Times New Roman" w:eastAsia="Times New Roman" w:hAnsi="Times New Roman"/>
          <w:sz w:val="20"/>
          <w:szCs w:val="20"/>
          <w:b w:val="1"/>
          <w:bCs w:val="1"/>
          <w:color w:val="auto"/>
        </w:rPr>
        <w:t>ATLANTIC RV CENTERS, LLC</w:t>
      </w:r>
    </w:p>
    <w:p>
      <w:pPr>
        <w:ind w:left="4080"/>
        <w:spacing w:after="0"/>
        <w:rPr>
          <w:sz w:val="20"/>
          <w:szCs w:val="20"/>
          <w:color w:val="auto"/>
        </w:rPr>
      </w:pPr>
      <w:r>
        <w:rPr>
          <w:rFonts w:ascii="Times New Roman" w:cs="Times New Roman" w:eastAsia="Times New Roman" w:hAnsi="Times New Roman"/>
          <w:sz w:val="20"/>
          <w:szCs w:val="20"/>
          <w:b w:val="1"/>
          <w:bCs w:val="1"/>
          <w:color w:val="auto"/>
        </w:rPr>
        <w:t>B &amp; B RV, INC.</w:t>
      </w:r>
    </w:p>
    <w:p>
      <w:pPr>
        <w:ind w:left="4080"/>
        <w:spacing w:after="0"/>
        <w:rPr>
          <w:sz w:val="20"/>
          <w:szCs w:val="20"/>
          <w:color w:val="auto"/>
        </w:rPr>
      </w:pPr>
      <w:r>
        <w:rPr>
          <w:rFonts w:ascii="Times New Roman" w:cs="Times New Roman" w:eastAsia="Times New Roman" w:hAnsi="Times New Roman"/>
          <w:sz w:val="20"/>
          <w:szCs w:val="20"/>
          <w:b w:val="1"/>
          <w:bCs w:val="1"/>
          <w:color w:val="auto"/>
        </w:rPr>
        <w:t>BLAINE JENSEN RV CENTERS, LLC</w:t>
      </w:r>
    </w:p>
    <w:p>
      <w:pPr>
        <w:ind w:left="4080"/>
        <w:spacing w:after="0"/>
        <w:rPr>
          <w:sz w:val="20"/>
          <w:szCs w:val="20"/>
          <w:color w:val="auto"/>
        </w:rPr>
      </w:pPr>
      <w:r>
        <w:rPr>
          <w:rFonts w:ascii="Times New Roman" w:cs="Times New Roman" w:eastAsia="Times New Roman" w:hAnsi="Times New Roman"/>
          <w:sz w:val="20"/>
          <w:szCs w:val="20"/>
          <w:b w:val="1"/>
          <w:bCs w:val="1"/>
          <w:color w:val="auto"/>
        </w:rPr>
        <w:t>BODILY RV II, INC.</w:t>
      </w:r>
    </w:p>
    <w:p>
      <w:pPr>
        <w:ind w:left="4080"/>
        <w:spacing w:after="0"/>
        <w:rPr>
          <w:sz w:val="20"/>
          <w:szCs w:val="20"/>
          <w:color w:val="auto"/>
        </w:rPr>
      </w:pPr>
      <w:r>
        <w:rPr>
          <w:rFonts w:ascii="Times New Roman" w:cs="Times New Roman" w:eastAsia="Times New Roman" w:hAnsi="Times New Roman"/>
          <w:sz w:val="20"/>
          <w:szCs w:val="20"/>
          <w:b w:val="1"/>
          <w:bCs w:val="1"/>
          <w:color w:val="auto"/>
        </w:rPr>
        <w:t>BODILY RV, INC.</w:t>
      </w:r>
    </w:p>
    <w:p>
      <w:pPr>
        <w:ind w:left="4080"/>
        <w:spacing w:after="0"/>
        <w:rPr>
          <w:sz w:val="20"/>
          <w:szCs w:val="20"/>
          <w:color w:val="auto"/>
        </w:rPr>
      </w:pPr>
      <w:r>
        <w:rPr>
          <w:rFonts w:ascii="Times New Roman" w:cs="Times New Roman" w:eastAsia="Times New Roman" w:hAnsi="Times New Roman"/>
          <w:sz w:val="20"/>
          <w:szCs w:val="20"/>
          <w:b w:val="1"/>
          <w:bCs w:val="1"/>
          <w:color w:val="auto"/>
        </w:rPr>
        <w:t>BURNSIDE BROKERS, LLC</w:t>
      </w:r>
    </w:p>
    <w:p>
      <w:pPr>
        <w:ind w:left="4080"/>
        <w:spacing w:after="0"/>
        <w:rPr>
          <w:sz w:val="20"/>
          <w:szCs w:val="20"/>
          <w:color w:val="auto"/>
        </w:rPr>
      </w:pPr>
      <w:r>
        <w:rPr>
          <w:rFonts w:ascii="Times New Roman" w:cs="Times New Roman" w:eastAsia="Times New Roman" w:hAnsi="Times New Roman"/>
          <w:sz w:val="20"/>
          <w:szCs w:val="20"/>
          <w:b w:val="1"/>
          <w:bCs w:val="1"/>
          <w:color w:val="auto"/>
        </w:rPr>
        <w:t>BURNSIDE FINANCE, LLC</w:t>
      </w:r>
    </w:p>
    <w:p>
      <w:pPr>
        <w:ind w:left="4080"/>
        <w:spacing w:after="0"/>
        <w:rPr>
          <w:sz w:val="20"/>
          <w:szCs w:val="20"/>
          <w:color w:val="auto"/>
        </w:rPr>
      </w:pPr>
      <w:r>
        <w:rPr>
          <w:rFonts w:ascii="Times New Roman" w:cs="Times New Roman" w:eastAsia="Times New Roman" w:hAnsi="Times New Roman"/>
          <w:sz w:val="20"/>
          <w:szCs w:val="20"/>
          <w:b w:val="1"/>
          <w:bCs w:val="1"/>
          <w:color w:val="auto"/>
        </w:rPr>
        <w:t>BURNSIDE RV CENTERS, LLC</w:t>
      </w:r>
    </w:p>
    <w:p>
      <w:pPr>
        <w:ind w:left="4080"/>
        <w:spacing w:after="0"/>
        <w:rPr>
          <w:sz w:val="20"/>
          <w:szCs w:val="20"/>
          <w:color w:val="auto"/>
        </w:rPr>
      </w:pPr>
      <w:r>
        <w:rPr>
          <w:rFonts w:ascii="Times New Roman" w:cs="Times New Roman" w:eastAsia="Times New Roman" w:hAnsi="Times New Roman"/>
          <w:sz w:val="20"/>
          <w:szCs w:val="20"/>
          <w:b w:val="1"/>
          <w:bCs w:val="1"/>
          <w:color w:val="auto"/>
        </w:rPr>
        <w:t>CAMPING TIME RV CENTERS, LLC</w:t>
      </w:r>
    </w:p>
    <w:p>
      <w:pPr>
        <w:ind w:left="4080"/>
        <w:spacing w:after="0"/>
        <w:rPr>
          <w:sz w:val="20"/>
          <w:szCs w:val="20"/>
          <w:color w:val="auto"/>
        </w:rPr>
      </w:pPr>
      <w:r>
        <w:rPr>
          <w:rFonts w:ascii="Times New Roman" w:cs="Times New Roman" w:eastAsia="Times New Roman" w:hAnsi="Times New Roman"/>
          <w:sz w:val="20"/>
          <w:szCs w:val="20"/>
          <w:b w:val="1"/>
          <w:bCs w:val="1"/>
          <w:color w:val="auto"/>
        </w:rPr>
        <w:t>CAMPING WORLD LEASING COMPANY, LLC</w:t>
      </w:r>
    </w:p>
    <w:p>
      <w:pPr>
        <w:ind w:left="4080"/>
        <w:spacing w:after="0"/>
        <w:rPr>
          <w:sz w:val="20"/>
          <w:szCs w:val="20"/>
          <w:color w:val="auto"/>
        </w:rPr>
      </w:pPr>
      <w:r>
        <w:rPr>
          <w:rFonts w:ascii="Times New Roman" w:cs="Times New Roman" w:eastAsia="Times New Roman" w:hAnsi="Times New Roman"/>
          <w:sz w:val="20"/>
          <w:szCs w:val="20"/>
          <w:b w:val="1"/>
          <w:bCs w:val="1"/>
          <w:color w:val="auto"/>
        </w:rPr>
        <w:t>CAMPING WORLD RV SALES, LLC</w:t>
      </w:r>
    </w:p>
    <w:p>
      <w:pPr>
        <w:ind w:left="4080"/>
        <w:spacing w:after="0"/>
        <w:rPr>
          <w:sz w:val="20"/>
          <w:szCs w:val="20"/>
          <w:color w:val="auto"/>
        </w:rPr>
      </w:pPr>
      <w:r>
        <w:rPr>
          <w:rFonts w:ascii="Times New Roman" w:cs="Times New Roman" w:eastAsia="Times New Roman" w:hAnsi="Times New Roman"/>
          <w:sz w:val="20"/>
          <w:szCs w:val="20"/>
          <w:b w:val="1"/>
          <w:bCs w:val="1"/>
          <w:color w:val="auto"/>
        </w:rPr>
        <w:t>CULLUM &amp; MAXEY CAMPING CENTER, INC.</w:t>
      </w:r>
    </w:p>
    <w:p>
      <w:pPr>
        <w:ind w:left="4080"/>
        <w:spacing w:after="0"/>
        <w:rPr>
          <w:sz w:val="20"/>
          <w:szCs w:val="20"/>
          <w:color w:val="auto"/>
        </w:rPr>
      </w:pPr>
      <w:r>
        <w:rPr>
          <w:rFonts w:ascii="Times New Roman" w:cs="Times New Roman" w:eastAsia="Times New Roman" w:hAnsi="Times New Roman"/>
          <w:sz w:val="20"/>
          <w:szCs w:val="20"/>
          <w:b w:val="1"/>
          <w:bCs w:val="1"/>
          <w:color w:val="auto"/>
        </w:rPr>
        <w:t>CWRV BIRCH RUN BROKERS, LLC</w:t>
      </w:r>
    </w:p>
    <w:p>
      <w:pPr>
        <w:ind w:left="4080"/>
        <w:spacing w:after="0"/>
        <w:rPr>
          <w:sz w:val="20"/>
          <w:szCs w:val="20"/>
          <w:color w:val="auto"/>
        </w:rPr>
      </w:pPr>
      <w:r>
        <w:rPr>
          <w:rFonts w:ascii="Times New Roman" w:cs="Times New Roman" w:eastAsia="Times New Roman" w:hAnsi="Times New Roman"/>
          <w:sz w:val="20"/>
          <w:szCs w:val="20"/>
          <w:b w:val="1"/>
          <w:bCs w:val="1"/>
          <w:color w:val="auto"/>
        </w:rPr>
        <w:t>CWRV BIRCH RUN FINANCE, LLC</w:t>
      </w:r>
    </w:p>
    <w:p>
      <w:pPr>
        <w:ind w:left="4080"/>
        <w:spacing w:after="0"/>
        <w:rPr>
          <w:sz w:val="20"/>
          <w:szCs w:val="20"/>
          <w:color w:val="auto"/>
        </w:rPr>
      </w:pPr>
      <w:r>
        <w:rPr>
          <w:rFonts w:ascii="Times New Roman" w:cs="Times New Roman" w:eastAsia="Times New Roman" w:hAnsi="Times New Roman"/>
          <w:sz w:val="20"/>
          <w:szCs w:val="20"/>
          <w:b w:val="1"/>
          <w:bCs w:val="1"/>
          <w:color w:val="auto"/>
        </w:rPr>
        <w:t>CWRV BROKER ESCANABA, LLC</w:t>
      </w:r>
    </w:p>
    <w:p>
      <w:pPr>
        <w:ind w:left="4080"/>
        <w:spacing w:after="0"/>
        <w:rPr>
          <w:sz w:val="20"/>
          <w:szCs w:val="20"/>
          <w:color w:val="auto"/>
        </w:rPr>
      </w:pPr>
      <w:r>
        <w:rPr>
          <w:rFonts w:ascii="Times New Roman" w:cs="Times New Roman" w:eastAsia="Times New Roman" w:hAnsi="Times New Roman"/>
          <w:sz w:val="20"/>
          <w:szCs w:val="20"/>
          <w:b w:val="1"/>
          <w:bCs w:val="1"/>
          <w:color w:val="auto"/>
        </w:rPr>
        <w:t>CWRV BROKER ISHPEMING, LLC</w:t>
      </w:r>
    </w:p>
    <w:p>
      <w:pPr>
        <w:ind w:left="4080"/>
        <w:spacing w:after="0"/>
        <w:rPr>
          <w:sz w:val="20"/>
          <w:szCs w:val="20"/>
          <w:color w:val="auto"/>
        </w:rPr>
      </w:pPr>
      <w:r>
        <w:rPr>
          <w:rFonts w:ascii="Times New Roman" w:cs="Times New Roman" w:eastAsia="Times New Roman" w:hAnsi="Times New Roman"/>
          <w:sz w:val="20"/>
          <w:szCs w:val="20"/>
          <w:b w:val="1"/>
          <w:bCs w:val="1"/>
          <w:color w:val="auto"/>
        </w:rPr>
        <w:t>CWRV BROKERS, LLC</w:t>
      </w:r>
    </w:p>
    <w:p>
      <w:pPr>
        <w:ind w:left="4080"/>
        <w:spacing w:after="0"/>
        <w:rPr>
          <w:sz w:val="20"/>
          <w:szCs w:val="20"/>
          <w:color w:val="auto"/>
        </w:rPr>
      </w:pPr>
      <w:r>
        <w:rPr>
          <w:rFonts w:ascii="Times New Roman" w:cs="Times New Roman" w:eastAsia="Times New Roman" w:hAnsi="Times New Roman"/>
          <w:sz w:val="20"/>
          <w:szCs w:val="20"/>
          <w:b w:val="1"/>
          <w:bCs w:val="1"/>
          <w:color w:val="auto"/>
        </w:rPr>
        <w:t>CWRV BROKERS BELLEVILLE, LLC</w:t>
      </w:r>
    </w:p>
    <w:p>
      <w:pPr>
        <w:ind w:left="4080"/>
        <w:spacing w:after="0"/>
        <w:rPr>
          <w:sz w:val="20"/>
          <w:szCs w:val="20"/>
          <w:color w:val="auto"/>
        </w:rPr>
      </w:pPr>
      <w:r>
        <w:rPr>
          <w:rFonts w:ascii="Times New Roman" w:cs="Times New Roman" w:eastAsia="Times New Roman" w:hAnsi="Times New Roman"/>
          <w:sz w:val="20"/>
          <w:szCs w:val="20"/>
          <w:b w:val="1"/>
          <w:bCs w:val="1"/>
          <w:color w:val="auto"/>
        </w:rPr>
        <w:t>CWRV FINANCE, LLC</w:t>
      </w:r>
    </w:p>
    <w:p>
      <w:pPr>
        <w:ind w:left="4080"/>
        <w:spacing w:after="0"/>
        <w:rPr>
          <w:sz w:val="20"/>
          <w:szCs w:val="20"/>
          <w:color w:val="auto"/>
        </w:rPr>
      </w:pPr>
      <w:r>
        <w:rPr>
          <w:rFonts w:ascii="Times New Roman" w:cs="Times New Roman" w:eastAsia="Times New Roman" w:hAnsi="Times New Roman"/>
          <w:sz w:val="20"/>
          <w:szCs w:val="20"/>
          <w:b w:val="1"/>
          <w:bCs w:val="1"/>
          <w:color w:val="auto"/>
        </w:rPr>
        <w:t>CWRV FINANCE BELLEVILLE, LLC</w:t>
      </w:r>
    </w:p>
    <w:p>
      <w:pPr>
        <w:ind w:left="4080"/>
        <w:spacing w:after="0"/>
        <w:rPr>
          <w:sz w:val="20"/>
          <w:szCs w:val="20"/>
          <w:color w:val="auto"/>
        </w:rPr>
      </w:pPr>
      <w:r>
        <w:rPr>
          <w:rFonts w:ascii="Times New Roman" w:cs="Times New Roman" w:eastAsia="Times New Roman" w:hAnsi="Times New Roman"/>
          <w:sz w:val="20"/>
          <w:szCs w:val="20"/>
          <w:b w:val="1"/>
          <w:bCs w:val="1"/>
          <w:color w:val="auto"/>
        </w:rPr>
        <w:t>CWRV FINANCE CHELSEA, LLC</w:t>
      </w:r>
    </w:p>
    <w:p>
      <w:pPr>
        <w:ind w:left="4080"/>
        <w:spacing w:after="0"/>
        <w:rPr>
          <w:sz w:val="20"/>
          <w:szCs w:val="20"/>
          <w:color w:val="auto"/>
        </w:rPr>
      </w:pPr>
      <w:r>
        <w:rPr>
          <w:rFonts w:ascii="Times New Roman" w:cs="Times New Roman" w:eastAsia="Times New Roman" w:hAnsi="Times New Roman"/>
          <w:sz w:val="20"/>
          <w:szCs w:val="20"/>
          <w:b w:val="1"/>
          <w:bCs w:val="1"/>
          <w:color w:val="auto"/>
        </w:rPr>
        <w:t>CWRV FINANCE ESCANABA, LLC</w:t>
      </w:r>
    </w:p>
    <w:p>
      <w:pPr>
        <w:ind w:left="4080"/>
        <w:spacing w:after="0"/>
        <w:rPr>
          <w:sz w:val="20"/>
          <w:szCs w:val="20"/>
          <w:color w:val="auto"/>
        </w:rPr>
      </w:pPr>
      <w:r>
        <w:rPr>
          <w:rFonts w:ascii="Times New Roman" w:cs="Times New Roman" w:eastAsia="Times New Roman" w:hAnsi="Times New Roman"/>
          <w:sz w:val="20"/>
          <w:szCs w:val="20"/>
          <w:b w:val="1"/>
          <w:bCs w:val="1"/>
          <w:color w:val="auto"/>
        </w:rPr>
        <w:t>CWRV FINANCE ISHPEMING, LLC</w:t>
      </w:r>
    </w:p>
    <w:p>
      <w:pPr>
        <w:ind w:left="4080"/>
        <w:spacing w:after="0"/>
        <w:rPr>
          <w:sz w:val="20"/>
          <w:szCs w:val="20"/>
          <w:color w:val="auto"/>
        </w:rPr>
      </w:pPr>
      <w:r>
        <w:rPr>
          <w:rFonts w:ascii="Times New Roman" w:cs="Times New Roman" w:eastAsia="Times New Roman" w:hAnsi="Times New Roman"/>
          <w:sz w:val="20"/>
          <w:szCs w:val="20"/>
          <w:b w:val="1"/>
          <w:bCs w:val="1"/>
          <w:color w:val="auto"/>
        </w:rPr>
        <w:t>CWRV QUINCY BROKERS, LLC</w:t>
      </w:r>
    </w:p>
    <w:p>
      <w:pPr>
        <w:ind w:left="4080"/>
        <w:spacing w:after="0"/>
        <w:rPr>
          <w:sz w:val="20"/>
          <w:szCs w:val="20"/>
          <w:color w:val="auto"/>
        </w:rPr>
      </w:pPr>
      <w:r>
        <w:rPr>
          <w:rFonts w:ascii="Times New Roman" w:cs="Times New Roman" w:eastAsia="Times New Roman" w:hAnsi="Times New Roman"/>
          <w:sz w:val="20"/>
          <w:szCs w:val="20"/>
          <w:b w:val="1"/>
          <w:bCs w:val="1"/>
          <w:color w:val="auto"/>
        </w:rPr>
        <w:t>CWRV QUINCY FINANCE, LLC</w:t>
      </w:r>
    </w:p>
    <w:p>
      <w:pPr>
        <w:ind w:left="4080"/>
        <w:spacing w:after="0"/>
        <w:rPr>
          <w:sz w:val="20"/>
          <w:szCs w:val="20"/>
          <w:color w:val="auto"/>
        </w:rPr>
      </w:pPr>
      <w:r>
        <w:rPr>
          <w:rFonts w:ascii="Times New Roman" w:cs="Times New Roman" w:eastAsia="Times New Roman" w:hAnsi="Times New Roman"/>
          <w:sz w:val="20"/>
          <w:szCs w:val="20"/>
          <w:b w:val="1"/>
          <w:bCs w:val="1"/>
          <w:color w:val="auto"/>
        </w:rPr>
        <w:t>DUSTY’S CAMPER WORLD, LLC</w:t>
      </w:r>
    </w:p>
    <w:p>
      <w:pPr>
        <w:ind w:left="4080"/>
        <w:spacing w:after="0"/>
        <w:rPr>
          <w:sz w:val="20"/>
          <w:szCs w:val="20"/>
          <w:color w:val="auto"/>
        </w:rPr>
      </w:pPr>
      <w:r>
        <w:rPr>
          <w:rFonts w:ascii="Times New Roman" w:cs="Times New Roman" w:eastAsia="Times New Roman" w:hAnsi="Times New Roman"/>
          <w:sz w:val="20"/>
          <w:szCs w:val="20"/>
          <w:b w:val="1"/>
          <w:bCs w:val="1"/>
          <w:color w:val="auto"/>
        </w:rPr>
        <w:t>EMERALD COAST RV CENTER, LLC</w:t>
      </w:r>
    </w:p>
    <w:p>
      <w:pPr>
        <w:ind w:left="4080"/>
        <w:spacing w:after="0"/>
        <w:rPr>
          <w:sz w:val="20"/>
          <w:szCs w:val="20"/>
          <w:color w:val="auto"/>
        </w:rPr>
      </w:pPr>
      <w:r>
        <w:rPr>
          <w:rFonts w:ascii="Times New Roman" w:cs="Times New Roman" w:eastAsia="Times New Roman" w:hAnsi="Times New Roman"/>
          <w:sz w:val="20"/>
          <w:szCs w:val="20"/>
          <w:b w:val="1"/>
          <w:bCs w:val="1"/>
          <w:color w:val="auto"/>
        </w:rPr>
        <w:t>F2 CREATIVE, LLC</w:t>
      </w:r>
    </w:p>
    <w:p>
      <w:pPr>
        <w:ind w:left="4080"/>
        <w:spacing w:after="0"/>
        <w:rPr>
          <w:sz w:val="20"/>
          <w:szCs w:val="20"/>
          <w:color w:val="auto"/>
        </w:rPr>
      </w:pPr>
      <w:r>
        <w:rPr>
          <w:rFonts w:ascii="Times New Roman" w:cs="Times New Roman" w:eastAsia="Times New Roman" w:hAnsi="Times New Roman"/>
          <w:sz w:val="20"/>
          <w:szCs w:val="20"/>
          <w:b w:val="1"/>
          <w:bCs w:val="1"/>
          <w:color w:val="auto"/>
        </w:rPr>
        <w:t>FOLEY RV CENTER, LLC</w:t>
      </w:r>
    </w:p>
    <w:p>
      <w:pPr>
        <w:ind w:left="4080"/>
        <w:spacing w:after="0"/>
        <w:rPr>
          <w:sz w:val="20"/>
          <w:szCs w:val="20"/>
          <w:color w:val="auto"/>
        </w:rPr>
      </w:pPr>
      <w:r>
        <w:rPr>
          <w:rFonts w:ascii="Times New Roman" w:cs="Times New Roman" w:eastAsia="Times New Roman" w:hAnsi="Times New Roman"/>
          <w:sz w:val="20"/>
          <w:szCs w:val="20"/>
          <w:b w:val="1"/>
          <w:bCs w:val="1"/>
          <w:color w:val="auto"/>
        </w:rPr>
        <w:t>FREEDOMCARE INSURANCE SERVICES, LLC</w:t>
      </w:r>
    </w:p>
    <w:p>
      <w:pPr>
        <w:spacing w:after="0" w:line="20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By: /s/ Thomas E. Kirn</w:t>
      </w:r>
    </w:p>
    <w:p>
      <w:pPr>
        <w:spacing w:after="0" w:line="2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Name: Thomas E. Kirn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-144780</wp:posOffset>
            </wp:positionV>
            <wp:extent cx="288036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6">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ind w:left="4080"/>
        <w:spacing w:after="0"/>
        <w:rPr>
          <w:sz w:val="20"/>
          <w:szCs w:val="20"/>
          <w:color w:val="auto"/>
        </w:rPr>
      </w:pPr>
      <w:r>
        <w:rPr>
          <w:rFonts w:ascii="Times New Roman" w:cs="Times New Roman" w:eastAsia="Times New Roman" w:hAnsi="Times New Roman"/>
          <w:sz w:val="20"/>
          <w:szCs w:val="20"/>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FIRST AMENDMENT TO NINTH AMENDED AND RESTATED CREDIT AGREEMENT</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(FREEDOMROADS, LLC)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80" w:name="page81"/>
    <w:bookmarkEnd w:id="80"/>
    <w:p>
      <w:pPr>
        <w:ind w:left="4080"/>
        <w:spacing w:after="0"/>
        <w:rPr>
          <w:sz w:val="20"/>
          <w:szCs w:val="20"/>
          <w:color w:val="auto"/>
        </w:rPr>
      </w:pPr>
      <w:r>
        <w:rPr>
          <w:rFonts w:ascii="Times New Roman" w:cs="Times New Roman" w:eastAsia="Times New Roman" w:hAnsi="Times New Roman"/>
          <w:sz w:val="20"/>
          <w:szCs w:val="20"/>
          <w:b w:val="1"/>
          <w:bCs w:val="1"/>
          <w:u w:val="single" w:color="auto"/>
          <w:color w:val="auto"/>
        </w:rPr>
        <w:t>GUARANTORS,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i w:val="1"/>
          <w:iCs w:val="1"/>
          <w:u w:val="single" w:color="auto"/>
          <w:color w:val="auto"/>
        </w:rPr>
        <w:t>continued</w:t>
      </w:r>
      <w:r>
        <w:rPr>
          <w:rFonts w:ascii="Times New Roman" w:cs="Times New Roman" w:eastAsia="Times New Roman" w:hAnsi="Times New Roman"/>
          <w:sz w:val="20"/>
          <w:szCs w:val="20"/>
          <w:b w:val="1"/>
          <w:bCs w:val="1"/>
          <w:color w:val="auto"/>
        </w:rPr>
        <w:t>:</w:t>
      </w:r>
    </w:p>
    <w:p>
      <w:pPr>
        <w:spacing w:after="0" w:line="230" w:lineRule="exact"/>
        <w:rPr>
          <w:sz w:val="20"/>
          <w:szCs w:val="20"/>
          <w:color w:val="auto"/>
        </w:rPr>
      </w:pPr>
    </w:p>
    <w:p>
      <w:pPr>
        <w:ind w:left="4080" w:right="339"/>
        <w:spacing w:after="0" w:line="246" w:lineRule="auto"/>
        <w:rPr>
          <w:sz w:val="20"/>
          <w:szCs w:val="20"/>
          <w:color w:val="auto"/>
        </w:rPr>
      </w:pPr>
      <w:r>
        <w:rPr>
          <w:rFonts w:ascii="Times New Roman" w:cs="Times New Roman" w:eastAsia="Times New Roman" w:hAnsi="Times New Roman"/>
          <w:sz w:val="20"/>
          <w:szCs w:val="20"/>
          <w:b w:val="1"/>
          <w:bCs w:val="1"/>
          <w:color w:val="auto"/>
        </w:rPr>
        <w:t>FREEDOMROADS FINANCE COMPANY, LLC FREEDOMROADS OPERATIONS COMPANY, LLC FREEDOMROADS PROPERTY COMPANY, LLC FREEDOMROADS RV, INC. FRI, LLC</w:t>
      </w:r>
    </w:p>
    <w:p>
      <w:pPr>
        <w:spacing w:after="0" w:line="230"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b w:val="1"/>
          <w:bCs w:val="1"/>
          <w:color w:val="auto"/>
        </w:rPr>
        <w:t>GARY’S RV CENTERS, LLC</w:t>
      </w:r>
    </w:p>
    <w:p>
      <w:pPr>
        <w:ind w:left="4080"/>
        <w:spacing w:after="0"/>
        <w:rPr>
          <w:sz w:val="20"/>
          <w:szCs w:val="20"/>
          <w:color w:val="auto"/>
        </w:rPr>
      </w:pPr>
      <w:r>
        <w:rPr>
          <w:rFonts w:ascii="Times New Roman" w:cs="Times New Roman" w:eastAsia="Times New Roman" w:hAnsi="Times New Roman"/>
          <w:sz w:val="20"/>
          <w:szCs w:val="20"/>
          <w:b w:val="1"/>
          <w:bCs w:val="1"/>
          <w:color w:val="auto"/>
        </w:rPr>
        <w:t>HART CITY RV CENTER, LLC</w:t>
      </w:r>
    </w:p>
    <w:p>
      <w:pPr>
        <w:ind w:left="4080"/>
        <w:spacing w:after="0"/>
        <w:rPr>
          <w:sz w:val="20"/>
          <w:szCs w:val="20"/>
          <w:color w:val="auto"/>
        </w:rPr>
      </w:pPr>
      <w:r>
        <w:rPr>
          <w:rFonts w:ascii="Times New Roman" w:cs="Times New Roman" w:eastAsia="Times New Roman" w:hAnsi="Times New Roman"/>
          <w:sz w:val="20"/>
          <w:szCs w:val="20"/>
          <w:b w:val="1"/>
          <w:bCs w:val="1"/>
          <w:color w:val="auto"/>
        </w:rPr>
        <w:t>HOLIDAY KAMPER COMPANY OF COLUMBIA,</w:t>
      </w:r>
    </w:p>
    <w:p>
      <w:pPr>
        <w:ind w:left="4080"/>
        <w:spacing w:after="0"/>
        <w:rPr>
          <w:sz w:val="20"/>
          <w:szCs w:val="20"/>
          <w:color w:val="auto"/>
        </w:rPr>
      </w:pPr>
      <w:r>
        <w:rPr>
          <w:rFonts w:ascii="Times New Roman" w:cs="Times New Roman" w:eastAsia="Times New Roman" w:hAnsi="Times New Roman"/>
          <w:sz w:val="20"/>
          <w:szCs w:val="20"/>
          <w:b w:val="1"/>
          <w:bCs w:val="1"/>
          <w:color w:val="auto"/>
        </w:rPr>
        <w:t>LLC</w:t>
      </w:r>
    </w:p>
    <w:p>
      <w:pPr>
        <w:ind w:left="4080"/>
        <w:spacing w:after="0"/>
        <w:rPr>
          <w:sz w:val="20"/>
          <w:szCs w:val="20"/>
          <w:color w:val="auto"/>
        </w:rPr>
      </w:pPr>
      <w:r>
        <w:rPr>
          <w:rFonts w:ascii="Times New Roman" w:cs="Times New Roman" w:eastAsia="Times New Roman" w:hAnsi="Times New Roman"/>
          <w:sz w:val="20"/>
          <w:szCs w:val="20"/>
          <w:b w:val="1"/>
          <w:bCs w:val="1"/>
          <w:color w:val="auto"/>
        </w:rPr>
        <w:t>K&amp;C RV CENTERS, LLC</w:t>
      </w:r>
    </w:p>
    <w:p>
      <w:pPr>
        <w:ind w:left="4080"/>
        <w:spacing w:after="0"/>
        <w:rPr>
          <w:sz w:val="20"/>
          <w:szCs w:val="20"/>
          <w:color w:val="auto"/>
        </w:rPr>
      </w:pPr>
      <w:r>
        <w:rPr>
          <w:rFonts w:ascii="Times New Roman" w:cs="Times New Roman" w:eastAsia="Times New Roman" w:hAnsi="Times New Roman"/>
          <w:sz w:val="20"/>
          <w:szCs w:val="20"/>
          <w:b w:val="1"/>
          <w:bCs w:val="1"/>
          <w:color w:val="auto"/>
        </w:rPr>
        <w:t>MEYER’S RV CENTERS, LLC</w:t>
      </w:r>
    </w:p>
    <w:p>
      <w:pPr>
        <w:ind w:left="4080"/>
        <w:spacing w:after="0"/>
        <w:rPr>
          <w:sz w:val="20"/>
          <w:szCs w:val="20"/>
          <w:color w:val="auto"/>
        </w:rPr>
      </w:pPr>
      <w:r>
        <w:rPr>
          <w:rFonts w:ascii="Times New Roman" w:cs="Times New Roman" w:eastAsia="Times New Roman" w:hAnsi="Times New Roman"/>
          <w:sz w:val="20"/>
          <w:szCs w:val="20"/>
          <w:b w:val="1"/>
          <w:bCs w:val="1"/>
          <w:color w:val="auto"/>
        </w:rPr>
        <w:t>NORTHWEST RV CENTERS, LLC</w:t>
      </w:r>
    </w:p>
    <w:p>
      <w:pPr>
        <w:ind w:left="4080"/>
        <w:spacing w:after="0"/>
        <w:rPr>
          <w:sz w:val="20"/>
          <w:szCs w:val="20"/>
          <w:color w:val="auto"/>
        </w:rPr>
      </w:pPr>
      <w:r>
        <w:rPr>
          <w:rFonts w:ascii="Times New Roman" w:cs="Times New Roman" w:eastAsia="Times New Roman" w:hAnsi="Times New Roman"/>
          <w:sz w:val="20"/>
          <w:szCs w:val="20"/>
          <w:b w:val="1"/>
          <w:bCs w:val="1"/>
          <w:color w:val="auto"/>
        </w:rPr>
        <w:t>OLINGER RV CENTERS, LLC</w:t>
      </w:r>
    </w:p>
    <w:p>
      <w:pPr>
        <w:ind w:left="4080"/>
        <w:spacing w:after="0"/>
        <w:rPr>
          <w:sz w:val="20"/>
          <w:szCs w:val="20"/>
          <w:color w:val="auto"/>
        </w:rPr>
      </w:pPr>
      <w:r>
        <w:rPr>
          <w:rFonts w:ascii="Times New Roman" w:cs="Times New Roman" w:eastAsia="Times New Roman" w:hAnsi="Times New Roman"/>
          <w:sz w:val="20"/>
          <w:szCs w:val="20"/>
          <w:b w:val="1"/>
          <w:bCs w:val="1"/>
          <w:color w:val="auto"/>
        </w:rPr>
        <w:t>RV WORLD, LLC</w:t>
      </w:r>
    </w:p>
    <w:p>
      <w:pPr>
        <w:ind w:left="4080"/>
        <w:spacing w:after="0"/>
        <w:rPr>
          <w:sz w:val="20"/>
          <w:szCs w:val="20"/>
          <w:color w:val="auto"/>
        </w:rPr>
      </w:pPr>
      <w:r>
        <w:rPr>
          <w:rFonts w:ascii="Times New Roman" w:cs="Times New Roman" w:eastAsia="Times New Roman" w:hAnsi="Times New Roman"/>
          <w:sz w:val="20"/>
          <w:szCs w:val="20"/>
          <w:b w:val="1"/>
          <w:bCs w:val="1"/>
          <w:color w:val="auto"/>
        </w:rPr>
        <w:t>SHIPP’S RV CENTERS, LLC</w:t>
      </w:r>
    </w:p>
    <w:p>
      <w:pPr>
        <w:ind w:left="4080"/>
        <w:spacing w:after="0"/>
        <w:rPr>
          <w:sz w:val="20"/>
          <w:szCs w:val="20"/>
          <w:color w:val="auto"/>
        </w:rPr>
      </w:pPr>
      <w:r>
        <w:rPr>
          <w:rFonts w:ascii="Times New Roman" w:cs="Times New Roman" w:eastAsia="Times New Roman" w:hAnsi="Times New Roman"/>
          <w:sz w:val="20"/>
          <w:szCs w:val="20"/>
          <w:b w:val="1"/>
          <w:bCs w:val="1"/>
          <w:color w:val="auto"/>
        </w:rPr>
        <w:t>SIRPILLA RV CENTERS, LLC</w:t>
      </w:r>
    </w:p>
    <w:p>
      <w:pPr>
        <w:ind w:left="4080"/>
        <w:spacing w:after="0"/>
        <w:rPr>
          <w:sz w:val="20"/>
          <w:szCs w:val="20"/>
          <w:color w:val="auto"/>
        </w:rPr>
      </w:pPr>
      <w:r>
        <w:rPr>
          <w:rFonts w:ascii="Times New Roman" w:cs="Times New Roman" w:eastAsia="Times New Roman" w:hAnsi="Times New Roman"/>
          <w:sz w:val="20"/>
          <w:szCs w:val="20"/>
          <w:b w:val="1"/>
          <w:bCs w:val="1"/>
          <w:color w:val="auto"/>
        </w:rPr>
        <w:t>SOUTHWEST RV CENTERS, LLC</w:t>
      </w:r>
    </w:p>
    <w:p>
      <w:pPr>
        <w:ind w:left="4080"/>
        <w:spacing w:after="0"/>
        <w:rPr>
          <w:sz w:val="20"/>
          <w:szCs w:val="20"/>
          <w:color w:val="auto"/>
        </w:rPr>
      </w:pPr>
      <w:r>
        <w:rPr>
          <w:rFonts w:ascii="Times New Roman" w:cs="Times New Roman" w:eastAsia="Times New Roman" w:hAnsi="Times New Roman"/>
          <w:sz w:val="20"/>
          <w:szCs w:val="20"/>
          <w:b w:val="1"/>
          <w:bCs w:val="1"/>
          <w:color w:val="auto"/>
        </w:rPr>
        <w:t>STIER’S RV CENTERS, LLC</w:t>
      </w:r>
    </w:p>
    <w:p>
      <w:pPr>
        <w:ind w:left="4080"/>
        <w:spacing w:after="0"/>
        <w:rPr>
          <w:sz w:val="20"/>
          <w:szCs w:val="20"/>
          <w:color w:val="auto"/>
        </w:rPr>
      </w:pPr>
      <w:r>
        <w:rPr>
          <w:rFonts w:ascii="Times New Roman" w:cs="Times New Roman" w:eastAsia="Times New Roman" w:hAnsi="Times New Roman"/>
          <w:sz w:val="20"/>
          <w:szCs w:val="20"/>
          <w:b w:val="1"/>
          <w:bCs w:val="1"/>
          <w:color w:val="auto"/>
        </w:rPr>
        <w:t>STOUT’S RV CENTER, LLC</w:t>
      </w:r>
    </w:p>
    <w:p>
      <w:pPr>
        <w:ind w:left="4080"/>
        <w:spacing w:after="0"/>
        <w:rPr>
          <w:sz w:val="20"/>
          <w:szCs w:val="20"/>
          <w:color w:val="auto"/>
        </w:rPr>
      </w:pPr>
      <w:r>
        <w:rPr>
          <w:rFonts w:ascii="Times New Roman" w:cs="Times New Roman" w:eastAsia="Times New Roman" w:hAnsi="Times New Roman"/>
          <w:sz w:val="20"/>
          <w:szCs w:val="20"/>
          <w:b w:val="1"/>
          <w:bCs w:val="1"/>
          <w:color w:val="auto"/>
        </w:rPr>
        <w:t>TOM JOHNSON CAMPING CENTER, INC.</w:t>
      </w:r>
    </w:p>
    <w:p>
      <w:pPr>
        <w:ind w:left="4080" w:right="199"/>
        <w:spacing w:after="0" w:line="239" w:lineRule="auto"/>
        <w:rPr>
          <w:sz w:val="20"/>
          <w:szCs w:val="20"/>
          <w:color w:val="auto"/>
        </w:rPr>
      </w:pPr>
      <w:r>
        <w:rPr>
          <w:rFonts w:ascii="Times New Roman" w:cs="Times New Roman" w:eastAsia="Times New Roman" w:hAnsi="Times New Roman"/>
          <w:sz w:val="20"/>
          <w:szCs w:val="20"/>
          <w:b w:val="1"/>
          <w:bCs w:val="1"/>
          <w:color w:val="auto"/>
        </w:rPr>
        <w:t>TOM JOHNSON CAMPING CENTER CHARLOTTE, INC.</w:t>
      </w:r>
    </w:p>
    <w:p>
      <w:pPr>
        <w:ind w:left="3940"/>
        <w:spacing w:after="0"/>
        <w:rPr>
          <w:sz w:val="20"/>
          <w:szCs w:val="20"/>
          <w:color w:val="auto"/>
        </w:rPr>
      </w:pPr>
      <w:r>
        <w:rPr>
          <w:rFonts w:ascii="Times New Roman" w:cs="Times New Roman" w:eastAsia="Times New Roman" w:hAnsi="Times New Roman"/>
          <w:sz w:val="20"/>
          <w:szCs w:val="20"/>
          <w:b w:val="1"/>
          <w:bCs w:val="1"/>
          <w:color w:val="auto"/>
        </w:rPr>
        <w:t>​​​VENTURE OUT RV CENTERS, INC.</w:t>
      </w:r>
    </w:p>
    <w:p>
      <w:pPr>
        <w:ind w:left="4080"/>
        <w:spacing w:after="0"/>
        <w:rPr>
          <w:sz w:val="20"/>
          <w:szCs w:val="20"/>
          <w:color w:val="auto"/>
        </w:rPr>
      </w:pPr>
      <w:r>
        <w:rPr>
          <w:rFonts w:ascii="Times New Roman" w:cs="Times New Roman" w:eastAsia="Times New Roman" w:hAnsi="Times New Roman"/>
          <w:sz w:val="20"/>
          <w:szCs w:val="20"/>
          <w:b w:val="1"/>
          <w:bCs w:val="1"/>
          <w:color w:val="auto"/>
        </w:rPr>
        <w:t>WHEELER RV LAS VEGAS, LLC</w:t>
      </w:r>
    </w:p>
    <w:p>
      <w:pPr>
        <w:spacing w:after="0" w:line="20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By: /s/ Thomas E. Kirn</w:t>
      </w:r>
    </w:p>
    <w:p>
      <w:pPr>
        <w:spacing w:after="0" w:line="2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Name: Thomas E. Kirn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-144780</wp:posOffset>
            </wp:positionV>
            <wp:extent cx="288036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8">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ind w:left="4080"/>
        <w:spacing w:after="0"/>
        <w:rPr>
          <w:sz w:val="20"/>
          <w:szCs w:val="20"/>
          <w:color w:val="auto"/>
        </w:rPr>
      </w:pPr>
      <w:r>
        <w:rPr>
          <w:rFonts w:ascii="Times New Roman" w:cs="Times New Roman" w:eastAsia="Times New Roman" w:hAnsi="Times New Roman"/>
          <w:sz w:val="20"/>
          <w:szCs w:val="20"/>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FIRST AMENDMENT TO NINTH AMENDED AND RESTATED CREDIT AGREEMENT</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(FREEDOMROADS, LLC)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81" w:name="page82"/>
    <w:bookmarkEnd w:id="81"/>
    <w:p>
      <w:pPr>
        <w:ind w:left="3940"/>
        <w:spacing w:after="0"/>
        <w:rPr>
          <w:sz w:val="20"/>
          <w:szCs w:val="20"/>
          <w:color w:val="auto"/>
        </w:rPr>
      </w:pPr>
      <w:r>
        <w:rPr>
          <w:rFonts w:ascii="Times New Roman" w:cs="Times New Roman" w:eastAsia="Times New Roman" w:hAnsi="Times New Roman"/>
          <w:sz w:val="20"/>
          <w:szCs w:val="20"/>
          <w:b w:val="1"/>
          <w:bCs w:val="1"/>
          <w:color w:val="auto"/>
        </w:rPr>
        <w:t>​​​BANK OF AMERICA, N.A.</w:t>
      </w:r>
      <w:r>
        <w:rPr>
          <w:rFonts w:ascii="Times New Roman" w:cs="Times New Roman" w:eastAsia="Times New Roman" w:hAnsi="Times New Roman"/>
          <w:sz w:val="20"/>
          <w:szCs w:val="20"/>
          <w:color w:val="auto"/>
        </w:rPr>
        <w:t>,</w:t>
      </w:r>
    </w:p>
    <w:p>
      <w:pPr>
        <w:spacing w:after="0" w:line="26"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as Administrative Agent</w:t>
      </w:r>
    </w:p>
    <w:p>
      <w:pPr>
        <w:spacing w:after="0" w:line="20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By: /s/ Christine Trotter</w:t>
      </w:r>
    </w:p>
    <w:p>
      <w:pPr>
        <w:spacing w:after="0" w:line="2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Name: Christine Trotter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-144780</wp:posOffset>
            </wp:positionV>
            <wp:extent cx="288036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0">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ind w:left="408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3"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0"/>
          <w:szCs w:val="20"/>
          <w:b w:val="1"/>
          <w:bCs w:val="1"/>
          <w:color w:val="auto"/>
        </w:rPr>
        <w:t>​​​BANK OF AMERICA, N.A.</w:t>
      </w:r>
      <w:r>
        <w:rPr>
          <w:rFonts w:ascii="Times New Roman" w:cs="Times New Roman" w:eastAsia="Times New Roman" w:hAnsi="Times New Roman"/>
          <w:sz w:val="20"/>
          <w:szCs w:val="20"/>
          <w:color w:val="auto"/>
        </w:rPr>
        <w:t>,</w:t>
      </w:r>
    </w:p>
    <w:p>
      <w:pPr>
        <w:spacing w:after="0" w:line="26"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as a Lender and L/C Issuer</w:t>
      </w:r>
    </w:p>
    <w:p>
      <w:pPr>
        <w:spacing w:after="0" w:line="20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By: /s/ Curt McGowan</w:t>
      </w:r>
    </w:p>
    <w:p>
      <w:pPr>
        <w:spacing w:after="0" w:line="2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Name: Curt McGowan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-144780</wp:posOffset>
            </wp:positionV>
            <wp:extent cx="288036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1">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ind w:left="4080"/>
        <w:spacing w:after="0"/>
        <w:rPr>
          <w:sz w:val="20"/>
          <w:szCs w:val="20"/>
          <w:color w:val="auto"/>
        </w:rPr>
      </w:pPr>
      <w:r>
        <w:rPr>
          <w:rFonts w:ascii="Times New Roman" w:cs="Times New Roman" w:eastAsia="Times New Roman" w:hAnsi="Times New Roman"/>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FIRST AMENDMENT TO NINTH AMENDED AND RESTATED CREDIT AGREEMENT</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(FREEDOMROADS, LLC)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82" w:name="page83"/>
    <w:bookmarkEnd w:id="82"/>
    <w:p>
      <w:pPr>
        <w:jc w:val="right"/>
        <w:ind w:right="939"/>
        <w:spacing w:after="0"/>
        <w:rPr>
          <w:sz w:val="20"/>
          <w:szCs w:val="20"/>
          <w:color w:val="auto"/>
        </w:rPr>
      </w:pPr>
      <w:r>
        <w:rPr>
          <w:rFonts w:ascii="Times New Roman" w:cs="Times New Roman" w:eastAsia="Times New Roman" w:hAnsi="Times New Roman"/>
          <w:sz w:val="20"/>
          <w:szCs w:val="20"/>
          <w:b w:val="1"/>
          <w:bCs w:val="1"/>
          <w:color w:val="auto"/>
        </w:rPr>
        <w:t>​​​JPMORGAN CHASE BANK, N.A.</w:t>
      </w:r>
      <w:r>
        <w:rPr>
          <w:rFonts w:ascii="Times New Roman" w:cs="Times New Roman" w:eastAsia="Times New Roman" w:hAnsi="Times New Roman"/>
          <w:sz w:val="20"/>
          <w:szCs w:val="20"/>
          <w:color w:val="auto"/>
        </w:rPr>
        <w:t>, as a Lender</w:t>
      </w:r>
    </w:p>
    <w:p>
      <w:pPr>
        <w:spacing w:after="0" w:line="233"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By: /s/ Adam Sigman</w:t>
      </w:r>
    </w:p>
    <w:p>
      <w:pPr>
        <w:spacing w:after="0" w:line="2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Name: Adam Sigman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-144780</wp:posOffset>
            </wp:positionV>
            <wp:extent cx="288036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3">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ind w:left="4080"/>
        <w:spacing w:after="0"/>
        <w:rPr>
          <w:sz w:val="20"/>
          <w:szCs w:val="20"/>
          <w:color w:val="auto"/>
        </w:rPr>
      </w:pPr>
      <w:r>
        <w:rPr>
          <w:rFonts w:ascii="Times New Roman" w:cs="Times New Roman" w:eastAsia="Times New Roman" w:hAnsi="Times New Roman"/>
          <w:sz w:val="20"/>
          <w:szCs w:val="20"/>
          <w:color w:val="auto"/>
        </w:rPr>
        <w:t>Title: 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FIRST AMENDMENT TO NINTH AMENDED AND RESTATED CREDIT AGREEMENT</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(FREEDOMROADS, LLC)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83" w:name="page84"/>
    <w:bookmarkEnd w:id="83"/>
    <w:p>
      <w:pPr>
        <w:jc w:val="right"/>
        <w:ind w:right="419"/>
        <w:spacing w:after="0"/>
        <w:rPr>
          <w:sz w:val="20"/>
          <w:szCs w:val="20"/>
          <w:color w:val="auto"/>
        </w:rPr>
      </w:pPr>
      <w:r>
        <w:rPr>
          <w:rFonts w:ascii="Times New Roman" w:cs="Times New Roman" w:eastAsia="Times New Roman" w:hAnsi="Times New Roman"/>
          <w:sz w:val="20"/>
          <w:szCs w:val="20"/>
          <w:b w:val="1"/>
          <w:bCs w:val="1"/>
          <w:color w:val="auto"/>
        </w:rPr>
        <w:t>​​​U.S. BANK NATIONAL ASSOCIATION</w:t>
      </w:r>
      <w:r>
        <w:rPr>
          <w:rFonts w:ascii="Times New Roman" w:cs="Times New Roman" w:eastAsia="Times New Roman" w:hAnsi="Times New Roman"/>
          <w:sz w:val="20"/>
          <w:szCs w:val="20"/>
          <w:color w:val="auto"/>
        </w:rPr>
        <w:t>, as a Lender</w:t>
      </w:r>
    </w:p>
    <w:p>
      <w:pPr>
        <w:spacing w:after="0" w:line="232"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By: /s/ Min W. Ravotti</w:t>
      </w:r>
    </w:p>
    <w:p>
      <w:pPr>
        <w:spacing w:after="0" w:line="2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Name: Min W. Ravotti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-144780</wp:posOffset>
            </wp:positionV>
            <wp:extent cx="288036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5">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ind w:left="408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FIRST AMENDMENT TO NINTH AMENDED AND RESTATED CREDIT AGREEMENT</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(FREEDOMROADS, LLC)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84" w:name="page85"/>
    <w:bookmarkEnd w:id="84"/>
    <w:p>
      <w:pPr>
        <w:jc w:val="right"/>
        <w:ind w:right="79"/>
        <w:spacing w:after="0"/>
        <w:rPr>
          <w:sz w:val="20"/>
          <w:szCs w:val="20"/>
          <w:color w:val="auto"/>
        </w:rPr>
      </w:pPr>
      <w:r>
        <w:rPr>
          <w:rFonts w:ascii="Times New Roman" w:cs="Times New Roman" w:eastAsia="Times New Roman" w:hAnsi="Times New Roman"/>
          <w:sz w:val="20"/>
          <w:szCs w:val="20"/>
          <w:b w:val="1"/>
          <w:bCs w:val="1"/>
          <w:color w:val="auto"/>
        </w:rPr>
        <w:t>​​​MANUFACTURERS &amp; TRADERS TRUST COMPANY</w:t>
      </w:r>
      <w:r>
        <w:rPr>
          <w:rFonts w:ascii="Times New Roman" w:cs="Times New Roman" w:eastAsia="Times New Roman" w:hAnsi="Times New Roman"/>
          <w:sz w:val="20"/>
          <w:szCs w:val="20"/>
          <w:color w:val="auto"/>
        </w:rPr>
        <w:t>,</w:t>
      </w:r>
    </w:p>
    <w:p>
      <w:pPr>
        <w:spacing w:after="0" w:line="26"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as a Lender</w:t>
      </w:r>
    </w:p>
    <w:p>
      <w:pPr>
        <w:spacing w:after="0" w:line="20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By: /s/ Matthew Fahey</w:t>
      </w:r>
    </w:p>
    <w:p>
      <w:pPr>
        <w:spacing w:after="0" w:line="2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Name: Matthew Fahey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-144780</wp:posOffset>
            </wp:positionV>
            <wp:extent cx="288036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7">
                      <a:extLst>
                        <a:ext uri="{28A0092B-C50C-407E-A947-70E740481C1C}"/>
                      </a:extLst>
                    </a:blip>
                    <a:srcRect/>
                    <a:stretch>
                      <a:fillRect/>
                    </a:stretch>
                  </pic:blipFill>
                  <pic:spPr bwMode="auto">
                    <a:xfrm>
                      <a:off x="0" y="0"/>
                      <a:ext cx="2880360" cy="8890"/>
                    </a:xfrm>
                    <a:prstGeom prst="rect">
                      <a:avLst/>
                    </a:prstGeom>
                    <a:noFill/>
                  </pic:spPr>
                </pic:pic>
              </a:graphicData>
            </a:graphic>
          </wp:anchor>
        </w:drawing>
      </w:r>
    </w:p>
    <w:p>
      <w:pPr>
        <w:ind w:left="4080"/>
        <w:spacing w:after="0"/>
        <w:rPr>
          <w:sz w:val="20"/>
          <w:szCs w:val="20"/>
          <w:color w:val="auto"/>
        </w:rPr>
      </w:pPr>
      <w:r>
        <w:rPr>
          <w:rFonts w:ascii="Times New Roman" w:cs="Times New Roman" w:eastAsia="Times New Roman" w:hAnsi="Times New Roman"/>
          <w:sz w:val="20"/>
          <w:szCs w:val="20"/>
          <w:color w:val="auto"/>
        </w:rPr>
        <w:t>Title: SVP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FIRST AMENDMENT TO NINTH AMENDED AND RESTATED CREDIT AGREEMENT</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(FREEDOMROADS, LLC)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85" w:name="page86"/>
    <w:bookmarkEnd w:id="85"/>
    <w:p>
      <w:pPr>
        <w:ind w:left="3940"/>
        <w:spacing w:after="0"/>
        <w:rPr>
          <w:sz w:val="20"/>
          <w:szCs w:val="20"/>
          <w:color w:val="auto"/>
        </w:rPr>
      </w:pPr>
      <w:r>
        <w:rPr>
          <w:rFonts w:ascii="Times New Roman" w:cs="Times New Roman" w:eastAsia="Times New Roman" w:hAnsi="Times New Roman"/>
          <w:sz w:val="20"/>
          <w:szCs w:val="20"/>
          <w:b w:val="1"/>
          <w:bCs w:val="1"/>
          <w:color w:val="auto"/>
        </w:rPr>
        <w:t>​​​BMO BANK N.A.</w:t>
      </w:r>
      <w:r>
        <w:rPr>
          <w:rFonts w:ascii="Times New Roman" w:cs="Times New Roman" w:eastAsia="Times New Roman" w:hAnsi="Times New Roman"/>
          <w:sz w:val="20"/>
          <w:szCs w:val="20"/>
          <w:color w:val="auto"/>
        </w:rPr>
        <w:t>, as a Lender</w:t>
      </w:r>
    </w:p>
    <w:p>
      <w:pPr>
        <w:spacing w:after="0" w:line="232"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By: /s/ Jonathan Terrell</w:t>
      </w:r>
    </w:p>
    <w:p>
      <w:pPr>
        <w:spacing w:after="0" w:line="2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Name: Jonathan Terrell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-144780</wp:posOffset>
            </wp:positionV>
            <wp:extent cx="288036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9">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ind w:left="4080"/>
        <w:spacing w:after="0"/>
        <w:rPr>
          <w:sz w:val="20"/>
          <w:szCs w:val="20"/>
          <w:color w:val="auto"/>
        </w:rPr>
      </w:pPr>
      <w:r>
        <w:rPr>
          <w:rFonts w:ascii="Times New Roman" w:cs="Times New Roman" w:eastAsia="Times New Roman" w:hAnsi="Times New Roman"/>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FIRST AMENDMENT TO NINTH AMENDED AND RESTATED CREDIT AGREEMENT</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(FREEDOMROADS, LLC)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86" w:name="page87"/>
    <w:bookmarkEnd w:id="86"/>
    <w:p>
      <w:pPr>
        <w:jc w:val="right"/>
        <w:ind w:right="399"/>
        <w:spacing w:after="0"/>
        <w:rPr>
          <w:sz w:val="20"/>
          <w:szCs w:val="20"/>
          <w:color w:val="auto"/>
        </w:rPr>
      </w:pPr>
      <w:r>
        <w:rPr>
          <w:rFonts w:ascii="Times New Roman" w:cs="Times New Roman" w:eastAsia="Times New Roman" w:hAnsi="Times New Roman"/>
          <w:sz w:val="20"/>
          <w:szCs w:val="20"/>
          <w:b w:val="1"/>
          <w:bCs w:val="1"/>
          <w:color w:val="auto"/>
        </w:rPr>
        <w:t>​​​KEYBANK NATIONAL ASSOCIATION</w:t>
      </w:r>
      <w:r>
        <w:rPr>
          <w:rFonts w:ascii="Times New Roman" w:cs="Times New Roman" w:eastAsia="Times New Roman" w:hAnsi="Times New Roman"/>
          <w:sz w:val="20"/>
          <w:szCs w:val="20"/>
          <w:color w:val="auto"/>
        </w:rPr>
        <w:t>, as a Lender</w:t>
      </w:r>
    </w:p>
    <w:p>
      <w:pPr>
        <w:spacing w:after="0" w:line="232"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By: /s/ Scott E. Rone</w:t>
      </w:r>
    </w:p>
    <w:p>
      <w:pPr>
        <w:spacing w:after="0" w:line="2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Name: Scott E. Rone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-144780</wp:posOffset>
            </wp:positionV>
            <wp:extent cx="288036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1">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ind w:left="4080"/>
        <w:spacing w:after="0"/>
        <w:rPr>
          <w:sz w:val="20"/>
          <w:szCs w:val="20"/>
          <w:color w:val="auto"/>
        </w:rPr>
      </w:pPr>
      <w:r>
        <w:rPr>
          <w:rFonts w:ascii="Times New Roman" w:cs="Times New Roman" w:eastAsia="Times New Roman" w:hAnsi="Times New Roman"/>
          <w:sz w:val="20"/>
          <w:szCs w:val="20"/>
          <w:color w:val="auto"/>
        </w:rPr>
        <w:t>Title: Vice President – Sr. Relationship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FIRST AMENDMENT TO NINTH AMENDED AND RESTATED CREDIT AGREEMENT</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(FREEDOMROADS, LLC)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87" w:name="page88"/>
    <w:bookmarkEnd w:id="87"/>
    <w:p>
      <w:pPr>
        <w:ind w:left="4080" w:right="479" w:hanging="143"/>
        <w:spacing w:after="0" w:line="272" w:lineRule="auto"/>
        <w:rPr>
          <w:sz w:val="20"/>
          <w:szCs w:val="20"/>
          <w:color w:val="auto"/>
        </w:rPr>
      </w:pPr>
      <w:r>
        <w:rPr>
          <w:rFonts w:ascii="Times New Roman" w:cs="Times New Roman" w:eastAsia="Times New Roman" w:hAnsi="Times New Roman"/>
          <w:sz w:val="20"/>
          <w:szCs w:val="20"/>
          <w:b w:val="1"/>
          <w:bCs w:val="1"/>
          <w:color w:val="auto"/>
        </w:rPr>
        <w:t>​​​WELLS FARGO COMMERCIAL DISTRIBUTION FINANCE, LLC</w:t>
      </w:r>
      <w:r>
        <w:rPr>
          <w:rFonts w:ascii="Times New Roman" w:cs="Times New Roman" w:eastAsia="Times New Roman" w:hAnsi="Times New Roman"/>
          <w:sz w:val="20"/>
          <w:szCs w:val="20"/>
          <w:color w:val="auto"/>
        </w:rPr>
        <w:t>, as a Lender</w:t>
      </w:r>
    </w:p>
    <w:p>
      <w:pPr>
        <w:spacing w:after="0" w:line="170"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By: /s/ Jayme Wyatt</w:t>
      </w:r>
    </w:p>
    <w:p>
      <w:pPr>
        <w:spacing w:after="0" w:line="2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Name: Jayme Wyatt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-144780</wp:posOffset>
            </wp:positionV>
            <wp:extent cx="288036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3">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ind w:left="4080"/>
        <w:spacing w:after="0"/>
        <w:rPr>
          <w:sz w:val="20"/>
          <w:szCs w:val="20"/>
          <w:color w:val="auto"/>
        </w:rPr>
      </w:pPr>
      <w:r>
        <w:rPr>
          <w:rFonts w:ascii="Times New Roman" w:cs="Times New Roman" w:eastAsia="Times New Roman" w:hAnsi="Times New Roman"/>
          <w:sz w:val="20"/>
          <w:szCs w:val="20"/>
          <w:color w:val="auto"/>
        </w:rPr>
        <w:t>Title: 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FIRST AMENDMENT TO NINTH AMENDED AND RESTATED CREDIT AGREEMENT</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(FREEDOMROADS, LLC)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88" w:name="page89"/>
    <w:bookmarkEnd w:id="88"/>
    <w:p>
      <w:pPr>
        <w:ind w:left="3940"/>
        <w:spacing w:after="0"/>
        <w:rPr>
          <w:sz w:val="20"/>
          <w:szCs w:val="20"/>
          <w:color w:val="auto"/>
        </w:rPr>
      </w:pPr>
      <w:r>
        <w:rPr>
          <w:rFonts w:ascii="Times New Roman" w:cs="Times New Roman" w:eastAsia="Times New Roman" w:hAnsi="Times New Roman"/>
          <w:sz w:val="20"/>
          <w:szCs w:val="20"/>
          <w:b w:val="1"/>
          <w:bCs w:val="1"/>
          <w:color w:val="auto"/>
        </w:rPr>
        <w:t>​​​FLAGSTAR BANK, N.A.</w:t>
      </w:r>
      <w:r>
        <w:rPr>
          <w:rFonts w:ascii="Times New Roman" w:cs="Times New Roman" w:eastAsia="Times New Roman" w:hAnsi="Times New Roman"/>
          <w:sz w:val="20"/>
          <w:szCs w:val="20"/>
          <w:color w:val="auto"/>
        </w:rPr>
        <w:t>,</w:t>
      </w:r>
    </w:p>
    <w:p>
      <w:pPr>
        <w:spacing w:after="0" w:line="26"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as a Lender</w:t>
      </w:r>
    </w:p>
    <w:p>
      <w:pPr>
        <w:spacing w:after="0" w:line="20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By: /s/ Ryan Hayes</w:t>
      </w:r>
    </w:p>
    <w:p>
      <w:pPr>
        <w:spacing w:after="0" w:line="2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Name: Ryan Hayes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-144780</wp:posOffset>
            </wp:positionV>
            <wp:extent cx="288036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5">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ind w:left="408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FIRST AMENDMENT TO NINTH AMENDED AND RESTATED CREDIT AGREEMENT</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(FREEDOMROADS, LLC)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89" w:name="page90"/>
    <w:bookmarkEnd w:id="89"/>
    <w:p>
      <w:pPr>
        <w:jc w:val="right"/>
        <w:ind w:right="819"/>
        <w:spacing w:after="0"/>
        <w:rPr>
          <w:sz w:val="20"/>
          <w:szCs w:val="20"/>
          <w:color w:val="auto"/>
        </w:rPr>
      </w:pPr>
      <w:r>
        <w:rPr>
          <w:rFonts w:ascii="Times New Roman" w:cs="Times New Roman" w:eastAsia="Times New Roman" w:hAnsi="Times New Roman"/>
          <w:sz w:val="20"/>
          <w:szCs w:val="20"/>
          <w:b w:val="1"/>
          <w:bCs w:val="1"/>
          <w:color w:val="auto"/>
        </w:rPr>
        <w:t>​​​HUNTINGTON NATIONAL BANK</w:t>
      </w:r>
      <w:r>
        <w:rPr>
          <w:rFonts w:ascii="Times New Roman" w:cs="Times New Roman" w:eastAsia="Times New Roman" w:hAnsi="Times New Roman"/>
          <w:sz w:val="20"/>
          <w:szCs w:val="20"/>
          <w:color w:val="auto"/>
        </w:rPr>
        <w:t>, as a Lender</w:t>
      </w:r>
    </w:p>
    <w:p>
      <w:pPr>
        <w:spacing w:after="0" w:line="232"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By: /s/ David Paoni</w:t>
      </w:r>
    </w:p>
    <w:p>
      <w:pPr>
        <w:spacing w:after="0" w:line="2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Name: David Paoni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-144780</wp:posOffset>
            </wp:positionV>
            <wp:extent cx="288036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7">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ind w:left="408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FIRST AMENDMENT TO NINTH AMENDED AND RESTATED CREDIT AGREEMENT</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(FREEDOMROADS, LLC)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90" w:name="page91"/>
    <w:bookmarkEnd w:id="90"/>
    <w:p>
      <w:pPr>
        <w:jc w:val="right"/>
        <w:ind w:right="479"/>
        <w:spacing w:after="0"/>
        <w:rPr>
          <w:sz w:val="20"/>
          <w:szCs w:val="20"/>
          <w:color w:val="auto"/>
        </w:rPr>
      </w:pPr>
      <w:r>
        <w:rPr>
          <w:rFonts w:ascii="Times New Roman" w:cs="Times New Roman" w:eastAsia="Times New Roman" w:hAnsi="Times New Roman"/>
          <w:sz w:val="20"/>
          <w:szCs w:val="20"/>
          <w:b w:val="1"/>
          <w:bCs w:val="1"/>
          <w:color w:val="auto"/>
        </w:rPr>
        <w:t>​​​FIRST-CITIZENS BANK &amp; TRUST COMPANY</w:t>
      </w:r>
      <w:r>
        <w:rPr>
          <w:rFonts w:ascii="Times New Roman" w:cs="Times New Roman" w:eastAsia="Times New Roman" w:hAnsi="Times New Roman"/>
          <w:sz w:val="20"/>
          <w:szCs w:val="20"/>
          <w:color w:val="auto"/>
        </w:rPr>
        <w:t>, as</w:t>
      </w:r>
    </w:p>
    <w:p>
      <w:pPr>
        <w:spacing w:after="0" w:line="2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a Lender</w:t>
      </w:r>
    </w:p>
    <w:p>
      <w:pPr>
        <w:spacing w:after="0" w:line="20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By: /s/ Gregory Burke</w:t>
      </w:r>
    </w:p>
    <w:p>
      <w:pPr>
        <w:spacing w:after="0" w:line="2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Name: Gregory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-144780</wp:posOffset>
            </wp:positionV>
            <wp:extent cx="288036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9">
                      <a:extLst>
                        <a:ext uri="{28A0092B-C50C-407E-A947-70E740481C1C}"/>
                      </a:extLst>
                    </a:blip>
                    <a:srcRect/>
                    <a:stretch>
                      <a:fillRect/>
                    </a:stretch>
                  </pic:blipFill>
                  <pic:spPr bwMode="auto">
                    <a:xfrm>
                      <a:off x="0" y="0"/>
                      <a:ext cx="2880360" cy="8890"/>
                    </a:xfrm>
                    <a:prstGeom prst="rect">
                      <a:avLst/>
                    </a:prstGeom>
                    <a:noFill/>
                  </pic:spPr>
                </pic:pic>
              </a:graphicData>
            </a:graphic>
          </wp:anchor>
        </w:drawing>
      </w:r>
    </w:p>
    <w:p>
      <w:pPr>
        <w:ind w:left="4080"/>
        <w:spacing w:after="0"/>
        <w:rPr>
          <w:sz w:val="20"/>
          <w:szCs w:val="20"/>
          <w:color w:val="auto"/>
        </w:rPr>
      </w:pPr>
      <w:r>
        <w:rPr>
          <w:rFonts w:ascii="Times New Roman" w:cs="Times New Roman" w:eastAsia="Times New Roman" w:hAnsi="Times New Roman"/>
          <w:sz w:val="20"/>
          <w:szCs w:val="20"/>
          <w:color w:val="auto"/>
        </w:rPr>
        <w:t>Title: Vice President and Portfolio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FIRST AMENDMENT TO NINTH AMENDED AND RESTATED CREDIT AGREEMENT</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(FREEDOMROADS, LLC)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91" w:name="page92"/>
    <w:bookmarkEnd w:id="91"/>
    <w:p>
      <w:pPr>
        <w:ind w:left="3940"/>
        <w:spacing w:after="0"/>
        <w:rPr>
          <w:sz w:val="20"/>
          <w:szCs w:val="20"/>
          <w:color w:val="auto"/>
        </w:rPr>
      </w:pPr>
      <w:r>
        <w:rPr>
          <w:rFonts w:ascii="Times New Roman" w:cs="Times New Roman" w:eastAsia="Times New Roman" w:hAnsi="Times New Roman"/>
          <w:sz w:val="20"/>
          <w:szCs w:val="20"/>
          <w:b w:val="1"/>
          <w:bCs w:val="1"/>
          <w:color w:val="auto"/>
        </w:rPr>
        <w:t>​​​MASSMUTUAL ASSET FINANCE LLC</w:t>
      </w:r>
      <w:r>
        <w:rPr>
          <w:rFonts w:ascii="Times New Roman" w:cs="Times New Roman" w:eastAsia="Times New Roman" w:hAnsi="Times New Roman"/>
          <w:sz w:val="20"/>
          <w:szCs w:val="20"/>
          <w:color w:val="auto"/>
        </w:rPr>
        <w:t>,</w:t>
      </w:r>
    </w:p>
    <w:p>
      <w:pPr>
        <w:spacing w:after="0" w:line="2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as a Lender</w:t>
      </w:r>
    </w:p>
    <w:p>
      <w:pPr>
        <w:spacing w:after="0" w:line="20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By: /s/ Donald Buttler</w:t>
      </w:r>
    </w:p>
    <w:p>
      <w:pPr>
        <w:spacing w:after="0" w:line="2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Name: Donald Buttler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-144780</wp:posOffset>
            </wp:positionV>
            <wp:extent cx="288036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1">
                      <a:extLst>
                        <a:ext uri="{28A0092B-C50C-407E-A947-70E740481C1C}"/>
                      </a:extLst>
                    </a:blip>
                    <a:srcRect/>
                    <a:stretch>
                      <a:fillRect/>
                    </a:stretch>
                  </pic:blipFill>
                  <pic:spPr bwMode="auto">
                    <a:xfrm>
                      <a:off x="0" y="0"/>
                      <a:ext cx="2880360" cy="8890"/>
                    </a:xfrm>
                    <a:prstGeom prst="rect">
                      <a:avLst/>
                    </a:prstGeom>
                    <a:noFill/>
                  </pic:spPr>
                </pic:pic>
              </a:graphicData>
            </a:graphic>
          </wp:anchor>
        </w:drawing>
      </w:r>
    </w:p>
    <w:p>
      <w:pPr>
        <w:ind w:left="4080"/>
        <w:spacing w:after="0"/>
        <w:rPr>
          <w:sz w:val="20"/>
          <w:szCs w:val="20"/>
          <w:color w:val="auto"/>
        </w:rPr>
      </w:pPr>
      <w:r>
        <w:rPr>
          <w:rFonts w:ascii="Times New Roman" w:cs="Times New Roman" w:eastAsia="Times New Roman" w:hAnsi="Times New Roman"/>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FIRST AMENDMENT TO NINTH AMENDED AND RESTATED CREDIT AGREEMENT</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(FREEDOMROADS, LLC)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31.1</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CERTIFICATIONS</w:t>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Matthew D. Wagner, certify that:</w:t>
      </w:r>
    </w:p>
    <w:p>
      <w:pPr>
        <w:spacing w:after="0" w:line="225" w:lineRule="exact"/>
        <w:rPr>
          <w:sz w:val="20"/>
          <w:szCs w:val="20"/>
          <w:color w:val="auto"/>
        </w:rPr>
      </w:pPr>
    </w:p>
    <w:p>
      <w:pPr>
        <w:ind w:left="240" w:hanging="196"/>
        <w:spacing w:after="0"/>
        <w:tabs>
          <w:tab w:leader="none" w:pos="2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Camping World Holdings, Inc.;</w:t>
      </w:r>
    </w:p>
    <w:p>
      <w:pPr>
        <w:spacing w:after="0" w:line="225" w:lineRule="exact"/>
        <w:rPr>
          <w:rFonts w:ascii="Arial" w:cs="Arial" w:eastAsia="Arial" w:hAnsi="Arial"/>
          <w:sz w:val="18"/>
          <w:szCs w:val="18"/>
          <w:color w:val="auto"/>
        </w:rPr>
      </w:pPr>
    </w:p>
    <w:p>
      <w:pPr>
        <w:jc w:val="both"/>
        <w:ind w:left="40" w:right="80" w:firstLine="4"/>
        <w:spacing w:after="0" w:line="268" w:lineRule="auto"/>
        <w:tabs>
          <w:tab w:leader="none" w:pos="246"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7" w:lineRule="exact"/>
        <w:rPr>
          <w:rFonts w:ascii="Arial" w:cs="Arial" w:eastAsia="Arial" w:hAnsi="Arial"/>
          <w:sz w:val="18"/>
          <w:szCs w:val="18"/>
          <w:color w:val="auto"/>
        </w:rPr>
      </w:pPr>
    </w:p>
    <w:p>
      <w:pPr>
        <w:jc w:val="both"/>
        <w:ind w:left="40" w:right="80" w:firstLine="4"/>
        <w:spacing w:after="0" w:line="268" w:lineRule="auto"/>
        <w:tabs>
          <w:tab w:leader="none" w:pos="241"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40" w:right="80" w:firstLine="4"/>
        <w:spacing w:after="0" w:line="261" w:lineRule="auto"/>
        <w:tabs>
          <w:tab w:leader="none" w:pos="279"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Arial" w:cs="Arial" w:eastAsia="Arial" w:hAnsi="Arial"/>
          <w:sz w:val="18"/>
          <w:szCs w:val="18"/>
          <w:color w:val="auto"/>
        </w:rPr>
      </w:pPr>
    </w:p>
    <w:p>
      <w:pPr>
        <w:jc w:val="both"/>
        <w:ind w:left="700" w:right="80" w:hanging="8"/>
        <w:spacing w:after="0" w:line="262" w:lineRule="auto"/>
        <w:tabs>
          <w:tab w:leader="none" w:pos="1033"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Arial" w:cs="Arial" w:eastAsia="Arial" w:hAnsi="Arial"/>
          <w:sz w:val="18"/>
          <w:szCs w:val="18"/>
          <w:color w:val="auto"/>
        </w:rPr>
      </w:pPr>
    </w:p>
    <w:p>
      <w:pPr>
        <w:jc w:val="both"/>
        <w:ind w:left="700" w:right="80" w:hanging="8"/>
        <w:spacing w:after="0" w:line="262" w:lineRule="auto"/>
        <w:tabs>
          <w:tab w:leader="none" w:pos="973"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Arial" w:cs="Arial" w:eastAsia="Arial" w:hAnsi="Arial"/>
          <w:sz w:val="18"/>
          <w:szCs w:val="18"/>
          <w:color w:val="auto"/>
        </w:rPr>
      </w:pPr>
    </w:p>
    <w:p>
      <w:pPr>
        <w:jc w:val="both"/>
        <w:ind w:left="700" w:right="80" w:hanging="8"/>
        <w:spacing w:after="0" w:line="268" w:lineRule="auto"/>
        <w:tabs>
          <w:tab w:leader="none" w:pos="971" w:val="left"/>
        </w:tabs>
        <w:numPr>
          <w:ilvl w:val="1"/>
          <w:numId w:val="4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7" w:lineRule="exact"/>
        <w:rPr>
          <w:rFonts w:ascii="Arial" w:cs="Arial" w:eastAsia="Arial" w:hAnsi="Arial"/>
          <w:sz w:val="18"/>
          <w:szCs w:val="18"/>
          <w:color w:val="auto"/>
        </w:rPr>
      </w:pPr>
    </w:p>
    <w:p>
      <w:pPr>
        <w:jc w:val="both"/>
        <w:ind w:left="700" w:right="80" w:hanging="8"/>
        <w:spacing w:after="0" w:line="262" w:lineRule="auto"/>
        <w:tabs>
          <w:tab w:leader="none" w:pos="991"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Arial" w:cs="Arial" w:eastAsia="Arial" w:hAnsi="Arial"/>
          <w:sz w:val="18"/>
          <w:szCs w:val="18"/>
          <w:color w:val="auto"/>
        </w:rPr>
      </w:pPr>
    </w:p>
    <w:p>
      <w:pPr>
        <w:jc w:val="both"/>
        <w:ind w:left="40" w:right="80" w:firstLine="4"/>
        <w:spacing w:after="0" w:line="261" w:lineRule="auto"/>
        <w:tabs>
          <w:tab w:leader="none" w:pos="25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Arial" w:cs="Arial" w:eastAsia="Arial" w:hAnsi="Arial"/>
          <w:sz w:val="18"/>
          <w:szCs w:val="18"/>
          <w:color w:val="auto"/>
        </w:rPr>
      </w:pPr>
    </w:p>
    <w:p>
      <w:pPr>
        <w:jc w:val="both"/>
        <w:ind w:left="700" w:right="80" w:hanging="8"/>
        <w:spacing w:after="0" w:line="268" w:lineRule="auto"/>
        <w:tabs>
          <w:tab w:leader="none" w:pos="996" w:val="left"/>
        </w:tabs>
        <w:numPr>
          <w:ilvl w:val="1"/>
          <w:numId w:val="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7" w:lineRule="exact"/>
        <w:rPr>
          <w:rFonts w:ascii="Arial" w:cs="Arial" w:eastAsia="Arial" w:hAnsi="Arial"/>
          <w:sz w:val="18"/>
          <w:szCs w:val="18"/>
          <w:color w:val="auto"/>
        </w:rPr>
      </w:pPr>
    </w:p>
    <w:p>
      <w:pPr>
        <w:ind w:left="700" w:right="80" w:hanging="8"/>
        <w:spacing w:after="0" w:line="287" w:lineRule="auto"/>
        <w:tabs>
          <w:tab w:leader="none" w:pos="1005"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47" w:lineRule="exact"/>
        <w:rPr>
          <w:sz w:val="20"/>
          <w:szCs w:val="20"/>
          <w:color w:val="auto"/>
        </w:rPr>
      </w:pPr>
    </w:p>
    <w:p>
      <w:pPr>
        <w:ind w:left="80"/>
        <w:spacing w:after="0"/>
        <w:tabs>
          <w:tab w:leader="none" w:pos="4580" w:val="left"/>
        </w:tabs>
        <w:rPr>
          <w:sz w:val="20"/>
          <w:szCs w:val="20"/>
          <w:color w:val="auto"/>
        </w:rPr>
      </w:pPr>
      <w:r>
        <w:rPr>
          <w:rFonts w:ascii="Arial" w:cs="Arial" w:eastAsia="Arial" w:hAnsi="Arial"/>
          <w:sz w:val="18"/>
          <w:szCs w:val="18"/>
          <w:color w:val="auto"/>
        </w:rPr>
        <w:t>Date: November 5, 2026</w:t>
      </w:r>
      <w:r>
        <w:rPr>
          <w:sz w:val="20"/>
          <w:szCs w:val="20"/>
          <w:color w:val="auto"/>
        </w:rPr>
        <w:tab/>
      </w:r>
      <w:r>
        <w:rPr>
          <w:rFonts w:ascii="Arial" w:cs="Arial" w:eastAsia="Arial" w:hAnsi="Arial"/>
          <w:sz w:val="18"/>
          <w:szCs w:val="18"/>
          <w:color w:val="auto"/>
        </w:rPr>
        <w:t>By: /s/ Matthew D. Wagner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34925</wp:posOffset>
            </wp:positionV>
            <wp:extent cx="256286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57"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Matthew D. Wagner</w:t>
      </w:r>
    </w:p>
    <w:p>
      <w:pPr>
        <w:spacing w:after="0" w:line="6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540385</wp:posOffset>
            </wp:positionV>
            <wp:extent cx="5657850"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40"/>
          </w:cols>
          <w:pgMar w:left="1440" w:top="121" w:right="141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31.2</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CERTIFICATIONS</w:t>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Thomas E. Kirn, certify that:</w:t>
      </w:r>
    </w:p>
    <w:p>
      <w:pPr>
        <w:spacing w:after="0" w:line="225" w:lineRule="exact"/>
        <w:rPr>
          <w:sz w:val="20"/>
          <w:szCs w:val="20"/>
          <w:color w:val="auto"/>
        </w:rPr>
      </w:pPr>
    </w:p>
    <w:p>
      <w:pPr>
        <w:ind w:left="240" w:hanging="196"/>
        <w:spacing w:after="0"/>
        <w:tabs>
          <w:tab w:leader="none" w:pos="2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Camping World Holdings, Inc.;</w:t>
      </w:r>
    </w:p>
    <w:p>
      <w:pPr>
        <w:spacing w:after="0" w:line="225" w:lineRule="exact"/>
        <w:rPr>
          <w:rFonts w:ascii="Arial" w:cs="Arial" w:eastAsia="Arial" w:hAnsi="Arial"/>
          <w:sz w:val="18"/>
          <w:szCs w:val="18"/>
          <w:color w:val="auto"/>
        </w:rPr>
      </w:pPr>
    </w:p>
    <w:p>
      <w:pPr>
        <w:jc w:val="both"/>
        <w:ind w:left="40" w:right="160" w:firstLine="4"/>
        <w:spacing w:after="0" w:line="268" w:lineRule="auto"/>
        <w:tabs>
          <w:tab w:leader="none" w:pos="246"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7" w:lineRule="exact"/>
        <w:rPr>
          <w:rFonts w:ascii="Arial" w:cs="Arial" w:eastAsia="Arial" w:hAnsi="Arial"/>
          <w:sz w:val="18"/>
          <w:szCs w:val="18"/>
          <w:color w:val="auto"/>
        </w:rPr>
      </w:pPr>
    </w:p>
    <w:p>
      <w:pPr>
        <w:jc w:val="both"/>
        <w:ind w:left="40" w:right="160" w:firstLine="4"/>
        <w:spacing w:after="0" w:line="268" w:lineRule="auto"/>
        <w:tabs>
          <w:tab w:leader="none" w:pos="241"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40" w:right="160" w:firstLine="4"/>
        <w:spacing w:after="0" w:line="261" w:lineRule="auto"/>
        <w:tabs>
          <w:tab w:leader="none" w:pos="279"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Arial" w:cs="Arial" w:eastAsia="Arial" w:hAnsi="Arial"/>
          <w:sz w:val="18"/>
          <w:szCs w:val="18"/>
          <w:color w:val="auto"/>
        </w:rPr>
      </w:pPr>
    </w:p>
    <w:p>
      <w:pPr>
        <w:jc w:val="both"/>
        <w:ind w:left="700" w:right="160" w:hanging="8"/>
        <w:spacing w:after="0" w:line="262" w:lineRule="auto"/>
        <w:tabs>
          <w:tab w:leader="none" w:pos="1033"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Arial" w:cs="Arial" w:eastAsia="Arial" w:hAnsi="Arial"/>
          <w:sz w:val="18"/>
          <w:szCs w:val="18"/>
          <w:color w:val="auto"/>
        </w:rPr>
      </w:pPr>
    </w:p>
    <w:p>
      <w:pPr>
        <w:jc w:val="both"/>
        <w:ind w:left="700" w:right="160" w:hanging="8"/>
        <w:spacing w:after="0" w:line="262" w:lineRule="auto"/>
        <w:tabs>
          <w:tab w:leader="none" w:pos="973"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Arial" w:cs="Arial" w:eastAsia="Arial" w:hAnsi="Arial"/>
          <w:sz w:val="18"/>
          <w:szCs w:val="18"/>
          <w:color w:val="auto"/>
        </w:rPr>
      </w:pPr>
    </w:p>
    <w:p>
      <w:pPr>
        <w:jc w:val="both"/>
        <w:ind w:left="700" w:right="160" w:hanging="8"/>
        <w:spacing w:after="0" w:line="268" w:lineRule="auto"/>
        <w:tabs>
          <w:tab w:leader="none" w:pos="971" w:val="left"/>
        </w:tabs>
        <w:numPr>
          <w:ilvl w:val="1"/>
          <w:numId w:val="5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7" w:lineRule="exact"/>
        <w:rPr>
          <w:rFonts w:ascii="Arial" w:cs="Arial" w:eastAsia="Arial" w:hAnsi="Arial"/>
          <w:sz w:val="18"/>
          <w:szCs w:val="18"/>
          <w:color w:val="auto"/>
        </w:rPr>
      </w:pPr>
    </w:p>
    <w:p>
      <w:pPr>
        <w:jc w:val="both"/>
        <w:ind w:left="700" w:right="160" w:hanging="8"/>
        <w:spacing w:after="0" w:line="262" w:lineRule="auto"/>
        <w:tabs>
          <w:tab w:leader="none" w:pos="991"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Arial" w:cs="Arial" w:eastAsia="Arial" w:hAnsi="Arial"/>
          <w:sz w:val="18"/>
          <w:szCs w:val="18"/>
          <w:color w:val="auto"/>
        </w:rPr>
      </w:pPr>
    </w:p>
    <w:p>
      <w:pPr>
        <w:jc w:val="both"/>
        <w:ind w:left="40" w:right="160" w:firstLine="4"/>
        <w:spacing w:after="0" w:line="261" w:lineRule="auto"/>
        <w:tabs>
          <w:tab w:leader="none" w:pos="25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Arial" w:cs="Arial" w:eastAsia="Arial" w:hAnsi="Arial"/>
          <w:sz w:val="18"/>
          <w:szCs w:val="18"/>
          <w:color w:val="auto"/>
        </w:rPr>
      </w:pPr>
    </w:p>
    <w:p>
      <w:pPr>
        <w:jc w:val="both"/>
        <w:ind w:left="700" w:right="160" w:hanging="8"/>
        <w:spacing w:after="0" w:line="268" w:lineRule="auto"/>
        <w:tabs>
          <w:tab w:leader="none" w:pos="996" w:val="left"/>
        </w:tabs>
        <w:numPr>
          <w:ilvl w:val="1"/>
          <w:numId w:val="5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7" w:lineRule="exact"/>
        <w:rPr>
          <w:rFonts w:ascii="Arial" w:cs="Arial" w:eastAsia="Arial" w:hAnsi="Arial"/>
          <w:sz w:val="18"/>
          <w:szCs w:val="18"/>
          <w:color w:val="auto"/>
        </w:rPr>
      </w:pPr>
    </w:p>
    <w:p>
      <w:pPr>
        <w:ind w:left="700" w:right="160" w:hanging="8"/>
        <w:spacing w:after="0" w:line="287" w:lineRule="auto"/>
        <w:tabs>
          <w:tab w:leader="none" w:pos="1005"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47" w:lineRule="exact"/>
        <w:rPr>
          <w:sz w:val="20"/>
          <w:szCs w:val="20"/>
          <w:color w:val="auto"/>
        </w:rPr>
      </w:pPr>
    </w:p>
    <w:p>
      <w:pPr>
        <w:ind w:left="40"/>
        <w:spacing w:after="0"/>
        <w:tabs>
          <w:tab w:leader="none" w:pos="4600" w:val="left"/>
        </w:tabs>
        <w:rPr>
          <w:sz w:val="20"/>
          <w:szCs w:val="20"/>
          <w:color w:val="auto"/>
        </w:rPr>
      </w:pPr>
      <w:r>
        <w:rPr>
          <w:rFonts w:ascii="Arial" w:cs="Arial" w:eastAsia="Arial" w:hAnsi="Arial"/>
          <w:sz w:val="18"/>
          <w:szCs w:val="18"/>
          <w:color w:val="auto"/>
        </w:rPr>
        <w:t>Date: November 5, 2026</w:t>
      </w:r>
      <w:r>
        <w:rPr>
          <w:sz w:val="20"/>
          <w:szCs w:val="20"/>
          <w:color w:val="auto"/>
        </w:rPr>
        <w:tab/>
      </w:r>
      <w:r>
        <w:rPr>
          <w:rFonts w:ascii="Arial" w:cs="Arial" w:eastAsia="Arial" w:hAnsi="Arial"/>
          <w:sz w:val="18"/>
          <w:szCs w:val="18"/>
          <w:color w:val="auto"/>
        </w:rPr>
        <w:t>By: /s/ Thomas E. Kirn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34925</wp:posOffset>
            </wp:positionV>
            <wp:extent cx="256286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57"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Thomas E. Kirn</w:t>
      </w:r>
    </w:p>
    <w:p>
      <w:pPr>
        <w:spacing w:after="0" w:line="6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(Principal Financial Officer and Principal</w:t>
      </w:r>
    </w:p>
    <w:p>
      <w:pPr>
        <w:spacing w:after="0" w:line="27"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528955</wp:posOffset>
            </wp:positionV>
            <wp:extent cx="565785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120"/>
          </w:cols>
          <w:pgMar w:left="1440" w:top="121" w:right="13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32.1</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 PURSUANT TO</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18 U.S.C. SECTION 1350,</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AS ADOPTED PURSUANT TO</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5" w:lineRule="exact"/>
        <w:rPr>
          <w:sz w:val="20"/>
          <w:szCs w:val="20"/>
          <w:color w:val="auto"/>
        </w:rPr>
      </w:pPr>
    </w:p>
    <w:p>
      <w:pPr>
        <w:jc w:val="both"/>
        <w:ind w:left="40" w:right="20" w:firstLine="648"/>
        <w:spacing w:after="0" w:line="255" w:lineRule="auto"/>
        <w:rPr>
          <w:sz w:val="20"/>
          <w:szCs w:val="20"/>
          <w:color w:val="auto"/>
        </w:rPr>
      </w:pPr>
      <w:r>
        <w:rPr>
          <w:rFonts w:ascii="Arial" w:cs="Arial" w:eastAsia="Arial" w:hAnsi="Arial"/>
          <w:sz w:val="18"/>
          <w:szCs w:val="18"/>
          <w:color w:val="auto"/>
        </w:rPr>
        <w:t>In connection with the Quarterly Report on Form 10-Q of Camping World Holdings, Inc. (the “Company”) for the period ended September 30, 2026, as filed with the U.S. Securities and Exchange Commission on the date hereof (the “Report”), I, Matthew D. Wagner, President and Chief Executive Officer of the Company, hereby certify, pursuant to 18 U.S.C. Section 1350, as adopted pursuant to Section 906 of the Sarbanes-Oxley Act of 2002, that, to my knowledge:</w:t>
      </w:r>
    </w:p>
    <w:p>
      <w:pPr>
        <w:spacing w:after="0" w:line="183" w:lineRule="exact"/>
        <w:rPr>
          <w:sz w:val="20"/>
          <w:szCs w:val="20"/>
          <w:color w:val="auto"/>
        </w:rPr>
      </w:pPr>
    </w:p>
    <w:p>
      <w:pPr>
        <w:ind w:left="40" w:right="20" w:firstLine="652"/>
        <w:spacing w:after="0" w:line="287" w:lineRule="auto"/>
        <w:tabs>
          <w:tab w:leader="none" w:pos="9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39" w:lineRule="exact"/>
        <w:rPr>
          <w:rFonts w:ascii="Arial" w:cs="Arial" w:eastAsia="Arial" w:hAnsi="Arial"/>
          <w:sz w:val="18"/>
          <w:szCs w:val="18"/>
          <w:color w:val="auto"/>
        </w:rPr>
      </w:pPr>
    </w:p>
    <w:p>
      <w:pPr>
        <w:ind w:left="40" w:right="20" w:firstLine="652"/>
        <w:spacing w:after="0" w:line="287" w:lineRule="auto"/>
        <w:tabs>
          <w:tab w:leader="none" w:pos="966"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0" w:lineRule="exact"/>
        <w:rPr>
          <w:sz w:val="20"/>
          <w:szCs w:val="20"/>
          <w:color w:val="auto"/>
        </w:rPr>
      </w:pPr>
    </w:p>
    <w:p>
      <w:pPr>
        <w:ind w:left="40"/>
        <w:spacing w:after="0"/>
        <w:tabs>
          <w:tab w:leader="none" w:pos="4600" w:val="left"/>
        </w:tabs>
        <w:rPr>
          <w:sz w:val="20"/>
          <w:szCs w:val="20"/>
          <w:color w:val="auto"/>
        </w:rPr>
      </w:pPr>
      <w:r>
        <w:rPr>
          <w:rFonts w:ascii="Arial" w:cs="Arial" w:eastAsia="Arial" w:hAnsi="Arial"/>
          <w:sz w:val="18"/>
          <w:szCs w:val="18"/>
          <w:color w:val="auto"/>
        </w:rPr>
        <w:t>Date: November 5, 2026</w:t>
      </w:r>
      <w:r>
        <w:rPr>
          <w:sz w:val="20"/>
          <w:szCs w:val="20"/>
          <w:color w:val="auto"/>
        </w:rPr>
        <w:tab/>
      </w:r>
      <w:r>
        <w:rPr>
          <w:rFonts w:ascii="Arial" w:cs="Arial" w:eastAsia="Arial" w:hAnsi="Arial"/>
          <w:sz w:val="18"/>
          <w:szCs w:val="18"/>
          <w:color w:val="auto"/>
        </w:rPr>
        <w:t>By:  /s/ Matthew D. Wagner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3168650</wp:posOffset>
            </wp:positionH>
            <wp:positionV relativeFrom="paragraph">
              <wp:posOffset>34925</wp:posOffset>
            </wp:positionV>
            <wp:extent cx="252031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7">
                      <a:extLst>
                        <a:ext uri="{28A0092B-C50C-407E-A947-70E740481C1C}"/>
                      </a:extLst>
                    </a:blip>
                    <a:srcRect/>
                    <a:stretch>
                      <a:fillRect/>
                    </a:stretch>
                  </pic:blipFill>
                  <pic:spPr bwMode="auto">
                    <a:xfrm>
                      <a:off x="0" y="0"/>
                      <a:ext cx="2520315" cy="8890"/>
                    </a:xfrm>
                    <a:prstGeom prst="rect">
                      <a:avLst/>
                    </a:prstGeom>
                    <a:noFill/>
                  </pic:spPr>
                </pic:pic>
              </a:graphicData>
            </a:graphic>
          </wp:anchor>
        </w:drawing>
      </w:r>
    </w:p>
    <w:p>
      <w:pPr>
        <w:spacing w:after="0" w:line="57"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Matthew D. Wagner</w:t>
      </w:r>
    </w:p>
    <w:p>
      <w:pPr>
        <w:spacing w:after="0" w:line="63"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540385</wp:posOffset>
            </wp:positionV>
            <wp:extent cx="5657850"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460"/>
          </w:cols>
          <w:pgMar w:left="1440" w:top="121" w:right="999" w:bottom="1440" w:gutter="0" w:footer="0" w:header="0"/>
        </w:sectPr>
      </w:pPr>
    </w:p>
    <w:bookmarkStart w:id="95" w:name="page96"/>
    <w:bookmarkEnd w:id="95"/>
    <w:p>
      <w:pPr>
        <w:ind w:left="8280"/>
        <w:spacing w:after="0"/>
        <w:rPr>
          <w:sz w:val="20"/>
          <w:szCs w:val="20"/>
          <w:color w:val="auto"/>
        </w:rPr>
      </w:pPr>
      <w:r>
        <w:rPr>
          <w:rFonts w:ascii="Arial" w:cs="Arial" w:eastAsia="Arial" w:hAnsi="Arial"/>
          <w:sz w:val="18"/>
          <w:szCs w:val="18"/>
          <w:b w:val="1"/>
          <w:bCs w:val="1"/>
          <w:color w:val="auto"/>
        </w:rPr>
        <w:t>Exhibit 32.2</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 PURSUANT TO</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18 U.S.C. SECTION 1350,</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AS ADOPTED PURSUANT TO</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5" w:lineRule="exact"/>
        <w:rPr>
          <w:sz w:val="20"/>
          <w:szCs w:val="20"/>
          <w:color w:val="auto"/>
        </w:rPr>
      </w:pPr>
    </w:p>
    <w:p>
      <w:pPr>
        <w:jc w:val="both"/>
        <w:ind w:left="40" w:firstLine="648"/>
        <w:spacing w:after="0" w:line="257" w:lineRule="auto"/>
        <w:rPr>
          <w:sz w:val="20"/>
          <w:szCs w:val="20"/>
          <w:color w:val="auto"/>
        </w:rPr>
      </w:pPr>
      <w:r>
        <w:rPr>
          <w:rFonts w:ascii="Arial" w:cs="Arial" w:eastAsia="Arial" w:hAnsi="Arial"/>
          <w:sz w:val="18"/>
          <w:szCs w:val="18"/>
          <w:color w:val="auto"/>
        </w:rPr>
        <w:t>In connection with the Quarterly Report on Form 10-Q of Camping World Holdings, Inc. (the “Company”) for the period ended September 30, 2026, as filed with the U.S. Securities and Exchange Commission on the date hereof (the “Report”), I, Thomas E. Kirn, Chief Financial Officer of the Company, hereby certify, pursuant to 18 U.S.C. Section 1350, as adopted pursuant to Section 906 of the Sarbanes-Oxley Act of 2002, that, to my knowledge:</w:t>
      </w:r>
    </w:p>
    <w:p>
      <w:pPr>
        <w:spacing w:after="0" w:line="180" w:lineRule="exact"/>
        <w:rPr>
          <w:sz w:val="20"/>
          <w:szCs w:val="20"/>
          <w:color w:val="auto"/>
        </w:rPr>
      </w:pPr>
    </w:p>
    <w:p>
      <w:pPr>
        <w:ind w:left="40" w:firstLine="652"/>
        <w:spacing w:after="0" w:line="287" w:lineRule="auto"/>
        <w:tabs>
          <w:tab w:leader="none" w:pos="967"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39" w:lineRule="exact"/>
        <w:rPr>
          <w:rFonts w:ascii="Arial" w:cs="Arial" w:eastAsia="Arial" w:hAnsi="Arial"/>
          <w:sz w:val="18"/>
          <w:szCs w:val="18"/>
          <w:color w:val="auto"/>
        </w:rPr>
      </w:pPr>
    </w:p>
    <w:p>
      <w:pPr>
        <w:ind w:left="40" w:firstLine="652"/>
        <w:spacing w:after="0" w:line="287" w:lineRule="auto"/>
        <w:tabs>
          <w:tab w:leader="none" w:pos="961"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53" w:lineRule="exact"/>
        <w:rPr>
          <w:sz w:val="20"/>
          <w:szCs w:val="20"/>
          <w:color w:val="auto"/>
        </w:rPr>
      </w:pPr>
    </w:p>
    <w:tbl>
      <w:tblPr>
        <w:tblLayout w:type="fixed"/>
        <w:tblInd w:w="40" w:type="dxa"/>
        <w:tblCellMar>
          <w:top w:w="0" w:type="dxa"/>
          <w:left w:w="0" w:type="dxa"/>
          <w:bottom w:w="0" w:type="dxa"/>
          <w:right w:w="0" w:type="dxa"/>
        </w:tblCellMar>
      </w:tblPr>
      <w:tr>
        <w:trPr>
          <w:trHeight w:val="235"/>
        </w:trPr>
        <w:tc>
          <w:tcPr>
            <w:tcW w:w="3220" w:type="dxa"/>
            <w:vAlign w:val="bottom"/>
          </w:tcPr>
          <w:p>
            <w:pPr>
              <w:spacing w:after="0"/>
              <w:rPr>
                <w:sz w:val="20"/>
                <w:szCs w:val="20"/>
                <w:color w:val="auto"/>
              </w:rPr>
            </w:pPr>
            <w:r>
              <w:rPr>
                <w:rFonts w:ascii="Arial" w:cs="Arial" w:eastAsia="Arial" w:hAnsi="Arial"/>
                <w:sz w:val="18"/>
                <w:szCs w:val="18"/>
                <w:color w:val="auto"/>
              </w:rPr>
              <w:t>Date: November 5, 2026</w:t>
            </w:r>
          </w:p>
        </w:tc>
        <w:tc>
          <w:tcPr>
            <w:tcW w:w="5700" w:type="dxa"/>
            <w:vAlign w:val="bottom"/>
            <w:gridSpan w:val="2"/>
          </w:tcPr>
          <w:p>
            <w:pPr>
              <w:ind w:left="1260"/>
              <w:spacing w:after="0"/>
              <w:rPr>
                <w:sz w:val="20"/>
                <w:szCs w:val="20"/>
                <w:color w:val="auto"/>
              </w:rPr>
            </w:pPr>
            <w:r>
              <w:rPr>
                <w:rFonts w:ascii="Arial" w:cs="Arial" w:eastAsia="Arial" w:hAnsi="Arial"/>
                <w:sz w:val="18"/>
                <w:szCs w:val="18"/>
                <w:color w:val="auto"/>
              </w:rPr>
              <w:t>By:  /s/ Thomas E. Kirn</w:t>
            </w:r>
          </w:p>
        </w:tc>
      </w:tr>
      <w:tr>
        <w:trPr>
          <w:trHeight w:val="191"/>
        </w:trPr>
        <w:tc>
          <w:tcPr>
            <w:tcW w:w="32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404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color w:val="auto"/>
              </w:rPr>
              <w:t>Thomas E. Kirn</w:t>
            </w:r>
          </w:p>
        </w:tc>
      </w:tr>
      <w:tr>
        <w:trPr>
          <w:trHeight w:val="216"/>
        </w:trPr>
        <w:tc>
          <w:tcPr>
            <w:tcW w:w="3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3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(Principal Financial Officer and Principal</w:t>
            </w:r>
          </w:p>
        </w:tc>
      </w:tr>
      <w:tr>
        <w:trPr>
          <w:trHeight w:val="239"/>
        </w:trPr>
        <w:tc>
          <w:tcPr>
            <w:tcW w:w="32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Accounting Officer)</w:t>
            </w:r>
          </w:p>
        </w:tc>
      </w:tr>
      <w:tr>
        <w:trPr>
          <w:trHeight w:val="813"/>
        </w:trPr>
        <w:tc>
          <w:tcPr>
            <w:tcW w:w="32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360"/>
      </w:cols>
      <w:pgMar w:left="1440" w:top="121" w:right="10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1)"/>
      <w:numFmt w:val="decimal"/>
      <w:start w:val="1"/>
    </w:lvl>
  </w:abstractNum>
  <w:abstractNum w:abstractNumId="6">
    <w:nsid w:val="3A95F874"/>
    <w:multiLevelType w:val="hybridMultilevel"/>
    <w:lvl w:ilvl="0">
      <w:lvlJc w:val="left"/>
      <w:lvlText w:val="%1."/>
      <w:numFmt w:val="decimal"/>
      <w:start w:val="1"/>
    </w:lvl>
  </w:abstractNum>
  <w:abstractNum w:abstractNumId="7">
    <w:nsid w:val="8138641"/>
    <w:multiLevelType w:val="hybridMultilevel"/>
    <w:lvl w:ilvl="0">
      <w:lvlJc w:val="left"/>
      <w:lvlText w:val="%1."/>
      <w:numFmt w:val="decimal"/>
      <w:start w:val="2"/>
    </w:lvl>
  </w:abstractNum>
  <w:abstractNum w:abstractNumId="8">
    <w:nsid w:val="1E7FF521"/>
    <w:multiLevelType w:val="hybridMultilevel"/>
    <w:lvl w:ilvl="0">
      <w:lvlJc w:val="left"/>
      <w:lvlText w:val="(%1)"/>
      <w:numFmt w:val="decimal"/>
      <w:start w:val="1"/>
    </w:lvl>
  </w:abstractNum>
  <w:abstractNum w:abstractNumId="9">
    <w:nsid w:val="7C3DBD3D"/>
    <w:multiLevelType w:val="hybridMultilevel"/>
    <w:lvl w:ilvl="0">
      <w:lvlJc w:val="left"/>
      <w:lvlText w:val="%1."/>
      <w:numFmt w:val="decimal"/>
      <w:start w:val="7"/>
    </w:lvl>
  </w:abstractNum>
  <w:abstractNum w:abstractNumId="10">
    <w:nsid w:val="737B8DDC"/>
    <w:multiLevelType w:val="hybridMultilevel"/>
    <w:lvl w:ilvl="0">
      <w:lvlJc w:val="left"/>
      <w:lvlText w:val="(%1)"/>
      <w:numFmt w:val="decimal"/>
      <w:start w:val="1"/>
    </w:lvl>
  </w:abstractNum>
  <w:abstractNum w:abstractNumId="11">
    <w:nsid w:val="6CEAF087"/>
    <w:multiLevelType w:val="hybridMultilevel"/>
    <w:lvl w:ilvl="0">
      <w:lvlJc w:val="left"/>
      <w:lvlText w:val="(%1)"/>
      <w:numFmt w:val="decimal"/>
      <w:start w:val="1"/>
    </w:lvl>
  </w:abstractNum>
  <w:abstractNum w:abstractNumId="12">
    <w:nsid w:val="22221A70"/>
    <w:multiLevelType w:val="hybridMultilevel"/>
    <w:lvl w:ilvl="0">
      <w:lvlJc w:val="left"/>
      <w:lvlText w:val="(%1)"/>
      <w:numFmt w:val="decimal"/>
      <w:start w:val="1"/>
    </w:lvl>
  </w:abstractNum>
  <w:abstractNum w:abstractNumId="13">
    <w:nsid w:val="4516DDE9"/>
    <w:multiLevelType w:val="hybridMultilevel"/>
    <w:lvl w:ilvl="0">
      <w:lvlJc w:val="left"/>
      <w:lvlText w:val="(%1)"/>
      <w:numFmt w:val="decimal"/>
      <w:start w:val="1"/>
    </w:lvl>
  </w:abstractNum>
  <w:abstractNum w:abstractNumId="14">
    <w:nsid w:val="3006C83E"/>
    <w:multiLevelType w:val="hybridMultilevel"/>
    <w:lvl w:ilvl="0">
      <w:lvlJc w:val="left"/>
      <w:lvlText w:val="(%1)"/>
      <w:numFmt w:val="decimal"/>
      <w:start w:val="1"/>
    </w:lvl>
  </w:abstractNum>
  <w:abstractNum w:abstractNumId="15">
    <w:nsid w:val="614FD4A1"/>
    <w:multiLevelType w:val="hybridMultilevel"/>
    <w:lvl w:ilvl="0">
      <w:lvlJc w:val="left"/>
      <w:lvlText w:val="%1."/>
      <w:numFmt w:val="decimal"/>
      <w:start w:val="11"/>
    </w:lvl>
  </w:abstractNum>
  <w:abstractNum w:abstractNumId="16">
    <w:nsid w:val="419AC241"/>
    <w:multiLevelType w:val="hybridMultilevel"/>
    <w:lvl w:ilvl="0">
      <w:lvlJc w:val="left"/>
      <w:lvlText w:val="(%1)"/>
      <w:numFmt w:val="lowerRoman"/>
      <w:start w:val="7"/>
    </w:lvl>
  </w:abstractNum>
  <w:abstractNum w:abstractNumId="17">
    <w:nsid w:val="5577F8E1"/>
    <w:multiLevelType w:val="hybridMultilevel"/>
    <w:lvl w:ilvl="0">
      <w:lvlJc w:val="left"/>
      <w:lvlText w:val="(%1)"/>
      <w:numFmt w:val="lowerRoman"/>
      <w:start w:val="3"/>
    </w:lvl>
  </w:abstractNum>
  <w:abstractNum w:abstractNumId="18">
    <w:nsid w:val="440BADFC"/>
    <w:multiLevelType w:val="hybridMultilevel"/>
    <w:lvl w:ilvl="0">
      <w:lvlJc w:val="left"/>
      <w:lvlText w:val="(%1)"/>
      <w:numFmt w:val="decimal"/>
      <w:start w:val="1"/>
    </w:lvl>
  </w:abstractNum>
  <w:abstractNum w:abstractNumId="19">
    <w:nsid w:val="5072367"/>
    <w:multiLevelType w:val="hybridMultilevel"/>
    <w:lvl w:ilvl="0">
      <w:lvlJc w:val="left"/>
      <w:lvlText w:val="(%1)"/>
      <w:numFmt w:val="decimal"/>
      <w:start w:val="10"/>
    </w:lvl>
  </w:abstractNum>
  <w:abstractNum w:abstractNumId="20">
    <w:nsid w:val="3804823E"/>
    <w:multiLevelType w:val="hybridMultilevel"/>
    <w:lvl w:ilvl="0">
      <w:lvlJc w:val="left"/>
      <w:lvlText w:val="(%1)"/>
      <w:numFmt w:val="decimal"/>
      <w:start w:val="1"/>
    </w:lvl>
  </w:abstractNum>
  <w:abstractNum w:abstractNumId="21">
    <w:nsid w:val="77465F01"/>
    <w:multiLevelType w:val="hybridMultilevel"/>
    <w:lvl w:ilvl="0">
      <w:lvlJc w:val="left"/>
      <w:lvlText w:val="(%1)"/>
      <w:numFmt w:val="decimal"/>
      <w:start w:val="1"/>
    </w:lvl>
  </w:abstractNum>
  <w:abstractNum w:abstractNumId="22">
    <w:nsid w:val="7724C67E"/>
    <w:multiLevelType w:val="hybridMultilevel"/>
    <w:lvl w:ilvl="0">
      <w:lvlJc w:val="left"/>
      <w:lvlText w:val="(%1)"/>
      <w:numFmt w:val="decimal"/>
      <w:start w:val="1"/>
    </w:lvl>
  </w:abstractNum>
  <w:abstractNum w:abstractNumId="23">
    <w:nsid w:val="5C482A97"/>
    <w:multiLevelType w:val="hybridMultilevel"/>
    <w:lvl w:ilvl="0">
      <w:lvlJc w:val="left"/>
      <w:lvlText w:val="(%1)"/>
      <w:numFmt w:val="decimal"/>
      <w:start w:val="4"/>
    </w:lvl>
  </w:abstractNum>
  <w:abstractNum w:abstractNumId="24">
    <w:nsid w:val="2463B9EA"/>
    <w:multiLevelType w:val="hybridMultilevel"/>
    <w:lvl w:ilvl="0">
      <w:lvlJc w:val="left"/>
      <w:lvlText w:val="(%1)"/>
      <w:numFmt w:val="decimal"/>
      <w:start w:val="1"/>
    </w:lvl>
  </w:abstractNum>
  <w:abstractNum w:abstractNumId="25">
    <w:nsid w:val="5E884ADC"/>
    <w:multiLevelType w:val="hybridMultilevel"/>
    <w:lvl w:ilvl="0">
      <w:lvlJc w:val="left"/>
      <w:lvlText w:val="(%1)"/>
      <w:numFmt w:val="decimal"/>
      <w:start w:val="1"/>
    </w:lvl>
  </w:abstractNum>
  <w:abstractNum w:abstractNumId="26">
    <w:nsid w:val="51EAD36B"/>
    <w:multiLevelType w:val="hybridMultilevel"/>
    <w:lvl w:ilvl="0">
      <w:lvlJc w:val="left"/>
      <w:lvlText w:val="(%1)"/>
      <w:numFmt w:val="decimal"/>
      <w:start w:val="1"/>
    </w:lvl>
  </w:abstractNum>
  <w:abstractNum w:abstractNumId="27">
    <w:nsid w:val="2D517796"/>
    <w:multiLevelType w:val="hybridMultilevel"/>
    <w:lvl w:ilvl="0">
      <w:lvlJc w:val="left"/>
      <w:lvlText w:val="(%1)"/>
      <w:numFmt w:val="decimal"/>
      <w:start w:val="1"/>
    </w:lvl>
  </w:abstractNum>
  <w:abstractNum w:abstractNumId="28">
    <w:nsid w:val="580BD78F"/>
    <w:multiLevelType w:val="hybridMultilevel"/>
    <w:lvl w:ilvl="0">
      <w:lvlJc w:val="left"/>
      <w:lvlText w:val="(%1)"/>
      <w:numFmt w:val="decimal"/>
      <w:start w:val="1"/>
    </w:lvl>
  </w:abstractNum>
  <w:abstractNum w:abstractNumId="29">
    <w:nsid w:val="153EA438"/>
    <w:multiLevelType w:val="hybridMultilevel"/>
    <w:lvl w:ilvl="0">
      <w:lvlJc w:val="left"/>
      <w:lvlText w:val="(%1)"/>
      <w:numFmt w:val="lowerLetter"/>
      <w:start w:val="1"/>
    </w:lvl>
  </w:abstractNum>
  <w:abstractNum w:abstractNumId="30">
    <w:nsid w:val="3855585C"/>
    <w:multiLevelType w:val="hybridMultilevel"/>
    <w:lvl w:ilvl="0">
      <w:lvlJc w:val="left"/>
      <w:lvlText w:val="\endash "/>
      <w:numFmt w:val="bullet"/>
      <w:start w:val="1"/>
    </w:lvl>
  </w:abstractNum>
  <w:abstractNum w:abstractNumId="31">
    <w:nsid w:val="70A64E2A"/>
    <w:multiLevelType w:val="hybridMultilevel"/>
    <w:lvl w:ilvl="0">
      <w:lvlJc w:val="left"/>
      <w:lvlText w:val="(%1)"/>
      <w:numFmt w:val="lowerLetter"/>
      <w:start w:val="1"/>
    </w:lvl>
  </w:abstractNum>
  <w:abstractNum w:abstractNumId="32">
    <w:nsid w:val="6A2342EC"/>
    <w:multiLevelType w:val="hybridMultilevel"/>
    <w:lvl w:ilvl="0">
      <w:lvlJc w:val="left"/>
      <w:lvlText w:val="(%1)"/>
      <w:numFmt w:val="decimal"/>
      <w:start w:val="1"/>
    </w:lvl>
  </w:abstractNum>
  <w:abstractNum w:abstractNumId="33">
    <w:nsid w:val="2A487CB0"/>
    <w:multiLevelType w:val="hybridMultilevel"/>
    <w:lvl w:ilvl="0">
      <w:lvlJc w:val="left"/>
      <w:lvlText w:val="%1."/>
      <w:numFmt w:val="lowerRoman"/>
      <w:start w:val="1"/>
    </w:lvl>
  </w:abstractNum>
  <w:abstractNum w:abstractNumId="34">
    <w:nsid w:val="1D4ED43B"/>
    <w:multiLevelType w:val="hybridMultilevel"/>
    <w:lvl w:ilvl="0">
      <w:lvlJc w:val="left"/>
      <w:lvlText w:val="•"/>
      <w:numFmt w:val="bullet"/>
      <w:start w:val="1"/>
    </w:lvl>
  </w:abstractNum>
  <w:abstractNum w:abstractNumId="35">
    <w:nsid w:val="725A06FB"/>
    <w:multiLevelType w:val="hybridMultilevel"/>
    <w:lvl w:ilvl="0">
      <w:lvlJc w:val="left"/>
      <w:lvlText w:val="●"/>
      <w:numFmt w:val="bullet"/>
      <w:start w:val="1"/>
    </w:lvl>
  </w:abstractNum>
  <w:abstractNum w:abstractNumId="36">
    <w:nsid w:val="2CD89A32"/>
    <w:multiLevelType w:val="hybridMultilevel"/>
    <w:lvl w:ilvl="0">
      <w:lvlJc w:val="left"/>
      <w:lvlText w:val="●"/>
      <w:numFmt w:val="bullet"/>
      <w:start w:val="1"/>
    </w:lvl>
  </w:abstractNum>
  <w:abstractNum w:abstractNumId="37">
    <w:nsid w:val="57E4CCAF"/>
    <w:multiLevelType w:val="hybridMultilevel"/>
    <w:lvl w:ilvl="0">
      <w:lvlJc w:val="left"/>
      <w:lvlText w:val="(%1)"/>
      <w:numFmt w:val="lowerLetter"/>
      <w:start w:val="1"/>
    </w:lvl>
  </w:abstractNum>
  <w:abstractNum w:abstractNumId="38">
    <w:nsid w:val="7A6D8D3C"/>
    <w:multiLevelType w:val="hybridMultilevel"/>
    <w:lvl w:ilvl="0">
      <w:lvlJc w:val="left"/>
      <w:lvlText w:val="*"/>
      <w:numFmt w:val="bullet"/>
      <w:start w:val="1"/>
    </w:lvl>
  </w:abstractNum>
  <w:abstractNum w:abstractNumId="39">
    <w:nsid w:val="4B588F54"/>
    <w:multiLevelType w:val="hybridMultilevel"/>
    <w:lvl w:ilvl="0">
      <w:lvlJc w:val="left"/>
      <w:lvlText w:val="**"/>
      <w:numFmt w:val="bullet"/>
      <w:start w:val="1"/>
    </w:lvl>
  </w:abstractNum>
  <w:abstractNum w:abstractNumId="40">
    <w:nsid w:val="542289EC"/>
    <w:multiLevelType w:val="hybridMultilevel"/>
    <w:lvl w:ilvl="0">
      <w:lvlJc w:val="left"/>
      <w:lvlText w:val="***"/>
      <w:numFmt w:val="bullet"/>
      <w:start w:val="1"/>
    </w:lvl>
  </w:abstractNum>
  <w:abstractNum w:abstractNumId="41">
    <w:nsid w:val="6DE91B18"/>
    <w:multiLevelType w:val="hybridMultilevel"/>
    <w:lvl w:ilvl="0">
      <w:lvlJc w:val="left"/>
      <w:lvlText w:val="%1."/>
      <w:numFmt w:val="decimal"/>
      <w:start w:val="1"/>
    </w:lvl>
  </w:abstractNum>
  <w:abstractNum w:abstractNumId="42">
    <w:nsid w:val="38437FDB"/>
    <w:multiLevelType w:val="hybridMultilevel"/>
    <w:lvl w:ilvl="0">
      <w:lvlJc w:val="left"/>
      <w:lvlText w:val="%1."/>
      <w:numFmt w:val="decimal"/>
      <w:start w:val="2"/>
    </w:lvl>
  </w:abstractNum>
  <w:abstractNum w:abstractNumId="43">
    <w:nsid w:val="7644A45C"/>
    <w:multiLevelType w:val="hybridMultilevel"/>
    <w:lvl w:ilvl="0">
      <w:lvlJc w:val="left"/>
      <w:lvlText w:val="%1"/>
      <w:numFmt w:val="decimal"/>
      <w:start w:val="1"/>
    </w:lvl>
    <w:lvl w:ilvl="1">
      <w:lvlJc w:val="left"/>
      <w:lvlText w:val="(%2)"/>
      <w:numFmt w:val="lowerLetter"/>
      <w:start w:val="1"/>
    </w:lvl>
  </w:abstractNum>
  <w:abstractNum w:abstractNumId="44">
    <w:nsid w:val="32FFF902"/>
    <w:multiLevelType w:val="hybridMultilevel"/>
    <w:lvl w:ilvl="0">
      <w:lvlJc w:val="left"/>
      <w:lvlText w:val="%1."/>
      <w:numFmt w:val="decimal"/>
      <w:start w:val="3"/>
    </w:lvl>
    <w:lvl w:ilvl="1">
      <w:lvlJc w:val="left"/>
      <w:lvlText w:val="(%2)"/>
      <w:numFmt w:val="lowerLetter"/>
      <w:start w:val="1"/>
    </w:lvl>
  </w:abstractNum>
  <w:abstractNum w:abstractNumId="45">
    <w:nsid w:val="684A481A"/>
    <w:multiLevelType w:val="hybridMultilevel"/>
    <w:lvl w:ilvl="0">
      <w:lvlJc w:val="left"/>
      <w:lvlText w:val="%1"/>
      <w:numFmt w:val="decimal"/>
      <w:start w:val="1"/>
    </w:lvl>
    <w:lvl w:ilvl="1">
      <w:lvlJc w:val="left"/>
      <w:lvlText w:val="(%2)"/>
      <w:numFmt w:val="lowerLetter"/>
      <w:start w:val="2"/>
    </w:lvl>
  </w:abstractNum>
  <w:abstractNum w:abstractNumId="46">
    <w:nsid w:val="579478FE"/>
    <w:multiLevelType w:val="hybridMultilevel"/>
    <w:lvl w:ilvl="0">
      <w:lvlJc w:val="left"/>
      <w:lvlText w:val="%1."/>
      <w:numFmt w:val="decimal"/>
      <w:start w:val="5"/>
    </w:lvl>
    <w:lvl w:ilvl="1">
      <w:lvlJc w:val="left"/>
      <w:lvlText w:val="%2"/>
      <w:numFmt w:val="lowerLetter"/>
      <w:start w:val="1"/>
    </w:lvl>
  </w:abstractNum>
  <w:abstractNum w:abstractNumId="47">
    <w:nsid w:val="749ABB43"/>
    <w:multiLevelType w:val="hybridMultilevel"/>
    <w:lvl w:ilvl="0">
      <w:lvlJc w:val="left"/>
      <w:lvlText w:val="%1."/>
      <w:numFmt w:val="decimal"/>
      <w:start w:val="8"/>
    </w:lvl>
  </w:abstractNum>
  <w:abstractNum w:abstractNumId="48">
    <w:nsid w:val="3DC240FB"/>
    <w:multiLevelType w:val="hybridMultilevel"/>
    <w:lvl w:ilvl="0">
      <w:lvlJc w:val="left"/>
      <w:lvlText w:val="%1."/>
      <w:numFmt w:val="decimal"/>
      <w:start w:val="1"/>
    </w:lvl>
    <w:lvl w:ilvl="1">
      <w:lvlJc w:val="left"/>
      <w:lvlText w:val="(%2)"/>
      <w:numFmt w:val="lowerLetter"/>
      <w:start w:val="1"/>
    </w:lvl>
  </w:abstractNum>
  <w:abstractNum w:abstractNumId="49">
    <w:nsid w:val="1BA026FA"/>
    <w:multiLevelType w:val="hybridMultilevel"/>
    <w:lvl w:ilvl="0">
      <w:lvlJc w:val="left"/>
      <w:lvlText w:val="%1."/>
      <w:numFmt w:val="decimal"/>
      <w:start w:val="1"/>
    </w:lvl>
    <w:lvl w:ilvl="1">
      <w:lvlJc w:val="left"/>
      <w:lvlText w:val="(%2)"/>
      <w:numFmt w:val="lowerLetter"/>
      <w:start w:val="1"/>
    </w:lvl>
  </w:abstractNum>
  <w:abstractNum w:abstractNumId="50">
    <w:nsid w:val="79A1DEAA"/>
    <w:multiLevelType w:val="hybridMultilevel"/>
    <w:lvl w:ilvl="0">
      <w:lvlJc w:val="left"/>
      <w:lvlText w:val="(%1)"/>
      <w:numFmt w:val="decimal"/>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6" Type="http://schemas.openxmlformats.org/officeDocument/2006/relationships/image" Target="media/image73.png"/><Relationship Id="rId87" Type="http://schemas.openxmlformats.org/officeDocument/2006/relationships/image" Target="media/image74.png"/><Relationship Id="rId88" Type="http://schemas.openxmlformats.org/officeDocument/2006/relationships/image" Target="media/image75.png"/><Relationship Id="rId89" Type="http://schemas.openxmlformats.org/officeDocument/2006/relationships/image" Target="media/image76.png"/><Relationship Id="rId90" Type="http://schemas.openxmlformats.org/officeDocument/2006/relationships/image" Target="media/image77.png"/><Relationship Id="rId91" Type="http://schemas.openxmlformats.org/officeDocument/2006/relationships/image" Target="media/image78.png"/><Relationship Id="rId92" Type="http://schemas.openxmlformats.org/officeDocument/2006/relationships/image" Target="media/image79.png"/><Relationship Id="rId93" Type="http://schemas.openxmlformats.org/officeDocument/2006/relationships/image" Target="media/image80.png"/><Relationship Id="rId94" Type="http://schemas.openxmlformats.org/officeDocument/2006/relationships/image" Target="media/image81.png"/><Relationship Id="rId95" Type="http://schemas.openxmlformats.org/officeDocument/2006/relationships/image" Target="media/image82.png"/><Relationship Id="rId96" Type="http://schemas.openxmlformats.org/officeDocument/2006/relationships/image" Target="media/image83.png"/><Relationship Id="rId97" Type="http://schemas.openxmlformats.org/officeDocument/2006/relationships/image" Target="media/image84.png"/><Relationship Id="rId98" Type="http://schemas.openxmlformats.org/officeDocument/2006/relationships/image" Target="media/image85.png"/><Relationship Id="rId99" Type="http://schemas.openxmlformats.org/officeDocument/2006/relationships/image" Target="media/image86.png"/><Relationship Id="rId100" Type="http://schemas.openxmlformats.org/officeDocument/2006/relationships/image" Target="media/image87.png"/><Relationship Id="rId101" Type="http://schemas.openxmlformats.org/officeDocument/2006/relationships/image" Target="media/image88.png"/><Relationship Id="rId102" Type="http://schemas.openxmlformats.org/officeDocument/2006/relationships/image" Target="media/image89.png"/><Relationship Id="rId103" Type="http://schemas.openxmlformats.org/officeDocument/2006/relationships/image" Target="media/image90.png"/><Relationship Id="rId104" Type="http://schemas.openxmlformats.org/officeDocument/2006/relationships/image" Target="media/image91.png"/><Relationship Id="rId105" Type="http://schemas.openxmlformats.org/officeDocument/2006/relationships/image" Target="media/image92.png"/><Relationship Id="rId106" Type="http://schemas.openxmlformats.org/officeDocument/2006/relationships/image" Target="media/image93.png"/><Relationship Id="rId107" Type="http://schemas.openxmlformats.org/officeDocument/2006/relationships/image" Target="media/image94.png"/><Relationship Id="rId108" Type="http://schemas.openxmlformats.org/officeDocument/2006/relationships/image" Target="media/image95.png"/><Relationship Id="rId109" Type="http://schemas.openxmlformats.org/officeDocument/2006/relationships/image" Target="media/image96.png"/><Relationship Id="rId110" Type="http://schemas.openxmlformats.org/officeDocument/2006/relationships/image" Target="media/image97.png"/><Relationship Id="rId111" Type="http://schemas.openxmlformats.org/officeDocument/2006/relationships/image" Target="media/image98.png"/><Relationship Id="rId112" Type="http://schemas.openxmlformats.org/officeDocument/2006/relationships/image" Target="media/image99.png"/><Relationship Id="rId113" Type="http://schemas.openxmlformats.org/officeDocument/2006/relationships/image" Target="media/image100.png"/><Relationship Id="rId114" Type="http://schemas.openxmlformats.org/officeDocument/2006/relationships/image" Target="media/image101.png"/><Relationship Id="rId115" Type="http://schemas.openxmlformats.org/officeDocument/2006/relationships/image" Target="media/image102.png"/><Relationship Id="rId116" Type="http://schemas.openxmlformats.org/officeDocument/2006/relationships/image" Target="media/image103.png"/><Relationship Id="rId117" Type="http://schemas.openxmlformats.org/officeDocument/2006/relationships/image" Target="media/image104.png"/><Relationship Id="rId118" Type="http://schemas.openxmlformats.org/officeDocument/2006/relationships/image" Target="media/image105.png"/><Relationship Id="rId119" Type="http://schemas.openxmlformats.org/officeDocument/2006/relationships/image" Target="media/image106.png"/><Relationship Id="rId120" Type="http://schemas.openxmlformats.org/officeDocument/2006/relationships/image" Target="media/image107.png"/><Relationship Id="rId121" Type="http://schemas.openxmlformats.org/officeDocument/2006/relationships/image" Target="media/image108.png"/><Relationship Id="rId122" Type="http://schemas.openxmlformats.org/officeDocument/2006/relationships/image" Target="media/image109.png"/><Relationship Id="rId123" Type="http://schemas.openxmlformats.org/officeDocument/2006/relationships/image" Target="media/image110.png"/><Relationship Id="rId124" Type="http://schemas.openxmlformats.org/officeDocument/2006/relationships/image" Target="media/image111.png"/><Relationship Id="rId125" Type="http://schemas.openxmlformats.org/officeDocument/2006/relationships/image" Target="media/image112.png"/><Relationship Id="rId126" Type="http://schemas.openxmlformats.org/officeDocument/2006/relationships/image" Target="media/image113.png"/><Relationship Id="rId127" Type="http://schemas.openxmlformats.org/officeDocument/2006/relationships/image" Target="media/image114.png"/><Relationship Id="rId128" Type="http://schemas.openxmlformats.org/officeDocument/2006/relationships/image" Target="media/image115.png"/><Relationship Id="rId80" Type="http://schemas.openxmlformats.org/officeDocument/2006/relationships/hyperlink" Target="http://www.sec.gov/Archives/edgar/data/1669779/000155837016009958/cwh-20160930ex31ff0a1e6.htm" TargetMode="External"/><Relationship Id="rId81" Type="http://schemas.openxmlformats.org/officeDocument/2006/relationships/hyperlink" Target="https://www.sec.gov/Archives/edgar/data/1669779/000155837025007964/cwh-20250515xex3d1.htm" TargetMode="External"/><Relationship Id="rId82" Type="http://schemas.openxmlformats.org/officeDocument/2006/relationships/hyperlink" Target="https://www.sec.gov/Archives/edgar/data/1669779/000155837025006122/cwh-20250331xex3d2.htm" TargetMode="External"/><Relationship Id="rId83" Type="http://schemas.openxmlformats.org/officeDocument/2006/relationships/hyperlink" Target="http://www.sec.gov/Archives/edgar/data/1669779/000104746916015424/a2229683zex-4_1.htm" TargetMode="External"/><Relationship Id="rId84" Type="http://schemas.openxmlformats.org/officeDocument/2006/relationships/hyperlink" Target="https://www.sec.gov/Archives/edgar/data/1669779/000110465926103869/cwh-20260825xex10d1.htm" TargetMode="External"/><Relationship Id="rId85" Type="http://schemas.openxmlformats.org/officeDocument/2006/relationships/hyperlink" Target="https://www.sec.gov/Archives/edgar/data/1669779/000110465926088835/cwh-20260630xex10d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2026-11-05T15:50:41Z</dcterms:created>
  <dcterms:modified xsi:type="dcterms:W3CDTF">2026-11-05T15:50:41Z</dcterms:modified>
</cp:coreProperties>
</file>