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9"/>
          <w:szCs w:val="29"/>
          <w:b w:val="1"/>
          <w:bCs w:val="1"/>
          <w:color w:val="auto"/>
        </w:rPr>
        <w:t>FORM 10-Q</w:t>
      </w:r>
    </w:p>
    <w:p>
      <w:pPr>
        <w:spacing w:after="0" w:line="141" w:lineRule="exact"/>
        <w:rPr>
          <w:sz w:val="24"/>
          <w:szCs w:val="24"/>
          <w:color w:val="auto"/>
        </w:rPr>
      </w:pPr>
    </w:p>
    <w:p>
      <w:pPr>
        <w:ind w:left="3066" w:right="340" w:hanging="3066"/>
        <w:spacing w:after="0" w:line="310" w:lineRule="auto"/>
        <w:tabs>
          <w:tab w:leader="none" w:pos="668"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2024</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2406" w:right="340" w:hanging="2406"/>
        <w:spacing w:after="0" w:line="310" w:lineRule="auto"/>
        <w:tabs>
          <w:tab w:leader="none" w:pos="664"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w:t>
      </w:r>
    </w:p>
    <w:p>
      <w:pPr>
        <w:spacing w:after="0" w:line="1" w:lineRule="exact"/>
        <w:rPr>
          <w:rFonts w:ascii="MS PGothic" w:cs="MS PGothic" w:eastAsia="MS PGothic" w:hAnsi="MS PGothic"/>
          <w:sz w:val="20"/>
          <w:szCs w:val="20"/>
          <w:color w:val="auto"/>
        </w:rPr>
      </w:pPr>
    </w:p>
    <w:p>
      <w:pPr>
        <w:ind w:left="3646"/>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001-37908</w:t>
      </w:r>
    </w:p>
    <w:p>
      <w:pPr>
        <w:spacing w:after="0" w:line="57"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CAMPING WORLD HOLDINGS, INC.</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0226"/>
          </w:cols>
          <w:pgMar w:left="834" w:top="661" w:right="839" w:bottom="1440" w:gutter="0" w:footer="0" w:header="0"/>
        </w:sectPr>
      </w:pPr>
    </w:p>
    <w:p>
      <w:pPr>
        <w:spacing w:after="0" w:line="79" w:lineRule="exact"/>
        <w:rPr>
          <w:sz w:val="24"/>
          <w:szCs w:val="24"/>
          <w:color w:val="auto"/>
        </w:rPr>
      </w:pPr>
    </w:p>
    <w:p>
      <w:pPr>
        <w:jc w:val="center"/>
        <w:ind w:right="394"/>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ind w:right="394"/>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81-1737145</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2">
            <w:col w:w="5606" w:space="720"/>
            <w:col w:w="3900"/>
          </w:cols>
          <w:pgMar w:left="834" w:top="661" w:right="839" w:bottom="1440" w:gutter="0" w:footer="0" w:header="0"/>
          <w:type w:val="continuous"/>
        </w:sectPr>
      </w:pPr>
    </w:p>
    <w:p>
      <w:pPr>
        <w:jc w:val="center"/>
        <w:ind w:right="-5"/>
        <w:spacing w:after="0"/>
        <w:rPr>
          <w:sz w:val="20"/>
          <w:szCs w:val="20"/>
          <w:color w:val="auto"/>
        </w:rPr>
      </w:pPr>
      <w:r>
        <w:rPr>
          <w:rFonts w:ascii="Arial" w:cs="Arial" w:eastAsia="Arial" w:hAnsi="Arial"/>
          <w:sz w:val="18"/>
          <w:szCs w:val="18"/>
          <w:b w:val="1"/>
          <w:bCs w:val="1"/>
          <w:color w:val="auto"/>
        </w:rPr>
        <w:t>2 Marriott Drive</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Lincolnshire, IL 60069</w:t>
      </w:r>
    </w:p>
    <w:p>
      <w:pPr>
        <w:jc w:val="center"/>
        <w:ind w:right="-5"/>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Telephone: (847) 808-3000</w:t>
      </w:r>
    </w:p>
    <w:p>
      <w:pPr>
        <w:spacing w:after="0" w:line="14"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ind w:left="1846"/>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5" w:lineRule="exact"/>
        <w:rPr>
          <w:sz w:val="24"/>
          <w:szCs w:val="24"/>
          <w:color w:val="auto"/>
        </w:rPr>
      </w:pPr>
    </w:p>
    <w:p>
      <w:pPr>
        <w:ind w:left="246"/>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6" w:lineRule="exact"/>
        <w:rPr>
          <w:sz w:val="24"/>
          <w:szCs w:val="24"/>
          <w:color w:val="auto"/>
        </w:rPr>
      </w:pPr>
    </w:p>
    <w:tbl>
      <w:tblPr>
        <w:tblLayout w:type="fixed"/>
        <w:tblInd w:w="376" w:type="dxa"/>
        <w:tblCellMar>
          <w:top w:w="0" w:type="dxa"/>
          <w:left w:w="0" w:type="dxa"/>
          <w:bottom w:w="0" w:type="dxa"/>
          <w:right w:w="0" w:type="dxa"/>
        </w:tblCellMar>
      </w:tblPr>
      <w:tr>
        <w:trPr>
          <w:trHeight w:val="216"/>
        </w:trPr>
        <w:tc>
          <w:tcPr>
            <w:tcW w:w="3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177"/>
        </w:trPr>
        <w:tc>
          <w:tcPr>
            <w:tcW w:w="306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Class A Common Stock,</w:t>
            </w:r>
          </w:p>
        </w:tc>
        <w:tc>
          <w:tcPr>
            <w:tcW w:w="1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CWH</w:t>
            </w:r>
          </w:p>
        </w:tc>
        <w:tc>
          <w:tcPr>
            <w:tcW w:w="44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New York Stock Exchange</w:t>
            </w:r>
          </w:p>
        </w:tc>
      </w:tr>
      <w:tr>
        <w:trPr>
          <w:trHeight w:val="221"/>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$0.01 par value per share</w:t>
            </w:r>
          </w:p>
        </w:tc>
        <w:tc>
          <w:tcPr>
            <w:tcW w:w="1980" w:type="dxa"/>
            <w:vAlign w:val="bottom"/>
            <w:tcBorders>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bl>
    <w:p>
      <w:pPr>
        <w:spacing w:after="0" w:line="89"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26"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0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6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0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gridSpan w:val="2"/>
          </w:tcPr>
          <w:p>
            <w:pPr>
              <w:ind w:left="900"/>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tc>
      </w:tr>
    </w:tbl>
    <w:p>
      <w:pPr>
        <w:spacing w:after="0" w:line="75" w:lineRule="exact"/>
        <w:rPr>
          <w:sz w:val="24"/>
          <w:szCs w:val="24"/>
          <w:color w:val="auto"/>
        </w:rPr>
      </w:pPr>
    </w:p>
    <w:p>
      <w:pPr>
        <w:jc w:val="both"/>
        <w:ind w:left="6" w:firstLine="247"/>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46"/>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6" w:firstLine="247"/>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ind w:left="6" w:right="560" w:firstLine="247"/>
        <w:spacing w:after="0" w:line="271" w:lineRule="auto"/>
        <w:rPr>
          <w:sz w:val="20"/>
          <w:szCs w:val="20"/>
          <w:color w:val="auto"/>
        </w:rPr>
      </w:pPr>
      <w:r>
        <w:rPr>
          <w:rFonts w:ascii="Arial" w:cs="Arial" w:eastAsia="Arial" w:hAnsi="Arial"/>
          <w:sz w:val="18"/>
          <w:szCs w:val="18"/>
          <w:color w:val="auto"/>
        </w:rPr>
        <w:t>As of October 25, 2024, the registrant had 45,491,530 shares of Class A common stock, 39,466,964 shares of Class B common stock and one share of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443865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Camping World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Borders>
              <w:bottom w:val="single" w:sz="8" w:color="0000EE"/>
            </w:tcBorders>
            <w:gridSpan w:val="11"/>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27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7420" w:type="dxa"/>
            <w:vAlign w:val="bottom"/>
            <w:gridSpan w:val="24"/>
          </w:tcPr>
          <w:p>
            <w:pPr>
              <w:spacing w:after="0"/>
              <w:rPr>
                <w:sz w:val="20"/>
                <w:szCs w:val="20"/>
                <w:color w:val="auto"/>
              </w:rPr>
            </w:pPr>
            <w:r>
              <w:rPr>
                <w:rFonts w:ascii="Arial" w:cs="Arial" w:eastAsia="Arial" w:hAnsi="Arial"/>
                <w:sz w:val="18"/>
                <w:szCs w:val="18"/>
                <w:color w:val="0000EE"/>
              </w:rPr>
              <w:t>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0"/>
              </w:rPr>
              <w:t>Unaudited Condensed Consolidated</w:t>
            </w:r>
          </w:p>
        </w:tc>
        <w:tc>
          <w:tcPr>
            <w:tcW w:w="4780" w:type="dxa"/>
            <w:vAlign w:val="bottom"/>
            <w:gridSpan w:val="13"/>
          </w:tcPr>
          <w:p>
            <w:pPr>
              <w:jc w:val="center"/>
              <w:ind w:left="50"/>
              <w:spacing w:after="0" w:line="182" w:lineRule="exact"/>
              <w:rPr>
                <w:sz w:val="20"/>
                <w:szCs w:val="20"/>
                <w:color w:val="auto"/>
              </w:rPr>
            </w:pPr>
            <w:r>
              <w:rPr>
                <w:rFonts w:ascii="Arial" w:cs="Arial" w:eastAsia="Arial" w:hAnsi="Arial"/>
                <w:sz w:val="18"/>
                <w:szCs w:val="18"/>
                <w:color w:val="0000EE"/>
                <w:w w:val="99"/>
              </w:rPr>
              <w:t>Balance Sheets – September 30, 2024, December 31,</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2023, and September 30, 2023</w:t>
            </w:r>
          </w:p>
        </w:tc>
        <w:tc>
          <w:tcPr>
            <w:tcW w:w="4780" w:type="dxa"/>
            <w:vAlign w:val="bottom"/>
            <w:tcBorders>
              <w:top w:val="single" w:sz="8" w:color="0000EE"/>
            </w:tcBorders>
            <w:gridSpan w:val="14"/>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4"/>
          </w:tcPr>
          <w:p>
            <w:pPr>
              <w:spacing w:after="0" w:line="182" w:lineRule="exact"/>
              <w:rPr>
                <w:sz w:val="20"/>
                <w:szCs w:val="20"/>
                <w:color w:val="auto"/>
              </w:rPr>
            </w:pPr>
            <w:r>
              <w:rPr>
                <w:rFonts w:ascii="Arial" w:cs="Arial" w:eastAsia="Arial" w:hAnsi="Arial"/>
                <w:sz w:val="18"/>
                <w:szCs w:val="18"/>
                <w:color w:val="0000EE"/>
              </w:rPr>
              <w:t>Unaudited Condensed Consolidated Statements of Operations – Three and Nine Months</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Ended September 30, 2024 and 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Unaudited Condensed Consolidated</w:t>
            </w:r>
          </w:p>
        </w:tc>
        <w:tc>
          <w:tcPr>
            <w:tcW w:w="4420" w:type="dxa"/>
            <w:vAlign w:val="bottom"/>
            <w:gridSpan w:val="12"/>
          </w:tcPr>
          <w:p>
            <w:pPr>
              <w:jc w:val="center"/>
              <w:ind w:right="260"/>
              <w:spacing w:after="0" w:line="182" w:lineRule="exact"/>
              <w:rPr>
                <w:sz w:val="20"/>
                <w:szCs w:val="20"/>
                <w:color w:val="auto"/>
              </w:rPr>
            </w:pPr>
            <w:r>
              <w:rPr>
                <w:rFonts w:ascii="Arial" w:cs="Arial" w:eastAsia="Arial" w:hAnsi="Arial"/>
                <w:sz w:val="18"/>
                <w:szCs w:val="18"/>
                <w:color w:val="0000EE"/>
                <w:w w:val="98"/>
              </w:rPr>
              <w:t>Statements of Stockholders’ Equity – Three and Nine</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Months Ended September 30, 2024 and 2023</w:t>
            </w:r>
          </w:p>
        </w:tc>
        <w:tc>
          <w:tcPr>
            <w:tcW w:w="26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4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3"/>
              </w:rPr>
              <w:t>Unaudited Condensed Consolidated Statements</w:t>
            </w:r>
          </w:p>
        </w:tc>
        <w:tc>
          <w:tcPr>
            <w:tcW w:w="3780" w:type="dxa"/>
            <w:vAlign w:val="bottom"/>
            <w:gridSpan w:val="11"/>
          </w:tcPr>
          <w:p>
            <w:pPr>
              <w:ind w:left="260"/>
              <w:spacing w:after="0" w:line="182" w:lineRule="exact"/>
              <w:rPr>
                <w:sz w:val="20"/>
                <w:szCs w:val="20"/>
                <w:color w:val="auto"/>
              </w:rPr>
            </w:pPr>
            <w:r>
              <w:rPr>
                <w:rFonts w:ascii="Arial" w:cs="Arial" w:eastAsia="Arial" w:hAnsi="Arial"/>
                <w:sz w:val="18"/>
                <w:szCs w:val="18"/>
                <w:color w:val="0000EE"/>
              </w:rPr>
              <w:t>of Cash Flows –Nine Months Ended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7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September 30, 2024 and 2023</w:t>
            </w:r>
          </w:p>
        </w:tc>
        <w:tc>
          <w:tcPr>
            <w:tcW w:w="320" w:type="dxa"/>
            <w:vAlign w:val="bottom"/>
            <w:gridSpan w:val="2"/>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Notes to Unaudited Condensed</w:t>
            </w:r>
          </w:p>
        </w:tc>
        <w:tc>
          <w:tcPr>
            <w:tcW w:w="120" w:type="dxa"/>
            <w:vAlign w:val="bottom"/>
            <w:gridSpan w:val="2"/>
          </w:tcPr>
          <w:p>
            <w:pPr>
              <w:spacing w:after="0"/>
              <w:rPr>
                <w:sz w:val="15"/>
                <w:szCs w:val="15"/>
                <w:color w:val="auto"/>
              </w:rPr>
            </w:pPr>
          </w:p>
        </w:tc>
        <w:tc>
          <w:tcPr>
            <w:tcW w:w="4880" w:type="dxa"/>
            <w:vAlign w:val="bottom"/>
            <w:gridSpan w:val="14"/>
          </w:tcPr>
          <w:p>
            <w:pPr>
              <w:ind w:left="20"/>
              <w:spacing w:after="0" w:line="182" w:lineRule="exact"/>
              <w:rPr>
                <w:sz w:val="20"/>
                <w:szCs w:val="20"/>
                <w:color w:val="auto"/>
              </w:rPr>
            </w:pPr>
            <w:r>
              <w:rPr>
                <w:rFonts w:ascii="Arial" w:cs="Arial" w:eastAsia="Arial" w:hAnsi="Arial"/>
                <w:sz w:val="18"/>
                <w:szCs w:val="18"/>
                <w:color w:val="0000EE"/>
              </w:rPr>
              <w:t>Consolidated Financial Statements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2</w:t>
            </w:r>
          </w:p>
        </w:tc>
        <w:tc>
          <w:tcPr>
            <w:tcW w:w="534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w:t>
            </w:r>
          </w:p>
        </w:tc>
        <w:tc>
          <w:tcPr>
            <w:tcW w:w="2080" w:type="dxa"/>
            <w:vAlign w:val="bottom"/>
            <w:gridSpan w:val="6"/>
          </w:tcPr>
          <w:p>
            <w:pPr>
              <w:spacing w:after="0" w:line="182" w:lineRule="exact"/>
              <w:rPr>
                <w:sz w:val="20"/>
                <w:szCs w:val="20"/>
                <w:color w:val="auto"/>
              </w:rPr>
            </w:pPr>
            <w:r>
              <w:rPr>
                <w:rFonts w:ascii="Arial" w:cs="Arial" w:eastAsia="Arial" w:hAnsi="Arial"/>
                <w:sz w:val="18"/>
                <w:szCs w:val="18"/>
                <w:color w:val="0000EE"/>
              </w:rPr>
              <w:t>Results of Operations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34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4</w:t>
            </w: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Controls and Procedures</w:t>
            </w:r>
          </w:p>
        </w:tc>
        <w:tc>
          <w:tcPr>
            <w:tcW w:w="140" w:type="dxa"/>
            <w:vAlign w:val="bottom"/>
            <w:gridSpan w:val="2"/>
          </w:tcPr>
          <w:p>
            <w:pPr>
              <w:spacing w:after="0"/>
              <w:rPr>
                <w:sz w:val="15"/>
                <w:szCs w:val="15"/>
                <w:color w:val="auto"/>
              </w:rPr>
            </w:pP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9"/>
              </w:rPr>
              <w:t>PART II. OTHER INFORMATION</w:t>
            </w:r>
          </w:p>
        </w:tc>
        <w:tc>
          <w:tcPr>
            <w:tcW w:w="28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9"/>
              </w:rPr>
              <w:t>Item 1</w:t>
            </w:r>
          </w:p>
        </w:tc>
        <w:tc>
          <w:tcPr>
            <w:tcW w:w="40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560" w:type="dxa"/>
            <w:vAlign w:val="bottom"/>
            <w:gridSpan w:val="3"/>
            <w:vMerge w:val="restart"/>
          </w:tcPr>
          <w:p>
            <w:pPr>
              <w:spacing w:after="0" w:line="20" w:lineRule="exact"/>
              <w:rPr>
                <w:sz w:val="1"/>
                <w:szCs w:val="1"/>
                <w:color w:val="auto"/>
              </w:rPr>
            </w:pPr>
          </w:p>
        </w:tc>
        <w:tc>
          <w:tcPr>
            <w:tcW w:w="2300" w:type="dxa"/>
            <w:vAlign w:val="bottom"/>
            <w:gridSpan w:val="7"/>
            <w:vMerge w:val="restart"/>
          </w:tcPr>
          <w:p>
            <w:pPr>
              <w:spacing w:after="0" w:line="20" w:lineRule="exact"/>
              <w:rPr>
                <w:sz w:val="1"/>
                <w:szCs w:val="1"/>
                <w:color w:val="auto"/>
              </w:rPr>
            </w:pPr>
          </w:p>
        </w:tc>
        <w:tc>
          <w:tcPr>
            <w:tcW w:w="2580" w:type="dxa"/>
            <w:vAlign w:val="bottom"/>
            <w:gridSpan w:val="7"/>
            <w:vMerge w:val="restart"/>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60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1A</w:t>
            </w: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0000EE"/>
              </w:rPr>
              <w:t>Risk Factors</w:t>
            </w:r>
          </w:p>
        </w:tc>
        <w:tc>
          <w:tcPr>
            <w:tcW w:w="500" w:type="dxa"/>
            <w:vAlign w:val="bottom"/>
            <w:gridSpan w:val="3"/>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2300" w:type="dxa"/>
            <w:vAlign w:val="bottom"/>
            <w:gridSpan w:val="7"/>
            <w:vMerge w:val="continue"/>
          </w:tcPr>
          <w:p>
            <w:pPr>
              <w:spacing w:after="0"/>
              <w:rPr>
                <w:sz w:val="15"/>
                <w:szCs w:val="15"/>
                <w:color w:val="auto"/>
              </w:rPr>
            </w:pPr>
          </w:p>
        </w:tc>
        <w:tc>
          <w:tcPr>
            <w:tcW w:w="2580" w:type="dxa"/>
            <w:vAlign w:val="bottom"/>
            <w:gridSpan w:val="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Unregistered</w:t>
            </w:r>
          </w:p>
        </w:tc>
        <w:tc>
          <w:tcPr>
            <w:tcW w:w="6420" w:type="dxa"/>
            <w:vAlign w:val="bottom"/>
            <w:gridSpan w:val="22"/>
          </w:tcPr>
          <w:p>
            <w:pPr>
              <w:ind w:left="80"/>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3</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4</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Mine Safety Disclosures</w:t>
            </w:r>
          </w:p>
        </w:tc>
        <w:tc>
          <w:tcPr>
            <w:tcW w:w="4880" w:type="dxa"/>
            <w:vAlign w:val="bottom"/>
            <w:gridSpan w:val="1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5</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Other Information</w:t>
            </w:r>
          </w:p>
        </w:tc>
        <w:tc>
          <w:tcPr>
            <w:tcW w:w="5440" w:type="dxa"/>
            <w:vAlign w:val="bottom"/>
            <w:gridSpan w:val="1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6</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Exhibits</w:t>
            </w:r>
          </w:p>
        </w:tc>
        <w:tc>
          <w:tcPr>
            <w:tcW w:w="6020" w:type="dxa"/>
            <w:vAlign w:val="bottom"/>
            <w:gridSpan w:val="2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118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8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As used in this Quarterly Report on Form 10-Q (this “Form 10-Q”), unless the context otherwise requires, references to:</w:t>
      </w:r>
    </w:p>
    <w:p>
      <w:pPr>
        <w:spacing w:after="0" w:line="113" w:lineRule="exact"/>
        <w:rPr>
          <w:sz w:val="20"/>
          <w:szCs w:val="20"/>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136" w:lineRule="exact"/>
        <w:rPr>
          <w:rFonts w:ascii="Times New Roman" w:cs="Times New Roman" w:eastAsia="Times New Roman" w:hAnsi="Times New Roman"/>
          <w:sz w:val="18"/>
          <w:szCs w:val="18"/>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September 30, 2024, our most recently completed fiscal quarter.</w:t>
      </w:r>
    </w:p>
    <w:p>
      <w:pPr>
        <w:spacing w:after="0" w:line="149"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“Annual Report” refers to our Annual Report on Form 10-K for the year ended December 31, 2023 filed with the Securities and Exchange Commission (“SEC”) on February 26, 2024.</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line="239"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p>
      <w:pPr>
        <w:spacing w:after="0" w:line="145"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“Crestview” refers to Crestview Advisors, L.L.C., a registered investment adviser to private equity funds, including funds affiliated with Crestview Partners II GP, L.P.</w:t>
      </w:r>
    </w:p>
    <w:p>
      <w:pPr>
        <w:spacing w:after="0" w:line="127"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“CWGS LLC Agreement” refers to CWGS, LLC’s amended and restated limited liability company agreement, as amended.</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L. Moody and Karin L. Bell, who were executive officers through June 30, 2024 (Mr. Moody continues as a member of our Board of Directors);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143"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indirectly controlled by our Chairman and Chief Executive Officer, Marcus A. Lemonis.</w:t>
      </w:r>
    </w:p>
    <w:p>
      <w:pPr>
        <w:spacing w:after="0" w:line="127"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RV Group” refers to ML RV Group, LLC, a Delaware limited liability company, wholly-owned by our Chairman and Chief Executive Officer, Marcus Lemonis.</w:t>
      </w:r>
    </w:p>
    <w:p>
      <w:pPr>
        <w:spacing w:after="0" w:line="11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83" w:lineRule="exact"/>
        <w:rPr>
          <w:rFonts w:ascii="Times New Roman" w:cs="Times New Roman" w:eastAsia="Times New Roman" w:hAnsi="Times New Roman"/>
          <w:sz w:val="18"/>
          <w:szCs w:val="18"/>
          <w:color w:val="auto"/>
        </w:rPr>
      </w:pPr>
    </w:p>
    <w:p>
      <w:pPr>
        <w:ind w:left="1380" w:right="159" w:hanging="331"/>
        <w:spacing w:after="0" w:line="25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the timeline for and benefits of our restructuring activities; expected new store location openings and closures, including greenfield locations and acquired locations; sufficiency of our sources of liquidity and capital and potential need for additional financing; our stock repurchase program; future capital expenditures, including with respect to our expansion of dealerships through acquisition and construction, and debt service obligations; refinancing, retirement or exchange of outstanding debt; expectations regarding industry trends and consumer behavior and growth; industry trends or forecasts predicted by us or third parties; our ability to capture positive industry trends and pursue growth; our product offerings and strategy; inventory management and impacts on gross margins; expectations regarding our pending litigation, and our plans related to dividend payments, are forward -looking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p>
      <w:pPr>
        <w:spacing w:after="0" w:line="152" w:lineRule="exact"/>
        <w:rPr>
          <w:sz w:val="20"/>
          <w:szCs w:val="20"/>
          <w:color w:val="auto"/>
        </w:rPr>
      </w:pPr>
    </w:p>
    <w:p>
      <w:pPr>
        <w:ind w:left="1040" w:right="73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 our markets, including inflation and interest rates, and ongoing economic and financial uncertainties;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financing to us and our customers;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or high prices for fuel;</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well-being, as well as the continued popularity and reputation for quality, of our manufacturers;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trends in the RV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or our failure to gauge those preferences;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expansion into new, unfamiliar markets, businesses, or product lines or categories, as well as delays in opening or acquiring new RV dealership locations;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frequently encountered in connection with expansion through acquisitions;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the strength and value of our brands;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order and manage our inventory to reflect consumer demand in a volatile market and anticipate changing consumer preferences and buying trends;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our same store revenue and whether such revenue will be a meaningful indicator of future performance;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cyclical and seasonal nature of our business;</w:t>
      </w:r>
    </w:p>
    <w:p>
      <w:pPr>
        <w:spacing w:after="0" w:line="224" w:lineRule="exact"/>
        <w:rPr>
          <w:rFonts w:ascii="Times New Roman" w:cs="Times New Roman" w:eastAsia="Times New Roman" w:hAnsi="Times New Roman"/>
          <w:sz w:val="18"/>
          <w:szCs w:val="18"/>
          <w:color w:val="auto"/>
        </w:rPr>
      </w:pPr>
    </w:p>
    <w:p>
      <w:pPr>
        <w:ind w:left="1040" w:right="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to or breaches of our or our third party providers’ information technology systems, including the February 2022 Cybersecurity Incident;</w:t>
      </w:r>
    </w:p>
    <w:p>
      <w:pPr>
        <w:spacing w:after="0" w:line="154" w:lineRule="exact"/>
        <w:rPr>
          <w:rFonts w:ascii="Times New Roman" w:cs="Times New Roman" w:eastAsia="Times New Roman" w:hAnsi="Times New Roman"/>
          <w:sz w:val="18"/>
          <w:szCs w:val="18"/>
          <w:color w:val="auto"/>
        </w:rPr>
      </w:pPr>
    </w:p>
    <w:p>
      <w:pPr>
        <w:ind w:left="1040" w:right="3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which depends on the availability of adequate capital;</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restrictive covenants imposed by our Senior Secured Credit Facilities and Floor Plan Facility;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COVID-19 and related impacts on our business;</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and achieve the expected benefits of our restructuring activities or cost cutting initiatives and costs and impairment charges incurred in connection with these activities or initiatives may be materially higher than expected or anticipated;</w:t>
      </w:r>
    </w:p>
    <w:p>
      <w:pPr>
        <w:spacing w:after="0" w:line="17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our fulfillment and distribution centers for our retail and e-commerce businesses;</w:t>
      </w:r>
    </w:p>
    <w:p>
      <w:pPr>
        <w:spacing w:after="0" w:line="224" w:lineRule="exact"/>
        <w:rPr>
          <w:rFonts w:ascii="Times New Roman" w:cs="Times New Roman" w:eastAsia="Times New Roman" w:hAnsi="Times New Roman"/>
          <w:sz w:val="18"/>
          <w:szCs w:val="18"/>
          <w:color w:val="auto"/>
        </w:rPr>
      </w:pPr>
    </w:p>
    <w:p>
      <w:pPr>
        <w:ind w:left="1040" w:right="15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ongoing class action lawsuits against us and certain of our officers and directors, as well as any potential future class action litigation;</w:t>
      </w:r>
    </w:p>
    <w:p>
      <w:pPr>
        <w:spacing w:after="0" w:line="154" w:lineRule="exact"/>
        <w:rPr>
          <w:rFonts w:ascii="Times New Roman" w:cs="Times New Roman" w:eastAsia="Times New Roman" w:hAnsi="Times New Roman"/>
          <w:sz w:val="18"/>
          <w:szCs w:val="18"/>
          <w:color w:val="auto"/>
        </w:rPr>
      </w:pPr>
    </w:p>
    <w:p>
      <w:pPr>
        <w:ind w:left="1040" w:right="4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our relationships with third party providers of services, protection plans, products and resources and a disruption of these relationships or of these providers’ operations;</w:t>
      </w:r>
    </w:p>
    <w:p>
      <w:pPr>
        <w:spacing w:after="0" w:line="154" w:lineRule="exact"/>
        <w:rPr>
          <w:rFonts w:ascii="Times New Roman" w:cs="Times New Roman" w:eastAsia="Times New Roman" w:hAnsi="Times New Roman"/>
          <w:sz w:val="18"/>
          <w:szCs w:val="18"/>
          <w:color w:val="auto"/>
        </w:rPr>
      </w:pPr>
    </w:p>
    <w:p>
      <w:pPr>
        <w:ind w:left="1040" w:right="1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any delays, new or increased tariffs, increased cost or quality control deficiencies in the importation of our products manufactured abroad;</w:t>
      </w:r>
    </w:p>
    <w:p>
      <w:pPr>
        <w:spacing w:after="0" w:line="154" w:lineRule="exact"/>
        <w:rPr>
          <w:rFonts w:ascii="Times New Roman" w:cs="Times New Roman" w:eastAsia="Times New Roman" w:hAnsi="Times New Roman"/>
          <w:sz w:val="18"/>
          <w:szCs w:val="18"/>
          <w:color w:val="auto"/>
        </w:rPr>
      </w:pPr>
    </w:p>
    <w:p>
      <w:pPr>
        <w:ind w:left="1040" w:right="2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third party lending institutions and insurance companies will continue to provide financing for RV purchases;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senior executives and attract and retain other qualified employees;</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leasing substantial amounts of space, including our inability to maintain the leases for our RV dealership locations or locate alternative sites for our stores in our target markets and on terms that are acceptable to us;</w:t>
      </w:r>
    </w:p>
    <w:p>
      <w:pPr>
        <w:spacing w:after="0" w:line="17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private brand offerings exposing us to various risks;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being subject to numerous federal, state and local regulations;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 policies and legislation;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comply with certain environmental regulations;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climate change and other environmental, social, and governance matters;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a failure in our e-commerce operations, security breaches and cybersecurity risks;</w:t>
      </w:r>
    </w:p>
    <w:p>
      <w:pPr>
        <w:spacing w:after="0" w:line="224" w:lineRule="exact"/>
        <w:rPr>
          <w:rFonts w:ascii="Times New Roman" w:cs="Times New Roman" w:eastAsia="Times New Roman" w:hAnsi="Times New Roman"/>
          <w:sz w:val="18"/>
          <w:szCs w:val="18"/>
          <w:color w:val="auto"/>
        </w:rPr>
      </w:pPr>
    </w:p>
    <w:p>
      <w:pPr>
        <w:ind w:left="1040" w:right="6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enforce our intellectual property rights and accusations of our infringement on the intellectual property rights of third parties;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9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maintain or upgrade our information technology systems or our inability to convert to alternate systems in an efficient and timely manner;</w:t>
      </w:r>
    </w:p>
    <w:p>
      <w:pPr>
        <w:spacing w:after="0" w:line="154" w:lineRule="exact"/>
        <w:rPr>
          <w:rFonts w:ascii="Times New Roman" w:cs="Times New Roman" w:eastAsia="Times New Roman" w:hAnsi="Times New Roman"/>
          <w:sz w:val="18"/>
          <w:szCs w:val="18"/>
          <w:color w:val="auto"/>
        </w:rPr>
      </w:pPr>
    </w:p>
    <w:p>
      <w:pPr>
        <w:ind w:left="1040" w:right="63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 of product liability claims if people or property are harmed by the products we sell and other litigation risks;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pending litigation;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our private brand offerings;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possibility of future asset impairment charges for goodwill, intangible assets or other long-lived assets;</w:t>
      </w:r>
    </w:p>
    <w:p>
      <w:pPr>
        <w:spacing w:after="0" w:line="235"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litigation relating to products we sell or sold;</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Marcus Lemonis, through his beneficial ownership of our shares directly or indirectly held by ML Acquisition Company, LLC and ML RV Group, LLC, has substantial control over us including matters requiring approval by our stockholders;</w:t>
      </w:r>
    </w:p>
    <w:p>
      <w:pPr>
        <w:spacing w:after="0" w:line="170" w:lineRule="exact"/>
        <w:rPr>
          <w:rFonts w:ascii="Times New Roman" w:cs="Times New Roman" w:eastAsia="Times New Roman" w:hAnsi="Times New Roman"/>
          <w:sz w:val="18"/>
          <w:szCs w:val="18"/>
          <w:color w:val="auto"/>
        </w:rPr>
      </w:pPr>
    </w:p>
    <w:p>
      <w:pPr>
        <w:ind w:left="1040" w:right="79" w:hanging="315"/>
        <w:spacing w:after="0" w:line="252"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exemptions from certain corporate governance requirements that we qualify for, and rely on, due to the fact that we are a ‘‘controlled company’’ within the meaning of the New York Stock Exchange, or NYSE, listing requirements;</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whether we are able to realize any tax benefits that may arise from our organizational structure and any redemptions of CWGS Enterprises, LLC common units for cash or stock;</w:t>
      </w:r>
    </w:p>
    <w:p>
      <w:pPr>
        <w:spacing w:after="0" w:line="154" w:lineRule="exact"/>
        <w:rPr>
          <w:rFonts w:ascii="Times New Roman" w:cs="Times New Roman" w:eastAsia="Times New Roman" w:hAnsi="Times New Roman"/>
          <w:sz w:val="18"/>
          <w:szCs w:val="18"/>
          <w:color w:val="auto"/>
        </w:rPr>
      </w:pPr>
    </w:p>
    <w:p>
      <w:pPr>
        <w:ind w:left="1040" w:right="19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relating to our organizational structure and to ownership of shares of our Class A common stock;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set forth under ‘‘Risk Factors’’ in Item 1A of Part I of our Annual Report, in Item 1A of Part II of this Form 10-Q, and in our other filings with the SEC.</w:t>
      </w:r>
    </w:p>
    <w:p>
      <w:pPr>
        <w:spacing w:after="0" w:line="15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These risks may cause our actual results, performance or achievements to differ materially and adversely from those expressed or implied by the forward-looking statements.</w:t>
      </w:r>
    </w:p>
    <w:p>
      <w:pPr>
        <w:spacing w:after="0" w:line="12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1.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Camping World Holdings,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28,380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39,647</w:t>
            </w:r>
          </w:p>
        </w:tc>
        <w:tc>
          <w:tcPr>
            <w:tcW w:w="1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Contracts in transit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111,879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60,229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100,831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128,070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1,781,656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2,042,949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1,869,042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Assets held for sale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10,353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29,864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2,107,726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2,349,112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2,202,637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836,824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834,426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841,548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3"/>
                <w:szCs w:val="13"/>
                <w:color w:val="auto"/>
              </w:rPr>
              <w:t>Operating lease 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755,223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740,052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736,246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157,886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157,326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20,413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732,813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711,222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688,139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34,339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39,829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4,645,224</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4,845,684</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4,657,259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22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221,292</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133,516</w:t>
            </w:r>
          </w:p>
        </w:tc>
        <w:tc>
          <w:tcPr>
            <w:tcW w:w="140" w:type="dxa"/>
            <w:vAlign w:val="bottom"/>
          </w:tcPr>
          <w:p>
            <w:pPr>
              <w:spacing w:after="0"/>
              <w:rPr>
                <w:sz w:val="14"/>
                <w:szCs w:val="14"/>
                <w:color w:val="auto"/>
              </w:rPr>
            </w:pP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200,433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182,926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149,096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Deferred revenues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100,894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92,366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99,813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operating lease liabilities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60,481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63,695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Current portion of finance lease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7,077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17,133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Tax Receivable Agreement liability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23,798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22,121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23,257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Notes payable – floor plan,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1,030,187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1,371,145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1,017,543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Other current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83,906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68,536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79,381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Liabilities related to assets held for sale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17,288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line="142" w:lineRule="exact"/>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1,710,561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1,947,839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1,678,954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Arial" w:cs="Arial" w:eastAsia="Arial" w:hAnsi="Arial"/>
                <w:sz w:val="13"/>
                <w:szCs w:val="13"/>
                <w:color w:val="auto"/>
              </w:rPr>
              <w:t>Operating lease liabilities, net of current portion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779,873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763,958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759,952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Finance lease liabilities, net of current portion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132,784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97,751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99,060</w:t>
            </w: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Arial" w:cs="Arial" w:eastAsia="Arial" w:hAnsi="Arial"/>
                <w:sz w:val="13"/>
                <w:szCs w:val="13"/>
                <w:color w:val="auto"/>
              </w:rPr>
              <w:t>Tax Receivable Agreement liability, net of current portion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149,866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149,866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149,134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Revolving line of credit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20,885</w:t>
            </w: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Arial" w:cs="Arial" w:eastAsia="Arial" w:hAnsi="Arial"/>
                <w:sz w:val="13"/>
                <w:szCs w:val="13"/>
                <w:color w:val="auto"/>
              </w:rPr>
              <w:t>Long-term debt, net of current portion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1,506,027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1,498,958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1,522,495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67,647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66,780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70,214</w:t>
            </w: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93,890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85,440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85,710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liabilities</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4,472,533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4,631,477</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4,386,404</w:t>
            </w: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60" w:type="dxa"/>
            <w:vAlign w:val="bottom"/>
          </w:tcPr>
          <w:p>
            <w:pPr>
              <w:ind w:left="80"/>
              <w:spacing w:after="0" w:line="136" w:lineRule="exact"/>
              <w:rPr>
                <w:sz w:val="20"/>
                <w:szCs w:val="20"/>
                <w:color w:val="auto"/>
              </w:rPr>
            </w:pPr>
            <w:r>
              <w:rPr>
                <w:rFonts w:ascii="Arial" w:cs="Arial" w:eastAsia="Arial" w:hAnsi="Arial"/>
                <w:sz w:val="13"/>
                <w:szCs w:val="13"/>
                <w:color w:val="auto"/>
              </w:rPr>
              <w:t>Preferred stock, par value $0.01 per share – 20,000 shares authorized; none issued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Class A common stock, par value $0.01 per share – 250,000 shares authorized; 49,571,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49,571 and 49,571 shares issued, respectively; 45,342, 45,020 and 44,780 shares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outstanding, respectively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60" w:type="dxa"/>
            <w:vAlign w:val="bottom"/>
          </w:tcPr>
          <w:p>
            <w:pPr>
              <w:ind w:left="80"/>
              <w:spacing w:after="0" w:line="136" w:lineRule="exact"/>
              <w:rPr>
                <w:sz w:val="20"/>
                <w:szCs w:val="20"/>
                <w:color w:val="auto"/>
              </w:rPr>
            </w:pPr>
            <w:r>
              <w:rPr>
                <w:rFonts w:ascii="Arial" w:cs="Arial" w:eastAsia="Arial" w:hAnsi="Arial"/>
                <w:sz w:val="13"/>
                <w:szCs w:val="13"/>
                <w:color w:val="auto"/>
              </w:rPr>
              <w:t>Class B common stock, par value $0.0001 per share – 75,000 shares authorized; 39,466,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39,466 and 39,466 shares issued, respectively; 39,466, 39,466 and 39,466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outstanding, respectively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Class C common stock, par value $0.0001 per share – 0.001 share authorized, issued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and outstanding</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94,217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98,280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108,942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Treasury stock, at cost; 4,229, 4,551, and 4,791 shares, respectively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(148,170)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(159,440)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Retained earnings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161,269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185,244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207,657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stockholders' equity attributable to Camping World Holdings, Inc.</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107,816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124,584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149,252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64,875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121,603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172,691</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214,207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270,855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4,645,224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4,845,684</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4,657,259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50,841</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49,889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149,070</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147,294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824,916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679,207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2,328,107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2,126,862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447,242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590,227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1,265,701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1,657,935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224,839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235,609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638,680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691,030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166,255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163,630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480,725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10,895</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4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1,674,147</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1,679,724</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4,746,440</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4,969,920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1,724,988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1,729,613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4,895,510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5,117,214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4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Costs applicable to revenue (exclusive of depreciation and amortization shown</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separately below):</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52,075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713,515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576,480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1,996,204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1,811,398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366,067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478,595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1,034,201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1,300,961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126,113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139,976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360,721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4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Borders>
              <w:bottom w:val="single" w:sz="8" w:color="CCEEFF"/>
            </w:tcBorders>
          </w:tcPr>
          <w:p>
            <w:pPr>
              <w:ind w:left="200"/>
              <w:spacing w:after="0" w:line="155" w:lineRule="exact"/>
              <w:rPr>
                <w:sz w:val="20"/>
                <w:szCs w:val="20"/>
                <w:color w:val="auto"/>
              </w:rPr>
            </w:pPr>
            <w:r>
              <w:rPr>
                <w:rFonts w:ascii="Arial" w:cs="Arial" w:eastAsia="Arial" w:hAnsi="Arial"/>
                <w:sz w:val="14"/>
                <w:szCs w:val="14"/>
                <w:color w:val="auto"/>
              </w:rPr>
              <w:t>Subtotal</w:t>
            </w:r>
          </w:p>
        </w:tc>
        <w:tc>
          <w:tcPr>
            <w:tcW w:w="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1,206,764</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1,196,506</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3,394,855</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3,538,162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costs applicable to revenue</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1,226,464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1,206,527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3,446,930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3,582,006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Operating expenses: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414,209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415,288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1,205,358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1,201,901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20,583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59,905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49,462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Lease termination</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loss on sale or disposal of assets</w:t>
            </w:r>
          </w:p>
        </w:tc>
        <w:tc>
          <w:tcPr>
            <w:tcW w:w="4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operating expenses</w:t>
            </w:r>
          </w:p>
        </w:tc>
        <w:tc>
          <w:tcPr>
            <w:tcW w:w="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434,106</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435,160</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1,284,558</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1,256,006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Income from operations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64,418</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87,926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164,022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279,202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Other expense: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plan interest expense</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(78,053)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Other interest expense, net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(35,877)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(35,242)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(108,124)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(99,873)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 Receivable Agreement liability adjustment</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(expense) income, net</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other expense</w:t>
            </w:r>
          </w:p>
        </w:tc>
        <w:tc>
          <w:tcPr>
            <w:tcW w:w="4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(58,411)</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(53,354)</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(186,514)</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(161,150)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Pr>
          <w:p>
            <w:pPr>
              <w:spacing w:after="0" w:line="155" w:lineRule="exact"/>
              <w:rPr>
                <w:sz w:val="20"/>
                <w:szCs w:val="20"/>
                <w:color w:val="auto"/>
              </w:rPr>
            </w:pPr>
            <w:r>
              <w:rPr>
                <w:rFonts w:ascii="Arial" w:cs="Arial" w:eastAsia="Arial" w:hAnsi="Arial"/>
                <w:sz w:val="14"/>
                <w:szCs w:val="14"/>
                <w:color w:val="auto"/>
              </w:rPr>
              <w:t>Income (loss) before income taxes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6,007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34,572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(22,492)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118,052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4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(3,679)</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tcPr>
          <w:p>
            <w:pPr>
              <w:spacing w:after="0" w:line="155" w:lineRule="exact"/>
              <w:rPr>
                <w:sz w:val="20"/>
                <w:szCs w:val="20"/>
                <w:color w:val="auto"/>
              </w:rPr>
            </w:pPr>
            <w:r>
              <w:rPr>
                <w:rFonts w:ascii="Arial" w:cs="Arial" w:eastAsia="Arial" w:hAnsi="Arial"/>
                <w:sz w:val="14"/>
                <w:szCs w:val="14"/>
                <w:color w:val="auto"/>
              </w:rPr>
              <w:t>Net income (loss)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8,056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30,893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(19,336)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100,519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4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(14,932)</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12,301</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income (loss) attributable to Camping World Holdings, Inc.</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5,501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15,961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47,833</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Earnings (loss) per share of Class A common stock:</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Diluted</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0.09</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(0.18)</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Basic</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45,232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44,666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45,124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85,618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85,180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85,169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84,917</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2" w:right="8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8"/>
              </w:rPr>
              <w:t>Additional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Non-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7"/>
        </w:trPr>
        <w:tc>
          <w:tcPr>
            <w:tcW w:w="2640" w:type="dxa"/>
            <w:vAlign w:val="bottom"/>
          </w:tcPr>
          <w:p>
            <w:pPr>
              <w:spacing w:after="0"/>
              <w:rPr>
                <w:sz w:val="11"/>
                <w:szCs w:val="11"/>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1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7"/>
              </w:rPr>
              <w:t>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Paid-In</w:t>
            </w:r>
          </w:p>
        </w:tc>
        <w:tc>
          <w:tcPr>
            <w:tcW w:w="122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6"/>
              </w:rPr>
              <w:t>Treasury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4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Controlling</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40" w:type="dxa"/>
            <w:vAlign w:val="bottom"/>
          </w:tcPr>
          <w:p>
            <w:pPr>
              <w:spacing w:after="0"/>
              <w:rPr>
                <w:sz w:val="10"/>
                <w:szCs w:val="10"/>
                <w:color w:val="auto"/>
              </w:rPr>
            </w:pPr>
          </w:p>
        </w:tc>
        <w:tc>
          <w:tcPr>
            <w:tcW w:w="5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5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Capital</w:t>
            </w:r>
          </w:p>
        </w:tc>
        <w:tc>
          <w:tcPr>
            <w:tcW w:w="5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0"/>
                <w:szCs w:val="1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Interest</w:t>
            </w:r>
          </w:p>
        </w:tc>
        <w:tc>
          <w:tcPr>
            <w:tcW w:w="160" w:type="dxa"/>
            <w:vAlign w:val="bottom"/>
          </w:tcPr>
          <w:p>
            <w:pPr>
              <w:spacing w:after="0"/>
              <w:rPr>
                <w:sz w:val="10"/>
                <w:szCs w:val="10"/>
                <w:color w:val="auto"/>
              </w:rPr>
            </w:pPr>
          </w:p>
        </w:tc>
        <w:tc>
          <w:tcPr>
            <w:tcW w:w="540" w:type="dxa"/>
            <w:vAlign w:val="bottom"/>
          </w:tcPr>
          <w:p>
            <w:pPr>
              <w:jc w:val="right"/>
              <w:ind w:right="16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December 31, 2023</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98,280</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(4,551)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(159,440)</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185,244</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89,623</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214,207</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2,751</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2,446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5,197</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(30)</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(2,234)</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2,595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(361)</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209</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(867)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(9,947)</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(5,634)</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(126)</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(22,307)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(28,499)</w:t>
            </w: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2024</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98,828</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(4,499)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(157,631)</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157,303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53,410</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152,410</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2,858</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2,539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5,397</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(1,599)</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1,671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(72)</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(156)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(8,848)</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(8,848)</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(5,640)</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(5,640)</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(71)</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9,771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13,643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23,414</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June 30, 2024</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100,076</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(4,456)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(156,116)</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161,434</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60,743</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166,637</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2,956</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5,573</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(315)</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813</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(217)</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(9,783)</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11,033</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(1,250)</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1,544</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(3,900)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(2,356)</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(51)</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(5,666)</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(5,666)</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5,501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2,555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8,056</w:t>
            </w:r>
          </w:p>
        </w:tc>
      </w:tr>
      <w:tr>
        <w:trPr>
          <w:trHeight w:val="115"/>
        </w:trPr>
        <w:tc>
          <w:tcPr>
            <w:tcW w:w="26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September 30, 2024</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94,217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(4,229)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(148,170)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161,269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64,875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172,691</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760" w:hanging="333"/>
        <w:spacing w:after="0"/>
        <w:tabs>
          <w:tab w:leader="none" w:pos="760" w:val="left"/>
        </w:tabs>
        <w:numPr>
          <w:ilvl w:val="0"/>
          <w:numId w:val="7"/>
        </w:numPr>
        <w:rPr>
          <w:rFonts w:ascii="Arial" w:cs="Arial" w:eastAsia="Arial" w:hAnsi="Arial"/>
          <w:sz w:val="16"/>
          <w:szCs w:val="16"/>
          <w:color w:val="auto"/>
          <w:vertAlign w:val="superscript"/>
        </w:rPr>
      </w:pPr>
      <w:r>
        <w:rPr>
          <w:rFonts w:ascii="Arial" w:cs="Arial" w:eastAsia="Arial" w:hAnsi="Arial"/>
          <w:sz w:val="11"/>
          <w:szCs w:val="11"/>
          <w:color w:val="auto"/>
        </w:rPr>
        <w:t>The Company declared dividends per share of Class A common stock of $0.125 for each of the three months ended March 31, 2024, June 30, 2024 and September 30,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Non-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2640" w:type="dxa"/>
            <w:vAlign w:val="bottom"/>
          </w:tcPr>
          <w:p>
            <w:pPr>
              <w:spacing w:after="0"/>
              <w:rPr>
                <w:sz w:val="11"/>
                <w:szCs w:val="11"/>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1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9"/>
              </w:rPr>
              <w:t>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Paid-In</w:t>
            </w:r>
          </w:p>
        </w:tc>
        <w:tc>
          <w:tcPr>
            <w:tcW w:w="12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6"/>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0"/>
                <w:szCs w:val="10"/>
                <w:b w:val="1"/>
                <w:bCs w:val="1"/>
                <w:color w:val="auto"/>
                <w:w w:val="99"/>
              </w:rPr>
              <w:t>Retained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40" w:type="dxa"/>
            <w:vAlign w:val="bottom"/>
          </w:tcPr>
          <w:p>
            <w:pPr>
              <w:spacing w:after="0"/>
              <w:rPr>
                <w:sz w:val="10"/>
                <w:szCs w:val="10"/>
                <w:color w:val="auto"/>
              </w:rPr>
            </w:pPr>
          </w:p>
        </w:tc>
        <w:tc>
          <w:tcPr>
            <w:tcW w:w="50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Capital</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86"/>
              <w:spacing w:after="0"/>
              <w:rPr>
                <w:sz w:val="20"/>
                <w:szCs w:val="20"/>
                <w:color w:val="auto"/>
              </w:rPr>
            </w:pPr>
            <w:r>
              <w:rPr>
                <w:rFonts w:ascii="Arial" w:cs="Arial" w:eastAsia="Arial" w:hAnsi="Arial"/>
                <w:sz w:val="10"/>
                <w:szCs w:val="10"/>
                <w:b w:val="1"/>
                <w:bCs w:val="1"/>
                <w:color w:val="auto"/>
                <w:w w:val="98"/>
              </w:rPr>
              <w:t>Earnings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Interest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December 31, 2022</w:t>
            </w: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47,571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476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41,466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106,051</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(5,130)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(179,732)</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221,031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99,856</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247,686</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Equity-based compensation</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3,345</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3,013</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6,358</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1,300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128</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(338)</w:t>
            </w:r>
          </w:p>
        </w:tc>
      </w:tr>
      <w:tr>
        <w:trPr>
          <w:trHeight w:val="108"/>
        </w:trPr>
        <w:tc>
          <w:tcPr>
            <w:tcW w:w="264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Redemption of LLC common units for Class A</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35"/>
        </w:trPr>
        <w:tc>
          <w:tcPr>
            <w:tcW w:w="26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common stock</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9,673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4,954</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(6,046)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(6,046)</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(27,791)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(27,791)</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Establishment   of   liabilities   under   the   Tax</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Receivable  Agreement  and  related  changes  to</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deferred tax assets associated with that liability</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(4,014)</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(4,014)</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3,169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1,734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4,903</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2023</w:t>
            </w: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114,017</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(5,104)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(178,832)</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196,409</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93,659</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225,753</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Equity-based compensation</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3,418</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3,074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6,492</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266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165</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(1,965)</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2,157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(192)</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(287)</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(10,784)</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(10,784)</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(27,819)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(27,819)</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458</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(458)</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28,703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36,020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64,723</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June 30, 2023</w:t>
            </w: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115,844</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(5,046)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(176,783)</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197,293</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121,389</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258,243</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Equity-based compensation</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2,882</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2,584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5,466</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181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113</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(11,313)</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13,302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(1,989)</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1,089</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(3,458)</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(14,763)</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(14,763)</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(5,597)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(5,597)</w:t>
            </w:r>
          </w:p>
        </w:tc>
      </w:tr>
      <w:tr>
        <w:trPr>
          <w:trHeight w:val="108"/>
        </w:trPr>
        <w:tc>
          <w:tcPr>
            <w:tcW w:w="264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Establishment   of   liabilities   under   the   Tax</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Receivable  Agreement  and  related  changes  to</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35"/>
        </w:trPr>
        <w:tc>
          <w:tcPr>
            <w:tcW w:w="26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tax assets associated with that liability</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596</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(596)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15,961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14,932</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30,893</w:t>
            </w:r>
          </w:p>
        </w:tc>
      </w:tr>
      <w:tr>
        <w:trPr>
          <w:trHeight w:val="115"/>
        </w:trPr>
        <w:tc>
          <w:tcPr>
            <w:tcW w:w="2640" w:type="dxa"/>
            <w:vAlign w:val="bottom"/>
          </w:tcPr>
          <w:p>
            <w:pPr>
              <w:spacing w:after="0" w:line="115" w:lineRule="exact"/>
              <w:rPr>
                <w:sz w:val="20"/>
                <w:szCs w:val="20"/>
                <w:color w:val="auto"/>
              </w:rPr>
            </w:pPr>
            <w:r>
              <w:rPr>
                <w:rFonts w:ascii="Arial" w:cs="Arial" w:eastAsia="Arial" w:hAnsi="Arial"/>
                <w:sz w:val="11"/>
                <w:szCs w:val="11"/>
                <w:color w:val="auto"/>
              </w:rPr>
              <w:t>Balance at September 30, 2023</w:t>
            </w:r>
          </w:p>
        </w:tc>
        <w:tc>
          <w:tcPr>
            <w:tcW w:w="50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496</w:t>
            </w:r>
          </w:p>
        </w:tc>
        <w:tc>
          <w:tcPr>
            <w:tcW w:w="6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39,466</w:t>
            </w: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Pr>
          <w:p>
            <w:pPr>
              <w:spacing w:after="0"/>
              <w:rPr>
                <w:sz w:val="10"/>
                <w:szCs w:val="10"/>
                <w:color w:val="auto"/>
              </w:rPr>
            </w:pPr>
          </w:p>
        </w:tc>
        <w:tc>
          <w:tcPr>
            <w:tcW w:w="480" w:type="dxa"/>
            <w:vAlign w:val="bottom"/>
            <w:tcBorders>
              <w:top w:val="single" w:sz="8" w:color="auto"/>
              <w:bottom w:val="single" w:sz="8" w:color="auto"/>
            </w:tcBorders>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108,942</w:t>
            </w:r>
          </w:p>
        </w:tc>
        <w:tc>
          <w:tcPr>
            <w:tcW w:w="8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(4,791)</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(167,847)</w:t>
            </w: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207,657</w:t>
            </w: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121,603</w:t>
            </w: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270,855</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760" w:hanging="333"/>
        <w:spacing w:after="0"/>
        <w:tabs>
          <w:tab w:leader="none" w:pos="760"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The Company declared dividends per share of Class A common stock of $0.625, $0.625 and $0.125 for the three months ended March 31, 2023, June 30, 2023 and September 30, 2023,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(19,336)</w:t>
            </w:r>
          </w:p>
        </w:tc>
        <w:tc>
          <w:tcPr>
            <w:tcW w:w="58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100,519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760" w:type="dxa"/>
            <w:vAlign w:val="bottom"/>
          </w:tcPr>
          <w:p>
            <w:pPr>
              <w:spacing w:after="0" w:line="183" w:lineRule="exact"/>
              <w:rPr>
                <w:sz w:val="20"/>
                <w:szCs w:val="20"/>
                <w:color w:val="auto"/>
              </w:rPr>
            </w:pPr>
            <w:r>
              <w:rPr>
                <w:rFonts w:ascii="Arial" w:cs="Arial" w:eastAsia="Arial" w:hAnsi="Arial"/>
                <w:sz w:val="18"/>
                <w:szCs w:val="18"/>
                <w:color w:val="auto"/>
              </w:rPr>
              <w:t>Adjustments to reconcile net (loss) income to net cash provided by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59,905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16,167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(Gain) loss on lease termination</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Long-lived asset impairment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12,355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9,269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Loss (gain) on sale or disposal of assets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Accretion of original debt issuance discount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1,790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interest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7,071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Tax Receivable Agreement liability adjustment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Change in assets and liabilities, net of acquisitions: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Receivables and contracts in transit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(38,543)</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270,061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339,187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(8,683)</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113,413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72,437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Payment pursuant to Tax Receivable Agreement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(12,943)</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9,394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(48,428)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300"/>
              <w:spacing w:after="0" w:line="202" w:lineRule="exact"/>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1,783</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3,254</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408,541</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543,273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(68,194)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real property</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the sale of real property</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48,434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businesses, net of cash acquired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(62,323)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divestiture of business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19,957</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Purchases of and loans to other investments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intangible assets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sale of intangible assets</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2,595</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(57,096)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(277,535)</w:t>
            </w:r>
          </w:p>
        </w:tc>
        <w:tc>
          <w:tcPr>
            <w:tcW w:w="0" w:type="dxa"/>
            <w:vAlign w:val="bottom"/>
          </w:tcPr>
          <w:p>
            <w:pPr>
              <w:spacing w:after="0"/>
              <w:rPr>
                <w:sz w:val="1"/>
                <w:szCs w:val="1"/>
                <w:color w:val="auto"/>
              </w:rPr>
            </w:pPr>
          </w:p>
        </w:tc>
      </w:tr>
      <w:tr>
        <w:trPr>
          <w:trHeight w:val="868"/>
        </w:trPr>
        <w:tc>
          <w:tcPr>
            <w:tcW w:w="5780" w:type="dxa"/>
            <w:vAlign w:val="bottom"/>
            <w:gridSpan w:val="2"/>
          </w:tcPr>
          <w:p>
            <w:pPr>
              <w:jc w:val="right"/>
              <w:ind w:right="115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right"/>
              <w:ind w:right="41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40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Proceeds from long-term debt</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55,624</w:t>
            </w:r>
          </w:p>
        </w:tc>
        <w:tc>
          <w:tcPr>
            <w:tcW w:w="220" w:type="dxa"/>
            <w:vAlign w:val="bottom"/>
          </w:tcPr>
          <w:p>
            <w:pPr>
              <w:spacing w:after="0"/>
              <w:rPr>
                <w:sz w:val="17"/>
                <w:szCs w:val="17"/>
                <w:color w:val="auto"/>
              </w:rPr>
            </w:pPr>
          </w:p>
        </w:tc>
        <w:tc>
          <w:tcPr>
            <w:tcW w:w="20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59,227</w:t>
            </w: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(66,763)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(26,556)</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Net payments on notes payable – floor plan, net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(317,519)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(273,478)</w:t>
            </w: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on revolving line of credit</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Payments on revolving line of credit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finance leases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(4,160)</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Payments on sale-leaseback arrangement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debt issuance costs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(881)</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Dividends on Class A common stock</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(16,940)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(61,207)</w:t>
            </w: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RSU shares withheld for tax</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(4,083)</w:t>
            </w: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 to holders of LLC common units</w:t>
            </w:r>
          </w:p>
        </w:tc>
        <w:tc>
          <w:tcPr>
            <w:tcW w:w="1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(18,846)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(31,593)</w:t>
            </w: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(362,712)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(342,551)</w:t>
            </w:r>
          </w:p>
        </w:tc>
      </w:tr>
      <w:tr>
        <w:trPr>
          <w:trHeight w:val="203"/>
        </w:trPr>
        <w:tc>
          <w:tcPr>
            <w:tcW w:w="5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(11,267)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(76,813)</w:t>
            </w: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1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39,647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130,131</w:t>
            </w: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1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28,380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53,318</w:t>
            </w:r>
          </w:p>
        </w:tc>
      </w:tr>
      <w:tr>
        <w:trPr>
          <w:trHeight w:val="20"/>
        </w:trPr>
        <w:tc>
          <w:tcPr>
            <w:tcW w:w="5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2024</w:t>
      </w:r>
    </w:p>
    <w:p>
      <w:pPr>
        <w:spacing w:after="0" w:line="198" w:lineRule="exact"/>
        <w:rPr>
          <w:sz w:val="20"/>
          <w:szCs w:val="20"/>
          <w:color w:val="auto"/>
        </w:rPr>
      </w:pPr>
    </w:p>
    <w:p>
      <w:pPr>
        <w:ind w:left="60" w:right="4379" w:hanging="10"/>
        <w:spacing w:after="0" w:line="513" w:lineRule="auto"/>
        <w:tabs>
          <w:tab w:leader="none" w:pos="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as of and for the three and nine months ended September 30, 2024 and 2023 are unaudited. The condensed consolidated balance sheet as of December 31, 2023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2023 filed with the SEC on February 26, 2024. Operating results for interim periods are not necessarily indicative of the results that may be expected for the full year.</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CWH has sole voting power in and control of the management of CWGS, LLC (see Note 15 — Stockholders’ Equity). As of September 30, 2024, December 31, 2023, and September 30, 2023, CWH owned 53.1%, 52.9%, and 52.8%, respectively, of CWGS, LLC. Accordingly, the Company consolidates the financial results of CWGS, LLC and reports a non-controlling interest in its condensed consolidated financial statements.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pacing w:after="0" w:line="6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spacing w:after="0" w:line="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pacing w:after="0" w:line="4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Due to the Company’s seasonality, the possible adverse impact from other risks associated with its business, including atypical weather, consumer spending levels and general business conditions, is potentially greater if any such risks occur during the Company’s peak sales seasons.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March 2023, the Financial Accounting Standards Board (“FASB”) issued Accounting Standards Update (“ASU”) 2023-01, Leases (Topic 842): Common Control Arrangements. For public companies, this standard requires the amortization of leasehold improvements associated with common control leases over the useful life to the common control group. The standard is effective for fiscal years, and interim periods within those fiscal years, beginning after December 15, 2023, with early adoption permitted. The Company’s adoption of the provisions of this ASU as of January 1, 2023 did not materially impact the Company’s condensed consolidated financial statements.</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2023, the FASB issued ASU 2023-05, Business Combinations―Joint Venture Formations (Subtopic 805-60): Recognition and Initial Measurement. This ASU requires joint ventures to recognize a new basis of accounting for contributed net assets as of the formation date, to measure the contributed identifiable net assets at fair value on the formation date using the business combination guidance in ASC 805-20 (with certain exceptions) regardless of whether an investor contributes a business, to measure the net assets’ fair value based on 100% of the joint venture’s equity immediately following formation, to record goodwill (or an equity adjustment, if negative) for the difference between the fair value of the joint venture’s equity and its net assets and to provide disclosures about the nature and financial effect of the formation transaction. The standard is effective prospectively for all joint venture formations with a formation date on or after January 1, 2025, with early adoption permitted. Additionally, for joint ventures that were formed before January 1, 2025, the Company may elect to apply the standard retrospectively. The Company’s early adoption of the provisions of this ASU as of January 1, 2023 did not materially impact the Company’s condensed consolidated financial statements.</w:t>
      </w:r>
    </w:p>
    <w:p>
      <w:pPr>
        <w:spacing w:after="0" w:line="18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disclose significant segment expenses that are regularly provided to the chief operating decision maker (CODM) and included within each reported measure of segment profit or loss. The title and position of the CODM must be disclosed with an explanation of how the CODM uses the reported measure(s) of segment profit or loss in assessing segment performance and deciding how to allocate resources. If the CODM uses more than one measure of a segment’s profit or loss in assessing segment performance, and deciding how to allocate resources, an entity may report one or more of those additional measures of segment profit. Additionally, public entities must disclose an amount for “other segment items” by reportable segment representing the difference between segment revenue less the significant expenses disclosed and each reported measure of segment profit or loss, and a description of its composition. Moreover, all annual disclosures about a reportable segment's profit or loss and assets are to be presented in interim periods. The standard should be applied retrospectively to all prior periods presented in the financial statements. Upon transition, the segment expense categories and amounts disclosed in the prior periods should be based on the significant expense categories identified and disclosed in the period of adoption. The standard is effective for fiscal years beginning after December 15, 2023 and interim periods within fiscal years beginning after December 15, 2024, with early adoption permitted. The Company adopted the provisions of this ASU as of January 1, 2024, with respect to the annual disclosures beginning with the year ending December 31, 2024 and interim disclosures beginning with the three months ending March 31, 2025, including the presentation of the comparable prior periods. The adoption of this ASU will result in additional segment reporting disclosures and does not otherwise have a material impact on the Company’s condensed consolidated financial statements.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that public business entities on an annual basis disclose (1) consistent categories and greater disaggregation of information in the rate reconciliation, and (2) income taxes paid disaggregated by jurisdiction. The standard is effective for fiscal years beginning after December 15, 2024, with early adoption permitted. The Company is currently evaluating the impact that the adoption of the provisions of the ASU will have on its condensed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79" w:hanging="10"/>
        <w:spacing w:after="0" w:line="513" w:lineRule="auto"/>
        <w:tabs>
          <w:tab w:leader="none" w:pos="2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Revenue Contract Assets</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September 30, 2024, December 31, 2023, and September 30, 2023 contract assets of $13.4 million, $16.1 million and $18.1 million, respectively, relating to RV service revenues, were included in accounts receivable in the accompanying condensed consolidated balance sheets.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nine months ended September 30, 2024, the Company estimates approximately $76.6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spacing w:after="0" w:line="165"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As of September 30, 2024, the Company had unsatisfied performance obligations primarily relating to plans for its roadside assistance, Good Sam Club memberships and loyalty point program, Coast to Coast memberships, the annual campground guide, and magazine publication revenue streams. The total unsatisfied performance obligations for these revenue streams at September 30, 2024 and the periods during which the Company expects to recognize the amounts as revenue are presented as follows (in thousands):</w:t>
      </w:r>
    </w:p>
    <w:tbl>
      <w:tblPr>
        <w:tblLayout w:type="fixed"/>
        <w:tblInd w:w="760" w:type="dxa"/>
        <w:tblCellMar>
          <w:top w:w="0" w:type="dxa"/>
          <w:left w:w="0" w:type="dxa"/>
          <w:bottom w:w="0" w:type="dxa"/>
          <w:right w:w="0" w:type="dxa"/>
        </w:tblCellMar>
      </w:tblPr>
      <w:tr>
        <w:trPr>
          <w:trHeight w:val="150"/>
        </w:trPr>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472"/>
              <w:spacing w:after="0" w:line="150" w:lineRule="exact"/>
              <w:rPr>
                <w:sz w:val="20"/>
                <w:szCs w:val="20"/>
                <w:color w:val="auto"/>
              </w:rPr>
            </w:pPr>
            <w:r>
              <w:rPr>
                <w:rFonts w:ascii="Arial" w:cs="Arial" w:eastAsia="Arial" w:hAnsi="Arial"/>
                <w:sz w:val="14"/>
                <w:szCs w:val="14"/>
                <w:b w:val="1"/>
                <w:bCs w:val="1"/>
                <w:color w:val="auto"/>
              </w:rPr>
              <w:t>As of</w:t>
            </w:r>
          </w:p>
        </w:tc>
      </w:tr>
      <w:tr>
        <w:trPr>
          <w:trHeight w:val="171"/>
        </w:trPr>
        <w:tc>
          <w:tcPr>
            <w:tcW w:w="60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39,596</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71,444</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28,980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15,178</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7,666</w:t>
            </w:r>
          </w:p>
        </w:tc>
      </w:tr>
      <w:tr>
        <w:trPr>
          <w:trHeight w:val="203"/>
        </w:trPr>
        <w:tc>
          <w:tcPr>
            <w:tcW w:w="6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5,677</w:t>
            </w:r>
          </w:p>
        </w:tc>
      </w:tr>
      <w:tr>
        <w:trPr>
          <w:trHeight w:val="196"/>
        </w:trPr>
        <w:tc>
          <w:tcPr>
            <w:tcW w:w="60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168,541</w:t>
            </w: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Inventories and Floor Plan Payables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7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 Sam services and plans</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526</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New RVs</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1,189,880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1,378,403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1,131,575</w:t>
            </w: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Used RVs</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420,727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464,833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534,155</w:t>
            </w:r>
          </w:p>
        </w:tc>
      </w:tr>
      <w:tr>
        <w:trPr>
          <w:trHeight w:val="203"/>
        </w:trPr>
        <w:tc>
          <w:tcPr>
            <w:tcW w:w="3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Products, parts, accessories and other</w:t>
            </w: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170,793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199,261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202,786</w:t>
            </w:r>
          </w:p>
        </w:tc>
      </w:tr>
      <w:tr>
        <w:trPr>
          <w:trHeight w:val="196"/>
        </w:trPr>
        <w:tc>
          <w:tcPr>
            <w:tcW w:w="37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1,781,656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2,042,949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1,869,042</w:t>
            </w: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(“Floor Plan Facility”) with a syndication of banks (“Floor Plan Lenders”).</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September 30, 2024, December 31, 2023, and September 30, 2023, the applicable interest rate for the floor plan notes payable under the Floor Plan Facility was 7.47%, 7.28%, and 7.27%, respectively. As of September 30, 2024, December 31, 2023, and September 30, 2023, the applicable interest rate for revolving line of credit borrowings under the Floor Plan Facility was 7.57%, 7.63%, and 7.62%, respectively. Additionally, under the Floor Plan Facility, the revolving line of credit borrowings are limited by a borrowing base calculation, which did not limit the borrowing capacity at September 30, 2024, December 31, 2023, and September 30, 2023.</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at September 30, 2024 that would trigger a subjective acceleration clause. Additionally, the credit agreement governing the Floor Plan Facility contains certain financial covenants. FreedomRoads, LLC was in compliance with all financial debt covenants at September 30, 2024, December 31, 2023, and September 30, 2023.</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Floor Plan Facility as of September 30, 2024 and December 31, 2023, and September 30, 2023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5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Notes payable - floor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 net of FLAIR offset account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(1,030,187)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(1,371,145)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(1,017,543)</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Less: FLAIR offset account</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(151,539)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(145,047)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(207,411)</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668,274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333,808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625,046</w:t>
            </w:r>
          </w:p>
        </w:tc>
      </w:tr>
      <w:tr>
        <w:trPr>
          <w:trHeight w:val="203"/>
        </w:trPr>
        <w:tc>
          <w:tcPr>
            <w:tcW w:w="4580" w:type="dxa"/>
            <w:vAlign w:val="bottom"/>
            <w:shd w:val="clear" w:color="auto" w:fill="CCEEFF"/>
          </w:tcPr>
          <w:p>
            <w:pPr>
              <w:ind w:left="420"/>
              <w:spacing w:after="0" w:line="202" w:lineRule="exact"/>
              <w:rPr>
                <w:sz w:val="20"/>
                <w:szCs w:val="20"/>
                <w:color w:val="auto"/>
              </w:rPr>
            </w:pPr>
            <w:r>
              <w:rPr>
                <w:rFonts w:ascii="Arial" w:cs="Arial" w:eastAsia="Arial" w:hAnsi="Arial"/>
                <w:sz w:val="16"/>
                <w:szCs w:val="16"/>
                <w:color w:val="auto"/>
              </w:rPr>
              <w:t>Less: short-term payable for sold inventory</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(41,577)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(62,420)</w:t>
            </w:r>
          </w:p>
        </w:tc>
      </w:tr>
      <w:tr>
        <w:trPr>
          <w:trHeight w:val="203"/>
        </w:trPr>
        <w:tc>
          <w:tcPr>
            <w:tcW w:w="4580" w:type="dxa"/>
            <w:vAlign w:val="bottom"/>
            <w:tcBorders>
              <w:bottom w:val="single" w:sz="8" w:color="CCEEFF"/>
            </w:tcBorders>
          </w:tcPr>
          <w:p>
            <w:pPr>
              <w:ind w:left="420"/>
              <w:spacing w:after="0" w:line="202" w:lineRule="exact"/>
              <w:rPr>
                <w:sz w:val="20"/>
                <w:szCs w:val="20"/>
                <w:color w:val="auto"/>
              </w:rPr>
            </w:pPr>
            <w:r>
              <w:rPr>
                <w:rFonts w:ascii="Arial" w:cs="Arial" w:eastAsia="Arial" w:hAnsi="Arial"/>
                <w:sz w:val="16"/>
                <w:szCs w:val="16"/>
                <w:color w:val="auto"/>
              </w:rPr>
              <w:t>Less: purchase commitments</w:t>
            </w:r>
            <w:r>
              <w:rPr>
                <w:rFonts w:ascii="Arial" w:cs="Arial" w:eastAsia="Arial" w:hAnsi="Arial"/>
                <w:sz w:val="23"/>
                <w:szCs w:val="23"/>
                <w:color w:val="auto"/>
                <w:vertAlign w:val="superscript"/>
              </w:rPr>
              <w:t>(3)</w:t>
            </w: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(30,432)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(27,420)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(42,715)</w:t>
            </w:r>
          </w:p>
        </w:tc>
      </w:tr>
      <w:tr>
        <w:trPr>
          <w:trHeight w:val="196"/>
        </w:trPr>
        <w:tc>
          <w:tcPr>
            <w:tcW w:w="458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Unencumbered borrowing capacity</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572,827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264,811</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519,911</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line of credit: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r>
      <w:tr>
        <w:trPr>
          <w:trHeight w:val="203"/>
        </w:trPr>
        <w:tc>
          <w:tcPr>
            <w:tcW w:w="4580" w:type="dxa"/>
            <w:vAlign w:val="bottom"/>
            <w:tcBorders>
              <w:bottom w:val="single" w:sz="8" w:color="CCEEFF"/>
            </w:tcBorders>
          </w:tcPr>
          <w:p>
            <w:pPr>
              <w:ind w:left="320"/>
              <w:spacing w:after="0" w:line="202" w:lineRule="exact"/>
              <w:rPr>
                <w:sz w:val="20"/>
                <w:szCs w:val="20"/>
                <w:color w:val="auto"/>
              </w:rPr>
            </w:pPr>
            <w:r>
              <w:rPr>
                <w:rFonts w:ascii="Arial" w:cs="Arial" w:eastAsia="Arial" w:hAnsi="Arial"/>
                <w:sz w:val="18"/>
                <w:szCs w:val="18"/>
                <w:color w:val="auto"/>
              </w:rPr>
              <w:t>Less: borrowings</w:t>
            </w: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(31,885)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(20,885)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(20,885)</w:t>
            </w:r>
          </w:p>
        </w:tc>
      </w:tr>
      <w:tr>
        <w:trPr>
          <w:trHeight w:val="196"/>
        </w:trPr>
        <w:tc>
          <w:tcPr>
            <w:tcW w:w="4580" w:type="dxa"/>
            <w:vAlign w:val="bottom"/>
            <w:tcBorders>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38,115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49,115</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49,115</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Letters of credit: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outstanding letters of credit</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(11,300)</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letters of credit capacity</w:t>
            </w: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18,700</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80" w:right="79" w:hanging="330"/>
        <w:spacing w:after="0" w:line="263"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p>
      <w:pPr>
        <w:spacing w:after="0" w:line="10" w:lineRule="exact"/>
        <w:rPr>
          <w:rFonts w:ascii="Arial" w:cs="Arial" w:eastAsia="Arial" w:hAnsi="Arial"/>
          <w:sz w:val="13"/>
          <w:szCs w:val="13"/>
          <w:color w:val="auto"/>
        </w:rPr>
      </w:pPr>
    </w:p>
    <w:p>
      <w:pPr>
        <w:jc w:val="both"/>
        <w:ind w:left="380" w:right="79" w:hanging="330"/>
        <w:spacing w:after="0" w:line="262"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p>
      <w:pPr>
        <w:spacing w:after="0" w:line="12" w:lineRule="exact"/>
        <w:rPr>
          <w:rFonts w:ascii="Arial" w:cs="Arial" w:eastAsia="Arial" w:hAnsi="Arial"/>
          <w:sz w:val="13"/>
          <w:szCs w:val="13"/>
          <w:color w:val="auto"/>
        </w:rPr>
      </w:pPr>
    </w:p>
    <w:p>
      <w:pPr>
        <w:ind w:left="380" w:right="79" w:hanging="330"/>
        <w:spacing w:after="0" w:line="285"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pacing w:after="0" w:line="297" w:lineRule="exact"/>
        <w:rPr>
          <w:sz w:val="20"/>
          <w:szCs w:val="20"/>
          <w:color w:val="auto"/>
        </w:rPr>
      </w:pPr>
    </w:p>
    <w:p>
      <w:pPr>
        <w:ind w:left="60" w:right="4639" w:hanging="10"/>
        <w:spacing w:after="0" w:line="485" w:lineRule="auto"/>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Long-Lived Asset Impairment Restructuring – Active Sports</w:t>
      </w:r>
    </w:p>
    <w:p>
      <w:pPr>
        <w:jc w:val="both"/>
        <w:ind w:left="60" w:right="59" w:firstLine="648"/>
        <w:spacing w:after="0"/>
        <w:rPr>
          <w:sz w:val="20"/>
          <w:szCs w:val="20"/>
          <w:color w:val="auto"/>
        </w:rPr>
      </w:pPr>
      <w:r>
        <w:rPr>
          <w:rFonts w:ascii="Arial" w:cs="Arial" w:eastAsia="Arial" w:hAnsi="Arial"/>
          <w:sz w:val="18"/>
          <w:szCs w:val="18"/>
          <w:color w:val="auto"/>
        </w:rPr>
        <w:t>On March 1, 2023, management of the Company determined to implement plans (the “Active Sports Restructuring”) to exit and restructure operations of its indirect subsidiary, Active Sports, LLC, a specialty products retail business (“Active Sports”) as part of its review of underperforming assets and business lines. Upon liquidating a significant amount of inventory and exiting the related distribution centers, the Company reevaluated its exit plan and concluded instead that it would integrate the remaining operations into its existing distribution and fulfillment infrastructure while maintaining lower inventory levels and a smaller fixed cost structure. These plans have resulted in a much smaller operation and included the closure of the specialty retail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location. The incremental inventory reserve charges were based, in part, on the Company’s estimates of the discounting necessary to liquidate the Active Sports inventory.</w:t>
      </w:r>
    </w:p>
    <w:p>
      <w:pPr>
        <w:spacing w:after="0" w:line="4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activities under the Active Sports Restructuring were substantially completed by December 31, 2023. Certain lease costs continued to be incurred until the termination of the last remaining significant lease during the three months ended September 30, 2024.</w:t>
      </w:r>
    </w:p>
    <w:p>
      <w:pPr>
        <w:spacing w:after="0" w:line="16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September 30, 2024, the total restructuring costs associated with the Active Sports Restructuring were $7.8 million. The breakdown of these restructuring costs is as follows:</w:t>
      </w:r>
    </w:p>
    <w:p>
      <w:pPr>
        <w:spacing w:after="0" w:line="46" w:lineRule="exact"/>
        <w:rPr>
          <w:sz w:val="20"/>
          <w:szCs w:val="20"/>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one-time employee termination benefits relating to the specialty retail store and distribution center closures of $0.2 million;</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inventory reserve charges of $4.3 million;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lease termination charges of $1.5 million;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other associated costs of $1.8 million.</w:t>
      </w:r>
    </w:p>
    <w:p>
      <w:pPr>
        <w:spacing w:after="0" w:line="22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details the costs incurred during the three and nine months ended September 30, 2024 and 2023 associated with the Active Sports Restructuring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7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7"/>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6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Active Sports Restructuring costs: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6"/>
                <w:szCs w:val="16"/>
                <w:color w:val="auto"/>
              </w:rPr>
              <w:t>One-time termination benefits</w:t>
            </w:r>
            <w:r>
              <w:rPr>
                <w:rFonts w:ascii="Arial" w:cs="Arial" w:eastAsia="Arial" w:hAnsi="Arial"/>
                <w:sz w:val="23"/>
                <w:szCs w:val="23"/>
                <w:color w:val="auto"/>
                <w:vertAlign w:val="superscript"/>
              </w:rPr>
              <w:t>(1)</w:t>
            </w:r>
          </w:p>
        </w:tc>
        <w:tc>
          <w:tcPr>
            <w:tcW w:w="5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03"/>
        </w:trPr>
        <w:tc>
          <w:tcPr>
            <w:tcW w:w="362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Incremental inventory reserve charges</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3,896</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Lease termination costs </w:t>
            </w:r>
            <w:r>
              <w:rPr>
                <w:rFonts w:ascii="Arial" w:cs="Arial" w:eastAsia="Arial" w:hAnsi="Arial"/>
                <w:sz w:val="23"/>
                <w:szCs w:val="23"/>
                <w:color w:val="auto"/>
                <w:vertAlign w:val="superscript"/>
              </w:rPr>
              <w:t>(2)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1,343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r>
      <w:tr>
        <w:trPr>
          <w:trHeight w:val="203"/>
        </w:trPr>
        <w:tc>
          <w:tcPr>
            <w:tcW w:w="362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Other associated costs</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719</w:t>
            </w:r>
          </w:p>
        </w:tc>
      </w:tr>
      <w:tr>
        <w:trPr>
          <w:trHeight w:val="196"/>
        </w:trPr>
        <w:tc>
          <w:tcPr>
            <w:tcW w:w="3620" w:type="dxa"/>
            <w:vAlign w:val="bottom"/>
          </w:tcPr>
          <w:p>
            <w:pPr>
              <w:ind w:left="220"/>
              <w:spacing w:after="0" w:line="196" w:lineRule="exact"/>
              <w:rPr>
                <w:sz w:val="20"/>
                <w:szCs w:val="20"/>
                <w:color w:val="auto"/>
              </w:rPr>
            </w:pPr>
            <w:r>
              <w:rPr>
                <w:rFonts w:ascii="Arial" w:cs="Arial" w:eastAsia="Arial" w:hAnsi="Arial"/>
                <w:sz w:val="18"/>
                <w:szCs w:val="18"/>
                <w:color w:val="auto"/>
              </w:rPr>
              <w:t>Total Active Sports Restructuring costs</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1,625</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1,924</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5,183</w:t>
            </w:r>
          </w:p>
        </w:tc>
      </w:tr>
      <w:tr>
        <w:trPr>
          <w:trHeight w:val="20"/>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700" w:right="79" w:hanging="650"/>
        <w:spacing w:after="0" w:line="204" w:lineRule="auto"/>
        <w:tabs>
          <w:tab w:leader="none" w:pos="70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costs applicable to revenues – products, service and other in the condensed consolidated statements of operations.</w:t>
      </w:r>
    </w:p>
    <w:p>
      <w:pPr>
        <w:spacing w:after="0" w:line="26" w:lineRule="exact"/>
        <w:rPr>
          <w:rFonts w:ascii="Arial" w:cs="Arial" w:eastAsia="Arial" w:hAnsi="Arial"/>
          <w:sz w:val="22"/>
          <w:szCs w:val="22"/>
          <w:color w:val="auto"/>
          <w:vertAlign w:val="superscript"/>
        </w:rPr>
      </w:pPr>
    </w:p>
    <w:p>
      <w:pPr>
        <w:jc w:val="both"/>
        <w:ind w:left="700" w:right="79" w:hanging="650"/>
        <w:spacing w:after="0" w:line="220" w:lineRule="auto"/>
        <w:tabs>
          <w:tab w:leader="none" w:pos="70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lease termination charges in the condensed consolidated statements of operations. This reflects termination fees paid or to be paid, net of any gain from derecognition of the related operating lease assets and liabilities. The $1.5 million lease termination fee for a lease terminated during the three months ended September 30, 2024 was paid on October 1, 2024.</w:t>
      </w:r>
    </w:p>
    <w:p>
      <w:pPr>
        <w:spacing w:after="0" w:line="27" w:lineRule="exact"/>
        <w:rPr>
          <w:rFonts w:ascii="Arial" w:cs="Arial" w:eastAsia="Arial" w:hAnsi="Arial"/>
          <w:sz w:val="22"/>
          <w:szCs w:val="22"/>
          <w:color w:val="auto"/>
          <w:vertAlign w:val="superscript"/>
        </w:rPr>
      </w:pPr>
    </w:p>
    <w:p>
      <w:pPr>
        <w:jc w:val="both"/>
        <w:ind w:left="700" w:right="79" w:hanging="650"/>
        <w:spacing w:after="0" w:line="214" w:lineRule="auto"/>
        <w:tabs>
          <w:tab w:leader="none" w:pos="70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Active Sports Restructuring for the periods presented and were included primarily in selling, general, and administrative expenses in the condensed consolidated statements of operations.</w:t>
      </w:r>
    </w:p>
    <w:p>
      <w:pPr>
        <w:spacing w:after="0" w:line="220" w:lineRule="exact"/>
        <w:rPr>
          <w:sz w:val="20"/>
          <w:szCs w:val="20"/>
          <w:color w:val="auto"/>
        </w:rPr>
      </w:pPr>
    </w:p>
    <w:p>
      <w:pPr>
        <w:ind w:left="60" w:right="659" w:firstLine="648"/>
        <w:spacing w:after="0" w:line="255" w:lineRule="auto"/>
        <w:rPr>
          <w:sz w:val="20"/>
          <w:szCs w:val="20"/>
          <w:color w:val="auto"/>
        </w:rPr>
      </w:pPr>
      <w:r>
        <w:rPr>
          <w:rFonts w:ascii="Arial" w:cs="Arial" w:eastAsia="Arial" w:hAnsi="Arial"/>
          <w:sz w:val="18"/>
          <w:szCs w:val="18"/>
          <w:color w:val="auto"/>
        </w:rPr>
        <w:t>The following table details changes in the restructuring accrual associated with the Active Sports Restructuring (in thousands):</w:t>
      </w:r>
    </w:p>
    <w:tbl>
      <w:tblPr>
        <w:tblLayout w:type="fixed"/>
        <w:tblInd w:w="40" w:type="dxa"/>
        <w:tblCellMar>
          <w:top w:w="0" w:type="dxa"/>
          <w:left w:w="0" w:type="dxa"/>
          <w:bottom w:w="0" w:type="dxa"/>
          <w:right w:w="0" w:type="dxa"/>
        </w:tblCellMar>
      </w:tblPr>
      <w:tr>
        <w:trPr>
          <w:trHeight w:val="150"/>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w w:val="98"/>
              </w:rPr>
              <w:t>One-time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3"/>
                <w:szCs w:val="13"/>
                <w:color w:val="auto"/>
              </w:rPr>
            </w:pPr>
          </w:p>
        </w:tc>
        <w:tc>
          <w:tcPr>
            <w:tcW w:w="920" w:type="dxa"/>
            <w:vAlign w:val="bottom"/>
            <w:gridSpan w:val="2"/>
          </w:tcPr>
          <w:p>
            <w:pPr>
              <w:jc w:val="right"/>
              <w:ind w:right="420"/>
              <w:spacing w:after="0" w:line="151"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5"/>
        </w:trPr>
        <w:tc>
          <w:tcPr>
            <w:tcW w:w="486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Termination</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Associated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6"/>
                <w:szCs w:val="16"/>
                <w:color w:val="auto"/>
              </w:rPr>
            </w:pPr>
          </w:p>
        </w:tc>
        <w:tc>
          <w:tcPr>
            <w:tcW w:w="940" w:type="dxa"/>
            <w:vAlign w:val="bottom"/>
            <w:gridSpan w:val="3"/>
          </w:tcPr>
          <w:p>
            <w:pPr>
              <w:jc w:val="center"/>
              <w:ind w:right="320"/>
              <w:spacing w:after="0" w:line="189" w:lineRule="exact"/>
              <w:rPr>
                <w:sz w:val="20"/>
                <w:szCs w:val="20"/>
                <w:color w:val="auto"/>
              </w:rPr>
            </w:pPr>
            <w:r>
              <w:rPr>
                <w:rFonts w:ascii="Arial" w:cs="Arial" w:eastAsia="Arial" w:hAnsi="Arial"/>
                <w:sz w:val="14"/>
                <w:szCs w:val="14"/>
                <w:b w:val="1"/>
                <w:bCs w:val="1"/>
                <w:color w:val="auto"/>
                <w:w w:val="96"/>
              </w:rPr>
              <w:t xml:space="preserve">Costs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6"/>
                <w:szCs w:val="16"/>
                <w:color w:val="auto"/>
              </w:rPr>
            </w:pPr>
          </w:p>
        </w:tc>
        <w:tc>
          <w:tcPr>
            <w:tcW w:w="920" w:type="dxa"/>
            <w:vAlign w:val="bottom"/>
            <w:gridSpan w:val="2"/>
          </w:tcPr>
          <w:p>
            <w:pPr>
              <w:jc w:val="right"/>
              <w:ind w:right="340"/>
              <w:spacing w:after="0" w:line="189"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b w:val="1"/>
                <w:bCs w:val="1"/>
                <w:color w:val="auto"/>
                <w:w w:val="93"/>
                <w:vertAlign w:val="superscript"/>
              </w:rPr>
              <w:t>(2)</w:t>
            </w:r>
          </w:p>
        </w:tc>
        <w:tc>
          <w:tcPr>
            <w:tcW w:w="200" w:type="dxa"/>
            <w:vAlign w:val="bottom"/>
          </w:tcPr>
          <w:p>
            <w:pPr>
              <w:spacing w:after="0"/>
              <w:rPr>
                <w:sz w:val="16"/>
                <w:szCs w:val="16"/>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196"/>
        </w:trPr>
        <w:tc>
          <w:tcPr>
            <w:tcW w:w="4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March 31, 2023</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Charged to expense</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912</w:t>
            </w: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Paid or otherwise settled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w:t>
            </w: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Balance at September 30, 2023</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Charged to expense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Paid or otherwise settled</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(284)</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r>
      <w:tr>
        <w:trPr>
          <w:trHeight w:val="196"/>
        </w:trPr>
        <w:tc>
          <w:tcPr>
            <w:tcW w:w="4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2023</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Charged to expense</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2,310</w:t>
            </w:r>
          </w:p>
        </w:tc>
      </w:tr>
      <w:tr>
        <w:trPr>
          <w:trHeight w:val="202"/>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Paid or otherwise settled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Balance at September 30, 2024</w:t>
            </w: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1,492</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1,492</w:t>
            </w: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right="79" w:hanging="650"/>
        <w:spacing w:after="0" w:line="204" w:lineRule="auto"/>
        <w:tabs>
          <w:tab w:leader="none" w:pos="70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Lease termination costs exclude the $0.1 million of gain from the derecognition of the operating lease assets and liabilities relating to the terminated leases as part of the Active Sports Restructuring for the nine months ended September 30,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00" w:right="79" w:hanging="650"/>
        <w:spacing w:after="0" w:line="204" w:lineRule="auto"/>
        <w:tabs>
          <w:tab w:leader="none" w:pos="70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specialty retail location and distribution centers related to the Active Sports Restructuring.</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 Impairment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three months ended March 31, 2023, the Company recorded an impairment charge totaling $6.6 million related to the Active Sports Restructuring, of which $4.5 million related to intangible assets, and $2.1 million related to other long-lived asset categories.</w:t>
      </w:r>
    </w:p>
    <w:p>
      <w:pPr>
        <w:spacing w:after="0" w:line="6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Additionally, during the three and nine months ended September 30, 2024 and 2023, the Company had indicators of impairment of the long-lived assets for certain locations, which were unrelated to the Active Sports Restructuring. Such indicators primarily included decreases in market rental rates or market value of real property for closed locations, or based on the Company’s review of location performance in the normal course of business. As a result of updating certain assumptions in the long-lived asset impairment analysis for these locations, the Company determined that the fair value of certain long-lived assets were below their carrying value and were impaired.</w:t>
      </w:r>
    </w:p>
    <w:p>
      <w:pPr>
        <w:spacing w:after="0" w:line="77"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pacing w:after="0" w:line="68"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details long-lived asset impairment charges by type of long-lived asset and by restructuring activity, all of which relate to the RV and Outdoor Retail segment (in thousands):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380" w:type="dxa"/>
            <w:vAlign w:val="bottom"/>
            <w:gridSpan w:val="7"/>
          </w:tcPr>
          <w:p>
            <w:pPr>
              <w:ind w:left="140"/>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4"/>
                <w:szCs w:val="14"/>
                <w:color w:val="auto"/>
              </w:rPr>
            </w:pPr>
          </w:p>
        </w:tc>
        <w:tc>
          <w:tcPr>
            <w:tcW w:w="2120" w:type="dxa"/>
            <w:vAlign w:val="bottom"/>
            <w:gridSpan w:val="6"/>
          </w:tcPr>
          <w:p>
            <w:pPr>
              <w:jc w:val="right"/>
              <w:spacing w:after="0"/>
              <w:rPr>
                <w:sz w:val="20"/>
                <w:szCs w:val="20"/>
                <w:color w:val="auto"/>
              </w:rPr>
            </w:pPr>
            <w:r>
              <w:rPr>
                <w:rFonts w:ascii="Arial" w:cs="Arial" w:eastAsia="Arial" w:hAnsi="Arial"/>
                <w:sz w:val="13"/>
                <w:szCs w:val="13"/>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Long-lived asset impairment charges by type of long-lived</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asset: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00"/>
              <w:spacing w:after="0"/>
              <w:rPr>
                <w:sz w:val="20"/>
                <w:szCs w:val="20"/>
                <w:color w:val="auto"/>
              </w:rPr>
            </w:pPr>
            <w:r>
              <w:rPr>
                <w:rFonts w:ascii="Arial" w:cs="Arial" w:eastAsia="Arial" w:hAnsi="Arial"/>
                <w:sz w:val="16"/>
                <w:szCs w:val="16"/>
                <w:color w:val="auto"/>
              </w:rPr>
              <w:t>Leasehold improvements</w:t>
            </w:r>
          </w:p>
        </w:tc>
        <w:tc>
          <w:tcPr>
            <w:tcW w:w="36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40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1,117</w:t>
            </w:r>
          </w:p>
        </w:tc>
        <w:tc>
          <w:tcPr>
            <w:tcW w:w="100" w:type="dxa"/>
            <w:vAlign w:val="bottom"/>
          </w:tcPr>
          <w:p>
            <w:pPr>
              <w:spacing w:after="0"/>
              <w:rPr>
                <w:sz w:val="17"/>
                <w:szCs w:val="17"/>
                <w:color w:val="auto"/>
              </w:rPr>
            </w:pPr>
          </w:p>
        </w:tc>
        <w:tc>
          <w:tcPr>
            <w:tcW w:w="3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3,694</w:t>
            </w:r>
          </w:p>
        </w:tc>
        <w:tc>
          <w:tcPr>
            <w:tcW w:w="180" w:type="dxa"/>
            <w:vAlign w:val="bottom"/>
          </w:tcPr>
          <w:p>
            <w:pPr>
              <w:spacing w:after="0"/>
              <w:rPr>
                <w:sz w:val="17"/>
                <w:szCs w:val="17"/>
                <w:color w:val="auto"/>
              </w:rPr>
            </w:pP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lease right of use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00"/>
              <w:spacing w:after="0"/>
              <w:rPr>
                <w:sz w:val="20"/>
                <w:szCs w:val="20"/>
                <w:color w:val="auto"/>
              </w:rPr>
            </w:pPr>
            <w:r>
              <w:rPr>
                <w:rFonts w:ascii="Arial" w:cs="Arial" w:eastAsia="Arial" w:hAnsi="Arial"/>
                <w:sz w:val="16"/>
                <w:szCs w:val="16"/>
                <w:color w:val="auto"/>
              </w:rPr>
              <w:t>Building and improvements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3,787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Furniture and equipment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00"/>
              <w:spacing w:after="0"/>
              <w:rPr>
                <w:sz w:val="20"/>
                <w:szCs w:val="20"/>
                <w:color w:val="auto"/>
              </w:rPr>
            </w:pPr>
            <w:r>
              <w:rPr>
                <w:rFonts w:ascii="Arial" w:cs="Arial" w:eastAsia="Arial" w:hAnsi="Arial"/>
                <w:sz w:val="16"/>
                <w:szCs w:val="16"/>
                <w:color w:val="auto"/>
              </w:rPr>
              <w:t>Software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Construction in progress and software in development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00"/>
              <w:spacing w:after="0"/>
              <w:rPr>
                <w:sz w:val="20"/>
                <w:szCs w:val="20"/>
                <w:color w:val="auto"/>
              </w:rPr>
            </w:pPr>
            <w:r>
              <w:rPr>
                <w:rFonts w:ascii="Arial" w:cs="Arial" w:eastAsia="Arial" w:hAnsi="Arial"/>
                <w:sz w:val="16"/>
                <w:szCs w:val="16"/>
                <w:color w:val="auto"/>
              </w:rPr>
              <w:t>Intangible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long-lived asset impairment charges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12,355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Long-lived asset impairment charges by restructuring</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activity: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00"/>
              <w:spacing w:after="0"/>
              <w:rPr>
                <w:sz w:val="20"/>
                <w:szCs w:val="20"/>
                <w:color w:val="auto"/>
              </w:rPr>
            </w:pPr>
            <w:r>
              <w:rPr>
                <w:rFonts w:ascii="Arial" w:cs="Arial" w:eastAsia="Arial" w:hAnsi="Arial"/>
                <w:sz w:val="16"/>
                <w:szCs w:val="16"/>
                <w:color w:val="auto"/>
              </w:rPr>
              <w:t>Active Sports Restructuring</w:t>
            </w:r>
          </w:p>
        </w:tc>
        <w:tc>
          <w:tcPr>
            <w:tcW w:w="36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Unrelated to restructuring activities</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12,355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ind w:left="200"/>
              <w:spacing w:after="0"/>
              <w:rPr>
                <w:sz w:val="20"/>
                <w:szCs w:val="20"/>
                <w:color w:val="auto"/>
              </w:rPr>
            </w:pPr>
            <w:r>
              <w:rPr>
                <w:rFonts w:ascii="Arial" w:cs="Arial" w:eastAsia="Arial" w:hAnsi="Arial"/>
                <w:sz w:val="16"/>
                <w:szCs w:val="16"/>
                <w:color w:val="auto"/>
              </w:rPr>
              <w:t>Total long-lived asset impairment charges</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12,355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Assets Held for Sale and Business Divestiture</w:t>
      </w:r>
    </w:p>
    <w:p>
      <w:pPr>
        <w:spacing w:after="0" w:line="212"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As of September 30, 2024, December 31, 2023, and September 30, 2023, five, five, and two RV and Outdoor Retail segment properties, respectively, met the criteria to be classified as held for sale. Additionally, as of December 31, 2023 and September 30, 2023, certain of these properties had associated secured borrowings under the Company’s Real Estate Facilities (see Note 7 — Long-Term Debt for definition and further details).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components of assets held for sale and liabilities related to assets held for sale at September 30, 2024, December 31, 2023, and September 30, 2023 (in thousands):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08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10,353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29,864</w:t>
            </w:r>
          </w:p>
        </w:tc>
        <w:tc>
          <w:tcPr>
            <w:tcW w:w="5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10,353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29,864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Liabilities related to assets held for sale:</w:t>
            </w: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500" w:type="dxa"/>
            <w:vAlign w:val="bottom"/>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Long-term debt, net of current portion</w:t>
            </w:r>
          </w:p>
        </w:tc>
        <w:tc>
          <w:tcPr>
            <w:tcW w:w="8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16,424</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17,288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Additionally, on May 3, 2024, the Company closed on the sale of certain assets of the RV and Outdoor Retail segment’s RV furniture business (“CWDS”) and, in connection with the sale, entered into a supply agreement (“Supplier Agreement”) with the buyer and the sublease of certain properties and equipment to the buyer. The approximately $30.4 million fair value of consideration received from the divestiture were comprised of approximately $20.0 million of cash consideration, $9.5 million of an intangible asset for the Supplier Agreement, and $0.9 million of cash consideration as a holdback to be released by the buyer after one year less any offset for expenditures that were indemnified by the Company. The divested net assets of CWDS were comprised primarily of approximately $28.8 million of products, parts, accessories and other inventories, $0.9 million of net intangible assets, $1.2 million of accounts payable assumed and $8.9 million of goodwill allocated from the RV and Outdoor Retail segment based on the relative fair value of CWDS. This divestiture transaction resulted in a loss of $7.1 million and is included in loss (gain) on sale or disposal of assets in the condensed consolidated statements of operations for the nine months ended September 30, 2024. The Company believes that it will gain operational efficiencies by exiting the manufacture of RV furniture and focusing its resources on the sourcing and sale of its RV and aftermarket accessory products. The fair value of the Supplier Agreement intangible asset was estimated as the present value of the estimated benefits that a market participant would receive under the Supplier Agreement, such as favorable pricing and rebates, over the term of the agreement, which is categorized as a Level 3 measurement. This Supplier Agreement intangible asset is expected to be amortized over the term of the agreement of approximately 10 years.</w:t>
      </w:r>
    </w:p>
    <w:p>
      <w:pPr>
        <w:spacing w:after="0" w:line="200" w:lineRule="exact"/>
        <w:rPr>
          <w:sz w:val="20"/>
          <w:szCs w:val="20"/>
          <w:color w:val="auto"/>
        </w:rPr>
      </w:pPr>
    </w:p>
    <w:p>
      <w:pPr>
        <w:spacing w:after="0" w:line="225" w:lineRule="exact"/>
        <w:rPr>
          <w:sz w:val="20"/>
          <w:szCs w:val="20"/>
          <w:color w:val="auto"/>
        </w:rPr>
      </w:pPr>
    </w:p>
    <w:p>
      <w:pPr>
        <w:ind w:left="60" w:right="6099" w:hanging="10"/>
        <w:spacing w:after="0" w:line="485" w:lineRule="auto"/>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ind w:left="60" w:right="59" w:firstLine="648"/>
        <w:spacing w:after="0" w:line="255" w:lineRule="auto"/>
        <w:rPr>
          <w:sz w:val="20"/>
          <w:szCs w:val="20"/>
          <w:color w:val="auto"/>
        </w:rPr>
      </w:pPr>
      <w:r>
        <w:rPr>
          <w:rFonts w:ascii="Arial" w:cs="Arial" w:eastAsia="Arial" w:hAnsi="Arial"/>
          <w:sz w:val="18"/>
          <w:szCs w:val="18"/>
          <w:color w:val="auto"/>
        </w:rPr>
        <w:t>The following table presents a summary of changes in the Company’s goodwill by segment for the nine months ended September 30, 2024 and 2023 (in thousands):</w:t>
      </w:r>
    </w:p>
    <w:tbl>
      <w:tblPr>
        <w:tblLayout w:type="fixed"/>
        <w:tblInd w:w="0" w:type="dxa"/>
        <w:tblCellMar>
          <w:top w:w="0" w:type="dxa"/>
          <w:left w:w="0" w:type="dxa"/>
          <w:bottom w:w="0" w:type="dxa"/>
          <w:right w:w="0" w:type="dxa"/>
        </w:tblCellMar>
      </w:tblPr>
      <w:tr>
        <w:trPr>
          <w:trHeight w:val="150"/>
        </w:trPr>
        <w:tc>
          <w:tcPr>
            <w:tcW w:w="4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41"/>
              <w:spacing w:after="0" w:line="151" w:lineRule="exact"/>
              <w:rPr>
                <w:sz w:val="20"/>
                <w:szCs w:val="20"/>
                <w:color w:val="auto"/>
              </w:rPr>
            </w:pPr>
            <w:r>
              <w:rPr>
                <w:rFonts w:ascii="Arial" w:cs="Arial" w:eastAsia="Arial" w:hAnsi="Arial"/>
                <w:sz w:val="14"/>
                <w:szCs w:val="14"/>
                <w:b w:val="1"/>
                <w:bCs w:val="1"/>
                <w:color w:val="auto"/>
              </w:rPr>
              <w:t>Good Sam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Services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RV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4"/>
                <w:szCs w:val="1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Outdoor Retail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0"/>
              <w:spacing w:after="0"/>
              <w:rPr>
                <w:sz w:val="20"/>
                <w:szCs w:val="20"/>
                <w:color w:val="auto"/>
              </w:rPr>
            </w:pPr>
            <w:r>
              <w:rPr>
                <w:rFonts w:ascii="Arial" w:cs="Arial" w:eastAsia="Arial" w:hAnsi="Arial"/>
                <w:sz w:val="14"/>
                <w:szCs w:val="14"/>
                <w:b w:val="1"/>
                <w:bCs w:val="1"/>
                <w:color w:val="auto"/>
                <w:w w:val="99"/>
              </w:rPr>
              <w:t>Consolidated</w:t>
            </w:r>
          </w:p>
        </w:tc>
      </w:tr>
      <w:tr>
        <w:trPr>
          <w:trHeight w:val="183"/>
        </w:trPr>
        <w:tc>
          <w:tcPr>
            <w:tcW w:w="4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2022 (excluding impairment charges)</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71,118</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793,142</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864,260</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 charges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(194,953)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(241,837)</w:t>
            </w:r>
          </w:p>
        </w:tc>
      </w:tr>
      <w:tr>
        <w:trPr>
          <w:trHeight w:val="182"/>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2022</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598,189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622,423</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65,716</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65,716</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September 30,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663,905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688,139</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23,083</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686,988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711,222</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Acquisitions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28,929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30,490</w:t>
            </w:r>
          </w:p>
        </w:tc>
      </w:tr>
      <w:tr>
        <w:trPr>
          <w:trHeight w:val="189"/>
        </w:trPr>
        <w:tc>
          <w:tcPr>
            <w:tcW w:w="49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Divestiture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r>
      <w:tr>
        <w:trPr>
          <w:trHeight w:val="183"/>
        </w:trPr>
        <w:tc>
          <w:tcPr>
            <w:tcW w:w="4940" w:type="dxa"/>
            <w:vAlign w:val="bottom"/>
          </w:tcPr>
          <w:p>
            <w:pPr>
              <w:spacing w:after="0" w:line="183" w:lineRule="exact"/>
              <w:rPr>
                <w:sz w:val="20"/>
                <w:szCs w:val="20"/>
                <w:color w:val="auto"/>
              </w:rPr>
            </w:pPr>
            <w:r>
              <w:rPr>
                <w:rFonts w:ascii="Arial" w:cs="Arial" w:eastAsia="Arial" w:hAnsi="Arial"/>
                <w:sz w:val="16"/>
                <w:szCs w:val="16"/>
                <w:color w:val="auto"/>
              </w:rPr>
              <w:t>Balance at September 30, 2024</w:t>
            </w:r>
          </w:p>
        </w:tc>
        <w:tc>
          <w:tcPr>
            <w:tcW w:w="4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707,018</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732,813</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60" w:hanging="210"/>
        <w:spacing w:after="0"/>
        <w:tabs>
          <w:tab w:leader="none" w:pos="260" w:val="left"/>
        </w:tabs>
        <w:numPr>
          <w:ilvl w:val="0"/>
          <w:numId w:val="18"/>
        </w:numPr>
        <w:rPr>
          <w:rFonts w:ascii="Arial" w:cs="Arial" w:eastAsia="Arial" w:hAnsi="Arial"/>
          <w:sz w:val="25"/>
          <w:szCs w:val="25"/>
          <w:color w:val="auto"/>
          <w:vertAlign w:val="superscript"/>
        </w:rPr>
      </w:pPr>
      <w:r>
        <w:rPr>
          <w:rFonts w:ascii="Arial" w:cs="Arial" w:eastAsia="Arial" w:hAnsi="Arial"/>
          <w:sz w:val="14"/>
          <w:szCs w:val="14"/>
          <w:color w:val="auto"/>
        </w:rPr>
        <w:t>See Note 5 — Assets Held for Sale and Business Divestiture.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Finite-lived intangible assets and related accumulated amortization consisted of the following at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2024, December 31, 2023 and September 30, 2023 (in thousands):</w:t>
      </w:r>
    </w:p>
    <w:p>
      <w:pPr>
        <w:spacing w:after="0" w:line="9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rPr>
              <w:t>September 30, 2024</w:t>
            </w:r>
          </w:p>
        </w:tc>
        <w:tc>
          <w:tcPr>
            <w:tcW w:w="640" w:type="dxa"/>
            <w:vAlign w:val="bottom"/>
            <w:tcBorders>
              <w:bottom w:val="single" w:sz="8" w:color="auto"/>
            </w:tcBorders>
          </w:tcPr>
          <w:p>
            <w:pPr>
              <w:spacing w:after="0"/>
              <w:rPr>
                <w:sz w:val="14"/>
                <w:szCs w:val="14"/>
                <w:color w:val="auto"/>
              </w:rPr>
            </w:pPr>
          </w:p>
        </w:tc>
      </w:tr>
      <w:tr>
        <w:trPr>
          <w:trHeight w:val="146"/>
        </w:trPr>
        <w:tc>
          <w:tcPr>
            <w:tcW w:w="4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Cost 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83"/>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(9,464)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1,789</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(1,475)</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2,175</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(2,652)</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1,502</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 and agreements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9,129</w:t>
            </w: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(21,670)</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4,856</w:t>
            </w: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(5,659)</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$ 62,047</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(41,634)</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20,413</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4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December 31, 2023</w:t>
            </w:r>
          </w:p>
        </w:tc>
        <w:tc>
          <w:tcPr>
            <w:tcW w:w="640" w:type="dxa"/>
            <w:vAlign w:val="bottom"/>
            <w:tcBorders>
              <w:bottom w:val="single" w:sz="8" w:color="auto"/>
            </w:tcBorders>
          </w:tcPr>
          <w:p>
            <w:pPr>
              <w:spacing w:after="0"/>
              <w:rPr>
                <w:sz w:val="24"/>
                <w:szCs w:val="24"/>
                <w:color w:val="auto"/>
              </w:rPr>
            </w:pPr>
          </w:p>
        </w:tc>
      </w:tr>
      <w:tr>
        <w:trPr>
          <w:trHeight w:val="146"/>
        </w:trPr>
        <w:tc>
          <w:tcPr>
            <w:tcW w:w="4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Cost 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83"/>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9,640</w:t>
            </w:r>
          </w:p>
        </w:tc>
        <w:tc>
          <w:tcPr>
            <w:tcW w:w="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(9,246)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1,894</w:t>
            </w:r>
          </w:p>
        </w:tc>
      </w:tr>
      <w:tr>
        <w:trPr>
          <w:trHeight w:val="202"/>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(1,118)</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1,932</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5,543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(3,269)</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2,274</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27,251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(21,390)</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5,861</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(5,557)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$ 55,637</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(41,920)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13,717</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4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rPr>
              <w:t>September 30, 2023</w:t>
            </w:r>
          </w:p>
        </w:tc>
        <w:tc>
          <w:tcPr>
            <w:tcW w:w="640" w:type="dxa"/>
            <w:vAlign w:val="bottom"/>
            <w:tcBorders>
              <w:bottom w:val="single" w:sz="8" w:color="auto"/>
            </w:tcBorders>
          </w:tcPr>
          <w:p>
            <w:pPr>
              <w:spacing w:after="0"/>
              <w:rPr>
                <w:sz w:val="24"/>
                <w:szCs w:val="24"/>
                <w:color w:val="auto"/>
              </w:rPr>
            </w:pPr>
          </w:p>
        </w:tc>
      </w:tr>
      <w:tr>
        <w:trPr>
          <w:trHeight w:val="146"/>
        </w:trPr>
        <w:tc>
          <w:tcPr>
            <w:tcW w:w="4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Cost 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82"/>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9,640</w:t>
            </w:r>
          </w:p>
        </w:tc>
        <w:tc>
          <w:tcPr>
            <w:tcW w:w="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(9,179)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1,930</w:t>
            </w: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(1,009)</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2,041</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 and other</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5,618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(3,103)</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2,515</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w:t>
            </w:r>
          </w:p>
        </w:tc>
      </w:tr>
      <w:tr>
        <w:trPr>
          <w:trHeight w:val="203"/>
        </w:trPr>
        <w:tc>
          <w:tcPr>
            <w:tcW w:w="460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27,251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(20,941)</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6,310</w:t>
            </w:r>
          </w:p>
        </w:tc>
      </w:tr>
      <w:tr>
        <w:trPr>
          <w:trHeight w:val="203"/>
        </w:trPr>
        <w:tc>
          <w:tcPr>
            <w:tcW w:w="4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$ 55,419</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(40,975)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14,444</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Long-Term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Outstanding 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9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29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196"/>
        </w:trPr>
        <w:tc>
          <w:tcPr>
            <w:tcW w:w="290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2"/>
                <w:szCs w:val="22"/>
                <w:color w:val="auto"/>
                <w:vertAlign w:val="superscript"/>
              </w:rPr>
              <w:t>(1)</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1,338,321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1,346,229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1,348,882</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6"/>
                <w:szCs w:val="16"/>
                <w:color w:val="auto"/>
              </w:rPr>
              <w:t xml:space="preserve">Real Estate Facilities </w:t>
            </w:r>
            <w:r>
              <w:rPr>
                <w:rFonts w:ascii="Arial" w:cs="Arial" w:eastAsia="Arial" w:hAnsi="Arial"/>
                <w:sz w:val="23"/>
                <w:szCs w:val="23"/>
                <w:color w:val="auto"/>
                <w:vertAlign w:val="superscript"/>
              </w:rPr>
              <w:t>(2)</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183,497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166,604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188,543</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Debt</w:t>
            </w:r>
          </w:p>
        </w:tc>
        <w:tc>
          <w:tcPr>
            <w:tcW w:w="10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8,007</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8,327</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Subtotal</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1,529,825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1,521,079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1,545,752</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0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(23,798)</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(22,121)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(23,257)</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1,506,027</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1,498,958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1,522,495</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14" w:lineRule="auto"/>
        <w:tabs>
          <w:tab w:leader="none" w:pos="3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Net of $10.2 million, $12.0 million, and $12.6 million of original issue discount at September 30, 2024, December 31, 2023, and September 30, 2023, respectively, and $3.9 million, $4.7 million, and $5.0 million of finance costs at September 30, 2024, December 31, 2023, and September 30, 2023, respectively.</w:t>
      </w:r>
    </w:p>
    <w:p>
      <w:pPr>
        <w:spacing w:after="0" w:line="81"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Net of $3.3 million, $3.3 million, and $3.5 million of finance costs at September 30, 2024, December 31, 2023, and September 30, 2023,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September 30, 2024, December 31, 2023, and September 30, 2023,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 as of (in thousands):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Senior Secured Credit Facilities: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Term Loan Facility:</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Principal amount of borrowings</w:t>
            </w: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cumulative principal payments</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(47,545)</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(37,034)</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(33,530)</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unamortized original issue discount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(10,228)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(12,016)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unamortized finance costs</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(3,906)</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(4,721)</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1,338,321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1,346,229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1,348,882</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(14,015)</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(14,015)</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auto"/>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1,324,306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1,332,214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1,334,867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commitment</w:t>
            </w: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outstanding letters of credit</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(4,902)</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(4,930)</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total net leverage ratio borrowing limitation</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(37,348)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(37,320)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(37,320)</w:t>
            </w:r>
          </w:p>
        </w:tc>
        <w:tc>
          <w:tcPr>
            <w:tcW w:w="0" w:type="dxa"/>
            <w:vAlign w:val="bottom"/>
          </w:tcPr>
          <w:p>
            <w:pPr>
              <w:spacing w:after="0"/>
              <w:rPr>
                <w:sz w:val="1"/>
                <w:szCs w:val="1"/>
                <w:color w:val="auto"/>
              </w:rPr>
            </w:pPr>
          </w:p>
        </w:tc>
      </w:tr>
      <w:tr>
        <w:trPr>
          <w:trHeight w:val="232"/>
        </w:trPr>
        <w:tc>
          <w:tcPr>
            <w:tcW w:w="4820" w:type="dxa"/>
            <w:vAlign w:val="bottom"/>
          </w:tcPr>
          <w:p>
            <w:pPr>
              <w:ind w:left="340"/>
              <w:spacing w:after="0"/>
              <w:rPr>
                <w:sz w:val="20"/>
                <w:szCs w:val="20"/>
                <w:color w:val="auto"/>
              </w:rPr>
            </w:pPr>
            <w:r>
              <w:rPr>
                <w:rFonts w:ascii="Arial" w:cs="Arial" w:eastAsia="Arial" w:hAnsi="Arial"/>
                <w:sz w:val="18"/>
                <w:szCs w:val="18"/>
                <w:color w:val="auto"/>
              </w:rPr>
              <w:t>Additional borrowing capacity</w:t>
            </w: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-22225</wp:posOffset>
            </wp:positionV>
            <wp:extent cx="25971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25400"/>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As of September 30, 2024, December 31, 2023, and September 30, 2023, the average interest rate on the Term Loan Facility was 7.47%, 7.97%, and 7.95%, respectively, and the effective interest rate was 7.92%, 8.21%, and 8.19%, respectively.</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Management has determined that the Senior Secured Credit Facilities include subjective acceleration clauses, which could impact debt classification. Management believes that no events have occurred at September 30, 2024 that would trigger a subjective acceleration clause.</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September 30, 2024,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at September 30, 2024, December 31, 2023, and September 30, 2023.</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September 30, 2024, December 31, 2023, and September 30, 2023, subsidiaries of FRHP Lincolnshire, LLC (“FRHP”), an indirect wholly-owned subsidiary of CWGS, LLC, were parties to a credit agreement with a syndication of banks for a real estate credit facility (the “M&amp;T Real Estate Facility”). During the nine months ended September 30, 2024 and 2023, FRHP borrowed an additional $55.6 million and $59.2 million, respectively, under the M&amp;T Real Estate Facility. During the nine months ended September 30, 2024, FRHP repaid $38.6 million of the M&amp;T Real Estate Facility to pay off the remaining principal balances relating to six properties.</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2024, FRHP amended the M&amp;T Real Estate Facility to increase the maximum borrowing capacity from $250.0 million to $300.0 million. This additional borrowing capacity was not deducted from FRHP’s option to request an additional $100.0 million of borrowing capacity and the lenders under the M&amp;T Real Estate Facility are not under any obligation to provide commitments in respect of any such increase. No funds were drawn at closing. As of September 30, 2024, the remaining available borrowing capacity was $57.4 million.</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of September 30, 2024, December 31, 2023, and September 30, 2023, Camping World Property, LLC, successor by conversion to Camping World Property, Inc. (the ‘‘Real Estate Borrower’’), an indirect wholly-owned subsidiary of CWGS, LLC, and CIBC Bank USA (“Lender”), were parties to loan and security agreements for real estate credit facilities ((as amended from time to time, the “First CIBC Real Estate Facility”, the “Second CIBC Real Estate Facility”, and the “Third CIBC Real Estate Facility”, respectively, and collectively the “CIBC Real Estate Facilities”) and together with the M&amp;T Real Estate Facility, the “Real Estate Facilities”). In June 2023, the Real Estate Borrower sold one property located in Franklin, Kentucky, which was secured by the Second CIBC Real Estate Facility. As part of the settlement of the property sale, the outstanding balance of the Second CIBC Real Estate Facility of $7.4 million was repaid and terminated by the Real Estate Borrower. In May 2024, the Real Estate Borrower repaid the outstanding balance of the Third Real Estate Facility of $8.9 million, which related to the facility for the operations of CWDS in Elkhart, Indiana (see Note 5 — Assets Held for Sale and Business Divestiture).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M&amp;T Real Estate Facility and the CIBC Real Estate Facilities (collectively the “Real Estate Facilities”) at September 30, 2024:</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right="124"/>
              <w:spacing w:after="0"/>
              <w:rPr>
                <w:sz w:val="20"/>
                <w:szCs w:val="20"/>
                <w:color w:val="auto"/>
              </w:rPr>
            </w:pPr>
            <w:r>
              <w:rPr>
                <w:rFonts w:ascii="Arial" w:cs="Arial" w:eastAsia="Arial" w:hAnsi="Arial"/>
                <w:sz w:val="14"/>
                <w:szCs w:val="14"/>
                <w:b w:val="1"/>
                <w:bCs w:val="1"/>
                <w:color w:val="auto"/>
              </w:rPr>
              <w:t>As of September 30, 2024</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(1)</w:t>
            </w: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Wtd. Average</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gridSpan w:val="3"/>
            <w:vMerge w:val="continue"/>
          </w:tcPr>
          <w:p>
            <w:pPr>
              <w:spacing w:after="0"/>
              <w:rPr>
                <w:sz w:val="16"/>
                <w:szCs w:val="16"/>
                <w:color w:val="auto"/>
              </w:rPr>
            </w:pPr>
          </w:p>
        </w:tc>
        <w:tc>
          <w:tcPr>
            <w:tcW w:w="88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6"/>
              </w:rPr>
              <w:t>Available</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3"/>
        </w:trPr>
        <w:tc>
          <w:tcPr>
            <w:tcW w:w="56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120"/>
              <w:spacing w:after="0"/>
              <w:rPr>
                <w:sz w:val="20"/>
                <w:szCs w:val="20"/>
                <w:color w:val="auto"/>
              </w:rPr>
            </w:pPr>
            <w:r>
              <w:rPr>
                <w:rFonts w:ascii="Arial" w:cs="Arial" w:eastAsia="Arial" w:hAnsi="Arial"/>
                <w:sz w:val="16"/>
                <w:szCs w:val="16"/>
                <w:color w:val="auto"/>
              </w:rPr>
              <w:t>M&amp;T Real Estate Facility</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180,051</w:t>
            </w:r>
          </w:p>
        </w:tc>
        <w:tc>
          <w:tcPr>
            <w:tcW w:w="16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57,390</w:t>
            </w:r>
          </w:p>
        </w:tc>
        <w:tc>
          <w:tcPr>
            <w:tcW w:w="16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First CIBC Real Estate Facility</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183,497</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57,390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66"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67" w:lineRule="exact"/>
        <w:rPr>
          <w:rFonts w:ascii="Arial" w:cs="Arial" w:eastAsia="Arial" w:hAnsi="Arial"/>
          <w:sz w:val="20"/>
          <w:szCs w:val="20"/>
          <w:color w:val="auto"/>
          <w:vertAlign w:val="superscript"/>
        </w:rPr>
      </w:pPr>
    </w:p>
    <w:p>
      <w:pPr>
        <w:ind w:left="380" w:right="79" w:hanging="330"/>
        <w:spacing w:after="0" w:line="211"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33"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have occurred at September 30, 2024 that would trigger a subjective acceleration clause. Additionally, the Real Estate Facilities are subject to certain cross default provisions, a debt service coverage ratio, and other customary covenants. The Company was in compliance with all financial debt covenants at September 30, 2024, December 31, 2023, and September 30, 2023.</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2024, the outstanding principal balance of other long-term debt was $8.0 million with a weighted average interest rate of 4.27%.</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 Obligations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 (in thousands):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r>
      <w:tr>
        <w:trPr>
          <w:trHeight w:val="155"/>
        </w:trPr>
        <w:tc>
          <w:tcPr>
            <w:tcW w:w="38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2023</w:t>
            </w: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28,999</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29,639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87,483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88,220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finance lease assets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2,788</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1,242</w:t>
            </w:r>
          </w:p>
        </w:tc>
      </w:tr>
      <w:tr>
        <w:trPr>
          <w:trHeight w:val="203"/>
        </w:trPr>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Interest on finance lease liabilities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2,233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1,543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7,079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4,482</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1,539</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6,422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4,941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19,312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17,358</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(2,114)</w:t>
            </w:r>
          </w:p>
        </w:tc>
      </w:tr>
      <w:tr>
        <w:trPr>
          <w:trHeight w:val="196"/>
        </w:trPr>
        <w:tc>
          <w:tcPr>
            <w:tcW w:w="3840" w:type="dxa"/>
            <w:vAlign w:val="bottom"/>
          </w:tcPr>
          <w:p>
            <w:pPr>
              <w:spacing w:after="0" w:line="196" w:lineRule="exact"/>
              <w:rPr>
                <w:sz w:val="20"/>
                <w:szCs w:val="20"/>
                <w:color w:val="auto"/>
              </w:rPr>
            </w:pPr>
            <w:r>
              <w:rPr>
                <w:rFonts w:ascii="Arial" w:cs="Arial" w:eastAsia="Arial" w:hAnsi="Arial"/>
                <w:sz w:val="18"/>
                <w:szCs w:val="18"/>
                <w:color w:val="auto"/>
              </w:rPr>
              <w:t>Net lease costs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40,111</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37,803</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121,292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110,727</w:t>
            </w: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September 30, 2024, December 31, 2023, and September 30, 2023, finance lease assets of $122.7 million, $100.4 million, and $90.8 million, respectively, were included in property and equipment, net in the accompanying condensed consolidated balance sheets.</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7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570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Cash  paid  for  amounts  included  in  the  measurement  of  lease</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89,213</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87,604</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cash flows for finance leases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4,478</w:t>
            </w: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for finance leases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5,684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4,160</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assets obtained in exchange for lease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New, remeasured and terminated operating leases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62,520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40,598</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New, remeasured and terminated finance leases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30,771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8,959</w:t>
            </w:r>
          </w:p>
        </w:tc>
      </w:tr>
    </w:tbl>
    <w:p>
      <w:pPr>
        <w:spacing w:after="0" w:line="13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During the nine months ended September 30, 2024, the Company entered into sale-leaseback transactions for three properties associated with store locations in the RV and Outdoor Retail segment. The Company received consideration of $37.7 million of cash and recorded a gain of $0.4 million that is included in loss (gain) on sale or disposal of assets in the condensed consolidated statements of income for the nine months ended September 30, 2024. The Company entered into 20-year lease agreements for two of the properties and a 17-year lease agreement for one of the properties.</w:t>
      </w: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Fair Value Measurements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presents the reported carrying values and the fair values by level of the Company’s assets and liabilities measured at fair value on a recurring basis:</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3"/>
                <w:szCs w:val="13"/>
                <w:b w:val="1"/>
                <w:bCs w:val="1"/>
                <w:color w:val="auto"/>
              </w:rPr>
              <w:t>September 30, 2024</w:t>
            </w:r>
          </w:p>
        </w:tc>
        <w:tc>
          <w:tcPr>
            <w:tcW w:w="1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3"/>
                <w:szCs w:val="13"/>
                <w:b w:val="1"/>
                <w:bCs w:val="1"/>
                <w:color w:val="auto"/>
              </w:rPr>
              <w:t>December 31, 2023</w:t>
            </w:r>
          </w:p>
        </w:tc>
        <w:tc>
          <w:tcPr>
            <w:tcW w:w="180" w:type="dxa"/>
            <w:vAlign w:val="bottom"/>
          </w:tcPr>
          <w:p>
            <w:pPr>
              <w:spacing w:after="0"/>
              <w:rPr>
                <w:sz w:val="14"/>
                <w:szCs w:val="14"/>
                <w:color w:val="auto"/>
              </w:rPr>
            </w:pPr>
          </w:p>
        </w:tc>
        <w:tc>
          <w:tcPr>
            <w:tcW w:w="1660" w:type="dxa"/>
            <w:vAlign w:val="bottom"/>
            <w:gridSpan w:val="4"/>
          </w:tcPr>
          <w:p>
            <w:pPr>
              <w:ind w:left="120"/>
              <w:spacing w:after="0"/>
              <w:rPr>
                <w:sz w:val="20"/>
                <w:szCs w:val="20"/>
                <w:color w:val="auto"/>
              </w:rPr>
            </w:pPr>
            <w:r>
              <w:rPr>
                <w:rFonts w:ascii="Arial" w:cs="Arial" w:eastAsia="Arial" w:hAnsi="Arial"/>
                <w:sz w:val="13"/>
                <w:szCs w:val="13"/>
                <w:b w:val="1"/>
                <w:bCs w:val="1"/>
                <w:color w:val="auto"/>
              </w:rPr>
              <w:t>September 30, 2023</w:t>
            </w:r>
          </w:p>
        </w:tc>
      </w:tr>
      <w:tr>
        <w:trPr>
          <w:trHeight w:val="142"/>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2"/>
                <w:szCs w:val="12"/>
                <w:color w:val="auto"/>
              </w:rPr>
            </w:pPr>
          </w:p>
        </w:tc>
        <w:tc>
          <w:tcPr>
            <w:tcW w:w="12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3"/>
                <w:szCs w:val="13"/>
                <w:b w:val="1"/>
                <w:bCs w:val="1"/>
                <w:color w:val="auto"/>
              </w:rPr>
              <w:t>Carrying Value</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124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3"/>
                <w:szCs w:val="13"/>
                <w:b w:val="1"/>
                <w:bCs w:val="1"/>
                <w:color w:val="auto"/>
              </w:rPr>
              <w:t>Carrying Value</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Level 3</w:t>
            </w: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r>
      <w:tr>
        <w:trPr>
          <w:trHeight w:val="149"/>
        </w:trPr>
        <w:tc>
          <w:tcPr>
            <w:tcW w:w="316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Derived participation investment </w:t>
            </w:r>
            <w:r>
              <w:rPr>
                <w:rFonts w:ascii="Arial" w:cs="Arial" w:eastAsia="Arial" w:hAnsi="Arial"/>
                <w:sz w:val="17"/>
                <w:szCs w:val="17"/>
                <w:color w:val="auto"/>
                <w:vertAlign w:val="superscript"/>
              </w:rPr>
              <w:t>(1)</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3,947</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3,947</w:t>
            </w:r>
          </w:p>
        </w:tc>
        <w:tc>
          <w:tcPr>
            <w:tcW w:w="1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40" w:type="dxa"/>
            <w:vAlign w:val="bottom"/>
            <w:gridSpan w:val="3"/>
          </w:tcPr>
          <w:p>
            <w:pPr>
              <w:ind w:left="600"/>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3"/>
          </w:tcPr>
          <w:p>
            <w:pPr>
              <w:ind w:left="620"/>
              <w:spacing w:after="0"/>
              <w:rPr>
                <w:sz w:val="20"/>
                <w:szCs w:val="20"/>
                <w:color w:val="auto"/>
              </w:rPr>
            </w:pPr>
            <w:r>
              <w:rPr>
                <w:rFonts w:ascii="Arial" w:cs="Arial" w:eastAsia="Arial" w:hAnsi="Arial"/>
                <w:sz w:val="13"/>
                <w:szCs w:val="13"/>
                <w:color w:val="auto"/>
              </w:rPr>
              <w:t>—   $</w:t>
            </w: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r>
      <w:tr>
        <w:trPr>
          <w:trHeight w:val="20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77"/>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 xml:space="preserve">Acquisition-related contingent consideration </w:t>
            </w:r>
            <w:r>
              <w:rPr>
                <w:rFonts w:ascii="Arial" w:cs="Arial" w:eastAsia="Arial" w:hAnsi="Arial"/>
                <w:sz w:val="20"/>
                <w:szCs w:val="20"/>
                <w:color w:val="auto"/>
                <w:vertAlign w:val="superscript"/>
              </w:rPr>
              <w:t>(2)</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ind w:left="6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6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r>
    </w:tbl>
    <w:p>
      <w:pPr>
        <w:ind w:left="380" w:hanging="330"/>
        <w:spacing w:after="0" w:line="213"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Derived participation investment was included in other assets in the accompanying condensed consolidated balance sheets.</w:t>
      </w:r>
    </w:p>
    <w:p>
      <w:pPr>
        <w:spacing w:after="0" w:line="62" w:lineRule="exact"/>
        <w:rPr>
          <w:rFonts w:ascii="Arial" w:cs="Arial" w:eastAsia="Arial" w:hAnsi="Arial"/>
          <w:sz w:val="19"/>
          <w:szCs w:val="19"/>
          <w:color w:val="auto"/>
          <w:vertAlign w:val="superscript"/>
        </w:rPr>
      </w:pPr>
    </w:p>
    <w:p>
      <w:pPr>
        <w:ind w:left="380" w:right="279" w:hanging="330"/>
        <w:spacing w:after="0" w:line="188"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The $0.2 million current and $0.2 million non-current portions of acquisition-related contingent consideration were included in accrued liabilities and other long-term liabilities, respectively, in the accompanying condensed consolidated balance sheets.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Derived Participation Investment</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has entered into an arrangement with a consumer financing partner to invest in a participation interest in the cash flows of certain financing transactions under the white label financing program with such consumer financing partner.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fair value during the three and nine months ended September 30,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Consideration</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is categorized as a Level 3 measurement and there was no significant change in fair value during the three and nine months ended September 30,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Fair Value Disclosures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have been no transfers of assets or liabilities between the fair value measurement levels and there were no material re-measurements to fair value during 2024 and 2023 of assets and liabilities that are not measured at fair value on a recurring basis.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Revolving Line of Credit, the Real Estate Facilities and the Other Long-Term Debt are estimated by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discounting the future contractual cash flows at the current market interest rate that is available based on similar financial instruments.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Fair Value</w:t>
            </w:r>
          </w:p>
        </w:tc>
        <w:tc>
          <w:tcPr>
            <w:tcW w:w="16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0"/>
                <w:szCs w:val="10"/>
                <w:b w:val="1"/>
                <w:bCs w:val="1"/>
                <w:color w:val="auto"/>
              </w:rPr>
              <w:t>September 30, 2024</w:t>
            </w:r>
          </w:p>
        </w:tc>
        <w:tc>
          <w:tcPr>
            <w:tcW w:w="12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0"/>
                <w:szCs w:val="10"/>
                <w:b w:val="1"/>
                <w:bCs w:val="1"/>
                <w:color w:val="auto"/>
              </w:rPr>
              <w:t>December 31, 2023</w:t>
            </w:r>
          </w:p>
        </w:tc>
        <w:tc>
          <w:tcPr>
            <w:tcW w:w="17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0"/>
                <w:szCs w:val="10"/>
                <w:b w:val="1"/>
                <w:bCs w:val="1"/>
                <w:color w:val="auto"/>
              </w:rPr>
              <w:t>September 30, 2023</w:t>
            </w:r>
          </w:p>
        </w:tc>
      </w:tr>
      <w:tr>
        <w:trPr>
          <w:trHeight w:val="142"/>
        </w:trPr>
        <w:tc>
          <w:tcPr>
            <w:tcW w:w="28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Measurement</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Carrying Value</w:t>
            </w:r>
          </w:p>
        </w:tc>
        <w:tc>
          <w:tcPr>
            <w:tcW w:w="780" w:type="dxa"/>
            <w:vAlign w:val="bottom"/>
          </w:tcPr>
          <w:p>
            <w:pPr>
              <w:jc w:val="right"/>
              <w:ind w:right="76"/>
              <w:spacing w:after="0"/>
              <w:rPr>
                <w:sz w:val="20"/>
                <w:szCs w:val="20"/>
                <w:color w:val="auto"/>
              </w:rPr>
            </w:pPr>
            <w:r>
              <w:rPr>
                <w:rFonts w:ascii="Arial" w:cs="Arial" w:eastAsia="Arial" w:hAnsi="Arial"/>
                <w:sz w:val="10"/>
                <w:szCs w:val="10"/>
                <w:b w:val="1"/>
                <w:bCs w:val="1"/>
                <w:color w:val="auto"/>
              </w:rPr>
              <w:t>Fair Value</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Carrying Value</w:t>
            </w:r>
          </w:p>
        </w:tc>
        <w:tc>
          <w:tcPr>
            <w:tcW w:w="800" w:type="dxa"/>
            <w:vAlign w:val="bottom"/>
          </w:tcPr>
          <w:p>
            <w:pPr>
              <w:jc w:val="right"/>
              <w:ind w:right="96"/>
              <w:spacing w:after="0"/>
              <w:rPr>
                <w:sz w:val="20"/>
                <w:szCs w:val="20"/>
                <w:color w:val="auto"/>
              </w:rPr>
            </w:pPr>
            <w:r>
              <w:rPr>
                <w:rFonts w:ascii="Arial" w:cs="Arial" w:eastAsia="Arial" w:hAnsi="Arial"/>
                <w:sz w:val="10"/>
                <w:szCs w:val="10"/>
                <w:b w:val="1"/>
                <w:bCs w:val="1"/>
                <w:color w:val="auto"/>
              </w:rPr>
              <w:t>Fair Value</w:t>
            </w:r>
          </w:p>
        </w:tc>
      </w:tr>
      <w:tr>
        <w:trPr>
          <w:trHeight w:val="142"/>
        </w:trPr>
        <w:tc>
          <w:tcPr>
            <w:tcW w:w="27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Term Loan Facility</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Level 2</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$ 1,338,321</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$ 1,296,666</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$ 1,346,229</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$ 1,328,892</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$ 1,348,882</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1,380,135</w:t>
            </w:r>
          </w:p>
        </w:tc>
      </w:tr>
      <w:tr>
        <w:trPr>
          <w:trHeight w:val="14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Floor Plan Facility Revolving Line of Credit</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color w:val="auto"/>
              </w:rPr>
              <w:t>31,885</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32,791</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20,885</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21,732</w:t>
            </w:r>
          </w:p>
        </w:tc>
        <w:tc>
          <w:tcPr>
            <w:tcW w:w="820" w:type="dxa"/>
            <w:vAlign w:val="bottom"/>
          </w:tcPr>
          <w:p>
            <w:pPr>
              <w:jc w:val="right"/>
              <w:spacing w:after="0"/>
              <w:rPr>
                <w:sz w:val="20"/>
                <w:szCs w:val="20"/>
                <w:color w:val="auto"/>
              </w:rPr>
            </w:pPr>
            <w:r>
              <w:rPr>
                <w:rFonts w:ascii="Arial" w:cs="Arial" w:eastAsia="Arial" w:hAnsi="Arial"/>
                <w:sz w:val="13"/>
                <w:szCs w:val="13"/>
                <w:color w:val="auto"/>
              </w:rPr>
              <w:t>20,885</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20,999</w:t>
            </w:r>
          </w:p>
        </w:tc>
      </w:tr>
      <w:tr>
        <w:trPr>
          <w:trHeight w:val="148"/>
        </w:trPr>
        <w:tc>
          <w:tcPr>
            <w:tcW w:w="28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Real Estate Facilities</w:t>
            </w:r>
            <w:r>
              <w:rPr>
                <w:rFonts w:ascii="Arial" w:cs="Arial" w:eastAsia="Arial" w:hAnsi="Arial"/>
                <w:sz w:val="17"/>
                <w:szCs w:val="17"/>
                <w:color w:val="auto"/>
                <w:vertAlign w:val="superscript"/>
              </w:rPr>
              <w:t>(1)</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183,497</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189,002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183,892</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195,029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192,565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195,585</w:t>
            </w:r>
          </w:p>
        </w:tc>
      </w:tr>
      <w:tr>
        <w:trPr>
          <w:trHeight w:val="176"/>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Other Long-Term Debt</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color w:val="auto"/>
              </w:rPr>
              <w:t>8,007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6,929</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8,246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6,702</w:t>
            </w:r>
          </w:p>
        </w:tc>
        <w:tc>
          <w:tcPr>
            <w:tcW w:w="820" w:type="dxa"/>
            <w:vAlign w:val="bottom"/>
          </w:tcPr>
          <w:p>
            <w:pPr>
              <w:jc w:val="right"/>
              <w:spacing w:after="0"/>
              <w:rPr>
                <w:sz w:val="20"/>
                <w:szCs w:val="20"/>
                <w:color w:val="auto"/>
              </w:rPr>
            </w:pPr>
            <w:r>
              <w:rPr>
                <w:rFonts w:ascii="Arial" w:cs="Arial" w:eastAsia="Arial" w:hAnsi="Arial"/>
                <w:sz w:val="13"/>
                <w:szCs w:val="13"/>
                <w:color w:val="auto"/>
              </w:rPr>
              <w:t>8,327</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6,700</w:t>
            </w:r>
          </w:p>
        </w:tc>
      </w:tr>
    </w:tbl>
    <w:p>
      <w:pPr>
        <w:spacing w:after="0" w:line="89" w:lineRule="exact"/>
        <w:rPr>
          <w:sz w:val="20"/>
          <w:szCs w:val="20"/>
          <w:color w:val="auto"/>
        </w:rPr>
      </w:pPr>
    </w:p>
    <w:p>
      <w:pPr>
        <w:ind w:left="380" w:right="419" w:hanging="330"/>
        <w:spacing w:after="0" w:line="243"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carrying value of Real Estate Facilities at December 31, 2023 and September 30, 2023, include $17.3 million and $4.0 million, respectively, reported as liabilities related to assets held for sale in the condensed consolidated balance sheet.</w:t>
      </w:r>
    </w:p>
    <w:p>
      <w:pPr>
        <w:spacing w:after="0" w:line="317" w:lineRule="exact"/>
        <w:rPr>
          <w:sz w:val="20"/>
          <w:szCs w:val="20"/>
          <w:color w:val="auto"/>
        </w:rPr>
      </w:pPr>
    </w:p>
    <w:p>
      <w:pPr>
        <w:ind w:left="60" w:right="5819" w:hanging="10"/>
        <w:spacing w:after="0" w:line="486"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1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June 22, 2021, FreedomRoads Holding Company, LLC (“FR Holdco”), an indirect wholly-owned subsidiary of CWGS, LLC, filed a one-count complaint captioned FreedomRoads Holding Company, LLC v. Steve Weissmann in the Circuit Court of Cook County, Illinois against Steve Weissmann (“Weissmann”) for breach of contractual obligation under note guarantee (the “Note”) (the “Weissmann Complaint”). On October 8, 2021, Weissmann brought a counterclaim against FR Holdco and third-party defendants Marcus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spacing w:after="0" w:line="8" w:lineRule="exact"/>
        <w:rPr>
          <w:sz w:val="20"/>
          <w:szCs w:val="20"/>
          <w:color w:val="auto"/>
        </w:rPr>
      </w:pPr>
    </w:p>
    <w:p>
      <w:pPr>
        <w:jc w:val="both"/>
        <w:ind w:left="60" w:right="59" w:hanging="10"/>
        <w:spacing w:after="0" w:line="235" w:lineRule="auto"/>
        <w:tabs>
          <w:tab w:leader="none" w:pos="4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Lemonis, NBCUniversal, and Machete filed a Petition to Confirm Arbitration Award in the Superior Court for the State of California, County of Los Angeles. The parties’ respective oppositions to the petitions are due to be filed on November 4, 2024 and reply briefs in support of their respective petitions are due to be filed on November 11, 2024. The court will hear the petitions on November 20, 2024.</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On November 10, 2021, Tumbleweed Tiny House Company, Inc. (“Tumbleweed”) filed a complaint against FR Holdco, CW, Marcus Lemonis, NBCUniversal Media, LLC, and Machete Productions in which</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Lemonis, compelling Tumbleweed’s claims to arbitration. Tumbleweed served its arbitration demand on FR Holdco, CW, and Marcus Lemonis on May 17, 2022. FR Holdco, CW, and Marcus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Lemonis, NBCUniversal, and Machete filed a Petition to Confirm Arbitration Award in the Superior Court for the State of California, County of Los Angeles. The oppositions to the petitions are due to be filed on November 4, 2024 and reply briefs in support of their respective petitions are due to be filed on November 11, 2024. The court will hear the petitions on November 20, 2024.</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Precise Complaint</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May 3, 2022, Lynn E. Feldman, Esquire, in her capacity as the Chapter 7 Trustee (the “Trustee”) for the Estate of Precise Graphix, LLC (the “Precise Estate”) filed a complaint against NBCUniversal Media, LLC, Machete Corporation, and CW in which the Trustee alleges claims on behalf of the Precise Estate in connection with its appearance on The Profit and subsequent commercial relationship with CW (the “Precise Complaint”), seeking primarily monetary damages from CW. The Trustee alleges the following claims against defendants, including CW: (i) fraud; (ii) false promise; (iii) breach of fiduciary duty; (iv) breach of contract; (v) breach of oral contract; (vi) fraud in the inducement; (vii) negligent misrepresentation; (viii) fraudulent concealment; (ix) conspiracy; (x) unlawful business practices in violation of California Business and Professions Code §17200;</w:t>
      </w:r>
    </w:p>
    <w:p>
      <w:pPr>
        <w:spacing w:after="0" w:line="3" w:lineRule="exact"/>
        <w:rPr>
          <w:sz w:val="20"/>
          <w:szCs w:val="20"/>
          <w:color w:val="auto"/>
        </w:rPr>
      </w:pPr>
    </w:p>
    <w:p>
      <w:pPr>
        <w:jc w:val="both"/>
        <w:ind w:left="60" w:right="59" w:hanging="10"/>
        <w:spacing w:after="0" w:line="235" w:lineRule="auto"/>
        <w:tabs>
          <w:tab w:leader="none" w:pos="3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aiding and abetting; (xii) breach of fiduciary duty; and (xiii) declaratory judgment. The Trustee did not serve the Precise Complaint on CW. On July 3, 2022, the Precise Estate filed its arbitration demand against CW, NBCUniversal, and Machete alleging substantially similar claims as the Precise Complaint. On April 4, 2023, the Precise Estate’s arbitration demand was tried before a single arbitrator pursuant to the JAMS streamlined arbitration rules in a confidential arbitration hearing. On May 31, 2023, the Arbitration was concluded and an award was entered by the Arbitrator against the Precise Estate in the amount of $7.1 million (the “Final Award”), of which CW would be entitled to $3.7 million. On June 13, 2023, the Trustee filed a notice of appeal of the Final Award with JAMS. On June 29, 2023, CW advanced the Trustee’s portion of the fee required by JAMS to advance the appeal. On July 5, 2023, CW filed an application in the United States Bankruptcy Court for the Eastern District of Pennsylvania (the “USBC”) seeking an order, inter alia, allowing the JAMS fee as an administrative expense of the Precise Estate. On July 14, 2023, the Trustee and respondents, including CW, filed a stipulation and agreed order (the “Stipulation”) as follows: (1) upon approval and entry of the Stipulation, CW’s claim for $3,500 shall be allowed and reimbursed; (2) the Trustee will notify JAMS that she is irrevocably withdrawing and ending her pending appeal of the Final Award; and (3) the Trustee will not dispute the amount of the Final Award. On July 17, 2023, the USBC entered the Stipulation as an order, which became final upon the expiration of the ten (10) day appeal period. Precise withdrew its appeal and on August 14, 2023 JAMS closed the arbitration. On September 25, 2023, the Superior Court of the State of California, upon motion by defendants, confirmed the arbitration award. On October 6, 2023, defendants filed an application in the matter of In re: Precise Graphix, LLC, pending in the United States Bankruptcy Court for the Eastern District of Pennsylvania (the “Bankruptcy Court”) seeking to have the fee award deemed an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administrative expense in the Precise Estate. On April 4, 2024, the Trustee, CW, and the Precise Estate entered into a settlement agreement which provides for, among other things, an allowed claim against the Precise Estate in favor of CW in the amount of $3.7 million, a portion of which is payable upon the entry of a final order of the Bankruptcy Estate approving the settlement agreement and mutual releases from the parties (the “Settlement Agreement”). On May 7, 2024, the Bankruptcy Court approved the Settlement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The Company does not have sufficient information to estimate a possible loss or range of possible loss for the matters discussed above. No assurance can be made that these or similar suits will not result in a material financial exposure in excess of insurance coverage, which could have a material adverse effect upon the Company’s financial condition and results of operations.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From time to time, the Company is involved in other litigation arising in the normal course of business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Supplier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connection with the divestiture of CWDS, the Company entered into a Supplier Agreement with the buyer that requires the Company to purchase an aggregate $250.0 million of product over the approximately 10-year term of the Supplier Agreement. See Note 5 — Assets Held for Sale and Business Divestiture for a discussion of the divestiture of CWDS.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September 30, 2024, December 31, 2023, and September 30, 2023, outstanding standby letters of credit issued through our Floor Plan Facility were $12.3 million, $12.3 million, and $11.3 million, respectively (see Note 3 — Inventories and Floor Plan Payables). The outstanding standby letters of credit issued through the Senior Secured Credit Facilities as of September 30, 2024, December 31, 2023, and September 30, 2023 were $4.9 million (see Note 7 — Long-Term Debt). As of September 30, 2024, December 31, 2023, and September 30, 2023, outstanding surety bonds were $25.0 million, $23.2 million, and $24.6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Statement of 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 (in thousands) were as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64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during the period for: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Interest</w:t>
            </w:r>
          </w:p>
        </w:tc>
        <w:tc>
          <w:tcPr>
            <w:tcW w:w="260" w:type="dxa"/>
            <w:vAlign w:val="bottom"/>
          </w:tcPr>
          <w:p>
            <w:pPr>
              <w:jc w:val="right"/>
              <w:ind w:right="79"/>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187,231</w:t>
            </w:r>
          </w:p>
        </w:tc>
        <w:tc>
          <w:tcPr>
            <w:tcW w:w="2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159,191</w:t>
            </w: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3,040</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Capital expenditures in accounts payable and accrued liabilities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13,637</w:t>
            </w:r>
          </w:p>
        </w:tc>
      </w:tr>
      <w:tr>
        <w:trPr>
          <w:trHeight w:val="184"/>
        </w:trPr>
        <w:tc>
          <w:tcPr>
            <w:tcW w:w="6400" w:type="dxa"/>
            <w:vAlign w:val="bottom"/>
          </w:tcPr>
          <w:p>
            <w:pPr>
              <w:ind w:left="220"/>
              <w:spacing w:after="0" w:line="183" w:lineRule="exact"/>
              <w:rPr>
                <w:sz w:val="20"/>
                <w:szCs w:val="20"/>
                <w:color w:val="auto"/>
              </w:rPr>
            </w:pPr>
            <w:r>
              <w:rPr>
                <w:rFonts w:ascii="Arial" w:cs="Arial" w:eastAsia="Arial" w:hAnsi="Arial"/>
                <w:sz w:val="18"/>
                <w:szCs w:val="18"/>
                <w:color w:val="auto"/>
              </w:rPr>
              <w:t>Contingent consideration recognized as partial consideration for purchase of</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6400" w:type="dxa"/>
            <w:vAlign w:val="bottom"/>
          </w:tcPr>
          <w:p>
            <w:pPr>
              <w:ind w:left="220"/>
              <w:spacing w:after="0"/>
              <w:rPr>
                <w:sz w:val="20"/>
                <w:szCs w:val="20"/>
                <w:color w:val="auto"/>
              </w:rPr>
            </w:pPr>
            <w:r>
              <w:rPr>
                <w:rFonts w:ascii="Arial" w:cs="Arial" w:eastAsia="Arial" w:hAnsi="Arial"/>
                <w:sz w:val="18"/>
                <w:szCs w:val="18"/>
                <w:color w:val="auto"/>
              </w:rPr>
              <w:t>a business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64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Fair value of holdback receivable recognized as partial consideration for</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1"/>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divestiture of a business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6400" w:type="dxa"/>
            <w:vAlign w:val="bottom"/>
          </w:tcPr>
          <w:p>
            <w:pPr>
              <w:ind w:left="220"/>
              <w:spacing w:after="0" w:line="183" w:lineRule="exact"/>
              <w:rPr>
                <w:sz w:val="20"/>
                <w:szCs w:val="20"/>
                <w:color w:val="auto"/>
              </w:rPr>
            </w:pPr>
            <w:r>
              <w:rPr>
                <w:rFonts w:ascii="Arial" w:cs="Arial" w:eastAsia="Arial" w:hAnsi="Arial"/>
                <w:sz w:val="18"/>
                <w:szCs w:val="18"/>
                <w:color w:val="auto"/>
              </w:rPr>
              <w:t>Supplier agreement intangible asset recognized as partial consideration for</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6400" w:type="dxa"/>
            <w:vAlign w:val="bottom"/>
          </w:tcPr>
          <w:p>
            <w:pPr>
              <w:ind w:left="220"/>
              <w:spacing w:after="0"/>
              <w:rPr>
                <w:sz w:val="20"/>
                <w:szCs w:val="20"/>
                <w:color w:val="auto"/>
              </w:rPr>
            </w:pPr>
            <w:r>
              <w:rPr>
                <w:rFonts w:ascii="Arial" w:cs="Arial" w:eastAsia="Arial" w:hAnsi="Arial"/>
                <w:sz w:val="18"/>
                <w:szCs w:val="18"/>
                <w:color w:val="auto"/>
              </w:rPr>
              <w:t>divestiture of a business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64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Prior period deposit applied to portion of purchase price of RV dealership</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1"/>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Purchase of real property through assumption of other long-term debt</w:t>
            </w:r>
          </w:p>
        </w:tc>
        <w:tc>
          <w:tcPr>
            <w:tcW w:w="26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5,185</w:t>
            </w: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Note receivable exchanged for amounts owed by other investment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2,153</w:t>
            </w:r>
          </w:p>
        </w:tc>
      </w:tr>
      <w:tr>
        <w:trPr>
          <w:trHeight w:val="184"/>
        </w:trPr>
        <w:tc>
          <w:tcPr>
            <w:tcW w:w="6400" w:type="dxa"/>
            <w:vAlign w:val="bottom"/>
          </w:tcPr>
          <w:p>
            <w:pPr>
              <w:ind w:left="220"/>
              <w:spacing w:after="0" w:line="183" w:lineRule="exact"/>
              <w:rPr>
                <w:sz w:val="20"/>
                <w:szCs w:val="20"/>
                <w:color w:val="auto"/>
              </w:rPr>
            </w:pPr>
            <w:r>
              <w:rPr>
                <w:rFonts w:ascii="Arial" w:cs="Arial" w:eastAsia="Arial" w:hAnsi="Arial"/>
                <w:sz w:val="18"/>
                <w:szCs w:val="18"/>
                <w:color w:val="auto"/>
              </w:rPr>
              <w:t>Par value of Class A common stock issued for redemption of common units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6400" w:type="dxa"/>
            <w:vAlign w:val="bottom"/>
          </w:tcPr>
          <w:p>
            <w:pPr>
              <w:ind w:left="220"/>
              <w:spacing w:after="0"/>
              <w:rPr>
                <w:sz w:val="20"/>
                <w:szCs w:val="20"/>
                <w:color w:val="auto"/>
              </w:rPr>
            </w:pPr>
            <w:r>
              <w:rPr>
                <w:rFonts w:ascii="Arial" w:cs="Arial" w:eastAsia="Arial" w:hAnsi="Arial"/>
                <w:sz w:val="18"/>
                <w:szCs w:val="18"/>
                <w:color w:val="auto"/>
              </w:rPr>
              <w:t>in CWGS, LLC</w:t>
            </w:r>
          </w:p>
        </w:tc>
        <w:tc>
          <w:tcPr>
            <w:tcW w:w="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treasury stock issued for vested restricted stock units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15,299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16,759</w:t>
            </w:r>
          </w:p>
        </w:tc>
      </w:tr>
    </w:tbl>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Acquisitions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nine months ended September 30, 2024 and 2023,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nine months ended September 30, 2024, the RV and Outdoor Retail segment acquired the assets of various RV dealerships comprised of nine locations for an aggregate purchase price of approximately $69.4 million, of which one RV dealership had not opened by September 30, 2024. Separate from these acquisitions, during the nine months ended September 30, 2024, the Company purchased real property for an aggregate purchase price of $1.2 million. Additionally, in June 2024, the Good Sam Services and Plans segment acquired the assets of a tire rescue roadside assistance business for $1.8 million in cash and up to an aggregate $0.5 million of milestone payments of which half is potentially payable at each of the first two anniversaries of the date of the acquisition. These potential milestone payments were recorded as contingent consideration with a fair value of $0.4 million. The tire rescue roadside assistance business included a robust dispatch platform and strong network of service providers, which provide an opportunity to serve our customer base more effectively and reduce cost.</w:t>
      </w:r>
    </w:p>
    <w:p>
      <w:pPr>
        <w:spacing w:after="0" w:line="1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During the nine months ended September 30, 2023, the RV and Outdoor Retail segment acquired the assets of various RV dealerships comprised of 15 locations for an aggregate purchase price of approximately $150.5 million, of which three RV dealerships had not opened by September 30, 2023. Separate from these acquisitions, during the nine months ended September 30, 2023, the Company purchased real property for an aggregate purchase price of $69.5 million, of which $5.2 million was paid through the assumption of the related promissory note (see Note 7 ―Long-Term Debt ― Other Long-Term Debt).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estimated fair values of the assets acquired and liabilities assumed for the acquisitions discussed above consist of the following, net of insignificant measurement period adjustments relating to acquisitions from the respective previous year:</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8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Tangible assets (liabilities) acquired (assumed):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83,939</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15,328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(14,216)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tangible net assets acquired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37,879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84,759</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acquired: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Supplier and customer relationships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intangible assets acquired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3,195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30,490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65,716</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Purchase price of acquisitions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71,564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150,475</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Application of deposit paid in prior period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acquisitions, net of cash acquired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62,323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150,475</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Inventory purchases financed via floor plan</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(49,162)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(70,568)</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payment net of floor plan financing</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79,907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fair values above for the nine months ended September 30, 2024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For the nine months ended September 30,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$2.6 million during the nine months ended September 30, 2024. Developed technology intangible asset acquired of $0.6 million has an estimated useful life of five years.</w:t>
      </w:r>
    </w:p>
    <w:p>
      <w:pPr>
        <w:spacing w:after="0" w:line="7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qualify for recognition as a separately identified intangible asset. For the nine months ended September 30, 2024 and 2023, acquired goodwill of $30.5 million and $65.7 million, respectively, was expected to be deductible for tax purposes.</w:t>
      </w:r>
    </w:p>
    <w:p>
      <w:pPr>
        <w:spacing w:after="0" w:line="68"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Included in the condensed consolidated financial statements for the nine months ended September 30, 2024 was revenue of $69.0 million and pre-tax income of $1.1 million from the acquired dealerships from the applicable acquisition dates. Included in the condensed consolidated financial statements for the nine months ended September 30, 2024 were insignificant amounts of revenue and pre-tax income from the acquired tire rescue roadside assistance business from the applicable acquisition date. Included in the condensed consolidated financial statements for the nine months ended September 30, 2023 were revenue of $60.5 million and pre-tax loss of $ 2.4 million from the acquired dealerships from the applicable acquisition dates. Pro forma information on these acquisitions has not been included, because the Company has deemed them to not be individually or cumulatively material.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CWH is organized as a Subchapter C corporation and, as of September 30, 2024, is a 53.1% owner of CWGS, LLC (see Note 16 — Non-Controlling Interests). CWGS, LLC is organized as a limited liability company and treated as a partnership for U.S. federal and most applicable state and local income tax purposes and as such, is generally not subject to any U.S. federal entity-level income taxes. However, certain CWGS, LLC subsidiaries, including Americas Road and Travel Club, Inc. and FreedomRoads RV, Inc. and their wholly-owned subsidiaries, are subject to entity-level taxes as they are Subchapter C corporations (“C-Corps”).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Effective Income Tax Rate</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nine months ended September 30, 2024 and 2023, the Company's effective income tax rate was 14.0% and 14.9%, respectively. The effective tax rate differed from the federal statutory rate of 21.0% primarily due to state taxes, certain accrual to return adjustments and a portion of the Company’s earnings being attributable to non-controlling interests in limited liability companies, which are not subject to entity level taxes. Additionally, the September 30, 2023 effective tax rate was favorably impacted by an entity classification election.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w:t>
      </w:r>
    </w:p>
    <w:p>
      <w:pPr>
        <w:jc w:val="both"/>
        <w:ind w:left="60" w:right="59" w:hanging="10"/>
        <w:spacing w:after="0" w:line="236" w:lineRule="auto"/>
        <w:tabs>
          <w:tab w:leader="none" w:pos="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GP, L.P in exchange for Class A common stock in connection with the consummation of the IPO and the related transactions and any future redemptions that are funded by the Company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expects to benefit from the remaining 15% of the tax benefits, if any, which may be realized. The Company does not expect a cash tax reduction for tax benefits subject to the Tax Receivable Agreement during the year ending December 31, 2024 and, therefore, does not expect a payment under the Tax Receivable Agreement to be made during the year ending December 31, 2025.</w:t>
      </w:r>
    </w:p>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January 1, 2023, giftees of common units that had been gifted by CWGS Holding, LLC, a wholly-owned subsidiary of ML Acquisition Company, LLC, which is indirectly owned by Marcus Lemonis, the Company’s Chairman and Chief Executive Officer, redeemed 2.0 million common units in CWGS, LLC for 2.0 million shares of the Company’s Class A common stock (see Note 16 — Non-Controlling Interests). The increase in deferred tax assets, the non-current portion of the Tax Receivable Agreement liability, and additional paid-in capital resulting from these redemptions was $6.3 million, $5.4 million, and $0.9 million, respectively. Payments pursuant to the Tax Receivable Agreement relating to these redemptions may begin as early as the year ending December 31, 2024.</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FreedomRoads leases various RV dealership locations from managers and officers. During the nine months ended September 30, 2023, the related party lease expense for these locations was $3.2 million, which was included in selling, general, and administrative expenses in the condensed consolidated statements of operations. For the nine months ended September 30, 2024 there was no related party lease expense.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From January 2012 until its expiration in March 2024, FreedomRoads was the lessee of what is now its previous corporate headquarters in Lincolnshire, Illinois (as amended from time to time, the “Lincolnshire Lease”). There were $0.2 million of rental payments for this lease for the three months ended September 30, 2023, which included common area maintenance charges. For the nine months ended September 30, 2024 and 2023, rental payments for the Lincolnshire Lease, including common area maintenance charges, were $0.2 million and $0.7 million, respectively, which were included in selling, general, and administrative expenses in the condensed consolidated statements of operations. The Company’s Chairman and Chief Executive Officer had personally guaranteed the Lincolnshire Lease.</w:t>
      </w:r>
    </w:p>
    <w:p>
      <w:pPr>
        <w:spacing w:after="0" w:line="383" w:lineRule="exact"/>
        <w:rPr>
          <w:sz w:val="20"/>
          <w:szCs w:val="20"/>
          <w:color w:val="auto"/>
        </w:rPr>
      </w:pPr>
    </w:p>
    <w:p>
      <w:pPr>
        <w:jc w:val="center"/>
        <w:ind w:left="60" w:right="6599" w:hanging="10"/>
        <w:spacing w:after="0" w:line="513" w:lineRule="auto"/>
        <w:tabs>
          <w:tab w:leader="none" w:pos="3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 Repurchase Program</w:t>
      </w:r>
    </w:p>
    <w:p>
      <w:pPr>
        <w:spacing w:after="0" w:line="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During the nine months ended September 30, 2024 and 2023, the Company did not repurchase Class A common stock under the stock repurchase program. Repurchases under the stock repurchase program are subject to any applicable limitations on the availability of funds to be distributed to the Company by CWGS, LLC to fund repurchases and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of its shares under this authorization. This program does not obligate the Company to acquire any particular amount of Class A common stock and the program may be extended, modified, suspended or discontinued at any time at the Board’s discretion. The Company expects to fund the repurchases using cash on hand. As of September 30, 2024, the remaining approved amount for repurchases of Class A common stock under the share repurchase program was approximately $120.2 million and the program expires on December 31, 2025.</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Non-Controlling Interests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960" w:type="dxa"/>
            <w:vAlign w:val="bottom"/>
          </w:tcPr>
          <w:p>
            <w:pPr>
              <w:spacing w:after="0"/>
              <w:rPr>
                <w:sz w:val="12"/>
                <w:szCs w:val="12"/>
                <w:color w:val="auto"/>
              </w:rPr>
            </w:pPr>
          </w:p>
        </w:tc>
        <w:tc>
          <w:tcPr>
            <w:tcW w:w="2000" w:type="dxa"/>
            <w:vAlign w:val="bottom"/>
            <w:gridSpan w:val="4"/>
          </w:tcPr>
          <w:p>
            <w:pPr>
              <w:ind w:left="220"/>
              <w:spacing w:after="0"/>
              <w:rPr>
                <w:sz w:val="20"/>
                <w:szCs w:val="20"/>
                <w:color w:val="auto"/>
              </w:rPr>
            </w:pPr>
            <w:r>
              <w:rPr>
                <w:rFonts w:ascii="Arial" w:cs="Arial" w:eastAsia="Arial" w:hAnsi="Arial"/>
                <w:sz w:val="12"/>
                <w:szCs w:val="12"/>
                <w:b w:val="1"/>
                <w:bCs w:val="1"/>
                <w:color w:val="auto"/>
              </w:rPr>
              <w:t>As of September 30, 2024</w:t>
            </w:r>
          </w:p>
        </w:tc>
        <w:tc>
          <w:tcPr>
            <w:tcW w:w="2020" w:type="dxa"/>
            <w:vAlign w:val="bottom"/>
            <w:gridSpan w:val="4"/>
          </w:tcPr>
          <w:p>
            <w:pPr>
              <w:ind w:left="260"/>
              <w:spacing w:after="0"/>
              <w:rPr>
                <w:sz w:val="20"/>
                <w:szCs w:val="20"/>
                <w:color w:val="auto"/>
              </w:rPr>
            </w:pPr>
            <w:r>
              <w:rPr>
                <w:rFonts w:ascii="Arial" w:cs="Arial" w:eastAsia="Arial" w:hAnsi="Arial"/>
                <w:sz w:val="12"/>
                <w:szCs w:val="12"/>
                <w:b w:val="1"/>
                <w:bCs w:val="1"/>
                <w:color w:val="auto"/>
              </w:rPr>
              <w:t>As of December 31, 2023</w:t>
            </w:r>
          </w:p>
        </w:tc>
        <w:tc>
          <w:tcPr>
            <w:tcW w:w="1920" w:type="dxa"/>
            <w:vAlign w:val="bottom"/>
            <w:gridSpan w:val="3"/>
          </w:tcPr>
          <w:p>
            <w:pPr>
              <w:jc w:val="right"/>
              <w:ind w:right="171"/>
              <w:spacing w:after="0"/>
              <w:rPr>
                <w:sz w:val="20"/>
                <w:szCs w:val="20"/>
                <w:color w:val="auto"/>
              </w:rPr>
            </w:pPr>
            <w:r>
              <w:rPr>
                <w:rFonts w:ascii="Arial" w:cs="Arial" w:eastAsia="Arial" w:hAnsi="Arial"/>
                <w:sz w:val="12"/>
                <w:szCs w:val="12"/>
                <w:b w:val="1"/>
                <w:bCs w:val="1"/>
                <w:color w:val="auto"/>
              </w:rPr>
              <w:t>As of September 30, 2023</w:t>
            </w:r>
          </w:p>
        </w:tc>
      </w:tr>
      <w:tr>
        <w:trPr>
          <w:trHeight w:val="128"/>
        </w:trPr>
        <w:tc>
          <w:tcPr>
            <w:tcW w:w="2960" w:type="dxa"/>
            <w:vAlign w:val="bottom"/>
          </w:tcPr>
          <w:p>
            <w:pPr>
              <w:spacing w:after="0"/>
              <w:rPr>
                <w:sz w:val="11"/>
                <w:szCs w:val="11"/>
                <w:color w:val="auto"/>
              </w:rPr>
            </w:pPr>
          </w:p>
        </w:tc>
        <w:tc>
          <w:tcPr>
            <w:tcW w:w="11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2"/>
                <w:szCs w:val="12"/>
                <w:b w:val="1"/>
                <w:bCs w:val="1"/>
                <w:color w:val="auto"/>
              </w:rPr>
              <w:t>Common Units</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7"/>
              </w:rPr>
              <w:t>Ownership %</w:t>
            </w:r>
          </w:p>
        </w:tc>
        <w:tc>
          <w:tcPr>
            <w:tcW w:w="140" w:type="dxa"/>
            <w:vAlign w:val="bottom"/>
          </w:tcPr>
          <w:p>
            <w:pPr>
              <w:spacing w:after="0"/>
              <w:rPr>
                <w:sz w:val="11"/>
                <w:szCs w:val="11"/>
                <w:color w:val="auto"/>
              </w:rPr>
            </w:pPr>
          </w:p>
        </w:tc>
        <w:tc>
          <w:tcPr>
            <w:tcW w:w="11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Common Units</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7"/>
              </w:rPr>
              <w:t>Ownership %</w:t>
            </w:r>
          </w:p>
        </w:tc>
        <w:tc>
          <w:tcPr>
            <w:tcW w:w="120" w:type="dxa"/>
            <w:vAlign w:val="bottom"/>
          </w:tcPr>
          <w:p>
            <w:pPr>
              <w:spacing w:after="0"/>
              <w:rPr>
                <w:sz w:val="11"/>
                <w:szCs w:val="11"/>
                <w:color w:val="auto"/>
              </w:rPr>
            </w:pPr>
          </w:p>
        </w:tc>
        <w:tc>
          <w:tcPr>
            <w:tcW w:w="11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2"/>
                <w:szCs w:val="12"/>
                <w:b w:val="1"/>
                <w:bCs w:val="1"/>
                <w:color w:val="auto"/>
              </w:rPr>
              <w:t>Common Units</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9"/>
              </w:rPr>
              <w:t>Ownership %</w:t>
            </w:r>
          </w:p>
        </w:tc>
      </w:tr>
      <w:tr>
        <w:trPr>
          <w:trHeight w:val="155"/>
        </w:trPr>
        <w:tc>
          <w:tcPr>
            <w:tcW w:w="29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CWH</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45,341,818</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53.1%</w:t>
            </w:r>
          </w:p>
        </w:tc>
        <w:tc>
          <w:tcPr>
            <w:tcW w:w="1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45,020,116</w:t>
            </w: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52.9%</w:t>
            </w: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44,780,170</w:t>
            </w:r>
          </w:p>
        </w:tc>
        <w:tc>
          <w:tcPr>
            <w:tcW w:w="1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52.8%</w:t>
            </w:r>
          </w:p>
        </w:tc>
      </w:tr>
      <w:tr>
        <w:trPr>
          <w:trHeight w:val="162"/>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Continuing Equity Owners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r>
      <w:tr>
        <w:trPr>
          <w:trHeight w:val="155"/>
        </w:trPr>
        <w:tc>
          <w:tcPr>
            <w:tcW w:w="29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85,386,354</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85,064,652</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84,824,706</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r>
      <w:tr>
        <w:trPr>
          <w:trHeight w:val="20"/>
        </w:trPr>
        <w:tc>
          <w:tcPr>
            <w:tcW w:w="2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December 2022, CWGS Holding, LLC, a wholly-owned subsidiary of ML Acquisition Company, LLC, which is indirectly owned by The Stephen Adams Living Trust and Marcus Lemonis, the Company’s Chairman and Chief Executive Officer, gifted 2,000,000 common units of CWGS, LLC in total to a college and hospital (“2022 Common Unit Giftees”), which resulted in the corresponding 2,000,000 shares of Class B common stock being transferred to the 2022 Common Unit Giftees. On January 1, 2023, the 2022 Common Unit Giftees redeemed the 2,000,000 common units of CWGS, LLC for 2,000,000 shares of the Company’s Class A common stock, which also resulted in the cancellation of 2,000,000 shares of the Company’s Class B</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common stock that had been transferred to the 2022 Common Unit Giftees with no additional consideration provided.</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1400" w:type="dxa"/>
            <w:vAlign w:val="bottom"/>
            <w:gridSpan w:val="4"/>
          </w:tcPr>
          <w:p>
            <w:pPr>
              <w:ind w:left="1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400" w:type="dxa"/>
            <w:vAlign w:val="bottom"/>
            <w:gridSpan w:val="4"/>
          </w:tcPr>
          <w:p>
            <w:pPr>
              <w:jc w:val="right"/>
              <w:ind w:right="29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42"/>
        </w:trPr>
        <w:tc>
          <w:tcPr>
            <w:tcW w:w="56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5"/>
        </w:trPr>
        <w:tc>
          <w:tcPr>
            <w:tcW w:w="54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(loss) attributable to Camping World Holdings, Inc.</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5,501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15,961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(7,035)</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47,833</w:t>
            </w:r>
          </w:p>
        </w:tc>
        <w:tc>
          <w:tcPr>
            <w:tcW w:w="0" w:type="dxa"/>
            <w:vAlign w:val="bottom"/>
          </w:tcPr>
          <w:p>
            <w:pPr>
              <w:spacing w:after="0"/>
              <w:rPr>
                <w:sz w:val="1"/>
                <w:szCs w:val="1"/>
                <w:color w:val="auto"/>
              </w:rPr>
            </w:pPr>
          </w:p>
        </w:tc>
      </w:tr>
      <w:tr>
        <w:trPr>
          <w:trHeight w:val="162"/>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Transfers to non-controlling interests: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62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the purchase of common units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from CWGS, LLC with proceeds from the exercise of stock options</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(217)</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3"/>
        </w:trPr>
        <w:tc>
          <w:tcPr>
            <w:tcW w:w="562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the vesting of restricted stock</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units</w:t>
            </w: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(9,783)</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(11,313)</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(13,616)</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(14,382)</w:t>
            </w:r>
          </w:p>
        </w:tc>
        <w:tc>
          <w:tcPr>
            <w:tcW w:w="0" w:type="dxa"/>
            <w:vAlign w:val="bottom"/>
          </w:tcPr>
          <w:p>
            <w:pPr>
              <w:spacing w:after="0"/>
              <w:rPr>
                <w:sz w:val="1"/>
                <w:szCs w:val="1"/>
                <w:color w:val="auto"/>
              </w:rPr>
            </w:pPr>
          </w:p>
        </w:tc>
      </w:tr>
      <w:tr>
        <w:trPr>
          <w:trHeight w:val="153"/>
        </w:trPr>
        <w:tc>
          <w:tcPr>
            <w:tcW w:w="562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Increase in additional paid-in capital as a result of repurchases of Class A common</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 for withholding taxes on vested RSUs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53"/>
        </w:trPr>
        <w:tc>
          <w:tcPr>
            <w:tcW w:w="562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Increase in additional paid-in capital as a result of the redemption of common units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of CWGS, LLC</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9,673</w:t>
            </w:r>
          </w:p>
        </w:tc>
        <w:tc>
          <w:tcPr>
            <w:tcW w:w="0" w:type="dxa"/>
            <w:vAlign w:val="bottom"/>
          </w:tcPr>
          <w:p>
            <w:pPr>
              <w:spacing w:after="0"/>
              <w:rPr>
                <w:sz w:val="1"/>
                <w:szCs w:val="1"/>
                <w:color w:val="auto"/>
              </w:rPr>
            </w:pPr>
          </w:p>
        </w:tc>
      </w:tr>
      <w:tr>
        <w:trPr>
          <w:trHeight w:val="133"/>
        </w:trPr>
        <w:tc>
          <w:tcPr>
            <w:tcW w:w="562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Change from net income (loss) attributable to Camping World Holdings, Inc. and</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(2,955)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5,691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(19,077)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44,295</w:t>
            </w:r>
          </w:p>
        </w:tc>
        <w:tc>
          <w:tcPr>
            <w:tcW w:w="0" w:type="dxa"/>
            <w:vAlign w:val="bottom"/>
          </w:tcPr>
          <w:p>
            <w:pPr>
              <w:spacing w:after="0"/>
              <w:rPr>
                <w:sz w:val="1"/>
                <w:szCs w:val="1"/>
                <w:color w:val="auto"/>
              </w:rPr>
            </w:pPr>
          </w:p>
        </w:tc>
      </w:tr>
      <w:tr>
        <w:trPr>
          <w:trHeight w:val="158"/>
        </w:trPr>
        <w:tc>
          <w:tcPr>
            <w:tcW w:w="5620" w:type="dxa"/>
            <w:vAlign w:val="bottom"/>
            <w:gridSpan w:val="2"/>
            <w:shd w:val="clear" w:color="auto" w:fill="CCEEFF"/>
          </w:tcPr>
          <w:p>
            <w:pPr>
              <w:ind w:left="120"/>
              <w:spacing w:after="0" w:line="158" w:lineRule="exact"/>
              <w:rPr>
                <w:sz w:val="20"/>
                <w:szCs w:val="20"/>
                <w:color w:val="auto"/>
              </w:rPr>
            </w:pPr>
            <w:r>
              <w:rPr>
                <w:rFonts w:ascii="Arial" w:cs="Arial" w:eastAsia="Arial" w:hAnsi="Arial"/>
                <w:sz w:val="14"/>
                <w:szCs w:val="14"/>
                <w:color w:val="auto"/>
              </w:rPr>
              <w:t>transfers to non-controlling interests</w:t>
            </w:r>
          </w:p>
        </w:tc>
        <w:tc>
          <w:tcPr>
            <w:tcW w:w="16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Equity-Based Compensation Plans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equity-based compensation that has been included in the following line items within the condensed consolidated statements of operations during:</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97"/>
              </w:rPr>
              <w:t>Three Months Ended September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5"/>
        </w:trPr>
        <w:tc>
          <w:tcPr>
            <w:tcW w:w="4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30,</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96"/>
              </w:rPr>
              <w:t>Nine Months Ended September 30,</w:t>
            </w:r>
          </w:p>
        </w:tc>
      </w:tr>
      <w:tr>
        <w:trPr>
          <w:trHeight w:val="142"/>
        </w:trPr>
        <w:tc>
          <w:tcPr>
            <w:tcW w:w="484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20" w:type="dxa"/>
            <w:vAlign w:val="bottom"/>
          </w:tcPr>
          <w:p>
            <w:pPr>
              <w:spacing w:after="0"/>
              <w:rPr>
                <w:sz w:val="12"/>
                <w:szCs w:val="12"/>
                <w:color w:val="auto"/>
              </w:rPr>
            </w:pPr>
          </w:p>
        </w:tc>
        <w:tc>
          <w:tcPr>
            <w:tcW w:w="680" w:type="dxa"/>
            <w:vAlign w:val="bottom"/>
          </w:tcPr>
          <w:p>
            <w:pPr>
              <w:jc w:val="right"/>
              <w:ind w:right="238"/>
              <w:spacing w:after="0"/>
              <w:rPr>
                <w:sz w:val="20"/>
                <w:szCs w:val="20"/>
                <w:color w:val="auto"/>
              </w:rPr>
            </w:pPr>
            <w:r>
              <w:rPr>
                <w:rFonts w:ascii="Arial" w:cs="Arial" w:eastAsia="Arial" w:hAnsi="Arial"/>
                <w:sz w:val="12"/>
                <w:szCs w:val="12"/>
                <w:b w:val="1"/>
                <w:bCs w:val="1"/>
                <w:color w:val="auto"/>
              </w:rPr>
              <w:t>2024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38"/>
              <w:spacing w:after="0"/>
              <w:rPr>
                <w:sz w:val="20"/>
                <w:szCs w:val="20"/>
                <w:color w:val="auto"/>
              </w:rPr>
            </w:pPr>
            <w:r>
              <w:rPr>
                <w:rFonts w:ascii="Arial" w:cs="Arial" w:eastAsia="Arial" w:hAnsi="Arial"/>
                <w:sz w:val="12"/>
                <w:szCs w:val="12"/>
                <w:b w:val="1"/>
                <w:bCs w:val="1"/>
                <w:color w:val="auto"/>
              </w:rPr>
              <w:t>2023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2"/>
                <w:szCs w:val="12"/>
                <w:b w:val="1"/>
                <w:bCs w:val="1"/>
                <w:color w:val="auto"/>
              </w:rPr>
              <w:t>2024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2"/>
                <w:szCs w:val="12"/>
                <w:b w:val="1"/>
                <w:bCs w:val="1"/>
                <w:color w:val="auto"/>
              </w:rPr>
              <w:t>2023</w:t>
            </w:r>
          </w:p>
        </w:tc>
      </w:tr>
      <w:tr>
        <w:trPr>
          <w:trHeight w:val="196"/>
        </w:trPr>
        <w:tc>
          <w:tcPr>
            <w:tcW w:w="48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Equity-based compensation expense:</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03"/>
        </w:trPr>
        <w:tc>
          <w:tcPr>
            <w:tcW w:w="4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Costs applicable to revenue</w:t>
            </w:r>
          </w:p>
        </w:tc>
        <w:tc>
          <w:tcPr>
            <w:tcW w:w="220" w:type="dxa"/>
            <w:vAlign w:val="bottom"/>
          </w:tcPr>
          <w:p>
            <w:pPr>
              <w:jc w:val="right"/>
              <w:ind w:right="41"/>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14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1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r>
      <w:tr>
        <w:trPr>
          <w:trHeight w:val="203"/>
        </w:trPr>
        <w:tc>
          <w:tcPr>
            <w:tcW w:w="4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5,478</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5,324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15,891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17,820</w:t>
            </w:r>
          </w:p>
        </w:tc>
      </w:tr>
      <w:tr>
        <w:trPr>
          <w:trHeight w:val="196"/>
        </w:trPr>
        <w:tc>
          <w:tcPr>
            <w:tcW w:w="48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equity-based compensation expense</w:t>
            </w:r>
          </w:p>
        </w:tc>
        <w:tc>
          <w:tcPr>
            <w:tcW w:w="220" w:type="dxa"/>
            <w:vAlign w:val="bottom"/>
            <w:tcBorders>
              <w:bottom w:val="single" w:sz="8" w:color="auto"/>
            </w:tcBorders>
          </w:tcPr>
          <w:p>
            <w:pPr>
              <w:jc w:val="right"/>
              <w:ind w:right="41"/>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5,573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16,167</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18,316</w:t>
            </w:r>
          </w:p>
        </w:tc>
      </w:tr>
      <w:tr>
        <w:trPr>
          <w:trHeight w:val="20"/>
        </w:trPr>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2024:</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Stock Options</w:t>
            </w:r>
          </w:p>
        </w:tc>
      </w:tr>
      <w:tr>
        <w:trPr>
          <w:trHeight w:val="171"/>
        </w:trPr>
        <w:tc>
          <w:tcPr>
            <w:tcW w:w="78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thousands)</w:t>
            </w:r>
          </w:p>
        </w:tc>
      </w:tr>
      <w:tr>
        <w:trPr>
          <w:trHeight w:val="196"/>
        </w:trPr>
        <w:tc>
          <w:tcPr>
            <w:tcW w:w="7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196"/>
        </w:trPr>
        <w:tc>
          <w:tcPr>
            <w:tcW w:w="7820" w:type="dxa"/>
            <w:vAlign w:val="bottom"/>
          </w:tcPr>
          <w:p>
            <w:pPr>
              <w:ind w:left="20"/>
              <w:spacing w:after="0" w:line="196" w:lineRule="exact"/>
              <w:rPr>
                <w:sz w:val="20"/>
                <w:szCs w:val="20"/>
                <w:color w:val="auto"/>
              </w:rPr>
            </w:pPr>
            <w:r>
              <w:rPr>
                <w:rFonts w:ascii="Arial" w:cs="Arial" w:eastAsia="Arial" w:hAnsi="Arial"/>
                <w:sz w:val="18"/>
                <w:szCs w:val="18"/>
                <w:color w:val="auto"/>
              </w:rPr>
              <w:t>Outstanding and exercisable at September 30, 2024</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restricted stock unit (“RSU”) activity for the nine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2024:</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78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r>
      <w:tr>
        <w:trPr>
          <w:trHeight w:val="171"/>
        </w:trPr>
        <w:tc>
          <w:tcPr>
            <w:tcW w:w="78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thousands)</w:t>
            </w:r>
          </w:p>
        </w:tc>
      </w:tr>
      <w:tr>
        <w:trPr>
          <w:trHeight w:val="196"/>
        </w:trPr>
        <w:tc>
          <w:tcPr>
            <w:tcW w:w="7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1,875</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633</w:t>
            </w: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03"/>
        </w:trPr>
        <w:tc>
          <w:tcPr>
            <w:tcW w:w="7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196"/>
        </w:trPr>
        <w:tc>
          <w:tcPr>
            <w:tcW w:w="7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September 30, 2024</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20" w:firstLine="648"/>
        <w:spacing w:after="0" w:line="253" w:lineRule="auto"/>
        <w:rPr>
          <w:sz w:val="20"/>
          <w:szCs w:val="20"/>
          <w:color w:val="auto"/>
        </w:rPr>
      </w:pPr>
      <w:r>
        <w:rPr>
          <w:rFonts w:ascii="Arial" w:cs="Arial" w:eastAsia="Arial" w:hAnsi="Arial"/>
          <w:sz w:val="18"/>
          <w:szCs w:val="18"/>
          <w:color w:val="auto"/>
        </w:rPr>
        <w:t>During the nine months ended September 30, 2024, the Company granted 290,310 RSUs to non-executive employees with an aggregate grant date fair value of $7.4 million and weighted-average grant date fair value of $25.59 per RSU, which will be recognized, net of forfeitures, over a vesting period of five years.</w:t>
      </w:r>
    </w:p>
    <w:p>
      <w:pPr>
        <w:spacing w:after="0" w:line="61" w:lineRule="exact"/>
        <w:rPr>
          <w:sz w:val="20"/>
          <w:szCs w:val="20"/>
          <w:color w:val="auto"/>
        </w:rPr>
      </w:pPr>
    </w:p>
    <w:p>
      <w:pPr>
        <w:jc w:val="both"/>
        <w:ind w:left="60" w:right="120" w:firstLine="648"/>
        <w:spacing w:after="0" w:line="244" w:lineRule="auto"/>
        <w:rPr>
          <w:sz w:val="20"/>
          <w:szCs w:val="20"/>
          <w:color w:val="auto"/>
        </w:rPr>
      </w:pPr>
      <w:r>
        <w:rPr>
          <w:rFonts w:ascii="Arial" w:cs="Arial" w:eastAsia="Arial" w:hAnsi="Arial"/>
          <w:sz w:val="18"/>
          <w:szCs w:val="18"/>
          <w:color w:val="auto"/>
        </w:rPr>
        <w:t>In accordance with the Company’s non-employee director compensation policy, a newly-appointed non-employee director received an initial grant of 750 RSUs in March 2024 and the six non-employee directors each received grants of 6,913 RSUs on the date of the Company’s annual stockholders’ meeting in May 2024 with an aggregate grant date fair value of $0.9 million and a weighted-average grant date fair value of $21.80 per RSU, which will be recognized, net of forfeitures, over a vesting period of one year.</w:t>
      </w:r>
    </w:p>
    <w:p>
      <w:pPr>
        <w:spacing w:after="0" w:line="68" w:lineRule="exact"/>
        <w:rPr>
          <w:sz w:val="20"/>
          <w:szCs w:val="20"/>
          <w:color w:val="auto"/>
        </w:rPr>
      </w:pPr>
    </w:p>
    <w:p>
      <w:pPr>
        <w:jc w:val="both"/>
        <w:ind w:left="60" w:right="120" w:firstLine="648"/>
        <w:spacing w:after="0" w:line="244" w:lineRule="auto"/>
        <w:rPr>
          <w:sz w:val="20"/>
          <w:szCs w:val="20"/>
          <w:color w:val="auto"/>
        </w:rPr>
      </w:pPr>
      <w:r>
        <w:rPr>
          <w:rFonts w:ascii="Arial" w:cs="Arial" w:eastAsia="Arial" w:hAnsi="Arial"/>
          <w:sz w:val="18"/>
          <w:szCs w:val="18"/>
          <w:color w:val="auto"/>
        </w:rPr>
        <w:t>During the nine months ended September 30, 2024, the Company granted 300,000 RSUs in aggregate to three executive officers in conjunction with those executive officers’ amended and restated employment agreements. These RSUs had an aggregate grant date fair value of $ 5.3 million and a weighted-average grant date fair value of $17.52 per RSU, which will be recognized, net of forfeitures, over a vesting period of five years.</w:t>
      </w: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Earnings (Loss) Per Share</w:t>
      </w:r>
    </w:p>
    <w:p>
      <w:pPr>
        <w:spacing w:after="0" w:line="212" w:lineRule="exact"/>
        <w:rPr>
          <w:sz w:val="20"/>
          <w:szCs w:val="20"/>
          <w:color w:val="auto"/>
        </w:rPr>
      </w:pPr>
    </w:p>
    <w:p>
      <w:pPr>
        <w:jc w:val="both"/>
        <w:ind w:left="60" w:right="140" w:firstLine="648"/>
        <w:spacing w:after="0" w:line="244" w:lineRule="auto"/>
        <w:rPr>
          <w:sz w:val="20"/>
          <w:szCs w:val="20"/>
          <w:color w:val="auto"/>
        </w:rPr>
      </w:pPr>
      <w:r>
        <w:rPr>
          <w:rFonts w:ascii="Arial" w:cs="Arial" w:eastAsia="Arial" w:hAnsi="Arial"/>
          <w:sz w:val="18"/>
          <w:szCs w:val="18"/>
          <w:color w:val="auto"/>
        </w:rPr>
        <w:t>Basic earnings (loss) per share of Class A common stock is computed by dividing net income (loss) attributable to Camping World Holdings, Inc. by the weighted-average number of shares of Class A common stock outstanding during the period. Diluted earnings (loss) per share of Class A common stock is computed by dividing net income (loss) attributable to Camping World Holdings, Inc. by the weighted-average number of shares of Class A common stock outstanding adjusted to give effect to potentially dilutive securities.</w:t>
      </w:r>
    </w:p>
    <w:p>
      <w:pPr>
        <w:spacing w:after="0" w:line="176" w:lineRule="exact"/>
        <w:rPr>
          <w:sz w:val="20"/>
          <w:szCs w:val="20"/>
          <w:color w:val="auto"/>
        </w:rPr>
      </w:pPr>
    </w:p>
    <w:p>
      <w:pPr>
        <w:jc w:val="both"/>
        <w:ind w:left="60" w:right="120" w:firstLine="648"/>
        <w:spacing w:after="0" w:line="27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earnings (loss) per share of Class A common stock:</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Arial" w:cs="Arial" w:eastAsia="Arial" w:hAnsi="Arial"/>
                <w:sz w:val="12"/>
                <w:szCs w:val="12"/>
                <w:b w:val="1"/>
                <w:bCs w:val="1"/>
                <w:color w:val="auto"/>
              </w:rPr>
              <w:t>Three Months Ended September 30,</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w w:val="96"/>
              </w:rPr>
              <w:t>Nine Months Ended September 30,</w:t>
            </w:r>
          </w:p>
        </w:tc>
      </w:tr>
      <w:tr>
        <w:trPr>
          <w:trHeight w:val="157"/>
        </w:trPr>
        <w:tc>
          <w:tcPr>
            <w:tcW w:w="4960" w:type="dxa"/>
            <w:vAlign w:val="bottom"/>
          </w:tcPr>
          <w:p>
            <w:pPr>
              <w:spacing w:after="0"/>
              <w:rPr>
                <w:sz w:val="20"/>
                <w:szCs w:val="20"/>
                <w:color w:val="auto"/>
              </w:rPr>
            </w:pPr>
            <w:r>
              <w:rPr>
                <w:rFonts w:ascii="Arial" w:cs="Arial" w:eastAsia="Arial" w:hAnsi="Arial"/>
                <w:sz w:val="11"/>
                <w:szCs w:val="11"/>
                <w:color w:val="auto"/>
              </w:rPr>
              <w:t>(In thousands except per share amounts)</w:t>
            </w:r>
          </w:p>
        </w:tc>
        <w:tc>
          <w:tcPr>
            <w:tcW w:w="1000" w:type="dxa"/>
            <w:vAlign w:val="bottom"/>
            <w:tcBorders>
              <w:top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2024</w:t>
            </w: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3"/>
                <w:szCs w:val="13"/>
                <w:color w:val="auto"/>
              </w:rPr>
            </w:pPr>
          </w:p>
        </w:tc>
        <w:tc>
          <w:tcPr>
            <w:tcW w:w="980" w:type="dxa"/>
            <w:vAlign w:val="bottom"/>
            <w:tcBorders>
              <w:top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2024</w:t>
            </w:r>
          </w:p>
        </w:tc>
        <w:tc>
          <w:tcPr>
            <w:tcW w:w="940" w:type="dxa"/>
            <w:vAlign w:val="bottom"/>
            <w:tcBorders>
              <w:top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726430" cy="11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26430" cy="111125"/>
                    </a:xfrm>
                    <a:prstGeom prst="rect">
                      <a:avLst/>
                    </a:prstGeom>
                    <a:noFill/>
                  </pic:spPr>
                </pic:pic>
              </a:graphicData>
            </a:graphic>
          </wp:anchor>
        </w:drawing>
      </w:r>
    </w:p>
    <w:p>
      <w:pPr>
        <w:sectPr>
          <w:pgSz w:w="11900" w:h="16838" w:orient="portrait"/>
          <w:cols w:equalWidth="0" w:num="1">
            <w:col w:w="9080"/>
          </w:cols>
          <w:pgMar w:left="1440" w:top="512" w:right="1379" w:bottom="1440" w:gutter="0" w:footer="0" w:header="0"/>
        </w:sectPr>
      </w:pPr>
    </w:p>
    <w:p>
      <w:pPr>
        <w:ind w:left="60"/>
        <w:spacing w:after="0"/>
        <w:rPr>
          <w:sz w:val="20"/>
          <w:szCs w:val="20"/>
          <w:color w:val="auto"/>
        </w:rPr>
      </w:pPr>
      <w:r>
        <w:rPr>
          <w:rFonts w:ascii="Arial" w:cs="Arial" w:eastAsia="Arial" w:hAnsi="Arial"/>
          <w:sz w:val="14"/>
          <w:szCs w:val="14"/>
          <w:b w:val="1"/>
          <w:bCs w:val="1"/>
          <w:color w:val="auto"/>
        </w:rPr>
        <w:t>Numerator:</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72643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26430" cy="1028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Less: net income (loss) attributable to non-controlling interests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Net income (loss) attributable to Camping World Holdings, Inc. </w:t>
      </w:r>
      <w:r>
        <w:rPr>
          <w:rFonts w:ascii="Calibri" w:cs="Calibri" w:eastAsia="Calibri" w:hAnsi="Calibri"/>
          <w:sz w:val="14"/>
          <w:szCs w:val="14"/>
          <w:color w:val="auto"/>
        </w:rPr>
        <w:t>—</w:t>
      </w:r>
      <w:r>
        <w:rPr>
          <w:rFonts w:ascii="Arial" w:cs="Arial" w:eastAsia="Arial" w:hAnsi="Arial"/>
          <w:sz w:val="14"/>
          <w:szCs w:val="14"/>
          <w:color w:val="auto"/>
        </w:rPr>
        <w:t xml:space="preserve"> basic</w:t>
      </w:r>
    </w:p>
    <w:p>
      <w:pPr>
        <w:spacing w:after="0" w:line="5" w:lineRule="exact"/>
        <w:rPr>
          <w:sz w:val="20"/>
          <w:szCs w:val="20"/>
          <w:color w:val="auto"/>
        </w:rPr>
      </w:pPr>
    </w:p>
    <w:p>
      <w:pPr>
        <w:jc w:val="both"/>
        <w:ind w:left="380"/>
        <w:spacing w:after="0" w:line="247" w:lineRule="auto"/>
        <w:rPr>
          <w:sz w:val="20"/>
          <w:szCs w:val="20"/>
          <w:color w:val="auto"/>
        </w:rPr>
      </w:pPr>
      <w:r>
        <w:rPr>
          <w:rFonts w:ascii="Arial" w:cs="Arial" w:eastAsia="Arial" w:hAnsi="Arial"/>
          <w:sz w:val="14"/>
          <w:szCs w:val="14"/>
          <w:color w:val="auto"/>
        </w:rPr>
        <w:t>Add: reallocation of net income (loss) attributable to non-controlling interests from the assumed redemption of common units of CWGS, LLC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-309880</wp:posOffset>
            </wp:positionV>
            <wp:extent cx="572643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26430" cy="308610"/>
                    </a:xfrm>
                    <a:prstGeom prst="rect">
                      <a:avLst/>
                    </a:prstGeom>
                    <a:noFill/>
                  </pic:spPr>
                </pic:pic>
              </a:graphicData>
            </a:graphic>
          </wp:anchor>
        </w:drawing>
      </w:r>
    </w:p>
    <w:p>
      <w:pPr>
        <w:ind w:left="480"/>
        <w:spacing w:after="0" w:line="253" w:lineRule="auto"/>
        <w:rPr>
          <w:sz w:val="20"/>
          <w:szCs w:val="20"/>
          <w:color w:val="auto"/>
        </w:rPr>
      </w:pPr>
      <w:r>
        <w:rPr>
          <w:rFonts w:ascii="Arial" w:cs="Arial" w:eastAsia="Arial" w:hAnsi="Arial"/>
          <w:sz w:val="14"/>
          <w:szCs w:val="14"/>
          <w:color w:val="auto"/>
        </w:rPr>
        <w:t xml:space="preserve">Net income (loss) attributable to Camping World Holdings, Inc. </w:t>
      </w:r>
      <w:r>
        <w:rPr>
          <w:rFonts w:ascii="Calibri" w:cs="Calibri" w:eastAsia="Calibri" w:hAnsi="Calibri"/>
          <w:sz w:val="14"/>
          <w:szCs w:val="14"/>
          <w:color w:val="auto"/>
        </w:rPr>
        <w:t>—</w:t>
      </w:r>
      <w:r>
        <w:rPr>
          <w:rFonts w:ascii="Arial" w:cs="Arial" w:eastAsia="Arial" w:hAnsi="Arial"/>
          <w:sz w:val="14"/>
          <w:szCs w:val="14"/>
          <w:color w:val="auto"/>
        </w:rPr>
        <w:t xml:space="preserv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72643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26430" cy="10287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Denominator:</w:t>
      </w:r>
    </w:p>
    <w:p>
      <w:pPr>
        <w:spacing w:after="0" w:line="1" w:lineRule="exact"/>
        <w:rPr>
          <w:sz w:val="20"/>
          <w:szCs w:val="20"/>
          <w:color w:val="auto"/>
        </w:rPr>
      </w:pPr>
    </w:p>
    <w:p>
      <w:pPr>
        <w:ind w:left="160"/>
        <w:spacing w:after="0" w:line="241" w:lineRule="auto"/>
        <w:rPr>
          <w:sz w:val="20"/>
          <w:szCs w:val="20"/>
          <w:color w:val="auto"/>
        </w:rPr>
      </w:pPr>
      <w:r>
        <w:rPr>
          <w:rFonts w:ascii="Arial" w:cs="Arial" w:eastAsia="Arial" w:hAnsi="Arial"/>
          <w:sz w:val="14"/>
          <w:szCs w:val="14"/>
          <w:color w:val="auto"/>
        </w:rPr>
        <w:t>Weighted-average shares of Class A common stock outstanding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572643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26430" cy="102870"/>
                    </a:xfrm>
                    <a:prstGeom prst="rect">
                      <a:avLst/>
                    </a:prstGeom>
                    <a:noFill/>
                  </pic:spPr>
                </pic:pic>
              </a:graphicData>
            </a:graphic>
          </wp:anchor>
        </w:drawing>
      </w:r>
    </w:p>
    <w:p>
      <w:pPr>
        <w:spacing w:after="0" w:line="142" w:lineRule="exact"/>
        <w:rPr>
          <w:sz w:val="20"/>
          <w:szCs w:val="20"/>
          <w:color w:val="auto"/>
        </w:rPr>
      </w:pPr>
    </w:p>
    <w:p>
      <w:pPr>
        <w:ind w:left="260" w:right="1260"/>
        <w:spacing w:after="0" w:line="241" w:lineRule="auto"/>
        <w:rPr>
          <w:sz w:val="20"/>
          <w:szCs w:val="20"/>
          <w:color w:val="auto"/>
        </w:rPr>
      </w:pPr>
      <w:r>
        <w:rPr>
          <w:rFonts w:ascii="Arial" w:cs="Arial" w:eastAsia="Arial" w:hAnsi="Arial"/>
          <w:sz w:val="14"/>
          <w:szCs w:val="14"/>
          <w:color w:val="auto"/>
        </w:rPr>
        <w:t>Dilutive options to purchase Class A common stock Dilutive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72643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26430" cy="205740"/>
                    </a:xfrm>
                    <a:prstGeom prst="rect">
                      <a:avLst/>
                    </a:prstGeom>
                    <a:noFill/>
                  </pic:spPr>
                </pic:pic>
              </a:graphicData>
            </a:graphic>
          </wp:anchor>
        </w:drawing>
      </w:r>
    </w:p>
    <w:p>
      <w:pPr>
        <w:ind w:left="260"/>
        <w:spacing w:after="0" w:line="241" w:lineRule="auto"/>
        <w:rPr>
          <w:sz w:val="20"/>
          <w:szCs w:val="20"/>
          <w:color w:val="auto"/>
        </w:rPr>
      </w:pPr>
      <w:r>
        <w:rPr>
          <w:rFonts w:ascii="Arial" w:cs="Arial" w:eastAsia="Arial" w:hAnsi="Arial"/>
          <w:sz w:val="14"/>
          <w:szCs w:val="14"/>
          <w:color w:val="auto"/>
        </w:rPr>
        <w:t>Dilutive common units of CWGS, LLC that are convertible into Class A common stock</w:t>
      </w:r>
    </w:p>
    <w:p>
      <w:pPr>
        <w:spacing w:after="0" w:line="1" w:lineRule="exact"/>
        <w:rPr>
          <w:sz w:val="20"/>
          <w:szCs w:val="20"/>
          <w:color w:val="auto"/>
        </w:rPr>
      </w:pPr>
    </w:p>
    <w:p>
      <w:pPr>
        <w:ind w:left="380"/>
        <w:spacing w:after="0" w:line="264" w:lineRule="auto"/>
        <w:rPr>
          <w:sz w:val="20"/>
          <w:szCs w:val="20"/>
          <w:color w:val="auto"/>
        </w:rPr>
      </w:pPr>
      <w:r>
        <w:rPr>
          <w:rFonts w:ascii="Arial" w:cs="Arial" w:eastAsia="Arial" w:hAnsi="Arial"/>
          <w:sz w:val="14"/>
          <w:szCs w:val="14"/>
          <w:color w:val="auto"/>
        </w:rPr>
        <w:t>Weighted-average shares of Class A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-21590</wp:posOffset>
            </wp:positionV>
            <wp:extent cx="572643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26430" cy="102870"/>
                    </a:xfrm>
                    <a:prstGeom prst="rect">
                      <a:avLst/>
                    </a:prstGeom>
                    <a:noFill/>
                  </pic:spPr>
                </pic:pic>
              </a:graphicData>
            </a:graphic>
          </wp:anchor>
        </w:drawing>
      </w:r>
    </w:p>
    <w:p>
      <w:pPr>
        <w:spacing w:after="0" w:line="98" w:lineRule="exact"/>
        <w:rPr>
          <w:sz w:val="20"/>
          <w:szCs w:val="20"/>
          <w:color w:val="auto"/>
        </w:rPr>
      </w:pPr>
    </w:p>
    <w:p>
      <w:pPr>
        <w:ind w:left="60" w:right="840"/>
        <w:spacing w:after="0" w:line="285" w:lineRule="auto"/>
        <w:rPr>
          <w:sz w:val="20"/>
          <w:szCs w:val="20"/>
          <w:color w:val="auto"/>
        </w:rPr>
      </w:pPr>
      <w:r>
        <w:rPr>
          <w:rFonts w:ascii="Arial" w:cs="Arial" w:eastAsia="Arial" w:hAnsi="Arial"/>
          <w:sz w:val="14"/>
          <w:szCs w:val="14"/>
          <w:color w:val="auto"/>
        </w:rPr>
        <w:t>Earnings (loss) per share of Class A common stock — basic Earnings (loss) per share of Class A common stock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-133350</wp:posOffset>
            </wp:positionV>
            <wp:extent cx="572643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26430" cy="102870"/>
                    </a:xfrm>
                    <a:prstGeom prst="rect">
                      <a:avLst/>
                    </a:prstGeom>
                    <a:noFill/>
                  </pic:spPr>
                </pic:pic>
              </a:graphicData>
            </a:graphic>
          </wp:anchor>
        </w:drawing>
      </w:r>
    </w:p>
    <w:p>
      <w:pPr>
        <w:spacing w:after="0" w:line="84" w:lineRule="exact"/>
        <w:rPr>
          <w:sz w:val="20"/>
          <w:szCs w:val="20"/>
          <w:color w:val="auto"/>
        </w:rPr>
      </w:pPr>
    </w:p>
    <w:p>
      <w:pPr>
        <w:ind w:left="60"/>
        <w:spacing w:after="0" w:line="251" w:lineRule="auto"/>
        <w:rPr>
          <w:sz w:val="20"/>
          <w:szCs w:val="20"/>
          <w:color w:val="auto"/>
        </w:rPr>
      </w:pPr>
      <w:r>
        <w:rPr>
          <w:rFonts w:ascii="Arial" w:cs="Arial" w:eastAsia="Arial" w:hAnsi="Arial"/>
          <w:sz w:val="14"/>
          <w:szCs w:val="14"/>
          <w:color w:val="auto"/>
        </w:rPr>
        <w:t>Weighted-average anti-dilutive securities excluded from the computation of diluted earnings (loss)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-207645</wp:posOffset>
            </wp:positionV>
            <wp:extent cx="572643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26430" cy="205740"/>
                    </a:xfrm>
                    <a:prstGeom prst="rect">
                      <a:avLst/>
                    </a:prstGeom>
                    <a:noFill/>
                  </pic:spPr>
                </pic:pic>
              </a:graphicData>
            </a:graphic>
          </wp:anchor>
        </w:drawing>
      </w:r>
    </w:p>
    <w:p>
      <w:pPr>
        <w:ind w:left="160" w:right="1480"/>
        <w:spacing w:after="0" w:line="264" w:lineRule="auto"/>
        <w:rPr>
          <w:sz w:val="20"/>
          <w:szCs w:val="20"/>
          <w:color w:val="auto"/>
        </w:rPr>
      </w:pPr>
      <w:r>
        <w:rPr>
          <w:rFonts w:ascii="Arial" w:cs="Arial" w:eastAsia="Arial" w:hAnsi="Arial"/>
          <w:sz w:val="14"/>
          <w:szCs w:val="14"/>
          <w:color w:val="auto"/>
        </w:rPr>
        <w:t>Stock options to purchase Class A common stock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-124460</wp:posOffset>
            </wp:positionV>
            <wp:extent cx="572643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2643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8,056</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30,893</w:t>
            </w:r>
          </w:p>
        </w:tc>
        <w:tc>
          <w:tcPr>
            <w:tcW w:w="12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(19,336)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100,519</w:t>
            </w:r>
          </w:p>
        </w:tc>
      </w:tr>
      <w:tr>
        <w:trPr>
          <w:trHeight w:val="171"/>
        </w:trPr>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(2,555)</w:t>
            </w:r>
          </w:p>
        </w:tc>
        <w:tc>
          <w:tcPr>
            <w:tcW w:w="2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(14,932)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(52,686)</w:t>
            </w:r>
          </w:p>
        </w:tc>
      </w:tr>
      <w:tr>
        <w:trPr>
          <w:trHeight w:val="184"/>
        </w:trPr>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5,501</w:t>
            </w:r>
          </w:p>
        </w:tc>
        <w:tc>
          <w:tcPr>
            <w:tcW w:w="2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15,961</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(7,035)</w:t>
            </w:r>
          </w:p>
        </w:tc>
        <w:tc>
          <w:tcPr>
            <w:tcW w:w="18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47,833</w:t>
            </w:r>
          </w:p>
        </w:tc>
      </w:tr>
      <w:tr>
        <w:trPr>
          <w:trHeight w:val="471"/>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40,037</w:t>
            </w:r>
          </w:p>
        </w:tc>
      </w:tr>
      <w:tr>
        <w:trPr>
          <w:trHeight w:val="255"/>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7,628</w:t>
            </w:r>
          </w:p>
        </w:tc>
        <w:tc>
          <w:tcPr>
            <w:tcW w:w="20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27,429</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(15,560)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87,870</w:t>
            </w:r>
          </w:p>
        </w:tc>
      </w:tr>
      <w:tr>
        <w:trPr>
          <w:trHeight w:val="500"/>
        </w:trPr>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45,232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44,666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45,124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44,538</w:t>
            </w:r>
          </w:p>
        </w:tc>
      </w:tr>
      <w:tr>
        <w:trPr>
          <w:trHeight w:val="215"/>
        </w:trPr>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90"/>
        </w:trPr>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305"/>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40,045</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40,045</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40,045</w:t>
            </w:r>
          </w:p>
        </w:tc>
      </w:tr>
      <w:tr>
        <w:trPr>
          <w:trHeight w:val="242"/>
        </w:trPr>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85,618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85,169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84,917</w:t>
            </w:r>
          </w:p>
        </w:tc>
      </w:tr>
      <w:tr>
        <w:trPr>
          <w:trHeight w:val="377"/>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0.12</w:t>
            </w:r>
          </w:p>
        </w:tc>
        <w:tc>
          <w:tcPr>
            <w:tcW w:w="2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(0.16)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90"/>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0.09</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(0.18)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620"/>
        </w:trPr>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1,353</w:t>
            </w:r>
          </w:p>
        </w:tc>
      </w:tr>
    </w:tbl>
    <w:p>
      <w:pPr>
        <w:spacing w:after="0" w:line="164" w:lineRule="exact"/>
        <w:rPr>
          <w:sz w:val="20"/>
          <w:szCs w:val="20"/>
          <w:color w:val="auto"/>
        </w:rPr>
      </w:pPr>
    </w:p>
    <w:p>
      <w:pPr>
        <w:sectPr>
          <w:pgSz w:w="11900" w:h="16838" w:orient="portrait"/>
          <w:cols w:equalWidth="0" w:num="2">
            <w:col w:w="4800" w:space="220"/>
            <w:col w:w="4060"/>
          </w:cols>
          <w:pgMar w:left="1440" w:top="512" w:right="1379" w:bottom="1440" w:gutter="0" w:footer="0" w:header="0"/>
          <w:type w:val="continuous"/>
        </w:sectPr>
      </w:pPr>
    </w:p>
    <w:p>
      <w:pPr>
        <w:jc w:val="both"/>
        <w:ind w:left="60" w:right="120" w:firstLine="648"/>
        <w:spacing w:after="0" w:line="247" w:lineRule="auto"/>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basic and diluted earnings (loss) per share of Class B common stock or Class C common stock under the two-class method has not been presented.</w:t>
      </w:r>
    </w:p>
    <w:p>
      <w:pPr>
        <w:sectPr>
          <w:pgSz w:w="11900" w:h="16838" w:orient="portrait"/>
          <w:cols w:equalWidth="0" w:num="1">
            <w:col w:w="9080"/>
          </w:cols>
          <w:pgMar w:left="1440" w:top="512"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40" w:top="512" w:right="1379"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Segments Information</w:t>
      </w:r>
    </w:p>
    <w:p>
      <w:pPr>
        <w:spacing w:after="0" w:line="21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Reportable segment revenue; segment income; floor plan interest expense; depreciation and amortization; other interest expense, net; and total assets are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40" w:type="dxa"/>
            <w:vAlign w:val="bottom"/>
            <w:gridSpan w:val="15"/>
          </w:tcPr>
          <w:p>
            <w:pPr>
              <w:jc w:val="right"/>
              <w:ind w:right="640"/>
              <w:spacing w:after="0"/>
              <w:rPr>
                <w:sz w:val="20"/>
                <w:szCs w:val="20"/>
                <w:color w:val="auto"/>
              </w:rPr>
            </w:pPr>
            <w:r>
              <w:rPr>
                <w:rFonts w:ascii="Arial" w:cs="Arial" w:eastAsia="Arial" w:hAnsi="Arial"/>
                <w:sz w:val="12"/>
                <w:szCs w:val="12"/>
                <w:b w:val="1"/>
                <w:bCs w:val="1"/>
                <w:color w:val="auto"/>
              </w:rPr>
              <w:t>Three Months Ended September 30, 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gridSpan w:val="17"/>
          </w:tcPr>
          <w:p>
            <w:pPr>
              <w:jc w:val="center"/>
              <w:ind w:right="420"/>
              <w:spacing w:after="0"/>
              <w:rPr>
                <w:sz w:val="20"/>
                <w:szCs w:val="20"/>
                <w:color w:val="auto"/>
              </w:rPr>
            </w:pPr>
            <w:r>
              <w:rPr>
                <w:rFonts w:ascii="Arial" w:cs="Arial" w:eastAsia="Arial" w:hAnsi="Arial"/>
                <w:sz w:val="12"/>
                <w:szCs w:val="12"/>
                <w:b w:val="1"/>
                <w:bCs w:val="1"/>
                <w:color w:val="auto"/>
                <w:w w:val="97"/>
              </w:rPr>
              <w:t>Three Months Ended September 30, 2023</w:t>
            </w: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2"/>
                <w:szCs w:val="12"/>
                <w:b w:val="1"/>
                <w:bCs w:val="1"/>
                <w:color w:val="auto"/>
              </w:rPr>
              <w:t>Good Sam</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2"/>
                <w:szCs w:val="12"/>
                <w:b w:val="1"/>
                <w:bCs w:val="1"/>
                <w:color w:val="auto"/>
                <w:w w:val="96"/>
              </w:rPr>
              <w:t>RV and</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2"/>
                <w:szCs w:val="12"/>
                <w:b w:val="1"/>
                <w:bCs w:val="1"/>
                <w:color w:val="auto"/>
                <w:w w:val="99"/>
              </w:rPr>
              <w:t>Good Sam</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2"/>
                <w:szCs w:val="12"/>
                <w:b w:val="1"/>
                <w:bCs w:val="1"/>
                <w:color w:val="auto"/>
                <w:w w:val="96"/>
              </w:rPr>
              <w:t>RV and</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Services</w:t>
            </w:r>
          </w:p>
        </w:tc>
        <w:tc>
          <w:tcPr>
            <w:tcW w:w="12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7"/>
              </w:rPr>
              <w:t>Outdoor</w:t>
            </w:r>
          </w:p>
        </w:tc>
        <w:tc>
          <w:tcPr>
            <w:tcW w:w="8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Intersegment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4"/>
          </w:tcPr>
          <w:p>
            <w:pPr>
              <w:jc w:val="right"/>
              <w:ind w:right="8"/>
              <w:spacing w:after="0" w:line="135" w:lineRule="exact"/>
              <w:rPr>
                <w:sz w:val="20"/>
                <w:szCs w:val="20"/>
                <w:color w:val="auto"/>
              </w:rPr>
            </w:pPr>
            <w:r>
              <w:rPr>
                <w:rFonts w:ascii="Arial" w:cs="Arial" w:eastAsia="Arial" w:hAnsi="Arial"/>
                <w:sz w:val="12"/>
                <w:szCs w:val="12"/>
                <w:b w:val="1"/>
                <w:bCs w:val="1"/>
                <w:color w:val="auto"/>
                <w:w w:val="97"/>
              </w:rPr>
              <w:t>Services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7"/>
              </w:rPr>
              <w:t>Outdoor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Intersegment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222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Plans</w:t>
            </w:r>
          </w:p>
        </w:tc>
        <w:tc>
          <w:tcPr>
            <w:tcW w:w="12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Retail</w:t>
            </w:r>
          </w:p>
        </w:tc>
        <w:tc>
          <w:tcPr>
            <w:tcW w:w="2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Eliminations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and Plans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Retail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6"/>
          </w:tcPr>
          <w:p>
            <w:pPr>
              <w:ind w:left="20"/>
              <w:spacing w:after="0"/>
              <w:rPr>
                <w:sz w:val="20"/>
                <w:szCs w:val="20"/>
                <w:color w:val="auto"/>
              </w:rPr>
            </w:pPr>
            <w:r>
              <w:rPr>
                <w:rFonts w:ascii="Arial" w:cs="Arial" w:eastAsia="Arial" w:hAnsi="Arial"/>
                <w:sz w:val="12"/>
                <w:szCs w:val="12"/>
                <w:b w:val="1"/>
                <w:bCs w:val="1"/>
                <w:color w:val="auto"/>
              </w:rPr>
              <w:t>Eliminations</w:t>
            </w:r>
          </w:p>
        </w:tc>
        <w:tc>
          <w:tcPr>
            <w:tcW w:w="80" w:type="dxa"/>
            <w:vAlign w:val="bottom"/>
          </w:tcPr>
          <w:p>
            <w:pPr>
              <w:spacing w:after="0"/>
              <w:rPr>
                <w:sz w:val="12"/>
                <w:szCs w:val="12"/>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r>
      <w:tr>
        <w:trPr>
          <w:trHeight w:val="129"/>
        </w:trPr>
        <w:tc>
          <w:tcPr>
            <w:tcW w:w="20" w:type="dxa"/>
            <w:vAlign w:val="bottom"/>
          </w:tcPr>
          <w:p>
            <w:pPr>
              <w:spacing w:after="0"/>
              <w:rPr>
                <w:sz w:val="11"/>
                <w:szCs w:val="11"/>
                <w:color w:val="auto"/>
              </w:rPr>
            </w:pPr>
          </w:p>
        </w:tc>
        <w:tc>
          <w:tcPr>
            <w:tcW w:w="2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Revenue:</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Good Sam services and plans</w:t>
            </w:r>
          </w:p>
        </w:tc>
        <w:tc>
          <w:tcPr>
            <w:tcW w:w="16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50,639</w:t>
            </w:r>
          </w:p>
        </w:tc>
        <w:tc>
          <w:tcPr>
            <w:tcW w:w="1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202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50,841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50,022</w:t>
            </w:r>
          </w:p>
        </w:tc>
        <w:tc>
          <w:tcPr>
            <w:tcW w:w="5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(133)</w:t>
            </w:r>
          </w:p>
        </w:tc>
        <w:tc>
          <w:tcPr>
            <w:tcW w:w="14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49,889</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vehicles</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826,606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824,916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3"/>
                <w:szCs w:val="13"/>
                <w:color w:val="auto"/>
              </w:rPr>
              <w:t>680,497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(1,290)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679,207</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Used vehicles</w:t>
            </w:r>
          </w:p>
        </w:tc>
        <w:tc>
          <w:tcPr>
            <w:tcW w:w="16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448,204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(962)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447,242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591,494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(1,267)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590,227</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Products, service and other</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224,948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224,839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3"/>
                <w:szCs w:val="13"/>
                <w:color w:val="auto"/>
              </w:rPr>
              <w:t>235,764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235,609</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Finance and insurance, net</w:t>
            </w:r>
          </w:p>
        </w:tc>
        <w:tc>
          <w:tcPr>
            <w:tcW w:w="16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167,029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(774)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166,255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164,573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(943)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163,630</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Good Sam Club</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10,895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10,895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3"/>
                <w:szCs w:val="13"/>
                <w:color w:val="auto"/>
              </w:rPr>
              <w:t>11,051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11,051</w:t>
            </w:r>
          </w:p>
        </w:tc>
        <w:tc>
          <w:tcPr>
            <w:tcW w:w="20" w:type="dxa"/>
            <w:vAlign w:val="bottom"/>
            <w:shd w:val="clear" w:color="auto" w:fill="CCEEFF"/>
          </w:tcPr>
          <w:p>
            <w:pPr>
              <w:spacing w:after="0"/>
              <w:rPr>
                <w:sz w:val="11"/>
                <w:szCs w:val="11"/>
                <w:color w:val="auto"/>
              </w:rPr>
            </w:pPr>
          </w:p>
        </w:tc>
      </w:tr>
      <w:tr>
        <w:trPr>
          <w:trHeight w:val="128"/>
        </w:trPr>
        <w:tc>
          <w:tcPr>
            <w:tcW w:w="222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Total consolidated revenue</w:t>
            </w:r>
          </w:p>
        </w:tc>
        <w:tc>
          <w:tcPr>
            <w:tcW w:w="160" w:type="dxa"/>
            <w:vAlign w:val="bottom"/>
            <w:tcBorders>
              <w:top w:val="single" w:sz="8" w:color="auto"/>
              <w:bottom w:val="single" w:sz="8" w:color="auto"/>
            </w:tcBorders>
          </w:tcPr>
          <w:p>
            <w:pPr>
              <w:ind w:left="40"/>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50,639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1,677,682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(3,333)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rPr>
              <w:t>$ 1,724,988</w:t>
            </w:r>
          </w:p>
        </w:tc>
        <w:tc>
          <w:tcPr>
            <w:tcW w:w="14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rPr>
              <w:t>50,022</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w w:val="98"/>
              </w:rPr>
              <w:t>$ 1,683,379</w:t>
            </w: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3"/>
                <w:szCs w:val="13"/>
                <w:color w:val="auto"/>
              </w:rPr>
              <w:t>(3,788)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1,729,613</w:t>
            </w:r>
          </w:p>
        </w:tc>
        <w:tc>
          <w:tcPr>
            <w:tcW w:w="20" w:type="dxa"/>
            <w:vAlign w:val="bottom"/>
            <w:tcBorders>
              <w:top w:val="single" w:sz="8" w:color="auto"/>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15"/>
          </w:tcPr>
          <w:p>
            <w:pPr>
              <w:jc w:val="right"/>
              <w:ind w:right="680"/>
              <w:spacing w:after="0"/>
              <w:rPr>
                <w:sz w:val="20"/>
                <w:szCs w:val="20"/>
                <w:color w:val="auto"/>
              </w:rPr>
            </w:pPr>
            <w:r>
              <w:rPr>
                <w:rFonts w:ascii="Arial" w:cs="Arial" w:eastAsia="Arial" w:hAnsi="Arial"/>
                <w:sz w:val="12"/>
                <w:szCs w:val="12"/>
                <w:b w:val="1"/>
                <w:bCs w:val="1"/>
                <w:color w:val="auto"/>
              </w:rPr>
              <w:t>Nine Months Ended September 30, 2024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17"/>
          </w:tcPr>
          <w:p>
            <w:pPr>
              <w:jc w:val="center"/>
              <w:ind w:right="440"/>
              <w:spacing w:after="0"/>
              <w:rPr>
                <w:sz w:val="20"/>
                <w:szCs w:val="20"/>
                <w:color w:val="auto"/>
              </w:rPr>
            </w:pPr>
            <w:r>
              <w:rPr>
                <w:rFonts w:ascii="Arial" w:cs="Arial" w:eastAsia="Arial" w:hAnsi="Arial"/>
                <w:sz w:val="12"/>
                <w:szCs w:val="12"/>
                <w:b w:val="1"/>
                <w:bCs w:val="1"/>
                <w:color w:val="auto"/>
                <w:w w:val="97"/>
              </w:rPr>
              <w:t>Nine Months Ended September 30, 2023</w:t>
            </w: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2"/>
                <w:szCs w:val="12"/>
                <w:b w:val="1"/>
                <w:bCs w:val="1"/>
                <w:color w:val="auto"/>
              </w:rPr>
              <w:t>Good Sam</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2"/>
                <w:szCs w:val="12"/>
                <w:b w:val="1"/>
                <w:bCs w:val="1"/>
                <w:color w:val="auto"/>
                <w:w w:val="96"/>
              </w:rPr>
              <w:t>RV and</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2"/>
                <w:szCs w:val="12"/>
                <w:b w:val="1"/>
                <w:bCs w:val="1"/>
                <w:color w:val="auto"/>
                <w:w w:val="99"/>
              </w:rPr>
              <w:t>Good Sam</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2"/>
                <w:szCs w:val="12"/>
                <w:b w:val="1"/>
                <w:bCs w:val="1"/>
                <w:color w:val="auto"/>
                <w:w w:val="96"/>
              </w:rPr>
              <w:t>RV and</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Services</w:t>
            </w:r>
          </w:p>
        </w:tc>
        <w:tc>
          <w:tcPr>
            <w:tcW w:w="12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7"/>
              </w:rPr>
              <w:t>Outdoor</w:t>
            </w:r>
          </w:p>
        </w:tc>
        <w:tc>
          <w:tcPr>
            <w:tcW w:w="8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Intersegment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4"/>
          </w:tcPr>
          <w:p>
            <w:pPr>
              <w:jc w:val="right"/>
              <w:ind w:right="8"/>
              <w:spacing w:after="0" w:line="135" w:lineRule="exact"/>
              <w:rPr>
                <w:sz w:val="20"/>
                <w:szCs w:val="20"/>
                <w:color w:val="auto"/>
              </w:rPr>
            </w:pPr>
            <w:r>
              <w:rPr>
                <w:rFonts w:ascii="Arial" w:cs="Arial" w:eastAsia="Arial" w:hAnsi="Arial"/>
                <w:sz w:val="12"/>
                <w:szCs w:val="12"/>
                <w:b w:val="1"/>
                <w:bCs w:val="1"/>
                <w:color w:val="auto"/>
                <w:w w:val="97"/>
              </w:rPr>
              <w:t>Services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7"/>
              </w:rPr>
              <w:t>Outdoor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Intersegment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222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Plans</w:t>
            </w:r>
          </w:p>
        </w:tc>
        <w:tc>
          <w:tcPr>
            <w:tcW w:w="12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Retail</w:t>
            </w:r>
          </w:p>
        </w:tc>
        <w:tc>
          <w:tcPr>
            <w:tcW w:w="2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Eliminations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and Plans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Retail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6"/>
          </w:tcPr>
          <w:p>
            <w:pPr>
              <w:ind w:left="20"/>
              <w:spacing w:after="0"/>
              <w:rPr>
                <w:sz w:val="20"/>
                <w:szCs w:val="20"/>
                <w:color w:val="auto"/>
              </w:rPr>
            </w:pPr>
            <w:r>
              <w:rPr>
                <w:rFonts w:ascii="Arial" w:cs="Arial" w:eastAsia="Arial" w:hAnsi="Arial"/>
                <w:sz w:val="12"/>
                <w:szCs w:val="12"/>
                <w:b w:val="1"/>
                <w:bCs w:val="1"/>
                <w:color w:val="auto"/>
              </w:rPr>
              <w:t>Eliminations</w:t>
            </w:r>
          </w:p>
        </w:tc>
        <w:tc>
          <w:tcPr>
            <w:tcW w:w="80" w:type="dxa"/>
            <w:vAlign w:val="bottom"/>
          </w:tcPr>
          <w:p>
            <w:pPr>
              <w:spacing w:after="0"/>
              <w:rPr>
                <w:sz w:val="12"/>
                <w:szCs w:val="12"/>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r>
      <w:tr>
        <w:trPr>
          <w:trHeight w:val="129"/>
        </w:trPr>
        <w:tc>
          <w:tcPr>
            <w:tcW w:w="20" w:type="dxa"/>
            <w:vAlign w:val="bottom"/>
          </w:tcPr>
          <w:p>
            <w:pPr>
              <w:spacing w:after="0"/>
              <w:rPr>
                <w:sz w:val="11"/>
                <w:szCs w:val="11"/>
                <w:color w:val="auto"/>
              </w:rPr>
            </w:pPr>
          </w:p>
        </w:tc>
        <w:tc>
          <w:tcPr>
            <w:tcW w:w="2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Revenue:</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Good Sam services and plans</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$ 150,027</w:t>
            </w:r>
          </w:p>
        </w:tc>
        <w:tc>
          <w:tcPr>
            <w:tcW w:w="1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149,070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$ 148,117</w:t>
            </w:r>
          </w:p>
        </w:tc>
        <w:tc>
          <w:tcPr>
            <w:tcW w:w="5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(823)</w:t>
            </w:r>
          </w:p>
        </w:tc>
        <w:tc>
          <w:tcPr>
            <w:tcW w:w="14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147,294</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vehicles</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2,333,102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2,328,107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3"/>
                <w:szCs w:val="13"/>
                <w:color w:val="auto"/>
              </w:rPr>
              <w:t>2,130,930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(4,068)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2,126,862</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Used vehicles</w:t>
            </w:r>
          </w:p>
        </w:tc>
        <w:tc>
          <w:tcPr>
            <w:tcW w:w="16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6"/>
              </w:rPr>
              <w:t>1,268,543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(2,842)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93"/>
              </w:rPr>
              <w:t>1,265,701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1,661,472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(3,537)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1,657,935</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Products, service and other</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639,075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638,680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3"/>
                <w:szCs w:val="13"/>
                <w:color w:val="auto"/>
              </w:rPr>
              <w:t>691,557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(527)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691,030</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tcPr>
          <w:p>
            <w:pPr>
              <w:spacing w:after="0" w:line="135" w:lineRule="exact"/>
              <w:rPr>
                <w:sz w:val="20"/>
                <w:szCs w:val="20"/>
                <w:color w:val="auto"/>
              </w:rPr>
            </w:pPr>
            <w:r>
              <w:rPr>
                <w:rFonts w:ascii="Arial" w:cs="Arial" w:eastAsia="Arial" w:hAnsi="Arial"/>
                <w:sz w:val="13"/>
                <w:szCs w:val="13"/>
                <w:color w:val="auto"/>
              </w:rPr>
              <w:t>Finance and insurance, net</w:t>
            </w:r>
          </w:p>
        </w:tc>
        <w:tc>
          <w:tcPr>
            <w:tcW w:w="16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482,958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(2,233)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480,725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462,899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(2,563)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460,336</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Good Sam Club</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33,227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33,227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3"/>
                <w:szCs w:val="13"/>
                <w:color w:val="auto"/>
              </w:rPr>
              <w:t>33,757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33,757</w:t>
            </w:r>
          </w:p>
        </w:tc>
        <w:tc>
          <w:tcPr>
            <w:tcW w:w="20" w:type="dxa"/>
            <w:vAlign w:val="bottom"/>
            <w:shd w:val="clear" w:color="auto" w:fill="CCEEFF"/>
          </w:tcPr>
          <w:p>
            <w:pPr>
              <w:spacing w:after="0"/>
              <w:rPr>
                <w:sz w:val="11"/>
                <w:szCs w:val="11"/>
                <w:color w:val="auto"/>
              </w:rPr>
            </w:pPr>
          </w:p>
        </w:tc>
      </w:tr>
      <w:tr>
        <w:trPr>
          <w:trHeight w:val="128"/>
        </w:trPr>
        <w:tc>
          <w:tcPr>
            <w:tcW w:w="222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Total consolidated revenue</w:t>
            </w: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$ 150,027</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4,756,905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(11,422)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rPr>
              <w:t>$ 4,895,510</w:t>
            </w:r>
          </w:p>
        </w:tc>
        <w:tc>
          <w:tcPr>
            <w:tcW w:w="14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5"/>
          </w:tcPr>
          <w:p>
            <w:pPr>
              <w:jc w:val="right"/>
              <w:spacing w:after="0" w:line="129" w:lineRule="exact"/>
              <w:rPr>
                <w:sz w:val="20"/>
                <w:szCs w:val="20"/>
                <w:color w:val="auto"/>
              </w:rPr>
            </w:pPr>
            <w:r>
              <w:rPr>
                <w:rFonts w:ascii="Arial" w:cs="Arial" w:eastAsia="Arial" w:hAnsi="Arial"/>
                <w:sz w:val="13"/>
                <w:szCs w:val="13"/>
                <w:color w:val="auto"/>
              </w:rPr>
              <w:t>$ 148,117</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w w:val="98"/>
              </w:rPr>
              <w:t>$ 4,980,615</w:t>
            </w: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3"/>
                <w:szCs w:val="13"/>
                <w:color w:val="auto"/>
              </w:rPr>
              <w:t>(11,518)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5,117,214</w:t>
            </w:r>
          </w:p>
        </w:tc>
        <w:tc>
          <w:tcPr>
            <w:tcW w:w="20" w:type="dxa"/>
            <w:vAlign w:val="bottom"/>
            <w:tcBorders>
              <w:top w:val="single" w:sz="8" w:color="auto"/>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13"/>
          </w:tcPr>
          <w:p>
            <w:pPr>
              <w:spacing w:after="0"/>
              <w:rPr>
                <w:sz w:val="20"/>
                <w:szCs w:val="20"/>
                <w:color w:val="auto"/>
              </w:rPr>
            </w:pPr>
            <w:r>
              <w:rPr>
                <w:rFonts w:ascii="Arial" w:cs="Arial" w:eastAsia="Arial" w:hAnsi="Arial"/>
                <w:sz w:val="12"/>
                <w:szCs w:val="12"/>
                <w:b w:val="1"/>
                <w:bCs w:val="1"/>
                <w:color w:val="auto"/>
              </w:rPr>
              <w:t>Three Months Ended September 30,</w:t>
            </w:r>
          </w:p>
        </w:tc>
        <w:tc>
          <w:tcPr>
            <w:tcW w:w="2060" w:type="dxa"/>
            <w:vAlign w:val="bottom"/>
            <w:gridSpan w:val="12"/>
          </w:tcPr>
          <w:p>
            <w:pPr>
              <w:ind w:left="60"/>
              <w:spacing w:after="0"/>
              <w:rPr>
                <w:sz w:val="20"/>
                <w:szCs w:val="20"/>
                <w:color w:val="auto"/>
              </w:rPr>
            </w:pPr>
            <w:r>
              <w:rPr>
                <w:rFonts w:ascii="Arial" w:cs="Arial" w:eastAsia="Arial" w:hAnsi="Arial"/>
                <w:sz w:val="12"/>
                <w:szCs w:val="12"/>
                <w:b w:val="1"/>
                <w:bCs w:val="1"/>
                <w:color w:val="auto"/>
              </w:rPr>
              <w:t>Nine Months Ended September 30,</w:t>
            </w:r>
          </w:p>
        </w:tc>
      </w:tr>
      <w:tr>
        <w:trPr>
          <w:trHeight w:val="142"/>
        </w:trPr>
        <w:tc>
          <w:tcPr>
            <w:tcW w:w="22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auto"/>
              </w:rPr>
              <w:t>($ in thousands)</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4"/>
          </w:tcPr>
          <w:p>
            <w:pPr>
              <w:jc w:val="right"/>
              <w:ind w:right="260"/>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2024</w:t>
            </w:r>
          </w:p>
        </w:tc>
        <w:tc>
          <w:tcPr>
            <w:tcW w:w="3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r>
      <w:tr>
        <w:trPr>
          <w:trHeight w:val="196"/>
        </w:trPr>
        <w:tc>
          <w:tcPr>
            <w:tcW w:w="222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6"/>
                <w:szCs w:val="16"/>
                <w:b w:val="1"/>
                <w:bCs w:val="1"/>
                <w:color w:val="auto"/>
              </w:rPr>
              <w:t>Segment income:</w:t>
            </w:r>
            <w:r>
              <w:rPr>
                <w:rFonts w:ascii="Arial" w:cs="Arial" w:eastAsia="Arial" w:hAnsi="Arial"/>
                <w:sz w:val="22"/>
                <w:szCs w:val="22"/>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0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22,812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32,684</w:t>
            </w:r>
          </w:p>
        </w:tc>
        <w:tc>
          <w:tcPr>
            <w:tcW w:w="100" w:type="dxa"/>
            <w:vAlign w:val="bottom"/>
          </w:tcPr>
          <w:p>
            <w:pPr>
              <w:spacing w:after="0"/>
              <w:rPr>
                <w:sz w:val="17"/>
                <w:szCs w:val="17"/>
                <w:color w:val="auto"/>
              </w:rPr>
            </w:pPr>
          </w:p>
        </w:tc>
        <w:tc>
          <w:tcPr>
            <w:tcW w:w="240" w:type="dxa"/>
            <w:vAlign w:val="bottom"/>
          </w:tcPr>
          <w:p>
            <w:pPr>
              <w:jc w:val="right"/>
              <w:ind w:right="64"/>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73,006</w:t>
            </w:r>
          </w:p>
        </w:tc>
        <w:tc>
          <w:tcPr>
            <w:tcW w:w="20" w:type="dxa"/>
            <w:vAlign w:val="bottom"/>
          </w:tcPr>
          <w:p>
            <w:pPr>
              <w:spacing w:after="0"/>
              <w:rPr>
                <w:sz w:val="17"/>
                <w:szCs w:val="17"/>
                <w:color w:val="auto"/>
              </w:rPr>
            </w:pPr>
          </w:p>
        </w:tc>
        <w:tc>
          <w:tcPr>
            <w:tcW w:w="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83,143</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44,264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56,543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85,027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195,283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segment income</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67,076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89,227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8"/>
              </w:rPr>
              <w:t>158,033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278,426</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&amp; other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(4,447)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(12,159)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(11,060)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00" w:type="dxa"/>
            <w:vAlign w:val="bottom"/>
            <w:gridSpan w:val="5"/>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42"/>
              <w:spacing w:after="0" w:line="202" w:lineRule="exact"/>
              <w:rPr>
                <w:sz w:val="20"/>
                <w:szCs w:val="20"/>
                <w:color w:val="auto"/>
              </w:rPr>
            </w:pPr>
            <w:r>
              <w:rPr>
                <w:rFonts w:ascii="Arial" w:cs="Arial" w:eastAsia="Arial" w:hAnsi="Arial"/>
                <w:sz w:val="18"/>
                <w:szCs w:val="18"/>
                <w:color w:val="auto"/>
              </w:rPr>
              <w:t>(20,583)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(17,619)</w:t>
            </w:r>
          </w:p>
        </w:tc>
        <w:tc>
          <w:tcPr>
            <w:tcW w:w="240" w:type="dxa"/>
            <w:vAlign w:val="bottom"/>
          </w:tcPr>
          <w:p>
            <w:pPr>
              <w:spacing w:after="0"/>
              <w:rPr>
                <w:sz w:val="17"/>
                <w:szCs w:val="17"/>
                <w:color w:val="auto"/>
              </w:rPr>
            </w:pPr>
          </w:p>
        </w:tc>
        <w:tc>
          <w:tcPr>
            <w:tcW w:w="7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(59,905)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(49,462)</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interest expense, net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(35,877)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(35,242)</w:t>
            </w:r>
          </w:p>
        </w:tc>
        <w:tc>
          <w:tcPr>
            <w:tcW w:w="98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(108,124)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(99,873)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gridSpan w:val="8"/>
          </w:tcPr>
          <w:p>
            <w:pPr>
              <w:ind w:left="100"/>
              <w:spacing w:after="0" w:line="202" w:lineRule="exact"/>
              <w:rPr>
                <w:sz w:val="20"/>
                <w:szCs w:val="20"/>
                <w:color w:val="auto"/>
              </w:rPr>
            </w:pPr>
            <w:r>
              <w:rPr>
                <w:rFonts w:ascii="Arial" w:cs="Arial" w:eastAsia="Arial" w:hAnsi="Arial"/>
                <w:sz w:val="18"/>
                <w:szCs w:val="18"/>
                <w:color w:val="auto"/>
                <w:w w:val="99"/>
              </w:rPr>
              <w:t>Tax Receivable Agreement liability adjustment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7"/>
              </w:rPr>
              <w:t>1,680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1,680</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000" w:type="dxa"/>
            <w:vAlign w:val="bottom"/>
            <w:gridSpan w:val="5"/>
          </w:tcPr>
          <w:p>
            <w:pPr>
              <w:ind w:left="200"/>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6,007</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34,572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(22,492)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118,052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1" w:lineRule="exact"/>
        <w:rPr>
          <w:sz w:val="20"/>
          <w:szCs w:val="20"/>
          <w:color w:val="auto"/>
        </w:rPr>
      </w:pPr>
    </w:p>
    <w:p>
      <w:pPr>
        <w:ind w:left="460" w:hanging="329"/>
        <w:spacing w:after="0"/>
        <w:tabs>
          <w:tab w:leader="none" w:pos="460" w:val="left"/>
        </w:tabs>
        <w:numPr>
          <w:ilvl w:val="0"/>
          <w:numId w:val="28"/>
        </w:numPr>
        <w:rPr>
          <w:rFonts w:ascii="Arial" w:cs="Arial" w:eastAsia="Arial" w:hAnsi="Arial"/>
          <w:sz w:val="22"/>
          <w:szCs w:val="22"/>
          <w:color w:val="231F20"/>
          <w:vertAlign w:val="superscript"/>
        </w:rPr>
      </w:pPr>
      <w:r>
        <w:rPr>
          <w:rFonts w:ascii="Arial" w:cs="Arial" w:eastAsia="Arial" w:hAnsi="Arial"/>
          <w:sz w:val="14"/>
          <w:szCs w:val="14"/>
          <w:color w:val="auto"/>
        </w:rPr>
        <w:t>Segment income is defined as income from operations before depreciation and amortization plus floor plan interest expense.</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7"/>
          </w:tcPr>
          <w:p>
            <w:pPr>
              <w:ind w:left="300"/>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7"/>
          </w:tcPr>
          <w:p>
            <w:pPr>
              <w:jc w:val="center"/>
              <w:ind w:right="20"/>
              <w:spacing w:after="0"/>
              <w:rPr>
                <w:sz w:val="20"/>
                <w:szCs w:val="20"/>
                <w:color w:val="auto"/>
              </w:rPr>
            </w:pPr>
            <w:r>
              <w:rPr>
                <w:rFonts w:ascii="Arial" w:cs="Arial" w:eastAsia="Arial" w:hAnsi="Arial"/>
                <w:sz w:val="12"/>
                <w:szCs w:val="12"/>
                <w:b w:val="1"/>
                <w:bCs w:val="1"/>
                <w:color w:val="auto"/>
                <w:w w:val="96"/>
              </w:rPr>
              <w:t>Nine Months Ended</w:t>
            </w:r>
          </w:p>
        </w:tc>
      </w:tr>
      <w:tr>
        <w:trPr>
          <w:trHeight w:val="145"/>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2"/>
                <w:szCs w:val="12"/>
                <w:b w:val="1"/>
                <w:bCs w:val="1"/>
                <w:color w:val="auto"/>
                <w:w w:val="99"/>
              </w:rPr>
              <w:t>September 30,</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2"/>
                <w:szCs w:val="12"/>
                <w:b w:val="1"/>
                <w:bCs w:val="1"/>
                <w:color w:val="auto"/>
                <w:w w:val="97"/>
              </w:rPr>
              <w:t>September 30,</w:t>
            </w:r>
          </w:p>
        </w:tc>
      </w:tr>
      <w:tr>
        <w:trPr>
          <w:trHeight w:val="142"/>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220" w:type="dxa"/>
            <w:vAlign w:val="bottom"/>
          </w:tcPr>
          <w:p>
            <w:pPr>
              <w:spacing w:after="0"/>
              <w:rPr>
                <w:sz w:val="12"/>
                <w:szCs w:val="12"/>
                <w:color w:val="auto"/>
              </w:rPr>
            </w:pPr>
          </w:p>
        </w:tc>
        <w:tc>
          <w:tcPr>
            <w:tcW w:w="880" w:type="dxa"/>
            <w:vAlign w:val="bottom"/>
            <w:gridSpan w:val="4"/>
          </w:tcPr>
          <w:p>
            <w:pPr>
              <w:ind w:left="560"/>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71"/>
              <w:spacing w:after="0"/>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220" w:type="dxa"/>
            <w:vAlign w:val="bottom"/>
          </w:tcPr>
          <w:p>
            <w:pPr>
              <w:spacing w:after="0"/>
              <w:rPr>
                <w:sz w:val="17"/>
                <w:szCs w:val="17"/>
                <w:color w:val="auto"/>
              </w:rPr>
            </w:pPr>
          </w:p>
        </w:tc>
        <w:tc>
          <w:tcPr>
            <w:tcW w:w="720" w:type="dxa"/>
            <w:vAlign w:val="bottom"/>
            <w:gridSpan w:val="3"/>
          </w:tcPr>
          <w:p>
            <w:pPr>
              <w:jc w:val="right"/>
              <w:ind w:right="246"/>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813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735</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2,502</w:t>
            </w:r>
          </w:p>
        </w:tc>
        <w:tc>
          <w:tcPr>
            <w:tcW w:w="12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2,461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220" w:type="dxa"/>
            <w:vAlign w:val="bottom"/>
            <w:shd w:val="clear" w:color="auto" w:fill="CCEEFF"/>
          </w:tcPr>
          <w:p>
            <w:pPr>
              <w:spacing w:after="0"/>
              <w:rPr>
                <w:sz w:val="17"/>
                <w:szCs w:val="17"/>
                <w:color w:val="auto"/>
              </w:rPr>
            </w:pPr>
          </w:p>
        </w:tc>
        <w:tc>
          <w:tcPr>
            <w:tcW w:w="11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19,770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16,884</w:t>
            </w: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57,403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47,001</w:t>
            </w:r>
          </w:p>
        </w:tc>
        <w:tc>
          <w:tcPr>
            <w:tcW w:w="2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40" w:type="dxa"/>
            <w:vAlign w:val="bottom"/>
            <w:gridSpan w:val="2"/>
          </w:tcPr>
          <w:p>
            <w:pPr>
              <w:spacing w:after="0" w:line="196" w:lineRule="exact"/>
              <w:rPr>
                <w:sz w:val="20"/>
                <w:szCs w:val="20"/>
                <w:color w:val="auto"/>
              </w:rPr>
            </w:pPr>
            <w:r>
              <w:rPr>
                <w:rFonts w:ascii="Arial" w:cs="Arial" w:eastAsia="Arial" w:hAnsi="Arial"/>
                <w:sz w:val="18"/>
                <w:szCs w:val="18"/>
                <w:color w:val="auto"/>
              </w:rPr>
              <w:t>Total depreciation and amortization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$ 20,583</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17,619</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$ 59,905</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49,462</w:t>
            </w:r>
          </w:p>
        </w:tc>
        <w:tc>
          <w:tcPr>
            <w:tcW w:w="20" w:type="dxa"/>
            <w:vAlign w:val="bottom"/>
            <w:tcBorders>
              <w:top w:val="single" w:sz="8" w:color="auto"/>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10"/>
          </w:tcPr>
          <w:p>
            <w:pPr>
              <w:spacing w:after="0"/>
              <w:rPr>
                <w:sz w:val="20"/>
                <w:szCs w:val="20"/>
                <w:color w:val="auto"/>
              </w:rPr>
            </w:pPr>
            <w:r>
              <w:rPr>
                <w:rFonts w:ascii="Arial" w:cs="Arial" w:eastAsia="Arial" w:hAnsi="Arial"/>
                <w:sz w:val="12"/>
                <w:szCs w:val="12"/>
                <w:b w:val="1"/>
                <w:bCs w:val="1"/>
                <w:color w:val="auto"/>
              </w:rPr>
              <w:t>Three Months Ended September 30,</w:t>
            </w:r>
          </w:p>
        </w:tc>
        <w:tc>
          <w:tcPr>
            <w:tcW w:w="2000" w:type="dxa"/>
            <w:vAlign w:val="bottom"/>
            <w:gridSpan w:val="9"/>
          </w:tcPr>
          <w:p>
            <w:pPr>
              <w:ind w:left="20"/>
              <w:spacing w:after="0"/>
              <w:rPr>
                <w:sz w:val="20"/>
                <w:szCs w:val="20"/>
                <w:color w:val="auto"/>
              </w:rPr>
            </w:pPr>
            <w:r>
              <w:rPr>
                <w:rFonts w:ascii="Arial" w:cs="Arial" w:eastAsia="Arial" w:hAnsi="Arial"/>
                <w:sz w:val="12"/>
                <w:szCs w:val="12"/>
                <w:b w:val="1"/>
                <w:bCs w:val="1"/>
                <w:color w:val="auto"/>
                <w:w w:val="99"/>
              </w:rPr>
              <w:t>Nine Months Ended September 30,</w:t>
            </w:r>
          </w:p>
        </w:tc>
      </w:tr>
      <w:tr>
        <w:trPr>
          <w:trHeight w:val="142"/>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66"/>
              <w:spacing w:after="0"/>
              <w:rPr>
                <w:sz w:val="20"/>
                <w:szCs w:val="20"/>
                <w:color w:val="auto"/>
              </w:rPr>
            </w:pPr>
            <w:r>
              <w:rPr>
                <w:rFonts w:ascii="Arial" w:cs="Arial" w:eastAsia="Arial" w:hAnsi="Arial"/>
                <w:sz w:val="12"/>
                <w:szCs w:val="12"/>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236"/>
              <w:spacing w:after="0"/>
              <w:rPr>
                <w:sz w:val="20"/>
                <w:szCs w:val="20"/>
                <w:color w:val="auto"/>
              </w:rPr>
            </w:pPr>
            <w:r>
              <w:rPr>
                <w:rFonts w:ascii="Arial" w:cs="Arial" w:eastAsia="Arial" w:hAnsi="Arial"/>
                <w:sz w:val="12"/>
                <w:szCs w:val="12"/>
                <w:b w:val="1"/>
                <w:bCs w:val="1"/>
                <w:color w:val="auto"/>
              </w:rPr>
              <w:t>2023</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51"/>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36"/>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r>
      <w:tr>
        <w:trPr>
          <w:trHeight w:val="196"/>
        </w:trPr>
        <w:tc>
          <w:tcPr>
            <w:tcW w:w="460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interest expense, net: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(61)</w:t>
            </w:r>
          </w:p>
        </w:tc>
        <w:tc>
          <w:tcPr>
            <w:tcW w:w="1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7,758</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7,178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24,114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19,960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7,737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7,110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24,053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19,783</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&amp; other</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28,140</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28,132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84,071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80,090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other interest expense, net</w:t>
            </w: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35,877</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35,242</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108,124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99,873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September 30,</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December 31,</w:t>
            </w:r>
          </w:p>
        </w:tc>
        <w:tc>
          <w:tcPr>
            <w:tcW w:w="960" w:type="dxa"/>
            <w:vAlign w:val="bottom"/>
            <w:gridSpan w:val="2"/>
          </w:tcPr>
          <w:p>
            <w:pPr>
              <w:jc w:val="right"/>
              <w:ind w:right="15"/>
              <w:spacing w:after="0"/>
              <w:rPr>
                <w:sz w:val="20"/>
                <w:szCs w:val="20"/>
                <w:color w:val="auto"/>
              </w:rPr>
            </w:pPr>
            <w:r>
              <w:rPr>
                <w:rFonts w:ascii="Arial" w:cs="Arial" w:eastAsia="Arial" w:hAnsi="Arial"/>
                <w:sz w:val="12"/>
                <w:szCs w:val="12"/>
                <w:b w:val="1"/>
                <w:bCs w:val="1"/>
                <w:color w:val="auto"/>
              </w:rPr>
              <w:t>September 30,</w:t>
            </w:r>
          </w:p>
        </w:tc>
      </w:tr>
      <w:tr>
        <w:trPr>
          <w:trHeight w:val="147"/>
        </w:trPr>
        <w:tc>
          <w:tcPr>
            <w:tcW w:w="56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2"/>
                <w:szCs w:val="12"/>
                <w:color w:val="auto"/>
              </w:rPr>
            </w:pPr>
          </w:p>
        </w:tc>
        <w:tc>
          <w:tcPr>
            <w:tcW w:w="900" w:type="dxa"/>
            <w:vAlign w:val="bottom"/>
          </w:tcPr>
          <w:p>
            <w:pPr>
              <w:jc w:val="right"/>
              <w:ind w:right="295"/>
              <w:spacing w:after="0"/>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75"/>
              <w:spacing w:after="0"/>
              <w:rPr>
                <w:sz w:val="20"/>
                <w:szCs w:val="20"/>
                <w:color w:val="auto"/>
              </w:rPr>
            </w:pPr>
            <w:r>
              <w:rPr>
                <w:rFonts w:ascii="Arial" w:cs="Arial" w:eastAsia="Arial" w:hAnsi="Arial"/>
                <w:sz w:val="12"/>
                <w:szCs w:val="12"/>
                <w:b w:val="1"/>
                <w:bCs w:val="1"/>
                <w:color w:val="auto"/>
              </w:rPr>
              <w:t>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55"/>
              <w:spacing w:after="0"/>
              <w:rPr>
                <w:sz w:val="20"/>
                <w:szCs w:val="20"/>
                <w:color w:val="auto"/>
              </w:rPr>
            </w:pPr>
            <w:r>
              <w:rPr>
                <w:rFonts w:ascii="Arial" w:cs="Arial" w:eastAsia="Arial" w:hAnsi="Arial"/>
                <w:sz w:val="12"/>
                <w:szCs w:val="12"/>
                <w:b w:val="1"/>
                <w:bCs w:val="1"/>
                <w:color w:val="auto"/>
              </w:rPr>
              <w:t>2023</w:t>
            </w:r>
          </w:p>
        </w:tc>
      </w:tr>
      <w:tr>
        <w:trPr>
          <w:trHeight w:val="196"/>
        </w:trPr>
        <w:tc>
          <w:tcPr>
            <w:tcW w:w="5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Good Sam Services and Plans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87,087</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113,619</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91,887</w:t>
            </w:r>
          </w:p>
        </w:tc>
      </w:tr>
      <w:tr>
        <w:trPr>
          <w:trHeight w:val="203"/>
        </w:trPr>
        <w:tc>
          <w:tcPr>
            <w:tcW w:w="56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RV and Outdoor Retail</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4,366,121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4,568,372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4,383,561</w:t>
            </w:r>
          </w:p>
        </w:tc>
      </w:tr>
      <w:tr>
        <w:trPr>
          <w:trHeight w:val="196"/>
        </w:trPr>
        <w:tc>
          <w:tcPr>
            <w:tcW w:w="56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4,453,208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w w:val="97"/>
              </w:rPr>
              <w:t>4,681,991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w w:val="99"/>
              </w:rPr>
              <w:t>4,475,448</w:t>
            </w:r>
          </w:p>
        </w:tc>
      </w:tr>
      <w:tr>
        <w:trPr>
          <w:trHeight w:val="203"/>
        </w:trPr>
        <w:tc>
          <w:tcPr>
            <w:tcW w:w="56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Corporate &amp; other</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192,016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163,693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181,811</w:t>
            </w:r>
          </w:p>
        </w:tc>
      </w:tr>
      <w:tr>
        <w:trPr>
          <w:trHeight w:val="196"/>
        </w:trPr>
        <w:tc>
          <w:tcPr>
            <w:tcW w:w="56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4,645,224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4,845,684</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4,657,259</w:t>
            </w: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included in Part I, Item 1 of this Form 10-Q, as well as our Annual Report on Form 10-K for the year ended December 31, 2023, filed with the SEC on February 26, 2024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Part II, Item 1A of this Form 10-Q,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6"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i w:val="1"/>
          <w:iCs w:val="1"/>
          <w:color w:val="auto"/>
        </w:rPr>
        <w:t>For purposes of this Form 10-Q, we define an "Active Customer" as a customer who has transacted with us in any of the eight most recently completed fiscal quarters prior to the date of measurement. Unless otherwise indicated, the date of measurement is September 30, 2024, our most recently completed fiscal quarter.</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Camping World Holdings, Inc. (together with its subsidiaries) is the world’s largest retailer of RVs and related products and services. Through our Camping World and Good Sam brands, our vision is to build a business that makes RVing and other outdoor adventures fun and easy.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highly specialized services and plans, including roadside assistance, protection plans and insurance, uniquely enables us to connect with our customers as stewards of an outdoor and recreational lifestyle. On September 30, 2024, we operated a total of 207 locations, with all of them selling and/or servicing RVs. See Note 1 – Summary of Significant Accounting Policies to our condensed consolidated financial statements included in Part I, Item 1 of this Form 10-Q.</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to September 30, 2024, are in the table below:</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left="42"/>
              <w:spacing w:after="0"/>
              <w:rPr>
                <w:sz w:val="20"/>
                <w:szCs w:val="20"/>
                <w:color w:val="auto"/>
              </w:rPr>
            </w:pPr>
            <w:r>
              <w:rPr>
                <w:rFonts w:ascii="Arial" w:cs="Arial" w:eastAsia="Arial" w:hAnsi="Arial"/>
                <w:sz w:val="12"/>
                <w:szCs w:val="12"/>
                <w:b w:val="1"/>
                <w:bCs w:val="1"/>
                <w:color w:val="auto"/>
                <w:w w:val="95"/>
              </w:rPr>
              <w:t>RV</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6"/>
              </w:rPr>
              <w:t>RV Service &amp;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355"/>
              <w:spacing w:after="0"/>
              <w:rPr>
                <w:sz w:val="20"/>
                <w:szCs w:val="20"/>
                <w:color w:val="auto"/>
              </w:rPr>
            </w:pPr>
            <w:r>
              <w:rPr>
                <w:rFonts w:ascii="Arial" w:cs="Arial" w:eastAsia="Arial" w:hAnsi="Arial"/>
                <w:sz w:val="12"/>
                <w:szCs w:val="12"/>
                <w:b w:val="1"/>
                <w:bCs w:val="1"/>
                <w:color w:val="auto"/>
              </w:rPr>
              <w:t>Same</w:t>
            </w:r>
          </w:p>
        </w:tc>
      </w:tr>
      <w:tr>
        <w:trPr>
          <w:trHeight w:val="155"/>
        </w:trPr>
        <w:tc>
          <w:tcPr>
            <w:tcW w:w="37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left="62"/>
              <w:spacing w:after="0"/>
              <w:rPr>
                <w:sz w:val="20"/>
                <w:szCs w:val="20"/>
                <w:color w:val="auto"/>
              </w:rPr>
            </w:pPr>
            <w:r>
              <w:rPr>
                <w:rFonts w:ascii="Arial" w:cs="Arial" w:eastAsia="Arial" w:hAnsi="Arial"/>
                <w:sz w:val="12"/>
                <w:szCs w:val="12"/>
                <w:b w:val="1"/>
                <w:bCs w:val="1"/>
                <w:color w:val="auto"/>
                <w:w w:val="96"/>
              </w:rPr>
              <w:t>Dealerships</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Retail Centers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2"/>
                <w:szCs w:val="12"/>
                <w:b w:val="1"/>
                <w:bCs w:val="1"/>
                <w:color w:val="auto"/>
              </w:rPr>
              <w:t>Store</w:t>
            </w:r>
            <w:r>
              <w:rPr>
                <w:rFonts w:ascii="Arial" w:cs="Arial" w:eastAsia="Arial" w:hAnsi="Arial"/>
                <w:sz w:val="17"/>
                <w:szCs w:val="17"/>
                <w:color w:val="auto"/>
                <w:vertAlign w:val="superscript"/>
              </w:rPr>
              <w:t>(1)</w:t>
            </w:r>
          </w:p>
        </w:tc>
      </w:tr>
      <w:tr>
        <w:trPr>
          <w:trHeight w:val="142"/>
        </w:trPr>
        <w:tc>
          <w:tcPr>
            <w:tcW w:w="37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Number of store locations as of September 30, 2023</w:t>
            </w:r>
          </w:p>
        </w:tc>
        <w:tc>
          <w:tcPr>
            <w:tcW w:w="980" w:type="dxa"/>
            <w:vAlign w:val="bottom"/>
            <w:gridSpan w:val="2"/>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209</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175</w:t>
            </w:r>
          </w:p>
        </w:tc>
      </w:tr>
      <w:tr>
        <w:trPr>
          <w:trHeight w:val="148"/>
        </w:trPr>
        <w:tc>
          <w:tcPr>
            <w:tcW w:w="4720" w:type="dxa"/>
            <w:vAlign w:val="bottom"/>
            <w:gridSpan w:val="3"/>
          </w:tcPr>
          <w:p>
            <w:pPr>
              <w:ind w:left="100"/>
              <w:spacing w:after="0"/>
              <w:rPr>
                <w:sz w:val="20"/>
                <w:szCs w:val="20"/>
                <w:color w:val="auto"/>
              </w:rPr>
            </w:pPr>
            <w:r>
              <w:rPr>
                <w:rFonts w:ascii="Arial" w:cs="Arial" w:eastAsia="Arial" w:hAnsi="Arial"/>
                <w:sz w:val="13"/>
                <w:szCs w:val="13"/>
                <w:color w:val="auto"/>
              </w:rPr>
              <w:t>Opened</w:t>
            </w:r>
          </w:p>
        </w:tc>
        <w:tc>
          <w:tcPr>
            <w:tcW w:w="300" w:type="dxa"/>
            <w:vAlign w:val="bottom"/>
          </w:tcPr>
          <w:p>
            <w:pPr>
              <w:jc w:val="right"/>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Closed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49"/>
        </w:trPr>
        <w:tc>
          <w:tcPr>
            <w:tcW w:w="390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2"/>
                <w:szCs w:val="12"/>
                <w:color w:val="auto"/>
              </w:rPr>
              <w:t xml:space="preserve">Achieved designation of same store </w:t>
            </w:r>
            <w:r>
              <w:rPr>
                <w:rFonts w:ascii="Arial" w:cs="Arial" w:eastAsia="Arial" w:hAnsi="Arial"/>
                <w:sz w:val="17"/>
                <w:szCs w:val="17"/>
                <w:color w:val="auto"/>
                <w:vertAlign w:val="superscript"/>
              </w:rPr>
              <w:t>(1)</w:t>
            </w: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42"/>
        </w:trPr>
        <w:tc>
          <w:tcPr>
            <w:tcW w:w="472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auto"/>
              </w:rPr>
              <w:t>Number of store locations as of September 30, 2024</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207</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right="79" w:hanging="330"/>
        <w:spacing w:after="0" w:line="281" w:lineRule="auto"/>
        <w:tabs>
          <w:tab w:leader="none" w:pos="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Review</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disclosed in our Annual Report, on January 17, 2024, we announced that we were reviewing potential strategic alternatives for our Good Sam business. In conducting that review, we came to the decision that the greatest value can be achieved through retaining the Good Sam business. We have deepened our appreciation for the non-cyclical nature of the business and also recognize the large growth potential of the business over multiple vectors in the outdoor and recreational space. Going forward, Good Sam will continue to benefit from its relationship with the Camping World brand and store footprint, but will be empowered to operate independently to drive growth.</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With over 50 years of experience, Good Sam has built a range of asset-light services, with high levels of recurring revenue and attractive gross margins. Good Sam offers programs, plans and services that are geared towards protecting, insuring and promoting the outdoor and recreational lifestyle, and include services such as extended vehicle service contracts, vehicle roadside assistance, property and casualty insurance, travel protection, travel planning and directories, and publications. We believe this highly specialized product offering has significant potential to penetrate broader parts of the recreational market, including other powersports such as boating or ATVs, to further empower our customers’ joy of travel, recreation and the outdoors.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According to the RV Industry Association’s (“RVIA”) survey of manufacturers, which almost entirely focuses on North America, wholesale shipments of new RVs for 2023 were 313,174 units, 36.5% less than in 2022. The September 2024 issue of RV </w:t>
      </w:r>
      <w:r>
        <w:rPr>
          <w:rFonts w:ascii="Arial" w:cs="Arial" w:eastAsia="Arial" w:hAnsi="Arial"/>
          <w:sz w:val="18"/>
          <w:szCs w:val="18"/>
          <w:i w:val="1"/>
          <w:iCs w:val="1"/>
          <w:color w:val="auto"/>
        </w:rPr>
        <w:t>RoadSigns</w:t>
      </w:r>
      <w:r>
        <w:rPr>
          <w:rFonts w:ascii="Arial" w:cs="Arial" w:eastAsia="Arial" w:hAnsi="Arial"/>
          <w:sz w:val="18"/>
          <w:szCs w:val="18"/>
          <w:color w:val="auto"/>
        </w:rPr>
        <w:t>, the quarterly forecast prepared by ITR Economics for the RVIA, projected RV wholesale shipments to be approximately 324,000 in 2024, or 3.5% higher than 2023, and approximately 346,000 in 2025, or 6.8% higher than forecasted 2024. RV wholesale shipments for the first nine months of 2024 were 256,412 units, up 7.7% compared to the same timeframe last year per the September 2024 survey of manufacturers prepared by the RVIA.</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per unit cost of new vehicles in fiscal year 2022 and 2023 had been significantly higher than we experienced prior to the COVID-19 pandemic, due to the RV manufacturers’ supply constraints during the pandemic, strong demand for new vehicles during the pandemic, higher inflation, and higher interest rates. These higher costs had been partially mitigated by the higher average selling prices on new vehicles initially, but we experienced a decrease in new vehicle gross margins during the year ended December 31, 2022, which continued in 2023, as a result of these higher costs. We experienced a 4.3% decrease in the average sale price of new vehicles during fiscal year 2023 compared to 2022, driven by more price sensitive customers in a higher interest rate environment.</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Since certain of our RV manufacturers had indicated that they expected new towable vehicle average manufacturer selling prices to decline by up to 10% for 2024 model year vehicles, we focused on clearing out a significant portion of our pre-2024 model year new vehicles primarily during the fourth quarter of 2023 and early 2024 to improve the mix of our new vehicle inventory toward the lower cost 2024 model year vehicles. These new vehicle cost decreases further decreased average selling prices of new vehicles in 2024. For the three months ended September 30, 2024, overall new vehicle gross margins decreased 162 basis points to 13.5%, as our average selling price per vehicle decreased 7.4% while our average cost per vehicle decreased 5.6%.</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Additionally, these new vehicle price pressures have resulted, and may continue to result, in a decline in residual values of used vehicles, which led us to discount used vehicle pricing in order to maintain used vehicles as a lower cost alternative to new vehicles, which has negatively impacted used vehicle gross margins. We have also experienced lower used vehicle inventory levels in 2024 as we slowed procurement to allow RV owner pricing expectations to adjust as a result of 2024 model year pricing declines.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noted in “Industry Trends” above, we have experienced reduced cost and average selling prices with respect to new vehicles and, as a byproduct of the new vehicle pricing decrease, used vehicles. New and used vehicles regularly represent a majority of our costs. However, inflationary factors, such as increases to our other product and overhead costs, may adversely affect our operating results if the selling prices of our products and services do not increase proportionately with those increased costs or if demand for our products and services declines as a result of price increases to address inflationary costs. Additionally, our leases require us to pay taxes, maintenance, repairs, insurance and utilities, all of which are generally subject to inflationary increases. Further, the cost of remodeling acquired RV dealership locations and constructing new RV dealership locations is subject to inflationary increases in the costs of labor and material, which results in higher rent expense on new RV dealership locations. Finally, our credit agreements include interest rates that vary based on various benchmarks. Such rates have historically increased during periods of increasing inflation.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2019, we made a strategic decision to refocus our business around our core RV competencies (the “2019 Strategic Shift”), which was substantially complete by December 31, 2021. On March 1, 2023, our management determined to implement plans (the “Active Sports Restructuring”) to exit and restructure operations of our indirect subsidiary, Active Sports, LLC, a specialty products retail business (“Active Sports”), which was substantially complete by December 31, 2023. For the 2019 Strategic Shift, the remaining potential ongoing charges related to lease termination costs and other associated costs relating to the leases of certain previously closed locations and facilities. The timing of sublease and/or termination negotiations will vary as both are contingent on landlord approvals. We expect that the ongoing lease-related costs relating to the 2019 Strategic Shift, net of associated sublease income, will be less than $3.5 million per year. During the three months ended September 30, 2024, the Company terminated the final significant lease under the Active Sports Restructuring that included a $1.5 million lease termination fee that was paid on October 1, 2024. The Company does not expect any further costs under the Active Sports Restructuring beyond insignificant lease costs of less than $0.2 million per year. See Note 4 — Restructuring and Long-Lived Asset Impairment to our condensed consolidated financial statements included in Part I, Item 1 of this Form 10-Q.</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Certain Trends to Pre-COVID-19 Pandemic Periods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New vehicle gross margins in the third quarter of 2024 were within the range of gross margins for the pre-COVID-19 pandemic periods presented in the table below. Additionally, used vehicle gross margins were negatively impacted in the third quarter of 2024 from the discounting necessary to maintain used vehicles as a lower cost alternative for our customers. Beginning primarily in the fourth quarter of 2023, we adjusted our acceptable procurement cost of used vehicles to reflect the lower average market price of RVs that was driven by the lower cost 2024 models.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table presents vehicle gross margin and unit sale mix for the three months ended September 30, 2024 and pre-COVID-19 pandemic periods for the three months ended September 30, 2019, 2018, 2017, and 2016 (unaudited):</w:t>
      </w:r>
    </w:p>
    <w:p>
      <w:pPr>
        <w:spacing w:after="0" w:line="206"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Borders>
              <w:bottom w:val="single" w:sz="8" w:color="auto"/>
            </w:tcBorders>
          </w:tcPr>
          <w:p>
            <w:pPr>
              <w:spacing w:after="0"/>
              <w:rPr>
                <w:sz w:val="14"/>
                <w:szCs w:val="14"/>
                <w:color w:val="auto"/>
              </w:rPr>
            </w:pPr>
          </w:p>
        </w:tc>
      </w:tr>
      <w:tr>
        <w:trPr>
          <w:trHeight w:val="169"/>
        </w:trPr>
        <w:tc>
          <w:tcPr>
            <w:tcW w:w="9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3"/>
                <w:szCs w:val="13"/>
                <w:b w:val="1"/>
                <w:bCs w:val="1"/>
                <w:color w:val="auto"/>
              </w:rPr>
              <w:t>2019</w:t>
            </w:r>
            <w:r>
              <w:rPr>
                <w:rFonts w:ascii="Arial" w:cs="Arial" w:eastAsia="Arial" w:hAnsi="Arial"/>
                <w:sz w:val="19"/>
                <w:szCs w:val="19"/>
                <w:b w:val="1"/>
                <w:bCs w:val="1"/>
                <w:color w:val="auto"/>
                <w:vertAlign w:val="superscript"/>
              </w:rPr>
              <w:t>(1)</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3"/>
                <w:szCs w:val="13"/>
                <w:b w:val="1"/>
                <w:bCs w:val="1"/>
                <w:color w:val="auto"/>
              </w:rPr>
              <w:t>2018</w:t>
            </w:r>
            <w:r>
              <w:rPr>
                <w:rFonts w:ascii="Arial" w:cs="Arial" w:eastAsia="Arial" w:hAnsi="Arial"/>
                <w:sz w:val="19"/>
                <w:szCs w:val="19"/>
                <w:b w:val="1"/>
                <w:bCs w:val="1"/>
                <w:color w:val="auto"/>
                <w:vertAlign w:val="superscript"/>
              </w:rPr>
              <w:t>(1)</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3"/>
                <w:szCs w:val="13"/>
                <w:b w:val="1"/>
                <w:bCs w:val="1"/>
                <w:color w:val="auto"/>
              </w:rPr>
              <w:t>2017</w:t>
            </w:r>
            <w:r>
              <w:rPr>
                <w:rFonts w:ascii="Arial" w:cs="Arial" w:eastAsia="Arial" w:hAnsi="Arial"/>
                <w:sz w:val="19"/>
                <w:szCs w:val="19"/>
                <w:b w:val="1"/>
                <w:bCs w:val="1"/>
                <w:color w:val="auto"/>
                <w:vertAlign w:val="superscript"/>
              </w:rPr>
              <w:t>(1)</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3"/>
                <w:szCs w:val="13"/>
                <w:b w:val="1"/>
                <w:bCs w:val="1"/>
                <w:color w:val="auto"/>
              </w:rPr>
              <w:t>2016</w:t>
            </w:r>
            <w:r>
              <w:rPr>
                <w:rFonts w:ascii="Arial" w:cs="Arial" w:eastAsia="Arial" w:hAnsi="Arial"/>
                <w:sz w:val="19"/>
                <w:szCs w:val="19"/>
                <w:b w:val="1"/>
                <w:bCs w:val="1"/>
                <w:color w:val="auto"/>
                <w:vertAlign w:val="superscript"/>
              </w:rPr>
              <w:t>(1)</w:t>
            </w:r>
          </w:p>
        </w:tc>
      </w:tr>
      <w:tr>
        <w:trPr>
          <w:trHeight w:val="142"/>
        </w:trPr>
        <w:tc>
          <w:tcPr>
            <w:tcW w:w="41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Gross margin:</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0"/>
        </w:trPr>
        <w:tc>
          <w:tcPr>
            <w:tcW w:w="94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56"/>
        </w:trPr>
        <w:tc>
          <w:tcPr>
            <w:tcW w:w="4300" w:type="dxa"/>
            <w:vAlign w:val="bottom"/>
            <w:gridSpan w:val="3"/>
          </w:tcPr>
          <w:p>
            <w:pPr>
              <w:ind w:left="120"/>
              <w:spacing w:after="0" w:line="155" w:lineRule="exact"/>
              <w:rPr>
                <w:sz w:val="20"/>
                <w:szCs w:val="20"/>
                <w:color w:val="auto"/>
              </w:rPr>
            </w:pPr>
            <w:r>
              <w:rPr>
                <w:rFonts w:ascii="Arial" w:cs="Arial" w:eastAsia="Arial" w:hAnsi="Arial"/>
                <w:sz w:val="14"/>
                <w:szCs w:val="14"/>
                <w:color w:val="auto"/>
              </w:rPr>
              <w:t>New vehicles</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13.5%</w:t>
            </w: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12.6%</w:t>
            </w: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14.3%</w:t>
            </w: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13.9%</w:t>
            </w:r>
          </w:p>
        </w:tc>
      </w:tr>
      <w:tr>
        <w:trPr>
          <w:trHeight w:val="162"/>
        </w:trPr>
        <w:tc>
          <w:tcPr>
            <w:tcW w:w="430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Used vehicles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62"/>
        </w:trPr>
        <w:tc>
          <w:tcPr>
            <w:tcW w:w="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430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Unit sales mix:</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0"/>
        </w:trPr>
        <w:tc>
          <w:tcPr>
            <w:tcW w:w="9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55"/>
        </w:trPr>
        <w:tc>
          <w:tcPr>
            <w:tcW w:w="4300" w:type="dxa"/>
            <w:vAlign w:val="bottom"/>
            <w:gridSpan w:val="3"/>
          </w:tcPr>
          <w:p>
            <w:pPr>
              <w:ind w:left="120"/>
              <w:spacing w:after="0" w:line="155" w:lineRule="exact"/>
              <w:rPr>
                <w:sz w:val="20"/>
                <w:szCs w:val="20"/>
                <w:color w:val="auto"/>
              </w:rPr>
            </w:pPr>
            <w:r>
              <w:rPr>
                <w:rFonts w:ascii="Arial" w:cs="Arial" w:eastAsia="Arial" w:hAnsi="Arial"/>
                <w:sz w:val="14"/>
                <w:szCs w:val="14"/>
                <w:color w:val="auto"/>
              </w:rPr>
              <w:t>New vehicles</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58.6%</w:t>
            </w: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64.9%</w:t>
            </w: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69.0%</w:t>
            </w: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69.1%</w:t>
            </w: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64.2%</w:t>
            </w:r>
          </w:p>
        </w:tc>
      </w:tr>
      <w:tr>
        <w:trPr>
          <w:trHeight w:val="162"/>
        </w:trPr>
        <w:tc>
          <w:tcPr>
            <w:tcW w:w="430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Used vehicles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bl>
    <w:p>
      <w:pPr>
        <w:spacing w:after="0" w:line="58" w:lineRule="exact"/>
        <w:rPr>
          <w:sz w:val="20"/>
          <w:szCs w:val="20"/>
          <w:color w:val="auto"/>
        </w:rPr>
      </w:pPr>
    </w:p>
    <w:p>
      <w:pPr>
        <w:ind w:left="380" w:hanging="330"/>
        <w:spacing w:after="0"/>
        <w:tabs>
          <w:tab w:leader="none" w:pos="380" w:val="left"/>
        </w:tabs>
        <w:numPr>
          <w:ilvl w:val="0"/>
          <w:numId w:val="30"/>
        </w:numPr>
        <w:rPr>
          <w:rFonts w:ascii="Arial" w:cs="Arial" w:eastAsia="Arial" w:hAnsi="Arial"/>
          <w:sz w:val="13"/>
          <w:szCs w:val="13"/>
          <w:color w:val="auto"/>
        </w:rPr>
      </w:pPr>
      <w:r>
        <w:rPr>
          <w:rFonts w:ascii="Arial" w:cs="Arial" w:eastAsia="Arial" w:hAnsi="Arial"/>
          <w:sz w:val="14"/>
          <w:szCs w:val="14"/>
          <w:color w:val="auto"/>
        </w:rPr>
        <w:t>These periods were prior to the COVID-19 pandemic.</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Structure Impact on Income Taxes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corporate structure is commonly referred to as an “Up-C” structure and typically results in a different relationship between income before income taxes and income tax expense than would be experienced by most public companies with a more traditional corporate structure. More traditional structures are typically comprised predominately of Subchapter C corporations (“C-Corps”) and/or lacking significant non-controlling interests with holdings through limited liability companies or partnerships. Typically, most of our income tax expense is recorded at the CWH level, our public holding company, based on its allocation of taxable income from CWGS, LLC.</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More specifically, CWH is organized as a C-Corp and, as of September 30, 2024, is a 53.1% owner of CWGS, LLC. CWGS, LLC is organized as a limited liability company and treated as a partnership for U.S. federal and most applicable state and local income tax purposes and, as such is generally not subject to any U.S. federal entity-level income taxes (“Pass-Through”), with the exception of Americas Road and Travel Club, Inc. and FreedomRoads RV, Inc., and their wholly-owned subsidiaries, which are C-Corps embedded within the CWGS, LLC structure.</w:t>
      </w:r>
    </w:p>
    <w:p>
      <w:pPr>
        <w:spacing w:after="0" w:line="17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CWH receives an allocation of its share of the net income of CWGS, LLC based on CWH’s weighted-average ownership of CWGS, LLC for the period. CWH recognizes income tax expense on its pre-tax income including its portion of this income allocation from CWGS, LLC primarily relating to Pass-Through entities. The income tax relating to the net income of CWGS, LLC allocated to CWH that relates to separately taxed C-Corp entities is recorded within the consolidated results of CWGS, LLC. No income tax expense is recognized by the Company for the portion of net income of CWGS, LLC allocated to non-controlling interest other than income tax expense recorded by CWGS, LLC. Rather, tax distributions are paid to the non-controlling interest holders which are recorded as distributions to holders of LLC common units in the condensed consolidated statements of cash flows. CWH is subject to U.S. federal, state and local income taxes with respect to its allocable share of any taxable income of CWGS, LLC and is taxed at the prevailing corporate tax rates. For the three months ended September 30, 2024 and 2023, the Company used blended statutory tax rate assumptions of 25.0% and 25.1%, respectively, for income adjustments applicable to CWH when calculating the adjusted net income attributable to Camping World Holdings, Inc. ─ basic and diluted (see “Non-GAAP Financial Measures” in Part I, Item 2 of this Form 10-Q). CWGS, LLC may be liable for various other state and local taxes.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firstLine="648"/>
        <w:spacing w:after="0" w:line="253" w:lineRule="auto"/>
        <w:rPr>
          <w:sz w:val="20"/>
          <w:szCs w:val="20"/>
          <w:color w:val="auto"/>
        </w:rPr>
      </w:pPr>
      <w:r>
        <w:rPr>
          <w:rFonts w:ascii="Arial" w:cs="Arial" w:eastAsia="Arial" w:hAnsi="Arial"/>
          <w:sz w:val="18"/>
          <w:szCs w:val="18"/>
          <w:color w:val="auto"/>
        </w:rPr>
        <w:t>The following table presents the allocation of CWGS, LLC’s C-Corp and Pass-Through net income to CWH, the allocation of CWGS, LLC’s net income to non-controlling interests, income tax expense recognized by CWH, and other items: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6"/>
          </w:tcPr>
          <w:p>
            <w:pPr>
              <w:ind w:left="60"/>
              <w:spacing w:after="0"/>
              <w:rPr>
                <w:sz w:val="20"/>
                <w:szCs w:val="20"/>
                <w:color w:val="auto"/>
              </w:rPr>
            </w:pPr>
            <w:r>
              <w:rPr>
                <w:rFonts w:ascii="Arial" w:cs="Arial" w:eastAsia="Arial" w:hAnsi="Arial"/>
                <w:sz w:val="12"/>
                <w:szCs w:val="12"/>
                <w:b w:val="1"/>
                <w:bCs w:val="1"/>
                <w:color w:val="auto"/>
              </w:rPr>
              <w:t>Three Months Ended September 30,</w:t>
            </w:r>
          </w:p>
        </w:tc>
        <w:tc>
          <w:tcPr>
            <w:tcW w:w="100" w:type="dxa"/>
            <w:vAlign w:val="bottom"/>
          </w:tcPr>
          <w:p>
            <w:pPr>
              <w:spacing w:after="0"/>
              <w:rPr>
                <w:sz w:val="13"/>
                <w:szCs w:val="13"/>
                <w:color w:val="auto"/>
              </w:rPr>
            </w:pPr>
          </w:p>
        </w:tc>
        <w:tc>
          <w:tcPr>
            <w:tcW w:w="2020" w:type="dxa"/>
            <w:vAlign w:val="bottom"/>
            <w:gridSpan w:val="4"/>
          </w:tcPr>
          <w:p>
            <w:pPr>
              <w:jc w:val="right"/>
              <w:ind w:right="13"/>
              <w:spacing w:after="0"/>
              <w:rPr>
                <w:sz w:val="20"/>
                <w:szCs w:val="20"/>
                <w:color w:val="auto"/>
              </w:rPr>
            </w:pPr>
            <w:r>
              <w:rPr>
                <w:rFonts w:ascii="Arial" w:cs="Arial" w:eastAsia="Arial" w:hAnsi="Arial"/>
                <w:sz w:val="12"/>
                <w:szCs w:val="12"/>
                <w:b w:val="1"/>
                <w:bCs w:val="1"/>
                <w:color w:val="auto"/>
                <w:w w:val="96"/>
              </w:rPr>
              <w:t>Nine Months Ended September 30,</w:t>
            </w:r>
          </w:p>
        </w:tc>
      </w:tr>
      <w:tr>
        <w:trPr>
          <w:trHeight w:val="142"/>
        </w:trPr>
        <w:tc>
          <w:tcPr>
            <w:tcW w:w="454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3"/>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6"/>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2023</w:t>
            </w:r>
          </w:p>
        </w:tc>
      </w:tr>
      <w:tr>
        <w:trPr>
          <w:trHeight w:val="177"/>
        </w:trPr>
        <w:tc>
          <w:tcPr>
            <w:tcW w:w="442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C-Corp portion of CWGS, LLC net income allocated to</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22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CWH</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184"/>
        </w:trPr>
        <w:tc>
          <w:tcPr>
            <w:tcW w:w="45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Pass-Through portion of CWGS, LLC net income (loss)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allocated to CWH</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(16,967)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55,727</w:t>
            </w:r>
          </w:p>
        </w:tc>
      </w:tr>
      <w:tr>
        <w:trPr>
          <w:trHeight w:val="196"/>
        </w:trPr>
        <w:tc>
          <w:tcPr>
            <w:tcW w:w="454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CWGS, LLC net income (loss) allocated to CWH</w:t>
            </w: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(13,810)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58,599</w:t>
            </w:r>
          </w:p>
        </w:tc>
      </w:tr>
      <w:tr>
        <w:trPr>
          <w:trHeight w:val="184"/>
        </w:trPr>
        <w:tc>
          <w:tcPr>
            <w:tcW w:w="4540" w:type="dxa"/>
            <w:vAlign w:val="bottom"/>
            <w:gridSpan w:val="2"/>
          </w:tcPr>
          <w:p>
            <w:pPr>
              <w:ind w:left="120"/>
              <w:spacing w:after="0" w:line="183" w:lineRule="exact"/>
              <w:rPr>
                <w:sz w:val="20"/>
                <w:szCs w:val="20"/>
                <w:color w:val="auto"/>
              </w:rPr>
            </w:pPr>
            <w:r>
              <w:rPr>
                <w:rFonts w:ascii="Arial" w:cs="Arial" w:eastAsia="Arial" w:hAnsi="Arial"/>
                <w:sz w:val="18"/>
                <w:szCs w:val="18"/>
                <w:color w:val="auto"/>
              </w:rPr>
              <w:t>CWGS, LLC net income (loss) allocated to</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454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(12,301)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52,686</w:t>
            </w:r>
          </w:p>
        </w:tc>
      </w:tr>
      <w:tr>
        <w:trPr>
          <w:trHeight w:val="196"/>
        </w:trPr>
        <w:tc>
          <w:tcPr>
            <w:tcW w:w="454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CWGS, LLC net income (loss)</w:t>
            </w: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5,442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31,587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(26,111)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111,285</w:t>
            </w:r>
          </w:p>
        </w:tc>
      </w:tr>
      <w:tr>
        <w:trPr>
          <w:trHeight w:val="203"/>
        </w:trPr>
        <w:tc>
          <w:tcPr>
            <w:tcW w:w="4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Tax Receivable Agreement liability adjustment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1,680</w:t>
            </w:r>
          </w:p>
        </w:tc>
      </w:tr>
      <w:tr>
        <w:trPr>
          <w:trHeight w:val="203"/>
        </w:trPr>
        <w:tc>
          <w:tcPr>
            <w:tcW w:w="4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benefit (expense) recorded by CWH</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(13,374)</w:t>
            </w:r>
          </w:p>
        </w:tc>
      </w:tr>
      <w:tr>
        <w:trPr>
          <w:trHeight w:val="203"/>
        </w:trPr>
        <w:tc>
          <w:tcPr>
            <w:tcW w:w="454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Other incremental CWH net income</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928</w:t>
            </w:r>
          </w:p>
        </w:tc>
      </w:tr>
      <w:tr>
        <w:trPr>
          <w:trHeight w:val="196"/>
        </w:trPr>
        <w:tc>
          <w:tcPr>
            <w:tcW w:w="454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8,056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30,893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(19,336)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100,519</w:t>
            </w: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presents further information on income tax expense:</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w w:val="99"/>
              </w:rPr>
              <w:t>Three Months Ended September 30,</w:t>
            </w:r>
          </w:p>
        </w:tc>
        <w:tc>
          <w:tcPr>
            <w:tcW w:w="120" w:type="dxa"/>
            <w:vAlign w:val="bottom"/>
          </w:tcPr>
          <w:p>
            <w:pPr>
              <w:spacing w:after="0"/>
              <w:rPr>
                <w:sz w:val="13"/>
                <w:szCs w:val="13"/>
                <w:color w:val="auto"/>
              </w:rPr>
            </w:pPr>
          </w:p>
        </w:tc>
        <w:tc>
          <w:tcPr>
            <w:tcW w:w="2040" w:type="dxa"/>
            <w:vAlign w:val="bottom"/>
            <w:gridSpan w:val="5"/>
          </w:tcPr>
          <w:p>
            <w:pPr>
              <w:jc w:val="right"/>
              <w:ind w:right="120"/>
              <w:spacing w:after="0"/>
              <w:rPr>
                <w:sz w:val="20"/>
                <w:szCs w:val="20"/>
                <w:color w:val="auto"/>
              </w:rPr>
            </w:pPr>
            <w:r>
              <w:rPr>
                <w:rFonts w:ascii="Arial" w:cs="Arial" w:eastAsia="Arial" w:hAnsi="Arial"/>
                <w:sz w:val="12"/>
                <w:szCs w:val="12"/>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 in thousands)</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2023</w:t>
            </w:r>
          </w:p>
        </w:tc>
        <w:tc>
          <w:tcPr>
            <w:tcW w:w="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tax benefit (expense) recorded by CWH</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5,756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 recorded by CWGS, LLC</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(286)</w:t>
            </w: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(2,600)</w:t>
            </w:r>
          </w:p>
        </w:tc>
        <w:tc>
          <w:tcPr>
            <w:tcW w:w="2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tax benefit (expense)</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1"/>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(17,533)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408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2" w:right="1439"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September 30, 2024 Compared to Three Months Ended September 30, 2023</w:t>
      </w:r>
    </w:p>
    <w:p>
      <w:pPr>
        <w:spacing w:after="0" w:line="104" w:lineRule="exact"/>
        <w:rPr>
          <w:sz w:val="20"/>
          <w:szCs w:val="20"/>
          <w:color w:val="auto"/>
        </w:rPr>
      </w:pPr>
    </w:p>
    <w:p>
      <w:pPr>
        <w:jc w:val="both"/>
        <w:ind w:left="60" w:right="200"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three months ended September 30, 2024 to our financial results from the three months ended September 30, 2023. The following table sets forth information comparing the components of net income for the three months ended September 30, 2024 and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September 30, 2024</w:t>
            </w:r>
          </w:p>
        </w:tc>
        <w:tc>
          <w:tcPr>
            <w:tcW w:w="140" w:type="dxa"/>
            <w:vAlign w:val="bottom"/>
          </w:tcPr>
          <w:p>
            <w:pPr>
              <w:spacing w:after="0"/>
              <w:rPr>
                <w:sz w:val="11"/>
                <w:szCs w:val="11"/>
                <w:color w:val="auto"/>
              </w:rPr>
            </w:pPr>
          </w:p>
        </w:tc>
        <w:tc>
          <w:tcPr>
            <w:tcW w:w="1480" w:type="dxa"/>
            <w:vAlign w:val="bottom"/>
            <w:gridSpan w:val="3"/>
          </w:tcPr>
          <w:p>
            <w:pPr>
              <w:jc w:val="right"/>
              <w:ind w:right="189"/>
              <w:spacing w:after="0" w:line="129" w:lineRule="exact"/>
              <w:rPr>
                <w:sz w:val="20"/>
                <w:szCs w:val="20"/>
                <w:color w:val="auto"/>
              </w:rPr>
            </w:pPr>
            <w:r>
              <w:rPr>
                <w:rFonts w:ascii="Arial" w:cs="Arial" w:eastAsia="Arial" w:hAnsi="Arial"/>
                <w:sz w:val="12"/>
                <w:szCs w:val="12"/>
                <w:b w:val="1"/>
                <w:bCs w:val="1"/>
                <w:color w:val="auto"/>
              </w:rPr>
              <w:t>September 30, 2023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Favorable/ (Unfavorable)</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8"/>
              </w:rPr>
              <w:t>Percent of</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8"/>
              </w:rPr>
              <w:t>Percent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1"/>
                <w:szCs w:val="11"/>
                <w:color w:val="auto"/>
              </w:rPr>
            </w:pPr>
          </w:p>
        </w:tc>
        <w:tc>
          <w:tcPr>
            <w:tcW w:w="86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9"/>
              </w:rPr>
              <w:t>Revenue</w:t>
            </w:r>
          </w:p>
        </w:tc>
        <w:tc>
          <w:tcPr>
            <w:tcW w:w="14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2"/>
                <w:szCs w:val="12"/>
                <w:b w:val="1"/>
                <w:bCs w:val="1"/>
                <w:color w:val="auto"/>
              </w:rPr>
              <w:t>Revenue</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89"/>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08"/>
              <w:spacing w:after="0" w:line="129" w:lineRule="exact"/>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9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50,841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49,889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952</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824,916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679,207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145,709</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447,242</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590,227</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(142,985)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224,839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235,609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(10,770)</w:t>
            </w: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166,255</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163,630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10,895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(156)</w:t>
            </w: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1,674,147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1,679,724</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(5,577)</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1,724,988</w:t>
            </w: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1,729,613</w:t>
            </w: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(4,625)</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39,868</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(8,727)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111,401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102,727</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8,674</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81,175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111,632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(30,457)</w:t>
            </w:r>
          </w:p>
        </w:tc>
        <w:tc>
          <w:tcPr>
            <w:tcW w:w="680" w:type="dxa"/>
            <w:vAlign w:val="bottom"/>
          </w:tcPr>
          <w:p>
            <w:pPr>
              <w:jc w:val="right"/>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98,726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95,633</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166,255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163,630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2,625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9,826</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9,596</w:t>
            </w: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4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467,383</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483,218</w:t>
            </w: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(15,835)</w:t>
            </w: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498,524</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523,086</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(24,562)</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414,209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415,288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1,079</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17,619</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(2,964)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(197)</w:t>
            </w:r>
          </w:p>
        </w:tc>
        <w:tc>
          <w:tcPr>
            <w:tcW w:w="680" w:type="dxa"/>
            <w:vAlign w:val="bottom"/>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(Gain) loss on sale or disposal of assets</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62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434,106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435,160</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1,054</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64,418</w:t>
            </w: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87,926</w:t>
            </w: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(23,508)</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(22,372)</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(19,816)</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(2,556)</w:t>
            </w:r>
          </w:p>
        </w:tc>
        <w:tc>
          <w:tcPr>
            <w:tcW w:w="680" w:type="dxa"/>
            <w:vAlign w:val="bottom"/>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(35,877)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(35,242)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(1,680)</w:t>
            </w:r>
          </w:p>
        </w:tc>
        <w:tc>
          <w:tcPr>
            <w:tcW w:w="68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 income, net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(58,411)</w:t>
            </w:r>
          </w:p>
        </w:tc>
        <w:tc>
          <w:tcPr>
            <w:tcW w:w="14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(53,354)</w:t>
            </w:r>
          </w:p>
        </w:tc>
        <w:tc>
          <w:tcPr>
            <w:tcW w:w="12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w:t>
            </w:r>
          </w:p>
        </w:tc>
        <w:tc>
          <w:tcPr>
            <w:tcW w:w="1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(5,057)</w:t>
            </w: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6,007</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34,572</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(28,565)</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2,049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(3,679)</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5,728</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8,056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0.5%</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30,893</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(22,837)</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(2,555)</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(14,932)</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12,377</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attributable to Camping World Holdings, Inc.</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5,501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15,961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(10,460)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40"/>
          </w:cols>
          <w:pgMar w:left="1440" w:top="512" w:right="1319"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80" w:type="dxa"/>
            <w:vAlign w:val="bottom"/>
            <w:gridSpan w:val="17"/>
          </w:tcPr>
          <w:p>
            <w:pPr>
              <w:ind w:left="20"/>
              <w:spacing w:after="0"/>
              <w:rPr>
                <w:sz w:val="20"/>
                <w:szCs w:val="20"/>
                <w:color w:val="auto"/>
              </w:rPr>
            </w:pPr>
            <w:r>
              <w:rPr>
                <w:rFonts w:ascii="Arial" w:cs="Arial" w:eastAsia="Arial" w:hAnsi="Arial"/>
                <w:sz w:val="13"/>
                <w:szCs w:val="13"/>
                <w:b w:val="1"/>
                <w:bCs w:val="1"/>
                <w:color w:val="auto"/>
              </w:rPr>
              <w:t>Supplemental Data</w:t>
            </w:r>
          </w:p>
        </w:tc>
        <w:tc>
          <w:tcPr>
            <w:tcW w:w="27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86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(decrease)</w:t>
            </w:r>
          </w:p>
        </w:tc>
        <w:tc>
          <w:tcPr>
            <w:tcW w:w="440" w:type="dxa"/>
            <w:vAlign w:val="bottom"/>
          </w:tcPr>
          <w:p>
            <w:pPr>
              <w:spacing w:after="0"/>
              <w:rPr>
                <w:sz w:val="13"/>
                <w:szCs w:val="13"/>
                <w:color w:val="auto"/>
              </w:rPr>
            </w:pPr>
          </w:p>
        </w:tc>
        <w:tc>
          <w:tcPr>
            <w:tcW w:w="7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gridSpan w:val="16"/>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vehicles</w:t>
            </w: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19,943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15,205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4,738</w:t>
            </w:r>
          </w:p>
        </w:tc>
        <w:tc>
          <w:tcPr>
            <w:tcW w:w="4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(3,060)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34,008</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32,330</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1,678</w:t>
            </w:r>
          </w:p>
        </w:tc>
        <w:tc>
          <w:tcPr>
            <w:tcW w:w="4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40" w:type="dxa"/>
            <w:vAlign w:val="bottom"/>
            <w:gridSpan w:val="11"/>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41,364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44,670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8"/>
              <w:spacing w:after="0" w:line="155" w:lineRule="exact"/>
              <w:rPr>
                <w:sz w:val="20"/>
                <w:szCs w:val="20"/>
                <w:color w:val="auto"/>
              </w:rPr>
            </w:pPr>
            <w:r>
              <w:rPr>
                <w:rFonts w:ascii="Arial" w:cs="Arial" w:eastAsia="Arial" w:hAnsi="Arial"/>
                <w:sz w:val="14"/>
                <w:szCs w:val="14"/>
                <w:color w:val="auto"/>
              </w:rPr>
              <w:t>(3,306)</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31,798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34,466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color w:val="auto"/>
              </w:rPr>
              <w:t>(2,668)</w:t>
            </w:r>
          </w:p>
        </w:tc>
        <w:tc>
          <w:tcPr>
            <w:tcW w:w="760" w:type="dxa"/>
            <w:vAlign w:val="bottom"/>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00" w:type="dxa"/>
            <w:vAlign w:val="bottom"/>
            <w:gridSpan w:val="7"/>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160" w:type="dxa"/>
            <w:vAlign w:val="bottom"/>
            <w:gridSpan w:val="2"/>
            <w:vMerge w:val="restart"/>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680" w:type="dxa"/>
            <w:vAlign w:val="bottom"/>
            <w:gridSpan w:val="10"/>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17,781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13,810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3,971</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12,711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color w:val="auto"/>
              </w:rPr>
              <w:t>(3,277)</w:t>
            </w:r>
          </w:p>
        </w:tc>
        <w:tc>
          <w:tcPr>
            <w:tcW w:w="760" w:type="dxa"/>
            <w:vAlign w:val="bottom"/>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060" w:type="dxa"/>
            <w:vAlign w:val="bottom"/>
            <w:tcBorders>
              <w:top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30,492</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29,798</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694</w:t>
            </w:r>
          </w:p>
        </w:tc>
        <w:tc>
          <w:tcPr>
            <w:tcW w:w="4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300" w:type="dxa"/>
            <w:vAlign w:val="bottom"/>
            <w:tcBorders>
              <w:bottom w:val="single" w:sz="8" w:color="CCEEFF"/>
            </w:tcBorders>
            <w:gridSpan w:val="5"/>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640" w:type="dxa"/>
            <w:vAlign w:val="bottom"/>
            <w:tcBorders>
              <w:bottom w:val="single" w:sz="8" w:color="CCEEFF"/>
            </w:tcBorders>
            <w:gridSpan w:val="9"/>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26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5"/>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640" w:type="dxa"/>
            <w:vAlign w:val="bottom"/>
            <w:gridSpan w:val="9"/>
            <w:vMerge w:val="continue"/>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5"/>
          </w:tcPr>
          <w:p>
            <w:pPr>
              <w:spacing w:after="0"/>
              <w:rPr>
                <w:sz w:val="13"/>
                <w:szCs w:val="13"/>
                <w:color w:val="auto"/>
              </w:rPr>
            </w:pPr>
          </w:p>
        </w:tc>
        <w:tc>
          <w:tcPr>
            <w:tcW w:w="1920" w:type="dxa"/>
            <w:vAlign w:val="bottom"/>
            <w:tcBorders>
              <w:top w:val="single" w:sz="8" w:color="CCEEFF"/>
            </w:tcBorders>
            <w:gridSpan w:val="4"/>
          </w:tcPr>
          <w:p>
            <w:pPr>
              <w:spacing w:after="0"/>
              <w:rPr>
                <w:sz w:val="13"/>
                <w:szCs w:val="13"/>
                <w:color w:val="auto"/>
              </w:rPr>
            </w:pPr>
          </w:p>
        </w:tc>
        <w:tc>
          <w:tcPr>
            <w:tcW w:w="260" w:type="dxa"/>
            <w:vAlign w:val="bottom"/>
            <w:tcBorders>
              <w:top w:val="single" w:sz="8" w:color="CCEEFF"/>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737,070</w:t>
            </w: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618,483</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118,587</w:t>
            </w:r>
          </w:p>
        </w:tc>
        <w:tc>
          <w:tcPr>
            <w:tcW w:w="4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399,525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551,480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(151,955)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182,180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186,391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color w:val="auto"/>
              </w:rPr>
              <w:t>(4,211)</w:t>
            </w: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148,456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151,148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(2,692)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1,467,231</w:t>
            </w:r>
          </w:p>
        </w:tc>
        <w:tc>
          <w:tcPr>
            <w:tcW w:w="220" w:type="dxa"/>
            <w:vAlign w:val="bottom"/>
          </w:tcPr>
          <w:p>
            <w:pPr>
              <w:spacing w:after="0"/>
              <w:rPr>
                <w:sz w:val="13"/>
                <w:szCs w:val="13"/>
                <w:color w:val="auto"/>
              </w:rPr>
            </w:pPr>
          </w:p>
        </w:tc>
        <w:tc>
          <w:tcPr>
            <w:tcW w:w="26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1,507,502</w:t>
            </w: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(40,271)</w:t>
            </w:r>
          </w:p>
        </w:tc>
        <w:tc>
          <w:tcPr>
            <w:tcW w:w="4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260" w:type="dxa"/>
            <w:vAlign w:val="bottom"/>
            <w:gridSpan w:val="5"/>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5,586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6,756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8"/>
              <w:spacing w:after="0" w:line="155" w:lineRule="exact"/>
              <w:rPr>
                <w:sz w:val="20"/>
                <w:szCs w:val="20"/>
                <w:color w:val="auto"/>
              </w:rPr>
            </w:pPr>
            <w:r>
              <w:rPr>
                <w:rFonts w:ascii="Arial" w:cs="Arial" w:eastAsia="Arial" w:hAnsi="Arial"/>
                <w:sz w:val="14"/>
                <w:szCs w:val="14"/>
                <w:color w:val="auto"/>
              </w:rPr>
              <w:t>(1,170)</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5,771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color w:val="auto"/>
              </w:rPr>
              <w:t>(748)</w:t>
            </w: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(172)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10,551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color w:val="auto"/>
              </w:rPr>
              <w:t>(1,141)</w:t>
            </w:r>
          </w:p>
        </w:tc>
        <w:tc>
          <w:tcPr>
            <w:tcW w:w="760" w:type="dxa"/>
            <w:vAlign w:val="bottom"/>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Gross margin</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79.9%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(1,866)bps</w:t>
            </w: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New vehicles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(162)bps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(76)bps</w:t>
            </w: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w w:val="97"/>
              </w:rPr>
              <w:t>bps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unch.</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gridSpan w:val="16"/>
          </w:tcPr>
          <w:p>
            <w:pPr>
              <w:ind w:left="100"/>
              <w:spacing w:after="0"/>
              <w:rPr>
                <w:sz w:val="20"/>
                <w:szCs w:val="20"/>
                <w:color w:val="auto"/>
              </w:rPr>
            </w:pPr>
            <w:r>
              <w:rPr>
                <w:rFonts w:ascii="Arial" w:cs="Arial" w:eastAsia="Arial" w:hAnsi="Arial"/>
                <w:sz w:val="14"/>
                <w:szCs w:val="14"/>
                <w:color w:val="auto"/>
              </w:rPr>
              <w:t>Good Sam Club</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44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w w:val="97"/>
              </w:rPr>
              <w:t>bps</w:t>
            </w:r>
          </w:p>
        </w:tc>
        <w:tc>
          <w:tcPr>
            <w:tcW w:w="7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 RV and Outdoor Retail</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(85)bps</w:t>
            </w: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7"/>
                <w:szCs w:val="17"/>
                <w:color w:val="auto"/>
              </w:rPr>
            </w:pPr>
          </w:p>
        </w:tc>
        <w:tc>
          <w:tcPr>
            <w:tcW w:w="4060" w:type="dxa"/>
            <w:vAlign w:val="bottom"/>
            <w:tcBorders>
              <w:bottom w:val="single" w:sz="8" w:color="CCEEFF"/>
            </w:tcBorders>
            <w:gridSpan w:val="16"/>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w:t>
            </w:r>
          </w:p>
        </w:tc>
        <w:tc>
          <w:tcPr>
            <w:tcW w:w="2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w:t>
            </w:r>
          </w:p>
        </w:tc>
        <w:tc>
          <w:tcPr>
            <w:tcW w:w="440" w:type="dxa"/>
            <w:vAlign w:val="bottom"/>
            <w:tcBorders>
              <w:bottom w:val="single" w:sz="8" w:color="CCEEFF"/>
            </w:tcBorders>
          </w:tcPr>
          <w:p>
            <w:pPr>
              <w:jc w:val="right"/>
              <w:ind w:right="128"/>
              <w:spacing w:after="0" w:line="155" w:lineRule="exact"/>
              <w:rPr>
                <w:sz w:val="20"/>
                <w:szCs w:val="20"/>
                <w:color w:val="auto"/>
              </w:rPr>
            </w:pPr>
            <w:r>
              <w:rPr>
                <w:rFonts w:ascii="Arial" w:cs="Arial" w:eastAsia="Arial" w:hAnsi="Arial"/>
                <w:sz w:val="14"/>
                <w:szCs w:val="14"/>
                <w:color w:val="auto"/>
                <w:w w:val="97"/>
              </w:rPr>
              <w:t>bps</w:t>
            </w:r>
          </w:p>
        </w:tc>
        <w:tc>
          <w:tcPr>
            <w:tcW w:w="76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RV dealerships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8"/>
              <w:spacing w:after="0" w:line="155" w:lineRule="exact"/>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RV service &amp; retail centers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color w:val="auto"/>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60" w:type="dxa"/>
            <w:vAlign w:val="bottom"/>
            <w:tcBorders>
              <w:top w:val="single" w:sz="8" w:color="CCEEFF"/>
              <w:bottom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tcPr>
          <w:p>
            <w:pPr>
              <w:spacing w:after="0"/>
              <w:rPr>
                <w:sz w:val="13"/>
                <w:szCs w:val="13"/>
                <w:color w:val="auto"/>
              </w:rPr>
            </w:pPr>
          </w:p>
        </w:tc>
        <w:tc>
          <w:tcPr>
            <w:tcW w:w="2900" w:type="dxa"/>
            <w:vAlign w:val="bottom"/>
            <w:tcBorders>
              <w:top w:val="single" w:sz="8" w:color="auto"/>
            </w:tcBorders>
            <w:gridSpan w:val="1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160" w:type="dxa"/>
            <w:vAlign w:val="bottom"/>
            <w:tcBorders>
              <w:top w:val="single" w:sz="8" w:color="CCEEFF"/>
            </w:tcBorders>
            <w:gridSpan w:val="2"/>
          </w:tcPr>
          <w:p>
            <w:pPr>
              <w:spacing w:after="0"/>
              <w:rPr>
                <w:sz w:val="13"/>
                <w:szCs w:val="13"/>
                <w:color w:val="auto"/>
              </w:rPr>
            </w:pPr>
          </w:p>
        </w:tc>
        <w:tc>
          <w:tcPr>
            <w:tcW w:w="260" w:type="dxa"/>
            <w:vAlign w:val="bottom"/>
            <w:tcBorders>
              <w:top w:val="single" w:sz="8" w:color="CCEEFF"/>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1,189,880</w:t>
            </w: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1,131,575</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58,305</w:t>
            </w:r>
          </w:p>
        </w:tc>
        <w:tc>
          <w:tcPr>
            <w:tcW w:w="44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420,727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534,155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(113,428)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Products, parts, accessories and misc.</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170,793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202,786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color w:val="auto"/>
              </w:rPr>
              <w:t>(31,993)</w:t>
            </w:r>
          </w:p>
        </w:tc>
        <w:tc>
          <w:tcPr>
            <w:tcW w:w="760" w:type="dxa"/>
            <w:vAlign w:val="bottom"/>
          </w:tcPr>
          <w:p>
            <w:pPr>
              <w:jc w:val="right"/>
              <w:spacing w:after="0"/>
              <w:rPr>
                <w:sz w:val="20"/>
                <w:szCs w:val="20"/>
                <w:color w:val="auto"/>
              </w:rPr>
            </w:pPr>
            <w:r>
              <w:rPr>
                <w:rFonts w:ascii="Arial" w:cs="Arial" w:eastAsia="Arial" w:hAnsi="Arial"/>
                <w:sz w:val="14"/>
                <w:szCs w:val="14"/>
                <w:color w:val="auto"/>
              </w:rPr>
              <w:t>(15.8%)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60" w:type="dxa"/>
            <w:vAlign w:val="bottom"/>
            <w:tcBorders>
              <w:top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RV and Outdoor Retail inventories</w:t>
            </w:r>
          </w:p>
        </w:tc>
        <w:tc>
          <w:tcPr>
            <w:tcW w:w="2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1,781,400</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1,868,516</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(87,116)</w:t>
            </w:r>
          </w:p>
        </w:tc>
        <w:tc>
          <w:tcPr>
            <w:tcW w:w="4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per dealer location</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5,833</w:t>
            </w:r>
          </w:p>
        </w:tc>
        <w:tc>
          <w:tcPr>
            <w:tcW w:w="220" w:type="dxa"/>
            <w:vAlign w:val="bottom"/>
          </w:tcPr>
          <w:p>
            <w:pPr>
              <w:spacing w:after="0"/>
              <w:rPr>
                <w:sz w:val="13"/>
                <w:szCs w:val="13"/>
                <w:color w:val="auto"/>
              </w:rPr>
            </w:pPr>
          </w:p>
        </w:tc>
        <w:tc>
          <w:tcPr>
            <w:tcW w:w="2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5,520</w:t>
            </w:r>
          </w:p>
        </w:tc>
        <w:tc>
          <w:tcPr>
            <w:tcW w:w="1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313</w:t>
            </w:r>
          </w:p>
        </w:tc>
        <w:tc>
          <w:tcPr>
            <w:tcW w:w="4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(544)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60" w:type="dxa"/>
            <w:vAlign w:val="bottom"/>
            <w:tcBorders>
              <w:bottom w:val="single" w:sz="8" w:color="CCEEFF"/>
            </w:tcBorders>
            <w:gridSpan w:val="10"/>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280" w:type="dxa"/>
            <w:vAlign w:val="bottom"/>
            <w:tcBorders>
              <w:bottom w:val="single" w:sz="8" w:color="CCEEFF"/>
            </w:tcBorders>
            <w:gridSpan w:val="6"/>
            <w:vMerge w:val="restart"/>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0"/>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80" w:type="dxa"/>
            <w:vAlign w:val="bottom"/>
            <w:gridSpan w:val="6"/>
            <w:vMerge w:val="continue"/>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6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turnover</w:t>
            </w: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8"/>
              <w:spacing w:after="0" w:line="155" w:lineRule="exact"/>
              <w:rPr>
                <w:sz w:val="20"/>
                <w:szCs w:val="20"/>
                <w:color w:val="auto"/>
              </w:rPr>
            </w:pPr>
            <w:r>
              <w:rPr>
                <w:rFonts w:ascii="Arial" w:cs="Arial" w:eastAsia="Arial" w:hAnsi="Arial"/>
                <w:sz w:val="14"/>
                <w:szCs w:val="14"/>
                <w:color w:val="auto"/>
              </w:rPr>
              <w:t>(0.1)</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turnover</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16"/>
          </w:tcPr>
          <w:p>
            <w:pPr>
              <w:ind w:left="100"/>
              <w:spacing w:after="0" w:line="156" w:lineRule="exact"/>
              <w:rPr>
                <w:sz w:val="20"/>
                <w:szCs w:val="20"/>
                <w:color w:val="auto"/>
              </w:rPr>
            </w:pPr>
            <w:r>
              <w:rPr>
                <w:rFonts w:ascii="Arial" w:cs="Arial" w:eastAsia="Arial" w:hAnsi="Arial"/>
                <w:sz w:val="13"/>
                <w:szCs w:val="13"/>
                <w:color w:val="auto"/>
              </w:rPr>
              <w:t>Active Customers</w:t>
            </w:r>
            <w:r>
              <w:rPr>
                <w:rFonts w:ascii="Arial" w:cs="Arial" w:eastAsia="Arial" w:hAnsi="Arial"/>
                <w:sz w:val="18"/>
                <w:szCs w:val="18"/>
                <w:color w:val="auto"/>
                <w:vertAlign w:val="superscript"/>
              </w:rPr>
              <w:t>(4)</w:t>
            </w: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4,615,443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5,111,478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8"/>
              <w:spacing w:after="0" w:line="155" w:lineRule="exact"/>
              <w:rPr>
                <w:sz w:val="20"/>
                <w:szCs w:val="20"/>
                <w:color w:val="auto"/>
              </w:rPr>
            </w:pPr>
            <w:r>
              <w:rPr>
                <w:rFonts w:ascii="Arial" w:cs="Arial" w:eastAsia="Arial" w:hAnsi="Arial"/>
                <w:sz w:val="14"/>
                <w:szCs w:val="14"/>
                <w:color w:val="auto"/>
              </w:rPr>
              <w:t>(496,035)</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line="162" w:lineRule="exact"/>
              <w:rPr>
                <w:sz w:val="20"/>
                <w:szCs w:val="20"/>
                <w:color w:val="auto"/>
              </w:rPr>
            </w:pPr>
            <w:r>
              <w:rPr>
                <w:rFonts w:ascii="Arial" w:cs="Arial" w:eastAsia="Arial" w:hAnsi="Arial"/>
                <w:sz w:val="13"/>
                <w:szCs w:val="13"/>
                <w:color w:val="auto"/>
              </w:rPr>
              <w:t xml:space="preserve">Good Sam Club members </w:t>
            </w:r>
            <w:r>
              <w:rPr>
                <w:rFonts w:ascii="Arial" w:cs="Arial" w:eastAsia="Arial" w:hAnsi="Arial"/>
                <w:sz w:val="18"/>
                <w:szCs w:val="18"/>
                <w:color w:val="auto"/>
                <w:vertAlign w:val="superscript"/>
              </w:rPr>
              <w:t>(5)</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1,804,334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2,051,768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(247,434)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 xml:space="preserve">Service bays </w:t>
            </w:r>
            <w:r>
              <w:rPr>
                <w:rFonts w:ascii="Arial" w:cs="Arial" w:eastAsia="Arial" w:hAnsi="Arial"/>
                <w:sz w:val="18"/>
                <w:szCs w:val="18"/>
                <w:color w:val="auto"/>
                <w:vertAlign w:val="superscript"/>
              </w:rPr>
              <w:t>(6)</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4060" w:type="dxa"/>
            <w:vAlign w:val="bottom"/>
            <w:gridSpan w:val="16"/>
            <w:shd w:val="clear" w:color="auto" w:fill="CCEEFF"/>
          </w:tcPr>
          <w:p>
            <w:pPr>
              <w:ind w:left="100"/>
              <w:spacing w:after="0" w:line="153" w:lineRule="exact"/>
              <w:rPr>
                <w:sz w:val="20"/>
                <w:szCs w:val="20"/>
                <w:color w:val="auto"/>
              </w:rPr>
            </w:pPr>
            <w:r>
              <w:rPr>
                <w:rFonts w:ascii="Arial" w:cs="Arial" w:eastAsia="Arial" w:hAnsi="Arial"/>
                <w:sz w:val="14"/>
                <w:szCs w:val="14"/>
                <w:color w:val="auto"/>
              </w:rPr>
              <w:t>Finance and insurance gross profit as a % of total vehicle</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6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7"/>
              </w:rPr>
              <w:t>bps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16"/>
          </w:tcPr>
          <w:p>
            <w:pPr>
              <w:ind w:left="100"/>
              <w:spacing w:after="0"/>
              <w:rPr>
                <w:sz w:val="20"/>
                <w:szCs w:val="20"/>
                <w:color w:val="auto"/>
              </w:rPr>
            </w:pPr>
            <w:r>
              <w:rPr>
                <w:rFonts w:ascii="Arial" w:cs="Arial" w:eastAsia="Arial" w:hAnsi="Arial"/>
                <w:sz w:val="14"/>
                <w:szCs w:val="14"/>
                <w:color w:val="auto"/>
              </w:rPr>
              <w:t>Same store locations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Inventory turnover is calculated as vehicle costs applicable to revenue over the last twelve months divided by the average quarterly ending vehicle inventory over the last twelve months.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An Active Customer is a customer who has transacted with us in any of the eight most recently completed fiscal quarters prior to the date of measurement.</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Excludes Good Sam Club members under the free basic plan, which was introduced in November 2023 and provides for limited participation in the loyalty point program without access to the remaining member benefits.</w:t>
      </w:r>
    </w:p>
    <w:p>
      <w:pPr>
        <w:ind w:left="380" w:hanging="330"/>
        <w:spacing w:after="0" w:line="217" w:lineRule="auto"/>
        <w:tabs>
          <w:tab w:leader="none" w:pos="3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A service bay is a fully-constructed bay dedicated to service, installation, and collision offerings.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revenue increased primarily from increased underwriting profit sharing from extended vehicle warranty programs, partially offset by reduced contracts in force for the extended vehicle warranty programs, and increased contracts in force for our Good Sam Insurance Agency programs.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gross profit and margin decreased primarily due to a nonrecurring $5.5 million exit arrangement with a service partner in 2023, and incremental roadside assistance claims costs in 2024, partially offset by increased underwriting profit sharing and reduced marketing costs.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New vehicles revenue increased primarily due to a 31.2% increase in new vehicles sold, partially offset by a 7.4% decrease in the average selling price per new vehicle sold driven primarily by the lower cost 2024 model year travel trailers and discounting of pre-2024 model year new vehicles. On a same store basis, new vehicles revenue increased 19.2% to $737.1 million from an increase in new vehicles sold of 28.8%, which was partially offset by a 7.4% decrease in the average selling price per new vehicle sold.</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New vehicles gross profit increased primarily due to the increase in new vehicles sold, partially offset by the lower gross profit per new vehicle. The lower gross profit per new vehicle and 162 basis point decrease in new vehicle gross margin was driven by the 7.4% decrease in the average selling price per new vehicle sold, partially offset by the 5.6% decrease in average cost per new vehicle sold, which was primarily from the lower cost 2024 model year travel trailers.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Used vehicles revenue decreased primarily due to both a 17.9% reduction in used vehicles sold and a 7.7% decrease in the average selling price per used vehicle sold. The decrease in used vehicles sold was due in large part to slowed procurement of used vehicles. This reduced availability and decrease in average selling price of used vehicles was largely a byproduct of the lower cost and selling price of 2024 model year new vehicles, which impacted used vehicles as discussed in “Industry Trends” above. On a same store basis, used vehicles revenue decreased 27.6% to $399.5 million from a decrease in used vehicles sold of 20.5% and a 8.9% decrease in average sales price per used vehicle sold.</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Used vehicles gross profit decreased primarily due to the decrease in used vehicles sold and the lower gross profit per used vehicle. The lower gross profit per used vehicle and 76 basis point decrease in used</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vehicle gross margin was driven by the 7.7% decrease in average selling price per used vehicle sold, partially offset by the 6.9% decrease in average cost per used vehicle sold.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Products, service and other revenue decreased primarily due to a reduction in sales activity resulting from the divestiture of our RV furniture business and fewer used vehicles sold leading to a decline in retail product attachment to vehicle sales. On a same store basis, products, service and other revenue decreased 2.3% to $182.2 million.</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Products, service and other gross profit increased primarily due to higher labor billing rates and a higher proportion of billable labor. The increase in products, service and other gross margin was primarily due to higher labor billing rates on warranty service, a higher proportion of billable labor, the divestiture of our RV furniture business, and improvements to the pricing for aftermarket accessories.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$2.6 million, which was primarily a result of an increased number of contracts sold resulting from increased vehicles sold and an increase in revenue per contract. Finance and insurance, net revenue as a percentage of new and used vehicle revenue was 13.1%, an increase from 12.9%. On a same store basis, finance and insurance, net revenue decreased 1.8%.</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Good Sam Club revenue and gross profit decreased slightly primarily from the 12.1% decrease in Good Sam Club members, excluding free basic plan members, partially offset by an increased rate per annual membership and higher Good Sam co-branded credit card royalty fees. The 335 basis point increase in Good Sam Club gross margins was primarily from the increased rate per annual membership. The decrease in Good Sam Club members resulted from an increase in the standard membership price and the introduction of the free basic plan in late 2023 that provides for limited participation in the loyalty point program without access to the remaining member benefits. For the remainder of 2024, we expect to continue to see declines in the Good Sam Club members as a result of this price increase and the availability of the free basic plan.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Selling, general and administrative expenses decreased primarily due to $5.4 million of reduced employee compensation costs, $1.3 million of reduced nonbillable RV service work, and $1.0 million of reduced rent expense, partially offset by $3.3 million of additional advertising expenses and $3.0 million of increased expenses from other outside service providers, such as professional fees, consultants, and software service providers.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4 – Restructuring and Long-Lived Asset Impairment to our condensed consolidated financial statements included in Part I, Item 1 of this Form 10-Q, we recognized $1.9 million of long-lived asset impairments, an increase of $0.2 million. These long-lived asset impairments related to closed or underperforming store locations, which included the evaluation of decreases in market rental rates or market value of real property for closed store locations.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increase in floor plan interest expense was primarily due to a higher average floor plan notes payable balance and, to a lesser extent, a 46 basis point increase in the average floor plan borrowing rate. The average interest rate for the Floor Plan Facility for 2024 and 2023 was 7.82% and 7.36%,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Other interest expense, net increased primarily due to a higher average principal balance from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2024 and 2023 was 7.92% and 7.87%, respectively. The average interest rate on the M&amp;T Real Estate Facility for 2024 and 2023 was 7.93% and 7.83%,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Tax Receivable Agreement Liability adjustment in 2023 consisted of a benefit of $1.7 million related to a remeasurement from a decrease in blended state income tax rates.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reduction of income tax expense to an income tax benefit was primarily due to lower income generated from CWGS, LLC for which the Company is subject to U.S. federal and state taxes on its allocable share.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sets forth a reconciliation of total segment income to consolidated income before income taxes for each of our segments for the periods presented: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tcPr>
          <w:p>
            <w:pPr>
              <w:ind w:left="240"/>
              <w:spacing w:after="0"/>
              <w:rPr>
                <w:sz w:val="20"/>
                <w:szCs w:val="20"/>
                <w:color w:val="auto"/>
              </w:rPr>
            </w:pPr>
            <w:r>
              <w:rPr>
                <w:rFonts w:ascii="Arial" w:cs="Arial" w:eastAsia="Arial" w:hAnsi="Arial"/>
                <w:sz w:val="12"/>
                <w:szCs w:val="12"/>
                <w:b w:val="1"/>
                <w:bCs w:val="1"/>
                <w:color w:val="auto"/>
              </w:rPr>
              <w:t>Three Months Ended</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2"/>
                <w:szCs w:val="12"/>
                <w:b w:val="1"/>
                <w:bCs w:val="1"/>
                <w:color w:val="auto"/>
              </w:rPr>
              <w:t>September 30, 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2"/>
                <w:szCs w:val="12"/>
                <w:b w:val="1"/>
                <w:bCs w:val="1"/>
                <w:color w:val="auto"/>
              </w:rPr>
              <w:t>September 30, 2023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left="238"/>
              <w:spacing w:after="0"/>
              <w:rPr>
                <w:sz w:val="20"/>
                <w:szCs w:val="20"/>
                <w:color w:val="auto"/>
              </w:rPr>
            </w:pPr>
            <w:r>
              <w:rPr>
                <w:rFonts w:ascii="Arial" w:cs="Arial" w:eastAsia="Arial" w:hAnsi="Arial"/>
                <w:sz w:val="12"/>
                <w:szCs w:val="12"/>
                <w:b w:val="1"/>
                <w:bCs w:val="1"/>
                <w:color w:val="auto"/>
                <w:w w:val="96"/>
              </w:rPr>
              <w:t>Favorable/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Percent 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Percent of</w:t>
            </w:r>
          </w:p>
        </w:tc>
        <w:tc>
          <w:tcPr>
            <w:tcW w:w="240" w:type="dxa"/>
            <w:vAlign w:val="bottom"/>
          </w:tcPr>
          <w:p>
            <w:pPr>
              <w:spacing w:after="0"/>
              <w:rPr>
                <w:sz w:val="12"/>
                <w:szCs w:val="12"/>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8"/>
              </w:rPr>
              <w:t>(Unfavorable)</w:t>
            </w:r>
          </w:p>
        </w:tc>
        <w:tc>
          <w:tcPr>
            <w:tcW w:w="0" w:type="dxa"/>
            <w:vAlign w:val="bottom"/>
          </w:tcPr>
          <w:p>
            <w:pPr>
              <w:spacing w:after="0"/>
              <w:rPr>
                <w:sz w:val="1"/>
                <w:szCs w:val="1"/>
                <w:color w:val="auto"/>
              </w:rPr>
            </w:pPr>
          </w:p>
        </w:tc>
      </w:tr>
      <w:tr>
        <w:trPr>
          <w:trHeight w:val="14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Revenue</w:t>
            </w:r>
          </w:p>
        </w:tc>
        <w:tc>
          <w:tcPr>
            <w:tcW w:w="1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Revenue</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37"/>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32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Revenue:</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Good Sam Services and Plans</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50,639</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50,022</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RV and Outdoor Retail</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1,677,682</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1,683,379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(5,697)</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Elimination of intersegment revenue</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(3,333)</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(3,788)</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455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Total consolidated revenue</w:t>
            </w: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1,724,988</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1,729,613</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(4,625)</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Segment income</w:t>
            </w:r>
            <w:r>
              <w:rPr>
                <w:rFonts w:ascii="Arial" w:cs="Arial" w:eastAsia="Arial" w:hAnsi="Arial"/>
                <w:sz w:val="15"/>
                <w:szCs w:val="15"/>
                <w:color w:val="auto"/>
                <w:vertAlign w:val="superscript"/>
              </w:rPr>
              <w:t>(1)</w:t>
            </w: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Good Sam Services and Plans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22,812</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32,684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(9,872)</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RV and Outdoor Retail</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44,264</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56,543</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(12,279)</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Total segment income</w:t>
            </w: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67,076</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89,227</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(22,151)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Corporate &amp; other</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(4,447)</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(3,498)</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(949)</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(20,583)</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(17,619)</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w:t>
            </w: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(2,964)</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interest expense, net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(35,877)</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(35,242)</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(635)</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Tax Receivable Agreement liability adjustment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(1,680)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expense, net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(162)</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(186)</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n/m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60" w:type="dxa"/>
            <w:vAlign w:val="bottom"/>
            <w:tcBorders>
              <w:top w:val="single" w:sz="8" w:color="CCEEFF"/>
              <w:bottom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Income before income taxes</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6,007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34,572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(28,565)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1"/>
                <w:szCs w:val="11"/>
                <w:color w:val="auto"/>
              </w:rPr>
              <w:t>Same store revenue- RV and Outdoor Retail</w:t>
            </w:r>
            <w:r>
              <w:rPr>
                <w:rFonts w:ascii="Arial" w:cs="Arial" w:eastAsia="Arial" w:hAnsi="Arial"/>
                <w:sz w:val="15"/>
                <w:szCs w:val="15"/>
                <w:color w:val="auto"/>
                <w:vertAlign w:val="superscript"/>
              </w:rPr>
              <w:t>(2)</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1,467,231</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1,507,502</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(40,271)</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17" w:lineRule="exact"/>
        <w:rPr>
          <w:sz w:val="20"/>
          <w:szCs w:val="20"/>
          <w:color w:val="auto"/>
        </w:rPr>
      </w:pPr>
    </w:p>
    <w:p>
      <w:pPr>
        <w:ind w:left="380" w:right="159" w:hanging="330"/>
        <w:spacing w:after="0" w:line="204" w:lineRule="auto"/>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Segment income represents income for each of our reportable segments and is defined as income from operations before depreciation and amortization, plus floor plan interest expense.</w:t>
      </w:r>
    </w:p>
    <w:p>
      <w:pPr>
        <w:ind w:left="380" w:hanging="330"/>
        <w:spacing w:after="0" w:line="230" w:lineRule="auto"/>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Same store revenue definition not applicable to the Good Sam Services and Plans segment.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Services and Plans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revenue increased primarily from increased underwriting profit sharing from extended vehicle warranty programs, partially offset by reduced contracts in force for the extended vehicle warranty programs, and increased contracts in force for our Good Sam Insurance Agency programs.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Good Sam Services and Plans segment income margin decreased to 45.0% from 65.3%. This segment income margin decrease and the decrease in Good Sam Services and Plans segment income was primarily due to a $5.5 million prior year exit arrangement with a service partner, incremental roadside assistance claims costs in 2024, and increased general and administrative expenses, resulting from increased employee compensation expenses, partially offset by increased underwriting profit sharing for the extended vehicle warranty programs, and reduced marketing costs.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RV and Outdoor Retail</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RV and Outdoor Retail segment revenue decreased primarily due to a $143.3 million, or 24.2%, decrease in used vehicles revenue, and a $10.8 million, or 4.6%, decrease in products, service and other revenue, partially offset by a $146.1 million, or 21.5%, increase in new vehicles revenue, and a $2.5 million, or 1.5%, increase in finance and insurance, net revenue.</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RV and Outdoor Retail segment income decreased primarily due to decreased segment gross profit of $16.0 million primarily relating to reduced volume and average sales price of used vehicles sold; a $2.6 million increase in floor plan interest expense; and a $0.2 million increase in long-lived asset impairment; partially offset by a $3.3 million decrease in selling, general and administrative expenses (see discussion of selling, general and administrative expenses above for the similar drivers of this change), a $3.0 million reduction in lease termination expense, and a $0.1 million decrease in loss on sale or disposal of assets. RV and Outdoor Retail segment income margin decreased 72 basis points to 2.6%, which was primarily due a lower volume of used vehicles sold and a lower average price per vehicle sold.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 Months Ended September 30, 2024 Compared to Nine Months Ended September 30, 2023</w:t>
      </w:r>
    </w:p>
    <w:p>
      <w:pPr>
        <w:spacing w:after="0" w:line="10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nine months ended September 30, 2024 to our financial results from the nine months ended September 30, 2023. The following table sets forth information comparing the components of net income for the nine months ended September 30, 2024 and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2"/>
                <w:szCs w:val="12"/>
                <w:b w:val="1"/>
                <w:bCs w:val="1"/>
                <w:color w:val="auto"/>
              </w:rPr>
              <w:t>Nine Months Ended</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September 30, 2024</w:t>
            </w:r>
          </w:p>
        </w:tc>
        <w:tc>
          <w:tcPr>
            <w:tcW w:w="120" w:type="dxa"/>
            <w:vAlign w:val="bottom"/>
          </w:tcPr>
          <w:p>
            <w:pPr>
              <w:spacing w:after="0"/>
              <w:rPr>
                <w:sz w:val="11"/>
                <w:szCs w:val="11"/>
                <w:color w:val="auto"/>
              </w:rPr>
            </w:pPr>
          </w:p>
        </w:tc>
        <w:tc>
          <w:tcPr>
            <w:tcW w:w="1480" w:type="dxa"/>
            <w:vAlign w:val="bottom"/>
            <w:gridSpan w:val="3"/>
          </w:tcPr>
          <w:p>
            <w:pPr>
              <w:jc w:val="right"/>
              <w:ind w:right="189"/>
              <w:spacing w:after="0" w:line="129" w:lineRule="exact"/>
              <w:rPr>
                <w:sz w:val="20"/>
                <w:szCs w:val="20"/>
                <w:color w:val="auto"/>
              </w:rPr>
            </w:pPr>
            <w:r>
              <w:rPr>
                <w:rFonts w:ascii="Arial" w:cs="Arial" w:eastAsia="Arial" w:hAnsi="Arial"/>
                <w:sz w:val="12"/>
                <w:szCs w:val="12"/>
                <w:b w:val="1"/>
                <w:bCs w:val="1"/>
                <w:color w:val="auto"/>
              </w:rPr>
              <w:t>September 30, 2023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Favorable/ (Unfavorable)</w:t>
            </w: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8"/>
              </w:rPr>
              <w:t>Percent of</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8"/>
              </w:rPr>
              <w:t>Percent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5"/>
              </w:rPr>
              <w:t>Revenue</w:t>
            </w:r>
          </w:p>
        </w:tc>
        <w:tc>
          <w:tcPr>
            <w:tcW w:w="120" w:type="dxa"/>
            <w:vAlign w:val="bottom"/>
          </w:tcPr>
          <w:p>
            <w:pPr>
              <w:spacing w:after="0"/>
              <w:rPr>
                <w:sz w:val="11"/>
                <w:szCs w:val="11"/>
                <w:color w:val="auto"/>
              </w:rPr>
            </w:pPr>
          </w:p>
        </w:tc>
        <w:tc>
          <w:tcPr>
            <w:tcW w:w="86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9"/>
              </w:rPr>
              <w:t>Revenue</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89"/>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08"/>
              <w:spacing w:after="0" w:line="129" w:lineRule="exact"/>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149,070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147,294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1,776</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2,328,107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2,126,862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201,245</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1,265,701</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1,657,935</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(392,234)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638,680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691,030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(52,350)</w:t>
            </w: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480,725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460,336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20,389</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33,227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33,757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(530)</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4,746,440</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97.0%</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4,969,920</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(223,480)</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4,895,510</w:t>
            </w: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5,117,214</w:t>
            </w: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(221,704)</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96,995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103,450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(6,455)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331,903</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315,464</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16,439</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231,500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356,974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(125,474)</w:t>
            </w:r>
          </w:p>
        </w:tc>
        <w:tc>
          <w:tcPr>
            <w:tcW w:w="660" w:type="dxa"/>
            <w:vAlign w:val="bottom"/>
          </w:tcPr>
          <w:p>
            <w:pPr>
              <w:jc w:val="right"/>
              <w:spacing w:after="0"/>
              <w:rPr>
                <w:sz w:val="20"/>
                <w:szCs w:val="20"/>
                <w:color w:val="auto"/>
              </w:rPr>
            </w:pPr>
            <w:r>
              <w:rPr>
                <w:rFonts w:ascii="Arial" w:cs="Arial" w:eastAsia="Arial" w:hAnsi="Arial"/>
                <w:sz w:val="14"/>
                <w:szCs w:val="14"/>
                <w:color w:val="auto"/>
              </w:rPr>
              <w:t>(35.1%)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277,959</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268,993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8,966</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480,725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460,336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20,389</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29,498</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1,351,585</w:t>
            </w:r>
          </w:p>
        </w:tc>
        <w:tc>
          <w:tcPr>
            <w:tcW w:w="12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1,431,758</w:t>
            </w:r>
          </w:p>
        </w:tc>
        <w:tc>
          <w:tcPr>
            <w:tcW w:w="14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w:t>
            </w:r>
          </w:p>
        </w:tc>
        <w:tc>
          <w:tcPr>
            <w:tcW w:w="1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(80,173)</w:t>
            </w:r>
          </w:p>
        </w:tc>
        <w:tc>
          <w:tcPr>
            <w:tcW w:w="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1,448,580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1,535,208</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(86,628)</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1,205,358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1,201,901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(3,457)</w:t>
            </w: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49,462</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(10,443)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12,355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9,269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(3,086)</w:t>
            </w:r>
          </w:p>
        </w:tc>
        <w:tc>
          <w:tcPr>
            <w:tcW w:w="660" w:type="dxa"/>
            <w:vAlign w:val="bottom"/>
          </w:tcPr>
          <w:p>
            <w:pPr>
              <w:jc w:val="right"/>
              <w:spacing w:after="0"/>
              <w:rPr>
                <w:sz w:val="20"/>
                <w:szCs w:val="20"/>
                <w:color w:val="auto"/>
              </w:rPr>
            </w:pPr>
            <w:r>
              <w:rPr>
                <w:rFonts w:ascii="Arial" w:cs="Arial" w:eastAsia="Arial" w:hAnsi="Arial"/>
                <w:sz w:val="14"/>
                <w:szCs w:val="14"/>
                <w:color w:val="auto"/>
              </w:rPr>
              <w:t>(33.3%)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(2,585)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20"/>
              <w:spacing w:after="0"/>
              <w:rPr>
                <w:sz w:val="20"/>
                <w:szCs w:val="20"/>
                <w:color w:val="auto"/>
              </w:rPr>
            </w:pPr>
            <w:r>
              <w:rPr>
                <w:rFonts w:ascii="Arial" w:cs="Arial" w:eastAsia="Arial" w:hAnsi="Arial"/>
                <w:sz w:val="14"/>
                <w:szCs w:val="14"/>
                <w:color w:val="auto"/>
              </w:rPr>
              <w:t>Loss (gain) on sale or disposal of assets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9,525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(5,001)</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(14,526)</w:t>
            </w:r>
          </w:p>
        </w:tc>
        <w:tc>
          <w:tcPr>
            <w:tcW w:w="66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1,284,558</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1,256,006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(28,552)</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164,022</w:t>
            </w: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279,202</w:t>
            </w: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(115,180)</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(78,053)</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(61,298)</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(16,755)</w:t>
            </w:r>
          </w:p>
        </w:tc>
        <w:tc>
          <w:tcPr>
            <w:tcW w:w="660" w:type="dxa"/>
            <w:vAlign w:val="bottom"/>
          </w:tcPr>
          <w:p>
            <w:pPr>
              <w:jc w:val="right"/>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(108,124)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(99,873)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(8,251)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(1,680)</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 net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(1,659)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(186,514)</w:t>
            </w:r>
          </w:p>
        </w:tc>
        <w:tc>
          <w:tcPr>
            <w:tcW w:w="12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(161,150)</w:t>
            </w:r>
          </w:p>
        </w:tc>
        <w:tc>
          <w:tcPr>
            <w:tcW w:w="14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(25,364)</w:t>
            </w:r>
          </w:p>
        </w:tc>
        <w:tc>
          <w:tcPr>
            <w:tcW w:w="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(Loss) income before income taxes</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(22,492)</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118,052</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(140,544)</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3,156</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(17,533)</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20,689</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income</w:t>
            </w: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(19,336)</w:t>
            </w: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100,519</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(119,855)</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12,301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(52,686)</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64,987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Borders>
              <w:top w:val="single" w:sz="8" w:color="CCEEFF"/>
            </w:tcBorders>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Net (loss) income attributable to Camping World Holdings,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(7,035)</w:t>
            </w:r>
          </w:p>
        </w:tc>
        <w:tc>
          <w:tcPr>
            <w:tcW w:w="120" w:type="dxa"/>
            <w:vAlign w:val="bottom"/>
            <w:tcBorders>
              <w:top w:val="single" w:sz="8" w:color="CCEEFF"/>
            </w:tcBorders>
            <w:vMerge w:val="restart"/>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top w:val="single" w:sz="8" w:color="CCEEFF"/>
            </w:tcBorders>
            <w:vMerge w:val="restart"/>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47,833</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(54,868)</w:t>
            </w:r>
          </w:p>
        </w:tc>
        <w:tc>
          <w:tcPr>
            <w:tcW w:w="140" w:type="dxa"/>
            <w:vAlign w:val="bottom"/>
            <w:tcBorders>
              <w:top w:val="single" w:sz="8" w:color="CCEEFF"/>
            </w:tcBorders>
            <w:vMerge w:val="restart"/>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840" w:type="dxa"/>
            <w:vAlign w:val="bottom"/>
            <w:tcBorders>
              <w:bottom w:val="single" w:sz="8" w:color="CCEEFF"/>
            </w:tcBorders>
            <w:gridSpan w:val="2"/>
            <w:shd w:val="clear" w:color="auto" w:fill="CCEEFF"/>
          </w:tcPr>
          <w:p>
            <w:pPr>
              <w:ind w:left="20"/>
              <w:spacing w:after="0" w:line="158" w:lineRule="exact"/>
              <w:rPr>
                <w:sz w:val="20"/>
                <w:szCs w:val="20"/>
                <w:color w:val="auto"/>
              </w:rPr>
            </w:pPr>
            <w:r>
              <w:rPr>
                <w:rFonts w:ascii="Arial" w:cs="Arial" w:eastAsia="Arial" w:hAnsi="Arial"/>
                <w:sz w:val="14"/>
                <w:szCs w:val="14"/>
                <w:color w:val="auto"/>
              </w:rPr>
              <w:t>Inc.</w:t>
            </w: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240" w:type="dxa"/>
            <w:vAlign w:val="bottom"/>
            <w:gridSpan w:val="12"/>
          </w:tcPr>
          <w:p>
            <w:pPr>
              <w:ind w:left="20"/>
              <w:spacing w:after="0"/>
              <w:rPr>
                <w:sz w:val="20"/>
                <w:szCs w:val="20"/>
                <w:color w:val="auto"/>
              </w:rPr>
            </w:pPr>
            <w:r>
              <w:rPr>
                <w:rFonts w:ascii="Arial" w:cs="Arial" w:eastAsia="Arial" w:hAnsi="Arial"/>
                <w:sz w:val="14"/>
                <w:szCs w:val="14"/>
                <w:b w:val="1"/>
                <w:bCs w:val="1"/>
                <w:color w:val="auto"/>
              </w:rPr>
              <w:t>Supplemental Data</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6"/>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Pr>
          <w:p>
            <w:pPr>
              <w:spacing w:after="0"/>
              <w:rPr>
                <w:sz w:val="24"/>
                <w:szCs w:val="24"/>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w w:val="98"/>
              </w:rPr>
              <w:t>Increase</w:t>
            </w: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1480" w:type="dxa"/>
            <w:vAlign w:val="bottom"/>
            <w:gridSpan w:val="3"/>
          </w:tcPr>
          <w:p>
            <w:pPr>
              <w:jc w:val="right"/>
              <w:ind w:right="468"/>
              <w:spacing w:after="0" w:line="196" w:lineRule="exact"/>
              <w:rPr>
                <w:sz w:val="20"/>
                <w:szCs w:val="20"/>
                <w:color w:val="auto"/>
              </w:rPr>
            </w:pPr>
            <w:r>
              <w:rPr>
                <w:rFonts w:ascii="Arial" w:cs="Arial" w:eastAsia="Arial" w:hAnsi="Arial"/>
                <w:sz w:val="18"/>
                <w:szCs w:val="18"/>
                <w:b w:val="1"/>
                <w:bCs w:val="1"/>
                <w:color w:val="auto"/>
              </w:rPr>
              <w:t>(decrease)</w:t>
            </w:r>
          </w:p>
        </w:tc>
        <w:tc>
          <w:tcPr>
            <w:tcW w:w="8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gridSpan w:val="11"/>
            <w:shd w:val="clear" w:color="auto" w:fill="CCEEFF"/>
          </w:tcPr>
          <w:p>
            <w:pPr>
              <w:ind w:left="20"/>
              <w:spacing w:after="0" w:line="169" w:lineRule="exact"/>
              <w:rPr>
                <w:sz w:val="20"/>
                <w:szCs w:val="20"/>
                <w:color w:val="auto"/>
              </w:rPr>
            </w:pPr>
            <w:r>
              <w:rPr>
                <w:rFonts w:ascii="Arial" w:cs="Arial" w:eastAsia="Arial" w:hAnsi="Arial"/>
                <w:sz w:val="18"/>
                <w:szCs w:val="18"/>
                <w:color w:val="auto"/>
              </w:rPr>
              <w:t>Unit sales</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New vehicles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58,909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48,014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10,895</w:t>
            </w:r>
          </w:p>
        </w:tc>
        <w:tc>
          <w:tcPr>
            <w:tcW w:w="5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2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40,459</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(6,872)</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gridSpan w:val="11"/>
          </w:tcPr>
          <w:p>
            <w:pPr>
              <w:ind w:left="10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99,368</w:t>
            </w: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95,345</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4,023</w:t>
            </w: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4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Average selling price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60" w:type="dxa"/>
            <w:vAlign w:val="bottom"/>
            <w:tcBorders>
              <w:top w:val="single" w:sz="8" w:color="auto"/>
            </w:tcBorders>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New vehicles</w:t>
            </w:r>
          </w:p>
        </w:tc>
        <w:tc>
          <w:tcPr>
            <w:tcW w:w="1560" w:type="dxa"/>
            <w:vAlign w:val="bottom"/>
            <w:gridSpan w:val="7"/>
            <w:shd w:val="clear" w:color="auto" w:fill="CCEEFF"/>
          </w:tcPr>
          <w:p>
            <w:pPr>
              <w:spacing w:after="0"/>
              <w:rPr>
                <w:sz w:val="17"/>
                <w:szCs w:val="17"/>
                <w:color w:val="auto"/>
              </w:rPr>
            </w:pPr>
          </w:p>
        </w:tc>
        <w:tc>
          <w:tcPr>
            <w:tcW w:w="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39,520</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(4,776)</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31,284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(3,745)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740" w:type="dxa"/>
            <w:vAlign w:val="bottom"/>
            <w:gridSpan w:val="6"/>
            <w:vMerge w:val="restart"/>
          </w:tcPr>
          <w:p>
            <w:pPr>
              <w:ind w:left="20"/>
              <w:spacing w:after="0" w:line="176" w:lineRule="exact"/>
              <w:rPr>
                <w:sz w:val="20"/>
                <w:szCs w:val="20"/>
                <w:color w:val="auto"/>
              </w:rPr>
            </w:pPr>
            <w:r>
              <w:rPr>
                <w:rFonts w:ascii="Arial" w:cs="Arial" w:eastAsia="Arial" w:hAnsi="Arial"/>
                <w:sz w:val="18"/>
                <w:szCs w:val="18"/>
                <w:color w:val="auto"/>
                <w:w w:val="98"/>
              </w:rPr>
              <w:t>Same store unit sales</w:t>
            </w:r>
          </w:p>
        </w:tc>
        <w:tc>
          <w:tcPr>
            <w:tcW w:w="160" w:type="dxa"/>
            <w:vAlign w:val="bottom"/>
            <w:tcBorders>
              <w:bottom w:val="single" w:sz="8" w:color="auto"/>
            </w:tcBorders>
            <w:gridSpan w:val="2"/>
          </w:tcPr>
          <w:p>
            <w:pPr>
              <w:jc w:val="right"/>
              <w:spacing w:after="0" w:line="102" w:lineRule="exact"/>
              <w:rPr>
                <w:sz w:val="20"/>
                <w:szCs w:val="20"/>
                <w:color w:val="auto"/>
              </w:rPr>
            </w:pPr>
            <w:r>
              <w:rPr>
                <w:rFonts w:ascii="Arial" w:cs="Arial" w:eastAsia="Arial" w:hAnsi="Arial"/>
                <w:sz w:val="11"/>
                <w:szCs w:val="11"/>
                <w:color w:val="auto"/>
              </w:rPr>
              <w:t>(1)</w:t>
            </w:r>
          </w:p>
        </w:tc>
        <w:tc>
          <w:tcPr>
            <w:tcW w:w="360" w:type="dxa"/>
            <w:vAlign w:val="bottom"/>
            <w:vMerge w:val="restart"/>
          </w:tcPr>
          <w:p>
            <w:pPr>
              <w:spacing w:after="0"/>
              <w:rPr>
                <w:sz w:val="10"/>
                <w:szCs w:val="10"/>
                <w:color w:val="auto"/>
              </w:rPr>
            </w:pPr>
          </w:p>
        </w:tc>
        <w:tc>
          <w:tcPr>
            <w:tcW w:w="440" w:type="dxa"/>
            <w:vAlign w:val="bottom"/>
            <w:vMerge w:val="restart"/>
          </w:tcPr>
          <w:p>
            <w:pPr>
              <w:spacing w:after="0"/>
              <w:rPr>
                <w:sz w:val="10"/>
                <w:szCs w:val="10"/>
                <w:color w:val="auto"/>
              </w:rPr>
            </w:pPr>
          </w:p>
        </w:tc>
        <w:tc>
          <w:tcPr>
            <w:tcW w:w="540" w:type="dxa"/>
            <w:vAlign w:val="bottom"/>
            <w:gridSpan w:val="2"/>
            <w:vMerge w:val="restart"/>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74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720" w:type="dxa"/>
            <w:vAlign w:val="bottom"/>
            <w:tcBorders>
              <w:top w:val="single" w:sz="8" w:color="auto"/>
            </w:tcBorders>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New vehicles</w:t>
            </w:r>
          </w:p>
        </w:tc>
        <w:tc>
          <w:tcPr>
            <w:tcW w:w="1500" w:type="dxa"/>
            <w:vAlign w:val="bottom"/>
            <w:gridSpan w:val="6"/>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52,786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7,784</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36,707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45,034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(8,327)</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CCEEFF"/>
            </w:tcBorders>
            <w:gridSpan w:val="11"/>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89,493</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90,036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640" w:type="dxa"/>
            <w:vAlign w:val="bottom"/>
            <w:tcBorders>
              <w:bottom w:val="single" w:sz="8" w:color="CCEEFF"/>
            </w:tcBorders>
            <w:gridSpan w:val="4"/>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Same store revenue</w:t>
            </w:r>
          </w:p>
        </w:tc>
        <w:tc>
          <w:tcPr>
            <w:tcW w:w="160" w:type="dxa"/>
            <w:vAlign w:val="bottom"/>
            <w:tcBorders>
              <w:bottom w:val="single" w:sz="8" w:color="auto"/>
            </w:tcBorders>
            <w:gridSpan w:val="3"/>
            <w:shd w:val="clear" w:color="auto" w:fill="CCEEFF"/>
          </w:tcPr>
          <w:p>
            <w:pPr>
              <w:jc w:val="right"/>
              <w:spacing w:after="0" w:line="102" w:lineRule="exact"/>
              <w:rPr>
                <w:sz w:val="20"/>
                <w:szCs w:val="20"/>
                <w:color w:val="auto"/>
              </w:rPr>
            </w:pPr>
            <w:r>
              <w:rPr>
                <w:rFonts w:ascii="Arial" w:cs="Arial" w:eastAsia="Arial" w:hAnsi="Arial"/>
                <w:sz w:val="11"/>
                <w:szCs w:val="11"/>
                <w:color w:val="auto"/>
              </w:rPr>
              <w:t>(1)</w:t>
            </w:r>
          </w:p>
        </w:tc>
        <w:tc>
          <w:tcPr>
            <w:tcW w:w="1440" w:type="dxa"/>
            <w:vAlign w:val="bottom"/>
            <w:tcBorders>
              <w:bottom w:val="single" w:sz="8" w:color="CCEEFF"/>
            </w:tcBorders>
            <w:gridSpan w:val="5"/>
            <w:vMerge w:val="restart"/>
            <w:shd w:val="clear" w:color="auto" w:fill="CCEEFF"/>
          </w:tcPr>
          <w:p>
            <w:pPr>
              <w:ind w:left="40"/>
              <w:spacing w:after="0" w:line="176" w:lineRule="exact"/>
              <w:rPr>
                <w:sz w:val="20"/>
                <w:szCs w:val="20"/>
                <w:color w:val="auto"/>
              </w:rPr>
            </w:pPr>
            <w:r>
              <w:rPr>
                <w:rFonts w:ascii="Arial" w:cs="Arial" w:eastAsia="Arial" w:hAnsi="Arial"/>
                <w:sz w:val="18"/>
                <w:szCs w:val="18"/>
                <w:color w:val="auto"/>
              </w:rPr>
              <w:t>($ in 000s)</w:t>
            </w:r>
          </w:p>
        </w:tc>
        <w:tc>
          <w:tcPr>
            <w:tcW w:w="3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640" w:type="dxa"/>
            <w:vAlign w:val="bottom"/>
            <w:gridSpan w:val="4"/>
            <w:vMerge w:val="continue"/>
            <w:shd w:val="clear" w:color="auto" w:fill="CCEEFF"/>
          </w:tcPr>
          <w:p>
            <w:pPr>
              <w:spacing w:after="0"/>
              <w:rPr>
                <w:sz w:val="3"/>
                <w:szCs w:val="3"/>
                <w:color w:val="auto"/>
              </w:rPr>
            </w:pPr>
          </w:p>
        </w:tc>
        <w:tc>
          <w:tcPr>
            <w:tcW w:w="160" w:type="dxa"/>
            <w:vAlign w:val="bottom"/>
            <w:gridSpan w:val="3"/>
            <w:shd w:val="clear" w:color="auto" w:fill="CCEEFF"/>
          </w:tcPr>
          <w:p>
            <w:pPr>
              <w:spacing w:after="0"/>
              <w:rPr>
                <w:sz w:val="3"/>
                <w:szCs w:val="3"/>
                <w:color w:val="auto"/>
              </w:rPr>
            </w:pPr>
          </w:p>
        </w:tc>
        <w:tc>
          <w:tcPr>
            <w:tcW w:w="1440" w:type="dxa"/>
            <w:vAlign w:val="bottom"/>
            <w:gridSpan w:val="5"/>
            <w:vMerge w:val="continue"/>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1620" w:type="dxa"/>
            <w:vAlign w:val="bottom"/>
            <w:tcBorders>
              <w:top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New vehicles</w:t>
            </w:r>
          </w:p>
        </w:tc>
        <w:tc>
          <w:tcPr>
            <w:tcW w:w="160" w:type="dxa"/>
            <w:vAlign w:val="bottom"/>
            <w:tcBorders>
              <w:top w:val="single" w:sz="8" w:color="CCEEFF"/>
            </w:tcBorders>
            <w:gridSpan w:val="3"/>
          </w:tcPr>
          <w:p>
            <w:pPr>
              <w:spacing w:after="0"/>
              <w:rPr>
                <w:sz w:val="17"/>
                <w:szCs w:val="17"/>
                <w:color w:val="auto"/>
              </w:rPr>
            </w:pPr>
          </w:p>
        </w:tc>
        <w:tc>
          <w:tcPr>
            <w:tcW w:w="900" w:type="dxa"/>
            <w:vAlign w:val="bottom"/>
            <w:tcBorders>
              <w:top w:val="single" w:sz="8" w:color="auto"/>
            </w:tcBorders>
            <w:gridSpan w:val="3"/>
          </w:tcPr>
          <w:p>
            <w:pPr>
              <w:spacing w:after="0"/>
              <w:rPr>
                <w:sz w:val="17"/>
                <w:szCs w:val="17"/>
                <w:color w:val="auto"/>
              </w:rPr>
            </w:pPr>
          </w:p>
        </w:tc>
        <w:tc>
          <w:tcPr>
            <w:tcW w:w="540" w:type="dxa"/>
            <w:vAlign w:val="bottom"/>
            <w:tcBorders>
              <w:top w:val="single" w:sz="8" w:color="CCEEFF"/>
            </w:tcBorders>
            <w:gridSpan w:val="2"/>
          </w:tcPr>
          <w:p>
            <w:pPr>
              <w:spacing w:after="0"/>
              <w:rPr>
                <w:sz w:val="17"/>
                <w:szCs w:val="17"/>
                <w:color w:val="auto"/>
              </w:rPr>
            </w:pPr>
          </w:p>
        </w:tc>
        <w:tc>
          <w:tcPr>
            <w:tcW w:w="320" w:type="dxa"/>
            <w:vAlign w:val="bottom"/>
            <w:tcBorders>
              <w:top w:val="single" w:sz="8" w:color="CCEEFF"/>
            </w:tcBorders>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2,089,246</w:t>
            </w: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2,000,904</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88,342</w:t>
            </w:r>
          </w:p>
        </w:tc>
        <w:tc>
          <w:tcPr>
            <w:tcW w:w="5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2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1,140,260</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1,580,117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(439,857)</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Products, service and other</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504,102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536,234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(32,132)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2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and insurance, net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433,202</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436,457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(3,255)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gridSpan w:val="11"/>
          </w:tcPr>
          <w:p>
            <w:pPr>
              <w:ind w:left="10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4,166,810</w:t>
            </w:r>
          </w:p>
        </w:tc>
        <w:tc>
          <w:tcPr>
            <w:tcW w:w="280" w:type="dxa"/>
            <w:vAlign w:val="bottom"/>
          </w:tcPr>
          <w:p>
            <w:pPr>
              <w:spacing w:after="0"/>
              <w:rPr>
                <w:sz w:val="17"/>
                <w:szCs w:val="17"/>
                <w:color w:val="auto"/>
              </w:rPr>
            </w:pPr>
          </w:p>
        </w:tc>
        <w:tc>
          <w:tcPr>
            <w:tcW w:w="32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4,553,712</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(386,902)</w:t>
            </w: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4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Average gross profit per unit</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40" w:type="dxa"/>
            <w:vAlign w:val="bottom"/>
            <w:tcBorders>
              <w:top w:val="single" w:sz="8" w:color="auto"/>
            </w:tcBorders>
            <w:gridSpan w:val="8"/>
            <w:shd w:val="clear" w:color="auto" w:fill="CCEEFF"/>
          </w:tcPr>
          <w:p>
            <w:pPr>
              <w:ind w:left="100"/>
              <w:spacing w:after="0" w:line="202" w:lineRule="exact"/>
              <w:rPr>
                <w:sz w:val="20"/>
                <w:szCs w:val="20"/>
                <w:color w:val="auto"/>
              </w:rPr>
            </w:pPr>
            <w:r>
              <w:rPr>
                <w:rFonts w:ascii="Arial" w:cs="Arial" w:eastAsia="Arial" w:hAnsi="Arial"/>
                <w:sz w:val="18"/>
                <w:szCs w:val="18"/>
                <w:color w:val="auto"/>
              </w:rPr>
              <w:t>New vehicles</w:t>
            </w:r>
          </w:p>
        </w:tc>
        <w:tc>
          <w:tcPr>
            <w:tcW w:w="980" w:type="dxa"/>
            <w:vAlign w:val="bottom"/>
            <w:gridSpan w:val="3"/>
            <w:shd w:val="clear" w:color="auto" w:fill="CCEEFF"/>
          </w:tcPr>
          <w:p>
            <w:pPr>
              <w:spacing w:after="0"/>
              <w:rPr>
                <w:sz w:val="17"/>
                <w:szCs w:val="17"/>
                <w:color w:val="auto"/>
              </w:rPr>
            </w:pPr>
          </w:p>
        </w:tc>
        <w:tc>
          <w:tcPr>
            <w:tcW w:w="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5,634</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(936)</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5,722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7,542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(1,820)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220" w:type="dxa"/>
            <w:vAlign w:val="bottom"/>
            <w:gridSpan w:val="11"/>
            <w:shd w:val="clear" w:color="auto" w:fill="CCEEFF"/>
          </w:tcPr>
          <w:p>
            <w:pPr>
              <w:ind w:left="100"/>
              <w:spacing w:after="0" w:line="183" w:lineRule="exact"/>
              <w:rPr>
                <w:sz w:val="20"/>
                <w:szCs w:val="20"/>
                <w:color w:val="auto"/>
              </w:rPr>
            </w:pPr>
            <w:r>
              <w:rPr>
                <w:rFonts w:ascii="Arial" w:cs="Arial" w:eastAsia="Arial" w:hAnsi="Arial"/>
                <w:sz w:val="18"/>
                <w:szCs w:val="18"/>
                <w:color w:val="auto"/>
              </w:rPr>
              <w:t>Finance  and  insurance,  net  per</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220" w:type="dxa"/>
            <w:vAlign w:val="bottom"/>
            <w:gridSpan w:val="11"/>
            <w:shd w:val="clear" w:color="auto" w:fill="CCEEFF"/>
          </w:tcPr>
          <w:p>
            <w:pPr>
              <w:ind w:left="100"/>
              <w:spacing w:after="0"/>
              <w:rPr>
                <w:sz w:val="20"/>
                <w:szCs w:val="20"/>
                <w:color w:val="auto"/>
              </w:rPr>
            </w:pPr>
            <w:r>
              <w:rPr>
                <w:rFonts w:ascii="Arial" w:cs="Arial" w:eastAsia="Arial" w:hAnsi="Arial"/>
                <w:sz w:val="18"/>
                <w:szCs w:val="18"/>
                <w:color w:val="auto"/>
              </w:rPr>
              <w:t>vehicle unit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6"/>
                <w:szCs w:val="16"/>
                <w:color w:val="auto"/>
              </w:rPr>
              <w:t>Total vehicle front-end yield</w:t>
            </w:r>
            <w:r>
              <w:rPr>
                <w:rFonts w:ascii="Arial" w:cs="Arial" w:eastAsia="Arial" w:hAnsi="Arial"/>
                <w:sz w:val="23"/>
                <w:szCs w:val="23"/>
                <w:color w:val="auto"/>
                <w:vertAlign w:val="superscript"/>
              </w:rPr>
              <w:t>(2)</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10,508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11,881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(1,373)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4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2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(517)</w:t>
            </w:r>
            <w:r>
              <w:rPr>
                <w:rFonts w:ascii="Arial" w:cs="Arial" w:eastAsia="Arial" w:hAnsi="Arial"/>
                <w:sz w:val="14"/>
                <w:szCs w:val="14"/>
                <w:color w:val="auto"/>
              </w:rPr>
              <w:t>bps</w:t>
            </w: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New vehicles</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(58)</w:t>
            </w:r>
            <w:r>
              <w:rPr>
                <w:rFonts w:ascii="Arial" w:cs="Arial" w:eastAsia="Arial" w:hAnsi="Arial"/>
                <w:sz w:val="14"/>
                <w:szCs w:val="14"/>
                <w:color w:val="auto"/>
              </w:rPr>
              <w:t>bps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2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Used vehicles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(324)</w:t>
            </w:r>
            <w:r>
              <w:rPr>
                <w:rFonts w:ascii="Arial" w:cs="Arial" w:eastAsia="Arial" w:hAnsi="Arial"/>
                <w:sz w:val="14"/>
                <w:szCs w:val="14"/>
                <w:color w:val="auto"/>
              </w:rPr>
              <w:t>bps</w:t>
            </w: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Products, service and other</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 xml:space="preserve">460 </w:t>
            </w:r>
            <w:r>
              <w:rPr>
                <w:rFonts w:ascii="Arial" w:cs="Arial" w:eastAsia="Arial" w:hAnsi="Arial"/>
                <w:sz w:val="14"/>
                <w:szCs w:val="14"/>
                <w:color w:val="auto"/>
              </w:rPr>
              <w:t>bps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20" w:type="dxa"/>
            <w:vAlign w:val="bottom"/>
            <w:gridSpan w:val="11"/>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and insurance, net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 xml:space="preserve">unch. </w:t>
            </w:r>
            <w:r>
              <w:rPr>
                <w:rFonts w:ascii="Arial" w:cs="Arial" w:eastAsia="Arial" w:hAnsi="Arial"/>
                <w:sz w:val="14"/>
                <w:szCs w:val="14"/>
                <w:color w:val="auto"/>
              </w:rPr>
              <w:t>bps</w:t>
            </w: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11"/>
          </w:tcPr>
          <w:p>
            <w:pPr>
              <w:ind w:left="100"/>
              <w:spacing w:after="0" w:line="202" w:lineRule="exact"/>
              <w:rPr>
                <w:sz w:val="20"/>
                <w:szCs w:val="20"/>
                <w:color w:val="auto"/>
              </w:rPr>
            </w:pPr>
            <w:r>
              <w:rPr>
                <w:rFonts w:ascii="Arial" w:cs="Arial" w:eastAsia="Arial" w:hAnsi="Arial"/>
                <w:sz w:val="18"/>
                <w:szCs w:val="18"/>
                <w:color w:val="auto"/>
              </w:rPr>
              <w:t>Good Sam Club</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(7)</w:t>
            </w:r>
            <w:r>
              <w:rPr>
                <w:rFonts w:ascii="Arial" w:cs="Arial" w:eastAsia="Arial" w:hAnsi="Arial"/>
                <w:sz w:val="14"/>
                <w:szCs w:val="14"/>
                <w:color w:val="auto"/>
              </w:rPr>
              <w:t>bps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CCEEFF"/>
            </w:tcBorders>
            <w:gridSpan w:val="11"/>
            <w:shd w:val="clear" w:color="auto" w:fill="CCEEFF"/>
          </w:tcPr>
          <w:p>
            <w:pPr>
              <w:ind w:left="200"/>
              <w:spacing w:after="0" w:line="196" w:lineRule="exact"/>
              <w:rPr>
                <w:sz w:val="20"/>
                <w:szCs w:val="20"/>
                <w:color w:val="auto"/>
              </w:rPr>
            </w:pPr>
            <w:r>
              <w:rPr>
                <w:rFonts w:ascii="Arial" w:cs="Arial" w:eastAsia="Arial" w:hAnsi="Arial"/>
                <w:sz w:val="18"/>
                <w:szCs w:val="18"/>
                <w:color w:val="auto"/>
              </w:rPr>
              <w:t>Subtotal RV and Outdoor Retail</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50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bps</w:t>
            </w:r>
          </w:p>
        </w:tc>
        <w:tc>
          <w:tcPr>
            <w:tcW w:w="8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gridSpan w:val="11"/>
          </w:tcPr>
          <w:p>
            <w:pPr>
              <w:ind w:left="100"/>
              <w:spacing w:after="0" w:line="196" w:lineRule="exact"/>
              <w:rPr>
                <w:sz w:val="20"/>
                <w:szCs w:val="20"/>
                <w:color w:val="auto"/>
              </w:rPr>
            </w:pPr>
            <w:r>
              <w:rPr>
                <w:rFonts w:ascii="Arial" w:cs="Arial" w:eastAsia="Arial" w:hAnsi="Arial"/>
                <w:sz w:val="18"/>
                <w:szCs w:val="18"/>
                <w:color w:val="auto"/>
              </w:rPr>
              <w:t>Total gross margin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50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color w:val="auto"/>
              </w:rPr>
              <w:t>bps</w:t>
            </w:r>
          </w:p>
        </w:tc>
        <w:tc>
          <w:tcPr>
            <w:tcW w:w="8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Other data</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220" w:type="dxa"/>
            <w:vAlign w:val="bottom"/>
            <w:gridSpan w:val="11"/>
            <w:shd w:val="clear" w:color="auto" w:fill="CCEEFF"/>
          </w:tcPr>
          <w:p>
            <w:pPr>
              <w:ind w:left="100"/>
              <w:spacing w:after="0" w:line="183" w:lineRule="exact"/>
              <w:rPr>
                <w:sz w:val="20"/>
                <w:szCs w:val="20"/>
                <w:color w:val="auto"/>
              </w:rPr>
            </w:pPr>
            <w:r>
              <w:rPr>
                <w:rFonts w:ascii="Arial" w:cs="Arial" w:eastAsia="Arial" w:hAnsi="Arial"/>
                <w:sz w:val="18"/>
                <w:szCs w:val="18"/>
                <w:color w:val="auto"/>
              </w:rPr>
              <w:t>Finance and insurance gross profit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3220" w:type="dxa"/>
            <w:vAlign w:val="bottom"/>
            <w:gridSpan w:val="11"/>
            <w:shd w:val="clear" w:color="auto" w:fill="CCEEFF"/>
          </w:tcPr>
          <w:p>
            <w:pPr>
              <w:ind w:left="100"/>
              <w:spacing w:after="0"/>
              <w:rPr>
                <w:sz w:val="20"/>
                <w:szCs w:val="20"/>
                <w:color w:val="auto"/>
              </w:rPr>
            </w:pPr>
            <w:r>
              <w:rPr>
                <w:rFonts w:ascii="Arial" w:cs="Arial" w:eastAsia="Arial" w:hAnsi="Arial"/>
                <w:sz w:val="18"/>
                <w:szCs w:val="18"/>
                <w:color w:val="auto"/>
              </w:rPr>
              <w:t>as a % of total vehicle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4"/>
                <w:szCs w:val="14"/>
                <w:color w:val="auto"/>
              </w:rPr>
              <w:t>bps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20" w:type="dxa"/>
            <w:vAlign w:val="bottom"/>
            <w:gridSpan w:val="11"/>
          </w:tcPr>
          <w:p>
            <w:pPr>
              <w:ind w:left="100"/>
              <w:spacing w:after="0"/>
              <w:rPr>
                <w:sz w:val="20"/>
                <w:szCs w:val="20"/>
                <w:color w:val="auto"/>
              </w:rPr>
            </w:pPr>
            <w:r>
              <w:rPr>
                <w:rFonts w:ascii="Arial" w:cs="Arial" w:eastAsia="Arial" w:hAnsi="Arial"/>
                <w:sz w:val="18"/>
                <w:szCs w:val="18"/>
                <w:color w:val="auto"/>
              </w:rPr>
              <w:t>Same store locations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360" w:type="dxa"/>
            <w:vAlign w:val="bottom"/>
            <w:gridSpan w:val="2"/>
          </w:tcPr>
          <w:p>
            <w:pPr>
              <w:jc w:val="right"/>
              <w:ind w:right="468"/>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Good Sam Services and Plans revenue increased primarily due to increased contracts in force for our Good Sam Insurance Agency programs.</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gross profit and gross margin decreased primarily due to a nonrecurring $5.5 million exit arrangement with a service partner in 2023 and incremental roadside assistance claims costs in 2024, partially offset by increased contracts in force for our Good Sam Insurance Agency Programs, increased extended vehicle warranty underwriter profit sharing, and reduced marketing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New vehicles revenue increased primarily due to a 22.7% increase in new vehicles sold, partially offset by a 10.8% decrease in the average selling price per new vehicle sold driven primarily by the lower cost 2024 model year travel trailers and discounting of pre-2024 model year new vehicles. On a same store basis, new vehicles revenue increased 4.4% to $ 2.1 billion with an increase in new vehicles sold of 17.3%, which was partially offset by an 11.0% decrease in the average selling price per new vehicle sold.</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New vehicles gross profit increased primarily due to the increase in new vehicles sold, partially offset by the lower gross profit per new vehicle. The lower gross profit per new vehicle and 58 basis point decrease in new vehicle gross margin was driven by the 10.8% decrease in average selling price per new vehicle sold, which was mostly offset by the 10.2% decrease in average cost per new vehicle sold, which was primarily from the lower cost 2024 model year travel trailers.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Used vehicles revenue decreased primarily due to a 14.5% reduction in used vehicles sold and a 10.7% decrease in the average selling price per used vehicle sold. The decrease in used vehicles sold was due in large part to slowed procurement of used vehicles. This reduced availability and decrease in average selling price of used vehicles were largely a byproduct of the lower cost and selling price of 2024 model year new vehicles, which impacted used vehicles as discussed in “Industry Trends” above. On a same store basis, used vehicles revenue decreased 27.8% to $1.1 billion from a decrease in used vehicles sold of 18.5% and an 11.5% decrease in average sales price per used vehicle sold.</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gross profit decreased primarily due to the decrease in used vehicles sold and the lower gross profit per used vehicle. The lower gross profit per used vehicle and 324 basis point decrease in used vehicle gross margin was driven by the 10.7% decrease in average selling price per used vehicle sold, partially offset by the 7.0% decrease in average cost per used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Products, service and other revenue decreased primarily due to a reduction in sales activity resulting from our Active Sports Restructuring, the divestiture of our RV furniture business, and fewer used vehicles sold</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leading to a decline in retail product attachment to vehicle sales, partially offset by increases in RV service revenue. On a same store basis, products, service and other revenue decreased 6.0% to $504.1 million.</w:t>
      </w:r>
    </w:p>
    <w:p>
      <w:pPr>
        <w:spacing w:after="0" w:line="15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Products, service and other gross profit increased primarily due to higher labor billing rates and a higher proportion of billable labor. The increase in products, service and other gross margin was primarily due to higher labor billing rates resulting from increased demand and increased technician wages, a higher proportion of billable labor, product discounting associated with restructuring of our Active Sports business in 2023, and margin improvement associated with the sale of our furniture business in the second quarter of 2024.</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$20.4 million, which was primarily a result of an increased number of contracts sold from the increased vehicles sold. Finance and insurance, net revenue as a percentage of new and used vehicle revenue was 13.4%, an increase from 12.2%. On a same store basis, finance and insurance, net revenue decreased slightly by 0.7%.</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Good Sam Club revenue and gross profit decreased slightly from a 12.1% decrease in Good Sam Club members, excluding free basic plan members, partially offset by an increased rate per annual membership and higher Good Sam branded credit card fees. The decrease in Good Sam Club members resulted from an increase in the standard membership price and the introduction of the free basic plan in late 2023 that provides for limited participation in the loyalty point program without access to the remaining member benefits. For the remainder of 2024, we expect to continue to see declines in the Good Sam Club members as a result of this price increase and the availability of the free basic plan.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Selling, general and administrative expenses increased primarily due to $23.1 million of additional advertising expenses and $5.2 million of increased outside professional services, partially offset by reduced employee compensation costs of $18.9 million, which included a decrease in equity-based compensation expense of $1.9 million, and a $5.5 million reduction in nonbillable RV service work expense.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discussed in Note 4 – Restructuring and Long-Lived Asset Impairment to our condensed consolidated financial statements included in Part I, Item 1 of this Form 10-Q, we recognized $12.4 million of long-lived asset impairments, an increase of $3.1 million. These long-lived asset impairments generally related to closed or underperforming store locations, which included the evaluation of decreases in market rental rates or market value of real property for closed store locations. However, $6.6 million of the 2023 long-lived asset impairment related to the Active Sports Restructuring.</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(gain) on sale or disposal of assets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increased loss on sale or disposal of assets in 2024 was driven primarily by the divestiture of our RV furniture business that resulted in a loss of $7.1 million (see Note 5 – Assets Held for Sale and Business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Divestiture to our condensed consolidated financial statements included in Part I, Item 1 of this Form 10-Q).</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Additionally, the gain on sale or disposal of assets in 2023 related primarily to the sale of properties.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increase in floor plan interest expense was primarily due to an 88 basis point increase in the average floor plan borrowing rate, and an increase in the average floor plan notes payable balance. The average interest rate for the Floor Plan Facility for 2024 and 2023 was 7.78% and 6.90%,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Other interest expense, net increased primarily due to an increase in the Term Loan Facility average interest rate and a higher average principal balance from additional borrowings on the Company’s Real Estate Facilities and the revolving line of credit under the Floor Plan Facility (see Note 7 – Long-Term Debt and Note 3</w:t>
      </w:r>
    </w:p>
    <w:p>
      <w:pPr>
        <w:spacing w:after="0" w:line="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Inventories and Floor Plan Payables to our condensed consolidated financial statements included in Part I, Item 1 of this Form 10-Q). The average interest rate for the Term Loan Facility for 2024 and 2023 was 7.96% and 7.48%, respectively. The average interest rate on the M&amp;T Real Estate Facility for 2024 and 2023 was 7.55% and 6.94%,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1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Tax Receivable Agreement Liability adjustment in 2023 consisted of a benefit of $1.7 million related to a remeasurement from a decrease in blended state income tax rates.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reduction of income tax expense to an income tax benefit was primarily due to losses generated from CWGS, LLC for which the Company is subject to U.S. federal and state taxes on its allocable share.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following table sets forth a reconciliation of total segment income to consolidated income before income taxes for each of our segments for the periods presented: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Nine Months Ended</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2"/>
                <w:szCs w:val="12"/>
                <w:b w:val="1"/>
                <w:bCs w:val="1"/>
                <w:color w:val="auto"/>
              </w:rPr>
              <w:t>September 30, 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2"/>
                <w:szCs w:val="12"/>
                <w:b w:val="1"/>
                <w:bCs w:val="1"/>
                <w:color w:val="auto"/>
              </w:rPr>
              <w:t>September 30, 2023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left="258"/>
              <w:spacing w:after="0"/>
              <w:rPr>
                <w:sz w:val="20"/>
                <w:szCs w:val="20"/>
                <w:color w:val="auto"/>
              </w:rPr>
            </w:pPr>
            <w:r>
              <w:rPr>
                <w:rFonts w:ascii="Arial" w:cs="Arial" w:eastAsia="Arial" w:hAnsi="Arial"/>
                <w:sz w:val="12"/>
                <w:szCs w:val="12"/>
                <w:b w:val="1"/>
                <w:bCs w:val="1"/>
                <w:color w:val="auto"/>
                <w:w w:val="96"/>
              </w:rPr>
              <w:t>Favorable/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Percent 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Percent of</w:t>
            </w:r>
          </w:p>
        </w:tc>
        <w:tc>
          <w:tcPr>
            <w:tcW w:w="220" w:type="dxa"/>
            <w:vAlign w:val="bottom"/>
          </w:tcPr>
          <w:p>
            <w:pPr>
              <w:spacing w:after="0"/>
              <w:rPr>
                <w:sz w:val="12"/>
                <w:szCs w:val="12"/>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8"/>
              </w:rPr>
              <w:t>(Unfavorable)</w:t>
            </w:r>
          </w:p>
        </w:tc>
        <w:tc>
          <w:tcPr>
            <w:tcW w:w="0" w:type="dxa"/>
            <w:vAlign w:val="bottom"/>
          </w:tcPr>
          <w:p>
            <w:pPr>
              <w:spacing w:after="0"/>
              <w:rPr>
                <w:sz w:val="1"/>
                <w:szCs w:val="1"/>
                <w:color w:val="auto"/>
              </w:rPr>
            </w:pPr>
          </w:p>
        </w:tc>
      </w:tr>
      <w:tr>
        <w:trPr>
          <w:trHeight w:val="14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Revenue</w:t>
            </w:r>
          </w:p>
        </w:tc>
        <w:tc>
          <w:tcPr>
            <w:tcW w:w="1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Revenue</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37"/>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32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Revenue:</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Good Sam Services and Plans</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150,027</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148,117</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1"/>
                <w:szCs w:val="11"/>
                <w:color w:val="auto"/>
              </w:rPr>
            </w:pPr>
          </w:p>
        </w:tc>
        <w:tc>
          <w:tcPr>
            <w:tcW w:w="22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RV and Outdoor Retail</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4,756,905</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4,980,615</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(223,710)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Elimination of intersegment revenue</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(11,422)</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(11,518)</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Total consolidated revenue</w:t>
            </w: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4,895,510</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5,117,214</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(221,704)</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Segment income</w:t>
            </w:r>
            <w:r>
              <w:rPr>
                <w:rFonts w:ascii="Arial" w:cs="Arial" w:eastAsia="Arial" w:hAnsi="Arial"/>
                <w:sz w:val="15"/>
                <w:szCs w:val="15"/>
                <w:color w:val="auto"/>
                <w:vertAlign w:val="superscript"/>
              </w:rPr>
              <w:t>(1)</w:t>
            </w: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Good Sam Services and Plans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73,006</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83,143</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(10,137)</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RV and Outdoor Retail</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85,027</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195,283</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(110,256)</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60" w:type="dxa"/>
            <w:vAlign w:val="bottom"/>
            <w:tcBorders>
              <w:top w:val="single" w:sz="8" w:color="CCEEFF"/>
            </w:tcBorders>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rPr>
              <w:t>Total segment income</w:t>
            </w: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158,033</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278,426</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(120,393)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Corporate &amp; other</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(12,159)</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(11,060)</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(1,099)</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(59,905)</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(49,462)</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(10,443)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interest expense, net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(108,124)</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(99,873)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(8,251)</w:t>
            </w: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Tax Receivable Agreement liability adjustment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(1,680)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expense, net</w:t>
            </w:r>
          </w:p>
        </w:tc>
        <w:tc>
          <w:tcPr>
            <w:tcW w:w="14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(337)</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(1,659)</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60" w:type="dxa"/>
            <w:vAlign w:val="bottom"/>
            <w:tcBorders>
              <w:top w:val="single" w:sz="8" w:color="CCEEFF"/>
              <w:bottom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Income before income taxes</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(22,492)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118,052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(140,544)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n/m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1"/>
                <w:szCs w:val="11"/>
                <w:color w:val="auto"/>
              </w:rPr>
              <w:t>Same store revenue- RV and Outdoor Retail</w:t>
            </w:r>
            <w:r>
              <w:rPr>
                <w:rFonts w:ascii="Arial" w:cs="Arial" w:eastAsia="Arial" w:hAnsi="Arial"/>
                <w:sz w:val="15"/>
                <w:szCs w:val="15"/>
                <w:color w:val="auto"/>
                <w:vertAlign w:val="superscript"/>
              </w:rPr>
              <w:t>(2)</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4,166,810</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4,553,712</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(386,902)</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17" w:lineRule="exact"/>
        <w:rPr>
          <w:sz w:val="20"/>
          <w:szCs w:val="20"/>
          <w:color w:val="auto"/>
        </w:rPr>
      </w:pPr>
    </w:p>
    <w:p>
      <w:pPr>
        <w:ind w:left="380" w:right="159" w:hanging="330"/>
        <w:spacing w:after="0" w:line="204"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Segment income represents income for each of our reportable segments and is defined as income from operations before depreciation and amortization, plus floor plan interest expense.</w:t>
      </w:r>
    </w:p>
    <w:p>
      <w:pPr>
        <w:ind w:left="380" w:hanging="330"/>
        <w:spacing w:after="0" w:line="230"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Same store revenue definition not applicable to the Good Sam Services and Plans segment.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Services and Plans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Good Sam Services and Plans revenue increased primarily due to increased contracts in force for our Good Sam Insurance Agency programs.</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Good Sam Services and Plans segment income decreased primarily due to a $5.5 million prior year exit arrangement with a service partner, incremental roadside assistance claims costs in 2024, and increased general and administrative expenses primarily related to increased wages and bank charges, partially offset by increased contracts in force for our Good Sam Insurance Agency Programs, extended vehicle warranty underwriter profit sharing, and reduced marketing expenses. Segment income margin decreased 747 basis points to 48.7% primarily due to the prior year exit arrangement with a service partner, incremental roadside assistance claims costs, and additional general and administrative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RV and Outdoor Retail</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RV and Outdoor Retail segment revenue decreased primarily due to a $392.9 million, or 23.6%, decrease in used vehicles revenue, a $52.5 million, or 7.6%, decrease in products, service and other revenue, and a $0.5 million, or 1.6%, decrease in Good Sam Club revenue, partially offset by a $202.2 million, or 9.5%, increase in new vehicles revenue, and a $20.1 million, or 4.3%, increase in finance and insurance, net revenue.</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RV and Outdoor Retail segment income decreased primarily due to decreased segment gross profit of $80.6 million primarily relating to reduced volume and average sales price of used vehicles sold; a $16.8 million increase in floor plan interest expense; a $14.5 million increase in loss on sale or disposal of assets; and a $3.1 million increase in long-lived asset impairment; partially offset by a $3.0 million reduction in lease termination expense and a $1.8 million decrease in selling, general and administrative expenses (see discussion of selling, general and administrative expenses above for the similar drivers of this change). RV and Outdoor Retail segment income margin decreased 213 basis points to 1.8%, which was primarily due a lower volume of used vehicles sold and a lower average price per vehicle sold, in addition to a $14.5 million increase in loss on sale or disposal of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Income Attributable to Camping World Holdings, Inc. – Basic; Adjusted Net Income Attributable to Camping World Holdings, Inc. – Diluted; Adjusted Earnings Per Share – Basic; Adjusted Earnings Per Share – Diluted; and Selling, General, and Administrative Expense (“SG&amp;A”) Excluding Equity-based Compensation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periods beginning after December 31, 2022 for the 2019 Strategic Shift and for periods beginning after December 31, 2023 for the Active Sports Restructuring, we are no longer including the other associated costs category of expenses relating to those restructuring activities as restructuring costs for purposes of our Non-GAAP Financial Measures, since these costs are not expected to be significant in future periods. For a discussion of restructuring activities, see Note 4 — Restructuring and Long-Lived Asset Impairment to our condensed consolidated financial statements included in Part I, Item 1 of this Form 10-Q.</w:t>
      </w:r>
    </w:p>
    <w:p>
      <w:pPr>
        <w:spacing w:after="0" w:line="17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00" w:lineRule="exact"/>
        <w:rPr>
          <w:sz w:val="20"/>
          <w:szCs w:val="20"/>
          <w:color w:val="auto"/>
        </w:rPr>
      </w:pP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define “EBITDA” as net income (loss) before other interest expense, net (excluding floor plan interest expense), provision for income tax benefit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lease termination, gains and losses on sale or disposal of assets, net, equity-based compensation, Tax Receivable Agreement liability adjustment, restructuring costs, losses and gains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8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620" w:type="dxa"/>
            <w:vAlign w:val="bottom"/>
            <w:gridSpan w:val="2"/>
            <w:vMerge w:val="restart"/>
          </w:tcPr>
          <w:p>
            <w:pPr>
              <w:ind w:left="20"/>
              <w:spacing w:after="0"/>
              <w:rPr>
                <w:sz w:val="20"/>
                <w:szCs w:val="20"/>
                <w:color w:val="auto"/>
              </w:rPr>
            </w:pPr>
            <w:r>
              <w:rPr>
                <w:rFonts w:ascii="Arial" w:cs="Arial" w:eastAsia="Arial" w:hAnsi="Arial"/>
                <w:sz w:val="11"/>
                <w:szCs w:val="11"/>
                <w:color w:val="auto"/>
              </w:rPr>
              <w:t>($ in thousands)</w:t>
            </w:r>
          </w:p>
        </w:tc>
        <w:tc>
          <w:tcPr>
            <w:tcW w:w="2220" w:type="dxa"/>
            <w:vAlign w:val="bottom"/>
            <w:gridSpan w:val="6"/>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2060" w:type="dxa"/>
            <w:vAlign w:val="bottom"/>
            <w:gridSpan w:val="5"/>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4620" w:type="dxa"/>
            <w:vAlign w:val="bottom"/>
            <w:gridSpan w:val="2"/>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69"/>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5"/>
        </w:trPr>
        <w:tc>
          <w:tcPr>
            <w:tcW w:w="44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EBITDA and Adjusted EBITDA:</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Net income (loss)</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8,056</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30,893</w:t>
            </w:r>
          </w:p>
        </w:tc>
        <w:tc>
          <w:tcPr>
            <w:tcW w:w="20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(19,336)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100,519</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35,242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108,124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99,873</w:t>
            </w: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20,583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59,905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49,462</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(benefit) expense</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(2,049)</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(3,156)</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17,533</w:t>
            </w:r>
          </w:p>
        </w:tc>
        <w:tc>
          <w:tcPr>
            <w:tcW w:w="0" w:type="dxa"/>
            <w:vAlign w:val="bottom"/>
          </w:tcPr>
          <w:p>
            <w:pPr>
              <w:spacing w:after="0"/>
              <w:rPr>
                <w:sz w:val="1"/>
                <w:szCs w:val="1"/>
                <w:color w:val="auto"/>
              </w:rPr>
            </w:pPr>
          </w:p>
        </w:tc>
      </w:tr>
      <w:tr>
        <w:trPr>
          <w:trHeight w:val="156"/>
        </w:trPr>
        <w:tc>
          <w:tcPr>
            <w:tcW w:w="46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Subtotal EBITDA</w:t>
            </w: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62,467</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87,433</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145,537</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267,387</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Lease termination (b)</w:t>
            </w:r>
          </w:p>
        </w:tc>
        <w:tc>
          <w:tcPr>
            <w:tcW w:w="2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(2,625)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(2,585)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sale or disposal of assets, net (c)</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Equity-based compensation (d)</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5,573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16,167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18,316</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 Receivable Agreement liability adjustment (e)</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(1,680)</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Restructuring costs (f)</w:t>
            </w:r>
          </w:p>
        </w:tc>
        <w:tc>
          <w:tcPr>
            <w:tcW w:w="2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153"/>
        </w:trPr>
        <w:tc>
          <w:tcPr>
            <w:tcW w:w="4620" w:type="dxa"/>
            <w:vAlign w:val="bottom"/>
            <w:gridSpan w:val="2"/>
            <w:shd w:val="clear" w:color="auto" w:fill="CCEEFF"/>
          </w:tcPr>
          <w:p>
            <w:pPr>
              <w:ind w:left="340"/>
              <w:spacing w:after="0" w:line="153" w:lineRule="exact"/>
              <w:rPr>
                <w:sz w:val="20"/>
                <w:szCs w:val="20"/>
                <w:color w:val="auto"/>
              </w:rPr>
            </w:pPr>
            <w:r>
              <w:rPr>
                <w:rFonts w:ascii="Arial" w:cs="Arial" w:eastAsia="Arial" w:hAnsi="Arial"/>
                <w:sz w:val="14"/>
                <w:szCs w:val="14"/>
                <w:color w:val="auto"/>
              </w:rPr>
              <w:t>Loss (gain) and impairment on investments in equity securities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56"/>
        </w:trPr>
        <w:tc>
          <w:tcPr>
            <w:tcW w:w="462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Adjusted EBITDA</w:t>
            </w: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67,516</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94,998</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181,336</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295,134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620" w:type="dxa"/>
            <w:vAlign w:val="bottom"/>
            <w:gridSpan w:val="2"/>
            <w:vMerge w:val="restart"/>
          </w:tcPr>
          <w:p>
            <w:pPr>
              <w:ind w:left="20"/>
              <w:spacing w:after="0"/>
              <w:rPr>
                <w:sz w:val="20"/>
                <w:szCs w:val="20"/>
                <w:color w:val="auto"/>
              </w:rPr>
            </w:pPr>
            <w:r>
              <w:rPr>
                <w:rFonts w:ascii="Arial" w:cs="Arial" w:eastAsia="Arial" w:hAnsi="Arial"/>
                <w:sz w:val="11"/>
                <w:szCs w:val="11"/>
                <w:color w:val="auto"/>
              </w:rPr>
              <w:t>(as percentage of total revenue)</w:t>
            </w:r>
          </w:p>
        </w:tc>
        <w:tc>
          <w:tcPr>
            <w:tcW w:w="2220" w:type="dxa"/>
            <w:vAlign w:val="bottom"/>
            <w:gridSpan w:val="4"/>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206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4620" w:type="dxa"/>
            <w:vAlign w:val="bottom"/>
            <w:gridSpan w:val="2"/>
            <w:vMerge w:val="continue"/>
          </w:tcPr>
          <w:p>
            <w:pPr>
              <w:spacing w:after="0"/>
              <w:rPr>
                <w:sz w:val="11"/>
                <w:szCs w:val="11"/>
                <w:color w:val="auto"/>
              </w:rPr>
            </w:pPr>
          </w:p>
        </w:tc>
        <w:tc>
          <w:tcPr>
            <w:tcW w:w="920" w:type="dxa"/>
            <w:vAlign w:val="bottom"/>
            <w:tcBorders>
              <w:top w:val="single" w:sz="8" w:color="auto"/>
            </w:tcBorders>
          </w:tcPr>
          <w:p>
            <w:pPr>
              <w:jc w:val="right"/>
              <w:ind w:right="250"/>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1"/>
                <w:szCs w:val="11"/>
                <w:color w:val="auto"/>
              </w:rPr>
            </w:pPr>
          </w:p>
        </w:tc>
        <w:tc>
          <w:tcPr>
            <w:tcW w:w="940" w:type="dxa"/>
            <w:vAlign w:val="bottom"/>
            <w:tcBorders>
              <w:top w:val="single" w:sz="8" w:color="auto"/>
            </w:tcBorders>
          </w:tcPr>
          <w:p>
            <w:pPr>
              <w:jc w:val="right"/>
              <w:ind w:right="270"/>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5"/>
        </w:trPr>
        <w:tc>
          <w:tcPr>
            <w:tcW w:w="44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EBITDA margin:</w:t>
            </w: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Net income (loss) margin</w:t>
            </w: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(0.4%)</w:t>
            </w: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(benefit) expense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5"/>
        </w:trPr>
        <w:tc>
          <w:tcPr>
            <w:tcW w:w="46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Subtotal EBITDA margin</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Lease termination (b)</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(0.2%)</w:t>
            </w:r>
          </w:p>
        </w:tc>
        <w:tc>
          <w:tcPr>
            <w:tcW w:w="900" w:type="dxa"/>
            <w:vAlign w:val="bottom"/>
          </w:tcPr>
          <w:p>
            <w:pPr>
              <w:jc w:val="right"/>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(0.1%)</w:t>
            </w:r>
          </w:p>
        </w:tc>
        <w:tc>
          <w:tcPr>
            <w:tcW w:w="92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sale or disposal of assets, net (c)</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Equity-based compensation (d)</w:t>
            </w: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 Receivable Agreement liability adjustment (e)</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4620" w:type="dxa"/>
            <w:vAlign w:val="bottom"/>
            <w:gridSpan w:val="2"/>
          </w:tcPr>
          <w:p>
            <w:pPr>
              <w:ind w:left="340"/>
              <w:spacing w:after="0"/>
              <w:rPr>
                <w:sz w:val="20"/>
                <w:szCs w:val="20"/>
                <w:color w:val="auto"/>
              </w:rPr>
            </w:pPr>
            <w:r>
              <w:rPr>
                <w:rFonts w:ascii="Arial" w:cs="Arial" w:eastAsia="Arial" w:hAnsi="Arial"/>
                <w:sz w:val="14"/>
                <w:szCs w:val="14"/>
                <w:color w:val="auto"/>
              </w:rPr>
              <w:t>Restructuring costs (f)</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3"/>
        </w:trPr>
        <w:tc>
          <w:tcPr>
            <w:tcW w:w="4620" w:type="dxa"/>
            <w:vAlign w:val="bottom"/>
            <w:gridSpan w:val="2"/>
            <w:shd w:val="clear" w:color="auto" w:fill="CCEEFF"/>
          </w:tcPr>
          <w:p>
            <w:pPr>
              <w:ind w:left="340"/>
              <w:spacing w:after="0" w:line="153" w:lineRule="exact"/>
              <w:rPr>
                <w:sz w:val="20"/>
                <w:szCs w:val="20"/>
                <w:color w:val="auto"/>
              </w:rPr>
            </w:pPr>
            <w:r>
              <w:rPr>
                <w:rFonts w:ascii="Arial" w:cs="Arial" w:eastAsia="Arial" w:hAnsi="Arial"/>
                <w:sz w:val="14"/>
                <w:szCs w:val="14"/>
                <w:color w:val="auto"/>
              </w:rPr>
              <w:t>Loss (gain) and impairment on investments in equity securities</w:t>
            </w: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6"/>
        </w:trPr>
        <w:tc>
          <w:tcPr>
            <w:tcW w:w="462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Adjusted EBITDA margin</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440" w:right="79" w:hanging="322"/>
        <w:spacing w:after="0" w:line="263" w:lineRule="auto"/>
        <w:tabs>
          <w:tab w:leader="none" w:pos="440" w:val="left"/>
        </w:tabs>
        <w:numPr>
          <w:ilvl w:val="0"/>
          <w:numId w:val="36"/>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4 – Restructuring and Long-Lived Asset Impairment to our condensed consolidated financial statements included in Part I, Item 1 of this Form 10-Q for additional information.</w:t>
      </w:r>
    </w:p>
    <w:p>
      <w:pPr>
        <w:spacing w:after="0" w:line="37"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1"/>
          <w:numId w:val="36"/>
        </w:numPr>
        <w:rPr>
          <w:rFonts w:ascii="Arial" w:cs="Arial" w:eastAsia="Arial" w:hAnsi="Arial"/>
          <w:sz w:val="14"/>
          <w:szCs w:val="14"/>
          <w:color w:val="231F20"/>
        </w:rPr>
      </w:pPr>
      <w:r>
        <w:rPr>
          <w:rFonts w:ascii="Arial" w:cs="Arial" w:eastAsia="Arial" w:hAnsi="Arial"/>
          <w:sz w:val="14"/>
          <w:szCs w:val="14"/>
          <w:color w:val="auto"/>
        </w:rPr>
        <w:t>Represents the gains and losses on termination of operating leases resulting from lease termination fees and the derecognition of the operating lease assets and liabilities. See Note 4 – Restructuring and Long-Lived Asset Impairment to our condensed consolidated financial statements included in Part I, Item 1 of this Form 10-Q for additional information.</w:t>
      </w:r>
    </w:p>
    <w:p>
      <w:pPr>
        <w:spacing w:after="0" w:line="24" w:lineRule="exact"/>
        <w:rPr>
          <w:sz w:val="20"/>
          <w:szCs w:val="20"/>
          <w:color w:val="auto"/>
        </w:rPr>
      </w:pPr>
    </w:p>
    <w:p>
      <w:pPr>
        <w:ind w:left="440" w:hanging="322"/>
        <w:spacing w:after="0"/>
        <w:tabs>
          <w:tab w:leader="none" w:pos="440" w:val="left"/>
        </w:tabs>
        <w:numPr>
          <w:ilvl w:val="0"/>
          <w:numId w:val="37"/>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40" w:hanging="322"/>
        <w:spacing w:after="0"/>
        <w:tabs>
          <w:tab w:leader="none" w:pos="440" w:val="left"/>
        </w:tabs>
        <w:numPr>
          <w:ilvl w:val="0"/>
          <w:numId w:val="37"/>
        </w:numPr>
        <w:rPr>
          <w:rFonts w:ascii="Arial" w:cs="Arial" w:eastAsia="Arial" w:hAnsi="Arial"/>
          <w:sz w:val="14"/>
          <w:szCs w:val="14"/>
          <w:color w:val="231F20"/>
        </w:rPr>
      </w:pPr>
      <w:r>
        <w:rPr>
          <w:rFonts w:ascii="Arial" w:cs="Arial" w:eastAsia="Arial" w:hAnsi="Arial"/>
          <w:sz w:val="14"/>
          <w:szCs w:val="14"/>
          <w:color w:val="auto"/>
        </w:rPr>
        <w:t>Represents non-cash equity-based compensation expense relating to employees, directors, and consultants of the Company.</w:t>
      </w:r>
    </w:p>
    <w:p>
      <w:pPr>
        <w:spacing w:after="0" w:line="82" w:lineRule="exact"/>
        <w:rPr>
          <w:rFonts w:ascii="Arial" w:cs="Arial" w:eastAsia="Arial" w:hAnsi="Arial"/>
          <w:sz w:val="14"/>
          <w:szCs w:val="14"/>
          <w:color w:val="231F20"/>
        </w:rPr>
      </w:pPr>
    </w:p>
    <w:p>
      <w:pPr>
        <w:ind w:left="440" w:right="79" w:hanging="322"/>
        <w:spacing w:after="0" w:line="263" w:lineRule="auto"/>
        <w:tabs>
          <w:tab w:leader="none" w:pos="440" w:val="left"/>
        </w:tabs>
        <w:numPr>
          <w:ilvl w:val="0"/>
          <w:numId w:val="37"/>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on remeasurement of the Tax Receivable Agreement primarily due to changes in our blended statutory income tax rate. See Note 13 ― Income Taxes to our condensed consolidated financial statements included in Part I, Item 1 of this Form 10-Q.</w:t>
      </w:r>
    </w:p>
    <w:p>
      <w:pPr>
        <w:spacing w:after="0" w:line="24" w:lineRule="exact"/>
        <w:rPr>
          <w:sz w:val="20"/>
          <w:szCs w:val="20"/>
          <w:color w:val="auto"/>
        </w:rPr>
      </w:pPr>
    </w:p>
    <w:p>
      <w:pPr>
        <w:jc w:val="both"/>
        <w:ind w:left="460" w:right="79" w:hanging="329"/>
        <w:spacing w:after="0" w:line="256" w:lineRule="auto"/>
        <w:tabs>
          <w:tab w:leader="none" w:pos="460" w:val="left"/>
        </w:tabs>
        <w:numPr>
          <w:ilvl w:val="0"/>
          <w:numId w:val="38"/>
        </w:numPr>
        <w:rPr>
          <w:rFonts w:ascii="Arial" w:cs="Arial" w:eastAsia="Arial" w:hAnsi="Arial"/>
          <w:sz w:val="14"/>
          <w:szCs w:val="14"/>
          <w:color w:val="231F20"/>
        </w:rPr>
      </w:pPr>
      <w:r>
        <w:rPr>
          <w:rFonts w:ascii="Arial" w:cs="Arial" w:eastAsia="Arial" w:hAnsi="Arial"/>
          <w:sz w:val="14"/>
          <w:szCs w:val="14"/>
          <w:color w:val="auto"/>
        </w:rPr>
        <w:t>Represents restructuring costs relating to Active Sports Restructuring during the three and nine months ended September 30, 2023. These restructuring costs include one-time termination benefits, incremental inventory reserve charges, and other associated costs. These costs exclude lease termination costs, which are presented separately above. See Note 4 – Restructuring and Long-Lived Asset Impairment to our condensed consolidated financial statements included in Part I, Item 1 of this Form 10-Q for additional information.</w:t>
      </w:r>
    </w:p>
    <w:p>
      <w:pPr>
        <w:spacing w:after="0" w:line="29" w:lineRule="exact"/>
        <w:rPr>
          <w:sz w:val="20"/>
          <w:szCs w:val="20"/>
          <w:color w:val="auto"/>
        </w:rPr>
      </w:pPr>
    </w:p>
    <w:p>
      <w:pPr>
        <w:jc w:val="both"/>
        <w:ind w:left="440" w:right="79" w:hanging="322"/>
        <w:spacing w:after="0" w:line="263" w:lineRule="auto"/>
        <w:tabs>
          <w:tab w:leader="none" w:pos="440" w:val="left"/>
        </w:tabs>
        <w:numPr>
          <w:ilvl w:val="0"/>
          <w:numId w:val="39"/>
        </w:numPr>
        <w:rPr>
          <w:rFonts w:ascii="Arial" w:cs="Arial" w:eastAsia="Arial" w:hAnsi="Arial"/>
          <w:sz w:val="14"/>
          <w:szCs w:val="14"/>
          <w:color w:val="231F20"/>
        </w:rPr>
      </w:pPr>
      <w:r>
        <w:rPr>
          <w:rFonts w:ascii="Arial" w:cs="Arial" w:eastAsia="Arial" w:hAnsi="Arial"/>
          <w:sz w:val="14"/>
          <w:szCs w:val="14"/>
          <w:color w:val="auto"/>
        </w:rPr>
        <w:t>Represents losses and gains and impairment on investments in equity securities and interest income relating to any notes receivables with those investments. During the nine months ended September 30, 2023, this amount included a $1.3 million impairment on an equity method investment.</w:t>
      </w: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Adjusted Net Income Attributable to Camping World Holdings, Inc. and Adjusted Earnings Per Share</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“Adjusted Net Income Attributable to Camping World Holdings, Inc. – Basic” as net income (loss) attributable to Camping World Holdings, Inc. adjusted for the impact of certain non-cash and other items that we do not consider in our evaluation of ongoing operating performance. These items include, among other things, long-lived asset impairment, lease termination, gains and losses on sale or disposal of assets, net, equity-based compensation, Tax Receivable Agreement liability adjustment, restructuring costs, loss (gain) and impairment on investments in equity securities, other unusual or one-time items, the income tax (expense) benefit effect of these adjustments, and the effect of net income attributable to non-controlling interests from these adjustments.</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define “Adjusted Net Income Attributable to Camping World Holdings, Inc. – Diluted” as Adjusted Net Income Attributable to Camping World Holdings, Inc. – Basic adjusted for the reallocation of net income (loss) attributable to non-controlling interests from stock options and restricted stock units, if dilutive, or the assumed redemption, if dilutive, of all outstanding common units in CWGS, LLC for shares of newly-issued Class A common stock of Camping World Holdings, Inc.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define “Adjusted Earnings Per Share – Basic” as Adjusted Net Income Attributable to Camping World Holdings, Inc. - Basic divided by the weighted-average shares of Class A common stock outstanding. We define “Adjusted Earnings Per Share – Diluted” as Adjusted Net Income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Income Attributable to Camping World Holdings, Inc. – Basic, Adjusted Net Income Attributable to Camping World Holdings, Inc. – Diluted, Adjusted Earnings Per Share – Basic, and Adjusted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18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following table reconciles Adjusted Net Income Attributable to Camping World Holdings, Inc. – Basic, Adjusted Net Income Attributable to Camping World Holdings, Inc. – Diluted, Adjusted Earnings Per Share – Basic, and Adjusted Earnings Per Share – Diluted to the most directly comparable GAAP financial performance measure: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820" w:type="dxa"/>
            <w:vAlign w:val="bottom"/>
            <w:gridSpan w:val="2"/>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2160" w:type="dxa"/>
            <w:vAlign w:val="bottom"/>
            <w:gridSpan w:val="6"/>
          </w:tcPr>
          <w:p>
            <w:pPr>
              <w:spacing w:after="0"/>
              <w:rPr>
                <w:sz w:val="20"/>
                <w:szCs w:val="20"/>
                <w:color w:val="auto"/>
              </w:rPr>
            </w:pPr>
            <w:r>
              <w:rPr>
                <w:rFonts w:ascii="Arial" w:cs="Arial" w:eastAsia="Arial" w:hAnsi="Arial"/>
                <w:sz w:val="12"/>
                <w:szCs w:val="12"/>
                <w:b w:val="1"/>
                <w:bCs w:val="1"/>
                <w:color w:val="auto"/>
              </w:rPr>
              <w:t>Three Months Ended September 30,</w:t>
            </w:r>
          </w:p>
        </w:tc>
        <w:tc>
          <w:tcPr>
            <w:tcW w:w="1920" w:type="dxa"/>
            <w:vAlign w:val="bottom"/>
            <w:gridSpan w:val="5"/>
          </w:tcPr>
          <w:p>
            <w:pPr>
              <w:jc w:val="right"/>
              <w:spacing w:after="0"/>
              <w:rPr>
                <w:sz w:val="20"/>
                <w:szCs w:val="20"/>
                <w:color w:val="auto"/>
              </w:rPr>
            </w:pPr>
            <w:r>
              <w:rPr>
                <w:rFonts w:ascii="Arial" w:cs="Arial" w:eastAsia="Arial" w:hAnsi="Arial"/>
                <w:sz w:val="12"/>
                <w:szCs w:val="12"/>
                <w:b w:val="1"/>
                <w:bCs w:val="1"/>
                <w:color w:val="auto"/>
                <w:w w:val="96"/>
              </w:rPr>
              <w:t>Nine Months Ended September 30,</w:t>
            </w:r>
          </w:p>
        </w:tc>
        <w:tc>
          <w:tcPr>
            <w:tcW w:w="0" w:type="dxa"/>
            <w:vAlign w:val="bottom"/>
          </w:tcPr>
          <w:p>
            <w:pPr>
              <w:spacing w:after="0"/>
              <w:rPr>
                <w:sz w:val="1"/>
                <w:szCs w:val="1"/>
                <w:color w:val="auto"/>
              </w:rPr>
            </w:pPr>
          </w:p>
        </w:tc>
      </w:tr>
      <w:tr>
        <w:trPr>
          <w:trHeight w:val="128"/>
        </w:trPr>
        <w:tc>
          <w:tcPr>
            <w:tcW w:w="4820" w:type="dxa"/>
            <w:vAlign w:val="bottom"/>
            <w:gridSpan w:val="2"/>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2023</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5"/>
        </w:trPr>
        <w:tc>
          <w:tcPr>
            <w:tcW w:w="46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Net income (loss) attributable to Camping World Holdings, Inc.</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5,501</w:t>
            </w:r>
          </w:p>
        </w:tc>
        <w:tc>
          <w:tcPr>
            <w:tcW w:w="22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15,961</w:t>
            </w:r>
          </w:p>
        </w:tc>
        <w:tc>
          <w:tcPr>
            <w:tcW w:w="160" w:type="dxa"/>
            <w:vAlign w:val="bottom"/>
          </w:tcPr>
          <w:p>
            <w:pPr>
              <w:spacing w:after="0"/>
              <w:rPr>
                <w:sz w:val="14"/>
                <w:szCs w:val="14"/>
                <w:color w:val="auto"/>
              </w:rPr>
            </w:pPr>
          </w:p>
        </w:tc>
        <w:tc>
          <w:tcPr>
            <w:tcW w:w="2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(7,035)</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47,833</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 (a):</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(258)</w:t>
            </w: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(231)</w:t>
            </w: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(1,636)</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 (c):</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(2,625)</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(2,585)</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benefit (expense) for above adjustment (b)</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(Gain) loss on sale or disposal of assets (d):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Income tax benefit (expense) for above adjustment (b)</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(1,261)</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Equity-based compensation (e):</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5,573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5,466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16,167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18,316</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(746)</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(730)</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(2,163)</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Tax Receivable Agreement liability adjustment (f):</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(1,680)</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Income tax benefit for above adjustment (b)</w:t>
            </w:r>
          </w:p>
        </w:tc>
        <w:tc>
          <w:tcPr>
            <w:tcW w:w="2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Restructuring costs (g):</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(205)</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Loss (gain) and impairment on investments in equity securities (h):</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6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Income tax (expense) benefit for above adjustment (b)</w:t>
            </w:r>
          </w:p>
        </w:tc>
        <w:tc>
          <w:tcPr>
            <w:tcW w:w="2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 to net income attributable to non-controlling interests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resulting from the above adjustments (i)</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(4,364)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(16,817)</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(13,907)</w:t>
            </w:r>
          </w:p>
        </w:tc>
        <w:tc>
          <w:tcPr>
            <w:tcW w:w="0" w:type="dxa"/>
            <w:vAlign w:val="bottom"/>
          </w:tcPr>
          <w:p>
            <w:pPr>
              <w:spacing w:after="0"/>
              <w:rPr>
                <w:sz w:val="1"/>
                <w:szCs w:val="1"/>
                <w:color w:val="auto"/>
              </w:rPr>
            </w:pPr>
          </w:p>
        </w:tc>
      </w:tr>
      <w:tr>
        <w:trPr>
          <w:trHeight w:val="133"/>
        </w:trPr>
        <w:tc>
          <w:tcPr>
            <w:tcW w:w="482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Adjusted net income attributable to Camping World Holdings, Inc. –</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18,354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7,186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58,159</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Reallocation of net income attributable to non-controlling interests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from the dilutive redemption of common units in CWGS, LLC (j)</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4,920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19,296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66,593</w:t>
            </w: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Income  tax  on  reallocation  of  net  income  attributable  to  non-</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controlling interests from the dilutive redemption of common units in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CWGS, LLC (k)</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(1,015)</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(4,554)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(413)</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(16,140)</w:t>
            </w:r>
          </w:p>
        </w:tc>
        <w:tc>
          <w:tcPr>
            <w:tcW w:w="0" w:type="dxa"/>
            <w:vAlign w:val="bottom"/>
          </w:tcPr>
          <w:p>
            <w:pPr>
              <w:spacing w:after="0"/>
              <w:rPr>
                <w:sz w:val="1"/>
                <w:szCs w:val="1"/>
                <w:color w:val="auto"/>
              </w:rPr>
            </w:pPr>
          </w:p>
        </w:tc>
      </w:tr>
      <w:tr>
        <w:trPr>
          <w:trHeight w:val="133"/>
        </w:trPr>
        <w:tc>
          <w:tcPr>
            <w:tcW w:w="482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Adjusted net income attributable to Camping World Holdings, Inc. –</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33,096</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108,612</w:t>
            </w:r>
          </w:p>
        </w:tc>
        <w:tc>
          <w:tcPr>
            <w:tcW w:w="0" w:type="dxa"/>
            <w:vAlign w:val="bottom"/>
          </w:tcPr>
          <w:p>
            <w:pPr>
              <w:spacing w:after="0"/>
              <w:rPr>
                <w:sz w:val="1"/>
                <w:szCs w:val="1"/>
                <w:color w:val="auto"/>
              </w:rPr>
            </w:pPr>
          </w:p>
        </w:tc>
      </w:tr>
      <w:tr>
        <w:trPr>
          <w:trHeight w:val="156"/>
        </w:trPr>
        <w:tc>
          <w:tcPr>
            <w:tcW w:w="48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Denominator:</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45,232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44,666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45,124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44,538</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Dilutive redemption of common units in CWGS, LLC for shares of</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Class A common stock (l)</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40,045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40,045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40,045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40,045</w:t>
            </w: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options to purchase Class A common stock (l)</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4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Dilutive restricted stock units (l)</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33"/>
        </w:trPr>
        <w:tc>
          <w:tcPr>
            <w:tcW w:w="482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Adjusted weighted average Class A common shares outstanding –</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85,618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85,180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85,431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820" w:type="dxa"/>
            <w:vAlign w:val="bottom"/>
            <w:gridSpan w:val="2"/>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2160" w:type="dxa"/>
            <w:vAlign w:val="bottom"/>
            <w:gridSpan w:val="6"/>
          </w:tcPr>
          <w:p>
            <w:pPr>
              <w:spacing w:after="0"/>
              <w:rPr>
                <w:sz w:val="20"/>
                <w:szCs w:val="20"/>
                <w:color w:val="auto"/>
              </w:rPr>
            </w:pPr>
            <w:r>
              <w:rPr>
                <w:rFonts w:ascii="Arial" w:cs="Arial" w:eastAsia="Arial" w:hAnsi="Arial"/>
                <w:sz w:val="12"/>
                <w:szCs w:val="12"/>
                <w:b w:val="1"/>
                <w:bCs w:val="1"/>
                <w:color w:val="auto"/>
              </w:rPr>
              <w:t>Three Months Ended September 30,</w:t>
            </w:r>
          </w:p>
        </w:tc>
        <w:tc>
          <w:tcPr>
            <w:tcW w:w="1920" w:type="dxa"/>
            <w:vAlign w:val="bottom"/>
            <w:gridSpan w:val="5"/>
          </w:tcPr>
          <w:p>
            <w:pPr>
              <w:spacing w:after="0"/>
              <w:rPr>
                <w:sz w:val="20"/>
                <w:szCs w:val="20"/>
                <w:color w:val="auto"/>
              </w:rPr>
            </w:pPr>
            <w:r>
              <w:rPr>
                <w:rFonts w:ascii="Arial" w:cs="Arial" w:eastAsia="Arial" w:hAnsi="Arial"/>
                <w:sz w:val="12"/>
                <w:szCs w:val="12"/>
                <w:b w:val="1"/>
                <w:bCs w:val="1"/>
                <w:color w:val="auto"/>
                <w:w w:val="96"/>
              </w:rPr>
              <w:t>Nine Months Ended September 30,</w:t>
            </w:r>
          </w:p>
        </w:tc>
        <w:tc>
          <w:tcPr>
            <w:tcW w:w="0" w:type="dxa"/>
            <w:vAlign w:val="bottom"/>
          </w:tcPr>
          <w:p>
            <w:pPr>
              <w:spacing w:after="0"/>
              <w:rPr>
                <w:sz w:val="1"/>
                <w:szCs w:val="1"/>
                <w:color w:val="auto"/>
              </w:rPr>
            </w:pPr>
          </w:p>
        </w:tc>
      </w:tr>
      <w:tr>
        <w:trPr>
          <w:trHeight w:val="129"/>
        </w:trPr>
        <w:tc>
          <w:tcPr>
            <w:tcW w:w="4820" w:type="dxa"/>
            <w:vAlign w:val="bottom"/>
            <w:gridSpan w:val="2"/>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2023</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5"/>
        </w:trPr>
        <w:tc>
          <w:tcPr>
            <w:tcW w:w="46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Adjusted earnings per share - basic</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0.17</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0.41</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4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0.16</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Adjusted earnings per share - diluted</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0.13</w:t>
            </w:r>
          </w:p>
        </w:tc>
        <w:tc>
          <w:tcPr>
            <w:tcW w:w="22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0.39</w:t>
            </w:r>
          </w:p>
        </w:tc>
        <w:tc>
          <w:tcPr>
            <w:tcW w:w="16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0.13</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per share amounts: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Earnings (loss) per share of Class A common stock — basic</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2"/>
        </w:trPr>
        <w:tc>
          <w:tcPr>
            <w:tcW w:w="4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Non-GAAP Adjustments (m)</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56"/>
        </w:trPr>
        <w:tc>
          <w:tcPr>
            <w:tcW w:w="4820" w:type="dxa"/>
            <w:vAlign w:val="bottom"/>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earnings per share - basic</w:t>
            </w:r>
          </w:p>
        </w:tc>
        <w:tc>
          <w:tcPr>
            <w:tcW w:w="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0.41</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0.16</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Earnings (loss) per share of Class A common stock — diluted</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Non-GAAP Adjustments (m)</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53"/>
        </w:trPr>
        <w:tc>
          <w:tcPr>
            <w:tcW w:w="482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Dilutive redemption of common units in CWGS, LLC for shares of</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A common stock (n)</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4"/>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Adjusted earnings per share - diluted</w:t>
            </w:r>
          </w:p>
        </w:tc>
        <w:tc>
          <w:tcPr>
            <w:tcW w:w="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2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0.39</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2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60" w:right="379" w:hanging="329"/>
        <w:spacing w:after="0" w:line="263"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4 – Restructuring and Long-Lived Asset Impairment to our condensed consolidated financial statements included in Part I, Item 1 of this Form 10-Q for additional information.</w:t>
      </w:r>
    </w:p>
    <w:p>
      <w:pPr>
        <w:spacing w:after="0" w:line="37"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current and deferred income tax expense or benefit effect of the above adjustments. This assumption uses blended statutory tax rates of 25.0% and 25.1% for the adjustments for the 2024 and 2023 periods, which represent the estimated tax rates that would apply had the above adjustments been included in the determination of our non-GAAP metric.</w:t>
      </w:r>
    </w:p>
    <w:p>
      <w:pPr>
        <w:spacing w:after="0" w:line="24"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gains and losses on termination of operating leases resulting from lease termination fees and the derecognition of the operating lease assets and liabilities. See Note 4 – Restructuring and Long-Lived Asset Impairment to our condensed consolidated financial statements included in Part I, Item 1 of this Form 10-Q for additional information.</w:t>
      </w:r>
    </w:p>
    <w:p>
      <w:pPr>
        <w:spacing w:after="0" w:line="24" w:lineRule="exact"/>
        <w:rPr>
          <w:rFonts w:ascii="Arial" w:cs="Arial" w:eastAsia="Arial" w:hAnsi="Arial"/>
          <w:sz w:val="14"/>
          <w:szCs w:val="14"/>
          <w:color w:val="231F20"/>
        </w:rPr>
      </w:pPr>
    </w:p>
    <w:p>
      <w:pPr>
        <w:ind w:left="460" w:hanging="329"/>
        <w:spacing w:after="0"/>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82" w:lineRule="exact"/>
        <w:rPr>
          <w:rFonts w:ascii="Arial" w:cs="Arial" w:eastAsia="Arial" w:hAnsi="Arial"/>
          <w:sz w:val="14"/>
          <w:szCs w:val="14"/>
          <w:color w:val="231F20"/>
        </w:rPr>
      </w:pPr>
    </w:p>
    <w:p>
      <w:pPr>
        <w:ind w:left="460" w:hanging="329"/>
        <w:spacing w:after="0"/>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non-cash equity-based compensation expense relating to employees, directors, and consultants of the Company.</w:t>
      </w:r>
    </w:p>
    <w:p>
      <w:pPr>
        <w:spacing w:after="0" w:line="68" w:lineRule="exact"/>
        <w:rPr>
          <w:rFonts w:ascii="Arial" w:cs="Arial" w:eastAsia="Arial" w:hAnsi="Arial"/>
          <w:sz w:val="14"/>
          <w:szCs w:val="14"/>
          <w:color w:val="231F20"/>
        </w:rPr>
      </w:pPr>
    </w:p>
    <w:p>
      <w:pPr>
        <w:ind w:left="460" w:right="179" w:hanging="329"/>
        <w:spacing w:after="0" w:line="263"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on remeasurement of the Tax Receivable Agreement primarily due to changes in our blended statutory income tax rate. See Note 13 ― Income Taxes to our condensed consolidated financial statements included in Part I, Item 1 of this Form 10-Q.</w:t>
      </w:r>
    </w:p>
    <w:p>
      <w:pPr>
        <w:spacing w:after="0" w:line="24" w:lineRule="exact"/>
        <w:rPr>
          <w:rFonts w:ascii="Arial" w:cs="Arial" w:eastAsia="Arial" w:hAnsi="Arial"/>
          <w:sz w:val="14"/>
          <w:szCs w:val="14"/>
          <w:color w:val="231F20"/>
        </w:rPr>
      </w:pPr>
    </w:p>
    <w:p>
      <w:pPr>
        <w:jc w:val="both"/>
        <w:ind w:left="460" w:right="79" w:hanging="329"/>
        <w:spacing w:after="0" w:line="256"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restructuring costs relating to Active Sports Restructuring during the three and nine months ended September 30, 2023. These restructuring costs include one-time termination benefits, incremental inventory reserve charges, and other associated costs. These costs exclude lease termination costs, which are presented separately above. See Note 4 – Restructuring and Long-Lived Asset Impairment to our condensed consolidated financial statements included in Part I, Item 1 of this Form 10-Q for additional information.</w:t>
      </w:r>
    </w:p>
    <w:p>
      <w:pPr>
        <w:spacing w:after="0" w:line="42"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losses and gains and impairment on investments in equity securities and interest income relating to any notes receivables with those investments. During the nine months ended September 30, 2023, this amount included a $1.3 million impairment on an equity method investment.</w:t>
      </w:r>
    </w:p>
    <w:p>
      <w:pPr>
        <w:spacing w:after="0" w:line="24" w:lineRule="exact"/>
        <w:rPr>
          <w:rFonts w:ascii="Arial" w:cs="Arial" w:eastAsia="Arial" w:hAnsi="Arial"/>
          <w:sz w:val="14"/>
          <w:szCs w:val="14"/>
          <w:color w:val="231F20"/>
        </w:rPr>
      </w:pPr>
    </w:p>
    <w:p>
      <w:pPr>
        <w:jc w:val="both"/>
        <w:ind w:left="460" w:right="79" w:hanging="329"/>
        <w:spacing w:after="0" w:line="256"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adjustment to net income attributable to non-controlling interests resulting from the above adjustments that impact the net income (loss) of CWGS, LLC. This adjustment uses the non-controlling interest’s weighted average ownership of CWGS, LLC of 46.8% and 47.3% for the three months ended September 30, 2024 and 2023, respectively, and 46.9% and 47.3% for the nine months ended September 30, 2024 and 2023, respectively.</w:t>
      </w:r>
    </w:p>
    <w:p>
      <w:pPr>
        <w:spacing w:after="0" w:line="28"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reallocation of net income attributable to non-controlling interests from the impact of the assumed change in ownership of CWGS, LLC from stock options, restricted stock units, and/or common units of CWGS, LLC.</w:t>
      </w:r>
    </w:p>
    <w:p>
      <w:pPr>
        <w:spacing w:after="0" w:line="2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income tax expense effect of the above adjustment for reallocation of net income attributable to non-controlling interests. This assumption uses blended statutory tax rates of 25.0% and 25.1% for the adjustments for the 2024 and 2023 periods.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impact to the denominator for stock options, restricted stock units, and/or common units of CWGS, LLC.</w:t>
      </w:r>
    </w:p>
    <w:p>
      <w:pPr>
        <w:spacing w:after="0" w:line="68" w:lineRule="exact"/>
        <w:rPr>
          <w:rFonts w:ascii="Arial" w:cs="Arial" w:eastAsia="Arial" w:hAnsi="Arial"/>
          <w:sz w:val="14"/>
          <w:szCs w:val="14"/>
          <w:color w:val="231F20"/>
        </w:rPr>
      </w:pPr>
    </w:p>
    <w:p>
      <w:pPr>
        <w:ind w:left="460" w:hanging="329"/>
        <w:spacing w:after="0"/>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per share impact of the Non-GAAP adjustments to net income (loss) detailed above (see (a) through (i) above).</w:t>
      </w:r>
    </w:p>
    <w:p>
      <w:pPr>
        <w:spacing w:after="0" w:line="82" w:lineRule="exact"/>
        <w:rPr>
          <w:rFonts w:ascii="Arial" w:cs="Arial" w:eastAsia="Arial" w:hAnsi="Arial"/>
          <w:sz w:val="14"/>
          <w:szCs w:val="14"/>
          <w:color w:val="231F20"/>
        </w:rPr>
      </w:pPr>
    </w:p>
    <w:p>
      <w:pPr>
        <w:ind w:left="460" w:right="279" w:hanging="329"/>
        <w:spacing w:after="0" w:line="285" w:lineRule="auto"/>
        <w:tabs>
          <w:tab w:leader="none" w:pos="460" w:val="left"/>
        </w:tabs>
        <w:numPr>
          <w:ilvl w:val="0"/>
          <w:numId w:val="40"/>
        </w:numPr>
        <w:rPr>
          <w:rFonts w:ascii="Arial" w:cs="Arial" w:eastAsia="Arial" w:hAnsi="Arial"/>
          <w:sz w:val="14"/>
          <w:szCs w:val="14"/>
          <w:color w:val="231F20"/>
        </w:rPr>
      </w:pPr>
      <w:r>
        <w:rPr>
          <w:rFonts w:ascii="Arial" w:cs="Arial" w:eastAsia="Arial" w:hAnsi="Arial"/>
          <w:sz w:val="14"/>
          <w:szCs w:val="14"/>
          <w:color w:val="auto"/>
        </w:rPr>
        <w:t>Represents the per share impact of stock options, restricted stock units, and/or common units of CWGS, LLC from the difference in their dilutive impact between the GAAP and Non-GAAP earnings per share calculations.</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SG&amp;A Excluding Equity-based Compensation</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“SG&amp;A Excluding Equity-based Compensation” as SG&amp;A before Equity-based Compensation relating to SG&amp;A. We caution investors that amounts presented in accordance with our definition of SG&amp;A Excluding Equity-based Compensation may not be comparable to similar measures disclosed by our competitors, because not all companies and analysts calculate SG&amp;A Excluding Equity-based Compensation in the same manner. We present SG&amp;A Excluding Equity-based Compensation because we believe that investors’ understanding of our performance and drivers of our other Non-GAAP Financial Measures, such as Adjusted EBITDA, is enhanced by including this Non-GAAP Financial Measure as a reasonable basis for comparing our ongoing results of operations.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reconciles SG&amp;A Excluding Equity-based Compensation to the most directly comparable GAAP financial performance measure: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340" w:type="dxa"/>
            <w:vAlign w:val="bottom"/>
            <w:gridSpan w:val="2"/>
            <w:vMerge w:val="restart"/>
          </w:tcPr>
          <w:p>
            <w:pPr>
              <w:ind w:left="20"/>
              <w:spacing w:after="0"/>
              <w:rPr>
                <w:sz w:val="20"/>
                <w:szCs w:val="20"/>
                <w:color w:val="auto"/>
              </w:rPr>
            </w:pPr>
            <w:r>
              <w:rPr>
                <w:rFonts w:ascii="Arial" w:cs="Arial" w:eastAsia="Arial" w:hAnsi="Arial"/>
                <w:sz w:val="11"/>
                <w:szCs w:val="11"/>
                <w:color w:val="auto"/>
              </w:rPr>
              <w:t>($ in thousands)</w:t>
            </w:r>
          </w:p>
        </w:tc>
        <w:tc>
          <w:tcPr>
            <w:tcW w:w="80" w:type="dxa"/>
            <w:vAlign w:val="bottom"/>
          </w:tcPr>
          <w:p>
            <w:pPr>
              <w:spacing w:after="0"/>
              <w:rPr>
                <w:sz w:val="12"/>
                <w:szCs w:val="12"/>
                <w:color w:val="auto"/>
              </w:rPr>
            </w:pPr>
          </w:p>
        </w:tc>
        <w:tc>
          <w:tcPr>
            <w:tcW w:w="228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w w:val="97"/>
              </w:rPr>
              <w:t>Three Months Ended September 30,</w:t>
            </w:r>
          </w:p>
        </w:tc>
        <w:tc>
          <w:tcPr>
            <w:tcW w:w="140" w:type="dxa"/>
            <w:vAlign w:val="bottom"/>
          </w:tcPr>
          <w:p>
            <w:pPr>
              <w:spacing w:after="0"/>
              <w:rPr>
                <w:sz w:val="12"/>
                <w:szCs w:val="12"/>
                <w:color w:val="auto"/>
              </w:rPr>
            </w:pPr>
          </w:p>
        </w:tc>
        <w:tc>
          <w:tcPr>
            <w:tcW w:w="2060" w:type="dxa"/>
            <w:vAlign w:val="bottom"/>
            <w:gridSpan w:val="4"/>
          </w:tcPr>
          <w:p>
            <w:pPr>
              <w:jc w:val="right"/>
              <w:ind w:right="71"/>
              <w:spacing w:after="0"/>
              <w:rPr>
                <w:sz w:val="20"/>
                <w:szCs w:val="20"/>
                <w:color w:val="auto"/>
              </w:rPr>
            </w:pPr>
            <w:r>
              <w:rPr>
                <w:rFonts w:ascii="Arial" w:cs="Arial" w:eastAsia="Arial" w:hAnsi="Arial"/>
                <w:sz w:val="12"/>
                <w:szCs w:val="12"/>
                <w:b w:val="1"/>
                <w:bCs w:val="1"/>
                <w:color w:val="auto"/>
                <w:w w:val="96"/>
              </w:rPr>
              <w:t>Nine Months Ended September 30,</w:t>
            </w:r>
          </w:p>
        </w:tc>
        <w:tc>
          <w:tcPr>
            <w:tcW w:w="0" w:type="dxa"/>
            <w:vAlign w:val="bottom"/>
          </w:tcPr>
          <w:p>
            <w:pPr>
              <w:spacing w:after="0"/>
              <w:rPr>
                <w:sz w:val="1"/>
                <w:szCs w:val="1"/>
                <w:color w:val="auto"/>
              </w:rPr>
            </w:pPr>
          </w:p>
        </w:tc>
      </w:tr>
      <w:tr>
        <w:trPr>
          <w:trHeight w:val="128"/>
        </w:trPr>
        <w:tc>
          <w:tcPr>
            <w:tcW w:w="43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73"/>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71"/>
              <w:spacing w:after="0" w:line="129" w:lineRule="exact"/>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13"/>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91"/>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5"/>
        </w:trPr>
        <w:tc>
          <w:tcPr>
            <w:tcW w:w="4120" w:type="dxa"/>
            <w:vAlign w:val="bottom"/>
            <w:tcBorders>
              <w:top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SG&amp;A Excluding Equity-based Compensation:</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40" w:type="dxa"/>
            <w:vAlign w:val="bottom"/>
            <w:gridSpan w:val="2"/>
          </w:tcPr>
          <w:p>
            <w:pPr>
              <w:ind w:left="220"/>
              <w:spacing w:after="0"/>
              <w:rPr>
                <w:sz w:val="20"/>
                <w:szCs w:val="20"/>
                <w:color w:val="auto"/>
              </w:rPr>
            </w:pPr>
            <w:r>
              <w:rPr>
                <w:rFonts w:ascii="Arial" w:cs="Arial" w:eastAsia="Arial" w:hAnsi="Arial"/>
                <w:sz w:val="14"/>
                <w:szCs w:val="14"/>
                <w:color w:val="auto"/>
              </w:rPr>
              <w:t>SG&amp;A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414,209</w:t>
            </w:r>
          </w:p>
        </w:tc>
        <w:tc>
          <w:tcPr>
            <w:tcW w:w="22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415,288</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1,205,358</w:t>
            </w:r>
          </w:p>
        </w:tc>
        <w:tc>
          <w:tcPr>
            <w:tcW w:w="200" w:type="dxa"/>
            <w:vAlign w:val="bottom"/>
          </w:tcPr>
          <w:p>
            <w:pPr>
              <w:spacing w:after="0"/>
              <w:rPr>
                <w:sz w:val="14"/>
                <w:szCs w:val="14"/>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1,201,901</w:t>
            </w:r>
          </w:p>
        </w:tc>
        <w:tc>
          <w:tcPr>
            <w:tcW w:w="0" w:type="dxa"/>
            <w:vAlign w:val="bottom"/>
          </w:tcPr>
          <w:p>
            <w:pPr>
              <w:spacing w:after="0"/>
              <w:rPr>
                <w:sz w:val="1"/>
                <w:szCs w:val="1"/>
                <w:color w:val="auto"/>
              </w:rPr>
            </w:pPr>
          </w:p>
        </w:tc>
      </w:tr>
      <w:tr>
        <w:trPr>
          <w:trHeight w:val="162"/>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Equity-based Compensation - SG&amp;A</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(5,324)</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(15,891)</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(17,820)</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gridSpan w:val="2"/>
          </w:tcPr>
          <w:p>
            <w:pPr>
              <w:ind w:left="440"/>
              <w:spacing w:after="0" w:line="155" w:lineRule="exact"/>
              <w:rPr>
                <w:sz w:val="20"/>
                <w:szCs w:val="20"/>
                <w:color w:val="auto"/>
              </w:rPr>
            </w:pPr>
            <w:r>
              <w:rPr>
                <w:rFonts w:ascii="Arial" w:cs="Arial" w:eastAsia="Arial" w:hAnsi="Arial"/>
                <w:sz w:val="14"/>
                <w:szCs w:val="14"/>
                <w:color w:val="auto"/>
              </w:rPr>
              <w:t>SG&amp;A Excluding Equity-based Compensation</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408,731</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409,964</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1,189,467</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1,184,081</w:t>
            </w:r>
          </w:p>
        </w:tc>
        <w:tc>
          <w:tcPr>
            <w:tcW w:w="0" w:type="dxa"/>
            <w:vAlign w:val="bottom"/>
          </w:tcPr>
          <w:p>
            <w:pPr>
              <w:spacing w:after="0"/>
              <w:rPr>
                <w:sz w:val="1"/>
                <w:szCs w:val="1"/>
                <w:color w:val="auto"/>
              </w:rPr>
            </w:pPr>
          </w:p>
        </w:tc>
      </w:tr>
      <w:tr>
        <w:trPr>
          <w:trHeight w:val="143"/>
        </w:trPr>
        <w:tc>
          <w:tcPr>
            <w:tcW w:w="434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As a percentage of gross profit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82.0%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78.4%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82.1%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any exercise of the redemption right by the Continuing Equity Owners from time to time (should we elect to redeem common units for a cash payment), our stock repurchase program as described below, payments under the Tax Receivable Agreement, and state and federal taxes to the extent not reduced as a result of the Tax Receivable Agreement.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will be significant.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13 — Income Taxes to our condensed consolidated financial statements included in Part I, Item 1 of this Form 10-Q.</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5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During the three months ended September 30, 2024, we did not repurchase Class A common stock under our stock repurchase program, which expires on December 31, 2025. As of September 30, 2024, $120.2 million was available under the stock repurchase program to repurchase additional shares of our Class A common stock.</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announced on August 1, 2023, that the Board of Directors approved a decrease of the quarterly cash dividend to $0.125 per share of Class A common stock from $0.625 per share, beginning with the quarterly cash dividend to be paid in September 2023. For the quarter ended September 30, 2024, we paid our quarterly cash dividend of $ 0.125 per share of Class A common stock for an aggregate $5.7 million. This dividend was funded entirely from the Excess Tax Distribution (as defined under “Dividend Policy” included in Part II, Item 5</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of our Annual Report), with no portion funded by common unit cash distributions from CWGS, LLC. We believe that this decrease in the quarterly cash dividend will help us continue to execute our expansion plans through accretive RV dealership acquisitions.</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Our dividend policy has certain risks and limitations particularly with respect to liquidity, and we may not pay future dividends according to our policy, or at all.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nine months ended September 30, 2024, the RV and Outdoor Retail segment purchased real property for an aggregate purchase price of $1.2 million.</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Over the next twelve months, our expansion of dealerships through construction and acquisition is expected to cost between $ 75.0 million and $ 115.0 million from a combination of business acquisitions and capital expenditures relating to land, buildings, and improvements.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We are in the early stages of evaluating additional dealership acquisition opportunities and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 as discussed above.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Strategic Shift and Active Sports Restructuring</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See “Restructuring” above for a summary of the ongoing cash requirements related to our restructuring activities.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Supplier Agreement</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connection with the divestiture of its RV furniture business (“CWDS”), we entered into a supplier agreement (“Supplier Agreement”) with the buyer that requires us to purchase an aggregate $250.0 million of product over the approximately 10-year term of the Supplier Agreement. See Note 5 — Assets Held for Sale and Business Divestiture to our condensed consolidated financial statements included in Part I, Item 1 of this Form 10-Q for a discussion of the divestiture of CWDS.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3 – Inventories and Floor Plan Payables to our condensed consolidated financial statements included in Part I, Item 1 of this Form 10-Q). See “Summary of Credit Facilities, Other Long-Term Debt, and Finance Lease Arrangements” for a summary of the cash requirements related to our indebtedness.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Cash requirements relating to the Tax Receivable Agreement liability, operating and finance lease obligations, and service and marketing sponsorship agreements have not materially changed since our Annual Report.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believe that our sources of liquidity and capital including cash provided by operating activities and borrowings under our various credit facilities, other long-term debt, and finance lease arrangements (see Liquidity and Capital Resources — Summary of Credit Facilities, Other Long-Term Debt, and Finance Lease Arrangements in Part I, Item 2 of this Form 10-Q),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and additional expenses we expect to incur for at least the next twelve months. However, we cannot assure you that our cash provided by operating activities, cash and cash equivalents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As of September 30, 2024, December 31, 2023, and September 30, 2023, we had working capital of $397.2 million, $401.3 million, and $523.7 million, respectively, including $28.4 million, $39.6 million, and $53.3 million, respectively, of cash and cash equivalents. Our working capital reflects the cash provided by deferred revenue and gains reported under current liabilities of $100.9 million, $92.4 million, and $ 99.8 million as of September 30, 2024, December 31, 2023, and September 30, 2023, respectively. Deferred revenue primarily consists of cash collected for club memberships and roadside assistance contracts in advance of services to be provided, which is deferred and recognized as revenue over the life of the membership, and deferred revenue for the annual guide.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 FLAIR offset account at September 30, 2024 was $151.5 million, $128.3 million of which could have been withdrawn while remaining in compliance with the financial covenants of the Floor Plan Facility.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42"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w:t>
      </w:r>
    </w:p>
    <w:p>
      <w:pPr>
        <w:jc w:val="both"/>
        <w:ind w:left="60" w:right="79"/>
        <w:spacing w:after="0" w:line="237" w:lineRule="auto"/>
        <w:rPr>
          <w:sz w:val="20"/>
          <w:szCs w:val="20"/>
          <w:color w:val="auto"/>
        </w:rPr>
      </w:pPr>
      <w:r>
        <w:rPr>
          <w:rFonts w:ascii="Arial" w:cs="Arial" w:eastAsia="Arial" w:hAnsi="Arial"/>
          <w:sz w:val="18"/>
          <w:szCs w:val="18"/>
          <w:color w:val="auto"/>
        </w:rPr>
        <w:t>Policies — Seasonality to our condensed consolidated financial statements included in Part I, Item 1 of this Form 10-Q).</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shows summary cash flow information for the nine months ended September 30, 2024 and 2023:</w:t>
      </w:r>
    </w:p>
    <w:p>
      <w:pPr>
        <w:spacing w:after="0" w:line="123"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500" w:type="dxa"/>
        <w:tblCellMar>
          <w:top w:w="0" w:type="dxa"/>
          <w:left w:w="0" w:type="dxa"/>
          <w:bottom w:w="0" w:type="dxa"/>
          <w:right w:w="0" w:type="dxa"/>
        </w:tblCellMar>
      </w:tblPr>
      <w:tr>
        <w:trPr>
          <w:trHeight w:val="155"/>
        </w:trPr>
        <w:tc>
          <w:tcPr>
            <w:tcW w:w="54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408,541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543,273</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(57,096)</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(277,535)</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(362,712)</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(342,551)</w:t>
            </w: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(11,267)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(76,813)</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and services and Good Sam services and plans. Contracts in transit represent amounts due from third -party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provided by operating activities was $408.5 million in the nine months ended September 30, 2024, a decrease of $134.7 million from $543.3 million of net cash provided by operating activities in the nine months ended September 30, 2023. The decrease was primarily due to a $119.9 million reduction in net income, a $69.1 million decrease in the working capital adjustment for inventory, a $34.4 million decrease in working capital adjustment for prepaid expenses and other assets, a $7.6 million decrease in deferred income taxes, a $3.5 million decrease in working capital adjustment for operating lease liabilities, a $3.1 million decrease in non-cash lease expense, a $3.0 million increase in gain on lease termination expense, and a $2.1 million decrease in equity-based compensation, partially offset by a $41.0 million increase in working capital adjustment for accounts payable and other accrued expenses, a $34.1 million increase in the working capital adjustment for receivables and contracts in transit, a $14.5 million increase in loss on sale or disposal of assets, a $10.4 million increase in depreciation and amortization, a $5.3 million increase in the working capital adjustment for deferred revenue, and a $3.1 million increase in long-lived asset impairment.</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and finance lease arrangements, as applicable (see Liquidity and Capital Resources — Summary of Credit Facilities, Other Long-Term Debt, and Finance Lease Arrangements in Part I, Item 2 of this Form 10-Q).</w:t>
      </w:r>
    </w:p>
    <w:p>
      <w:pPr>
        <w:spacing w:after="0" w:line="17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table below summarizes our capital expenditures for the nine months ended September 30, 2024 and 2023:</w:t>
      </w:r>
    </w:p>
    <w:p>
      <w:pPr>
        <w:spacing w:after="0" w:line="119"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jc w:val="right"/>
              <w:ind w:right="215"/>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4500" w:type="dxa"/>
            <w:vAlign w:val="bottom"/>
            <w:gridSpan w:val="2"/>
            <w:vMerge w:val="restart"/>
          </w:tcPr>
          <w:p>
            <w:pPr>
              <w:spacing w:after="0"/>
              <w:rPr>
                <w:sz w:val="20"/>
                <w:szCs w:val="20"/>
                <w:color w:val="auto"/>
              </w:rPr>
            </w:pPr>
            <w:r>
              <w:rPr>
                <w:rFonts w:ascii="Arial" w:cs="Arial" w:eastAsia="Arial" w:hAnsi="Arial"/>
                <w:sz w:val="11"/>
                <w:szCs w:val="11"/>
                <w:color w:val="auto"/>
              </w:rPr>
              <w:t>(In thousands)</w:t>
            </w:r>
          </w:p>
        </w:tc>
        <w:tc>
          <w:tcPr>
            <w:tcW w:w="920" w:type="dxa"/>
            <w:vAlign w:val="bottom"/>
          </w:tcPr>
          <w:p>
            <w:pPr>
              <w:spacing w:after="0"/>
              <w:rPr>
                <w:sz w:val="12"/>
                <w:szCs w:val="12"/>
                <w:color w:val="auto"/>
              </w:rPr>
            </w:pPr>
          </w:p>
        </w:tc>
        <w:tc>
          <w:tcPr>
            <w:tcW w:w="17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8"/>
        </w:trPr>
        <w:tc>
          <w:tcPr>
            <w:tcW w:w="45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jc w:val="right"/>
              <w:ind w:right="194"/>
              <w:spacing w:after="0" w:line="129" w:lineRule="exact"/>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IT hardware and software</w:t>
            </w:r>
          </w:p>
        </w:tc>
        <w:tc>
          <w:tcPr>
            <w:tcW w:w="1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$ 15,070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Greenfield and acquired dealership locations</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22,172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store locations</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8,309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capital expenditures</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$ 68,194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through September 30, 2025 are discussed above. As of September 30, 2024, we had entered into contracts for construction of new dealership buildings for an aggregate future commitment of capital expenditures of $16.3 million. There were no other material commitments for capital expenditures as of September 30, 2024.</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cash used in investing activities was $57.1 million for the nine months ended September 30, 2024. The $57.1 million of cash used in investing activities was comprised of $68.2 million of capital expenditures primarily related to retail locations, $62.3 million for the acquisition of RV dealerships and a tire delivery service business, net of cash acquired, $1.2 million for the purchase of real property, and $0.1 million for the purchase of intangible assets, partially offset by $48.4 million of proceeds from the sale of real property, $20.0 million in proceeds from the divestiture of a business, $3.8 million of proceeds from the sale of property and equipment, and $2.6 million of proceeds from the sale of intangible assets.</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was $277.5 million for the nine months ended September 30, 2023. The $277.5 million of cash used in investing activities was comprised of $150.5 million for the acquisition of RV dealerships, net of cash acquired, $95.6 million of capital expenditures primarily related to retail locations, $64.3</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million for the purchases of real property, $3.4 million for the purchase of and loans to other investments, and $2.0 million for the purchase of intangible assets, partially offset by proceeds from the sale of real property of $35.6 million and proceeds of $2.7 million from the sale of property and equipment. See Note 12 – Acquisitions to our condensed consolidated financial statements included in Part 1, Item 1 of this Form 10-Q.</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issuance of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principal, cash dividends to holders of Class A common stock, and cash distributions to holders of CWGS, LLC common units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net cash used in financing activities was $362.7 million for the nine months ended September 30, 2024. The $362.7 million of cash used in financing activities was primarily due to $317.5 million of net payments on borrowings under the Floor Plan Facility, $66.8 million of payments on long-term debt, $32.0 million of payments on the revolving line of credit, $18.8 million of member distributions, $ 16.9 million of dividends paid on Class A common stock, $5.7 million for finance lease payments, $3.1 million of withholding taxes paid upon the vesting of restricted stock units, and $0.9 million of payment of debt issuance costs, partially offset by $55.6 million of proceeds from long-term debt, $43.0 million from borrowings on revolving line of credit, and $0.5 million of proceeds from exercise of stock options.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net cash used in financing activities was $342.6 million for the nine months ended September 30, 2023. The $342.6 million of cash used in financing activities was primarily due to $273.5 million of net payments on borrowings under the Floor Plan Facility, $61.2 million of dividends paid on Class A common stock, $26.6 million of payments on long-term debt, $31.6 million of member distributions, $4.2 million for finance lease payments, $4.1 million of withholding taxes paid upon the vesting of restricted stock units, and $0.9 million for debt issuance costs payments, partially offset by $59.2 million of proceeds from long-term debt and by $0.3 million of proceeds from exercise of stock options.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September 30, 2024,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w:t>
      </w:r>
    </w:p>
    <w:p>
      <w:pPr>
        <w:spacing w:after="0" w:line="6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3 – Inventories and Floor Plan Payables, Note 7 – Long-Term Debt, and Note 8 – Leases to our condensed consolidated financial statements included in Part I, Item 1 of this Form 10-Q) at September 30, 2024:</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41"/>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r>
      <w:tr>
        <w:trPr>
          <w:trHeight w:val="171"/>
        </w:trPr>
        <w:tc>
          <w:tcPr>
            <w:tcW w:w="55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Portion</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Available</w:t>
            </w:r>
          </w:p>
        </w:tc>
        <w:tc>
          <w:tcPr>
            <w:tcW w:w="180" w:type="dxa"/>
            <w:vAlign w:val="bottom"/>
            <w:tcBorders>
              <w:bottom w:val="single" w:sz="8" w:color="CCEEFF"/>
            </w:tcBorders>
          </w:tcPr>
          <w:p>
            <w:pPr>
              <w:spacing w:after="0"/>
              <w:rPr>
                <w:sz w:val="14"/>
                <w:szCs w:val="14"/>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Floor Plan Facility:</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9"/>
        </w:trPr>
        <w:tc>
          <w:tcPr>
            <w:tcW w:w="5500" w:type="dxa"/>
            <w:vAlign w:val="bottom"/>
          </w:tcPr>
          <w:p>
            <w:pPr>
              <w:ind w:left="100"/>
              <w:spacing w:after="0"/>
              <w:rPr>
                <w:sz w:val="20"/>
                <w:szCs w:val="20"/>
                <w:color w:val="auto"/>
              </w:rPr>
            </w:pPr>
            <w:r>
              <w:rPr>
                <w:rFonts w:ascii="Arial" w:cs="Arial" w:eastAsia="Arial" w:hAnsi="Arial"/>
                <w:sz w:val="16"/>
                <w:szCs w:val="16"/>
                <w:color w:val="auto"/>
              </w:rPr>
              <w:t>Notes payable - floor plan</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1,030,187</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1,030,187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 xml:space="preserve">572,827 </w:t>
            </w:r>
            <w:r>
              <w:rPr>
                <w:rFonts w:ascii="Arial" w:cs="Arial" w:eastAsia="Arial" w:hAnsi="Arial"/>
                <w:sz w:val="21"/>
                <w:szCs w:val="21"/>
                <w:color w:val="auto"/>
                <w:vertAlign w:val="superscript"/>
              </w:rPr>
              <w:t>(1)</w:t>
            </w:r>
          </w:p>
        </w:tc>
      </w:tr>
      <w:tr>
        <w:trPr>
          <w:trHeight w:val="189"/>
        </w:trPr>
        <w:tc>
          <w:tcPr>
            <w:tcW w:w="5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Revolving line of credit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w:t>
            </w: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Senior Secured Credit Facilities: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5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Facility</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1,338,321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r>
      <w:tr>
        <w:trPr>
          <w:trHeight w:val="189"/>
        </w:trPr>
        <w:tc>
          <w:tcPr>
            <w:tcW w:w="5500" w:type="dxa"/>
            <w:vAlign w:val="bottom"/>
          </w:tcPr>
          <w:p>
            <w:pPr>
              <w:ind w:left="100"/>
              <w:spacing w:after="0"/>
              <w:rPr>
                <w:sz w:val="20"/>
                <w:szCs w:val="20"/>
                <w:color w:val="auto"/>
              </w:rPr>
            </w:pPr>
            <w:r>
              <w:rPr>
                <w:rFonts w:ascii="Arial" w:cs="Arial" w:eastAsia="Arial" w:hAnsi="Arial"/>
                <w:sz w:val="16"/>
                <w:szCs w:val="16"/>
                <w:color w:val="auto"/>
              </w:rPr>
              <w:t>Revolving Credit Facility</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r>
      <w:tr>
        <w:trPr>
          <w:trHeight w:val="189"/>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9"/>
        </w:trPr>
        <w:tc>
          <w:tcPr>
            <w:tcW w:w="5500" w:type="dxa"/>
            <w:vAlign w:val="bottom"/>
          </w:tcPr>
          <w:p>
            <w:pPr>
              <w:ind w:left="100"/>
              <w:spacing w:after="0"/>
              <w:rPr>
                <w:sz w:val="20"/>
                <w:szCs w:val="20"/>
                <w:color w:val="auto"/>
              </w:rPr>
            </w:pPr>
            <w:r>
              <w:rPr>
                <w:rFonts w:ascii="Arial" w:cs="Arial" w:eastAsia="Arial" w:hAnsi="Arial"/>
                <w:sz w:val="16"/>
                <w:szCs w:val="16"/>
                <w:color w:val="auto"/>
              </w:rPr>
              <w:t>Real Estate Facilities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183,497</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9,450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57,390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r>
      <w:tr>
        <w:trPr>
          <w:trHeight w:val="189"/>
        </w:trPr>
        <w:tc>
          <w:tcPr>
            <w:tcW w:w="5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long-term debt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r>
      <w:tr>
        <w:trPr>
          <w:trHeight w:val="189"/>
        </w:trPr>
        <w:tc>
          <w:tcPr>
            <w:tcW w:w="55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Finance lease obligations</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139,861</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r>
      <w:tr>
        <w:trPr>
          <w:trHeight w:val="183"/>
        </w:trPr>
        <w:tc>
          <w:tcPr>
            <w:tcW w:w="5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2,731,758</w:t>
            </w: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1,061,062</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691,082</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45" w:lineRule="auto"/>
        <w:tabs>
          <w:tab w:leader="none" w:pos="380" w:val="left"/>
        </w:tabs>
        <w:numPr>
          <w:ilvl w:val="0"/>
          <w:numId w:val="41"/>
        </w:numPr>
        <w:rPr>
          <w:rFonts w:ascii="Arial" w:cs="Arial" w:eastAsia="Arial" w:hAnsi="Arial"/>
          <w:sz w:val="13"/>
          <w:szCs w:val="13"/>
          <w:color w:val="231F20"/>
        </w:rPr>
      </w:pPr>
      <w:r>
        <w:rPr>
          <w:rFonts w:ascii="Arial" w:cs="Arial" w:eastAsia="Arial" w:hAnsi="Arial"/>
          <w:sz w:val="14"/>
          <w:szCs w:val="14"/>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w:t>
      </w:r>
    </w:p>
    <w:p>
      <w:pPr>
        <w:spacing w:after="0" w:line="2" w:lineRule="exact"/>
        <w:rPr>
          <w:rFonts w:ascii="Arial" w:cs="Arial" w:eastAsia="Arial" w:hAnsi="Arial"/>
          <w:sz w:val="13"/>
          <w:szCs w:val="13"/>
          <w:color w:val="231F20"/>
        </w:rPr>
      </w:pPr>
    </w:p>
    <w:p>
      <w:pPr>
        <w:ind w:left="380" w:hanging="330"/>
        <w:spacing w:after="0"/>
        <w:tabs>
          <w:tab w:leader="none" w:pos="380" w:val="left"/>
        </w:tabs>
        <w:numPr>
          <w:ilvl w:val="0"/>
          <w:numId w:val="41"/>
        </w:numPr>
        <w:rPr>
          <w:rFonts w:ascii="Arial" w:cs="Arial" w:eastAsia="Arial" w:hAnsi="Arial"/>
          <w:sz w:val="13"/>
          <w:szCs w:val="13"/>
          <w:color w:val="231F20"/>
        </w:rPr>
      </w:pPr>
      <w:r>
        <w:rPr>
          <w:rFonts w:ascii="Arial" w:cs="Arial" w:eastAsia="Arial" w:hAnsi="Arial"/>
          <w:sz w:val="14"/>
          <w:szCs w:val="14"/>
          <w:color w:val="auto"/>
        </w:rPr>
        <w:t>The revolving line of credit borrowings are subject to a borrowing base calculation but were not limited as of September 30,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80" w:right="79" w:hanging="330"/>
        <w:spacing w:after="0" w:line="277" w:lineRule="auto"/>
        <w:tabs>
          <w:tab w:leader="none" w:pos="380" w:val="left"/>
        </w:tabs>
        <w:numPr>
          <w:ilvl w:val="0"/>
          <w:numId w:val="42"/>
        </w:numPr>
        <w:rPr>
          <w:rFonts w:ascii="Arial" w:cs="Arial" w:eastAsia="Arial" w:hAnsi="Arial"/>
          <w:sz w:val="13"/>
          <w:szCs w:val="13"/>
          <w:color w:val="231F20"/>
        </w:rPr>
      </w:pPr>
      <w:r>
        <w:rPr>
          <w:rFonts w:ascii="Arial" w:cs="Arial" w:eastAsia="Arial" w:hAnsi="Arial"/>
          <w:sz w:val="14"/>
          <w:szCs w:val="14"/>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is over a 35%, or $22.8 million, threshold (Note 7 – Long-Term Debt to our condensed consolidated financial statements included in Part I, Item 1 of this Form 10-Q). The otherwise remaining available borrowings of $60.1 million were reduced by $37.3 million to $22.8 million in light of this financial covenant at September 30, 2024.</w:t>
      </w:r>
    </w:p>
    <w:p>
      <w:pPr>
        <w:spacing w:after="0" w:line="2" w:lineRule="exact"/>
        <w:rPr>
          <w:rFonts w:ascii="Arial" w:cs="Arial" w:eastAsia="Arial" w:hAnsi="Arial"/>
          <w:sz w:val="13"/>
          <w:szCs w:val="13"/>
          <w:color w:val="231F20"/>
        </w:rPr>
      </w:pPr>
    </w:p>
    <w:p>
      <w:pPr>
        <w:jc w:val="both"/>
        <w:ind w:left="380" w:right="79" w:hanging="330"/>
        <w:spacing w:after="0" w:line="282" w:lineRule="auto"/>
        <w:tabs>
          <w:tab w:leader="none" w:pos="380" w:val="left"/>
        </w:tabs>
        <w:numPr>
          <w:ilvl w:val="0"/>
          <w:numId w:val="42"/>
        </w:numPr>
        <w:rPr>
          <w:rFonts w:ascii="Arial" w:cs="Arial" w:eastAsia="Arial" w:hAnsi="Arial"/>
          <w:sz w:val="13"/>
          <w:szCs w:val="13"/>
          <w:color w:val="231F20"/>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p>
      <w:pPr>
        <w:spacing w:after="0" w:line="17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have experienced an increase in interest rates, which have begun to decrease and are expected to continue to decrease during the remainder of 2024. As of September 30, 2024 and 2023, the applicable interest rate for the floor plan notes payable under the Floor Plan Facility was 7.47% and 7.27%, respectively. As of September 30, 2024 and 2023, the average interest rate for the Term Loan Facility was 7.47% and 7.95%, respectively. The previous increase in interest rates and, to a lesser extent, a higher average outstanding floor plan balance have resulted in a combined year-over-year increase of our floor plan interest expense and other interest expense, net of $3.2 million and $25.0 million for the three and nine months ended September 30, 2024 compared to the three and nine months ended September 30, 2023, respectively.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During the nine months ended September 30, 2024, we entered into sale-leaseback transactions for three properties associated with store locations in the RV and Outdoor Retail segment. We received consideration of $37.7 million of cash and recorded a gain of $ 0.4 million that is included in loss (gain) on sale or disposal of assets in the condensed consolidated statements of income for the nine months ended September 30, 2024. We entered into 20-year lease agreements for two of the properties and a 17-year lease agreement for one of the properties.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Deferred revenue consists of our sales for products not yet recognized as revenue at the end of a given period. Our deferred revenue as of September 30, 2024 was $168.5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There has been no material change in our critical accounting policies and estimates from those previously reported and disclosed in our Annual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 – Summary of Significant Accounting Policies to our condensed consolidated financial statements in Item 1, Part I of this Form 10-Q.</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Annual Report. As of September 30, 2024, there have been no material changes in this information.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identified in connection with the evaluation of our internal control performed during the fiscal quarter ended September 30, 2024, that has materially affected, or is reasonably likely to materially affect, our internal control over financial reporting.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See Note 10 – Commitments and Contingencies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There have been no material changes to our risk factors as previously disclosed in Item 1A of Part I of our Annual Report other than with respect to the risk factors described below.</w:t>
      </w:r>
    </w:p>
    <w:p>
      <w:pPr>
        <w:spacing w:after="0" w:line="15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Marcus Lemonis, through his beneficial ownership of our shares directly or indirectly held by ML Acquisition and ML RV Group, has substantial control over us, including over decisions that require the approval of stockholders, and his interests, along with the interests of our other Continuing Equity Owners, in our business may conflict with yours.</w:t>
      </w:r>
    </w:p>
    <w:p>
      <w:pPr>
        <w:spacing w:after="0" w:line="16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entered into a voting agreement in connection with our IPO with ML Acquisition Company, LLC, a Delaware limited liability company, which is indirectly owned by each of the estate of our former director, Stephen Adams, and our Chairman and Chief Executive Officer, Marcus Lemonis (“ML Acquisition”), ML RV Group, LLC, a Delaware limited liability company, wholly owned by our Chairman and Chief Executive Officer, Marcus Lemonis (“ML RV Group”), CVRV Acquisition LLC and CVRV Acquisition II LLC (the “Voting Agreement”). Subject to the Voting Agreement, Marcus Lemonis, through his beneficial ownership of our shares directly or indirectly held by ML Acquisition and ML RV Group, may approve or disapprove substantially all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transactions and other matters requiring approval by our stockholders, such as a merger, consolidation, dissolution or sale of all or substantially all of our assets, the issuance or redemption of certain additional equity interests, and the election of directors including transactions that may not be in the best interests of holders of our Class A common stock or, conversely, prevent the consummation of transactions that may be in the best interests of holders of our Class A common stock. As discussed further under Part II, Item 5 below, we have been made aware of the anticipated dissolution of ML Acquisition and its wholly-owned subsidiary, CWGS Holding, LLC (“CWGS Holding”) effective December 31, 2024. In connection with the anticipated dissolution, the Company expects that Common Units of CWGS Enterprises, LLC and Class B Common Stock of the Company held by CWGS Holding will be distributed to the members of ML Acquisition Company (such distributees, the “ML Related Parties” and such transactions, the “Distribution”).</w:t>
      </w:r>
    </w:p>
    <w:p>
      <w:pPr>
        <w:spacing w:after="0" w:line="180"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In addition, pursuant to the Voting Agreement, Crestview Advisors, L.L.C., a registered investment adviser to private equity funds, including funds affiliated with Crestview Partners II GP, L.P. (“Crestview”) currently has the right to designate one of our directors (the “Crestview Director”). Each of ML Acquisition and ML RV Group has agreed to vote, or cause to vote, all of their outstanding shares of our Class A common stock, Class B common stock and Class C common stock at any annual or special meeting of stockholders in which directors are elected, so as to cause the election of the Crestview Director. In addition, the ML Related Parties also currently have the right to designate four of our directors (the “ML Acquisition Directors”). Moreover, ML RV Group has the right to designate one director for as long as it holds our one share of Class C common stock (the “ML RV Director”). As described in the Voting Agreement, these designation rights are subject to change based on the relevant parties’ ownership of Class A common stock. Funds controlled by Crestview Partners II GP, L.P. have agreed to vote, or cause to vote, all of their outstanding shares of our Class A common stock and Class B common stock at any annual or special meeting of stockholders in which directors are elected, so as to cause the election of the ML Acquisition Directors and the ML RV Director. Additionally, pursuant to the Voting Agreement, we are required to take commercially reasonable action to cause (i) the Board of Directors to be comprised at least of nine directors absent an appropriate waiver or approval to increase or decrease the size of the Board (which the Company obtained to set the Board at eight directors); (ii) the individuals designated in accordance with the terms of the Voting Agreement to be included in the slate of nominees to be elected to the Board of Directors at the next annual or special meeting of stockholders of the Company at which directors are to be elected and at each annual meeting of stockholders of the Company thereafter at which a director’s term expires; (iii) the individuals designated in accordance with the terms of the Voting Agreement to fill the applicable vacancies on the Board of Directors; and (iv) a ML Acquisition Director or the ML RV Director to be the chairperson of the Board of Directors (as defined in our amended and restated bylaws). The Voting Agreement allows for the Board of Directors to reject the nomination, appointment or election of a particular director if such nomination, appointment or election would constitute a breach of the Board of Directors’ fiduciary duties to the Company’s stockholders or does not otherwise comply with any requirements of our amended and restated certificate of incorporation or our amended and restated bylaws or the charter for, or related guidelines of, the Board of Directors’ Nominating and Corporate Governance Committee. Following the Distribution, the ML Related Parties collectively will continue to be entitled to designate four (4) directors to the Board. The ML Related Parties will no longer be obligated to vote, or cause to be voted, all outstanding shares of Class B Common Stock previously held by ML Acquisition at any annual or special meeting of stockholders of the Company at which directors of the Company are to be elected so as to cause the election of the director designated to serve by Crestview. However, ML RV Group will be required to vote, or cause to be voted, its share of Class C Common Stock at any annual or special meeting of stockholders of the Company at which directors of the Company are to be elected so as to cause the election of the Crestview Director. In addition, the ML Related Parties will not have any voting obligations relating to the directors designated by the ML Related Parties. While the Crestview Stockholders will still be obligated to vote for the ML Acquisition Directors and the director designated to serve on the Board by ML RV Group, there will no longer be an individual, group or company that holds more than 50% of the voting power for the election of the Company’s directors and the Company will therefore no longer qualify as a “controlled company” under the rules of the New York Stock Exchange, absent an agreement between the ML Acquisition Members and Crestview as to future director elections. For additional information, see “</w:t>
      </w:r>
      <w:r>
        <w:rPr>
          <w:rFonts w:ascii="Arial" w:cs="Arial" w:eastAsia="Arial" w:hAnsi="Arial"/>
          <w:sz w:val="18"/>
          <w:szCs w:val="18"/>
          <w:i w:val="1"/>
          <w:iCs w:val="1"/>
          <w:color w:val="auto"/>
        </w:rPr>
        <w:t>We are a “controlled company” within</w:t>
      </w:r>
      <w:r>
        <w:rPr>
          <w:rFonts w:ascii="Arial" w:cs="Arial" w:eastAsia="Arial" w:hAnsi="Arial"/>
          <w:sz w:val="18"/>
          <w:szCs w:val="18"/>
          <w:color w:val="auto"/>
        </w:rPr>
        <w:t xml:space="preserve"> </w:t>
      </w:r>
      <w:r>
        <w:rPr>
          <w:rFonts w:ascii="Arial" w:cs="Arial" w:eastAsia="Arial" w:hAnsi="Arial"/>
          <w:sz w:val="18"/>
          <w:szCs w:val="18"/>
          <w:i w:val="1"/>
          <w:iCs w:val="1"/>
          <w:color w:val="auto"/>
        </w:rPr>
        <w:t>the meaning of the NYSE listing requirements and, as a result, qualify for, and rely on, exemptions from certain corporate governance requirements. Our stockholders do not have the same protections afforded to stockholders of companies that are subject to such corporate governance requirements.</w:t>
      </w:r>
      <w:r>
        <w:rPr>
          <w:rFonts w:ascii="Arial" w:cs="Arial" w:eastAsia="Arial" w:hAnsi="Arial"/>
          <w:sz w:val="18"/>
          <w:szCs w:val="18"/>
          <w:color w:val="auto"/>
        </w:rPr>
        <w: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7"/>
          <w:szCs w:val="17"/>
          <w:color w:val="auto"/>
        </w:rPr>
        <w:t>The Voting Agreement further provides that, for so long as the ML Related Parties, directly or indirectly, beneficially own, in the aggregate, 22.5% or more of our Class A common stock (assuming that all outstanding common units in CWGS, LLC are redeemed for newly-issued shares of our Class A common stock on a one-for-one basis), the approval of ML Acquisition will be required for certain corporate actions. These actions include: (1) a change of control; (2) acquisitions or dispositions of assets above $100 million; (3) the issuance of securities of Camping World Holdings, Inc. or any of its subsidiaries (other than under equity incentive plans that have received the prior approval of our Board of Directors); (4) material amendments to our certificate of incorporation or bylaws; and (5) any change in the size of the Board of Directors. The Voting Agreement also provides that, for so long as the ML Related Parties, directly or indirectly, beneficially own, in the aggregate, 27.5% or more of our Class A common stock (assuming that all outstanding common units of CWGS, LLC are redeemed for newly-issued shares of our Class A common stock, on a one-for-one basis), the approval of ML Acquisition, as applicable, will be required for the hiring and termination of our Chief Executive Officer; provided, however, that the approval of the ML Related Parties is only required at such time as Marcus Lemonis no longer serves as our Chief Executive Officer. These rights may prevent the consummation of transactions that may be in the best interests of holders of our Class A common stock. Following the Distribution, the ML Related Parties will no longer have the foregoing consent rights described above that were previously held by ML Acquisition.</w:t>
      </w:r>
    </w:p>
    <w:p>
      <w:pPr>
        <w:spacing w:after="0" w:line="174" w:lineRule="exact"/>
        <w:rPr>
          <w:sz w:val="20"/>
          <w:szCs w:val="20"/>
          <w:color w:val="auto"/>
        </w:rPr>
      </w:pPr>
    </w:p>
    <w:p>
      <w:pPr>
        <w:jc w:val="both"/>
        <w:ind w:left="60" w:right="79"/>
        <w:spacing w:after="0" w:line="249" w:lineRule="auto"/>
        <w:rPr>
          <w:sz w:val="20"/>
          <w:szCs w:val="20"/>
          <w:color w:val="auto"/>
        </w:rPr>
      </w:pPr>
      <w:r>
        <w:rPr>
          <w:rFonts w:ascii="Arial" w:cs="Arial" w:eastAsia="Arial" w:hAnsi="Arial"/>
          <w:sz w:val="18"/>
          <w:szCs w:val="18"/>
          <w:b w:val="1"/>
          <w:bCs w:val="1"/>
          <w:i w:val="1"/>
          <w:iCs w:val="1"/>
          <w:color w:val="auto"/>
        </w:rPr>
        <w:t>We are a “controlled company” within the meaning of the NYSE listing requirements and, as a result, qualify for, and rely on, exemptions from certain corporate governance requirements. Our stockholders do not have the same protections afforded to stockholders of companies that are subject to such corporate governance requirements.</w:t>
      </w:r>
    </w:p>
    <w:p>
      <w:pPr>
        <w:spacing w:after="0" w:line="165" w:lineRule="exact"/>
        <w:rPr>
          <w:sz w:val="20"/>
          <w:szCs w:val="20"/>
          <w:color w:val="auto"/>
        </w:rPr>
      </w:pPr>
    </w:p>
    <w:p>
      <w:pPr>
        <w:jc w:val="both"/>
        <w:ind w:left="60" w:right="59" w:firstLine="324"/>
        <w:spacing w:after="0" w:line="239" w:lineRule="auto"/>
        <w:rPr>
          <w:sz w:val="20"/>
          <w:szCs w:val="20"/>
          <w:color w:val="auto"/>
        </w:rPr>
      </w:pPr>
      <w:r>
        <w:rPr>
          <w:rFonts w:ascii="Arial" w:cs="Arial" w:eastAsia="Arial" w:hAnsi="Arial"/>
          <w:sz w:val="18"/>
          <w:szCs w:val="18"/>
          <w:color w:val="auto"/>
        </w:rPr>
        <w:t>Pursuant to the terms of the Voting Agreement, Marcus Lemonis, through his beneficial ownership of our shares directly or indirectly held by ML Acquisition and ML RV Group, and certain funds controlled by Crestview Partners II GP, L.P., in the aggregate, have more than 50% of the voting power for the election of directors, and, as a result, we are considered a “controlled company” for the purposes of the New York Stock Exchange (the “NYSE”) listing requirements. As such, we qualify for, and may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 annual performance evaluation of the Nominating and Corporate Governance and Compensation Committees.</w:t>
      </w:r>
    </w:p>
    <w:p>
      <w:pPr>
        <w:spacing w:after="0" w:line="183" w:lineRule="exact"/>
        <w:rPr>
          <w:sz w:val="20"/>
          <w:szCs w:val="20"/>
          <w:color w:val="auto"/>
        </w:rPr>
      </w:pPr>
    </w:p>
    <w:p>
      <w:pPr>
        <w:jc w:val="both"/>
        <w:ind w:left="60" w:right="59" w:firstLine="324"/>
        <w:spacing w:after="0" w:line="238" w:lineRule="auto"/>
        <w:rPr>
          <w:sz w:val="20"/>
          <w:szCs w:val="20"/>
          <w:color w:val="auto"/>
        </w:rPr>
      </w:pPr>
      <w:r>
        <w:rPr>
          <w:rFonts w:ascii="Arial" w:cs="Arial" w:eastAsia="Arial" w:hAnsi="Arial"/>
          <w:sz w:val="18"/>
          <w:szCs w:val="18"/>
          <w:color w:val="auto"/>
        </w:rPr>
        <w:t>The corporate governance requirements and specifically the independence standards are intended to ensure that directors who are considered independent are free of any conflicting interest that could influence their actions as directors. We have utilized, and may continue to utilize, certain exemptions afforded to a “controlled company.” As a result, we are not subject to certain corporate governance requirements, including that a majority of our Board of Directors consists of “independent directors,” as defined under the rules of the NYSE.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 Accordingly, our stockholders may not have the same protections afforded to stockholders of companies that are subject to all of the corporate governance requirements of the NYSE.</w:t>
      </w:r>
    </w:p>
    <w:p>
      <w:pPr>
        <w:spacing w:after="0" w:line="186" w:lineRule="exact"/>
        <w:rPr>
          <w:sz w:val="20"/>
          <w:szCs w:val="20"/>
          <w:color w:val="auto"/>
        </w:rPr>
      </w:pPr>
    </w:p>
    <w:p>
      <w:pPr>
        <w:jc w:val="both"/>
        <w:ind w:left="60" w:right="59" w:firstLine="324"/>
        <w:spacing w:after="0" w:line="242" w:lineRule="auto"/>
        <w:rPr>
          <w:sz w:val="20"/>
          <w:szCs w:val="20"/>
          <w:color w:val="auto"/>
        </w:rPr>
      </w:pPr>
      <w:r>
        <w:rPr>
          <w:rFonts w:ascii="Arial" w:cs="Arial" w:eastAsia="Arial" w:hAnsi="Arial"/>
          <w:sz w:val="18"/>
          <w:szCs w:val="18"/>
          <w:color w:val="auto"/>
        </w:rPr>
        <w:t>Following the Distribution, the Company anticipates that it will no longer be considered a “controlled company” under the rules of the NYSE, and therefore we will no longer be able to rely on the exemptions from corporate governance requirements that are afforded to controlled companies. We may not be able to come into compliance with the corporate governance requirements on the timelines required by the NYSE, which could cause us to be non-compliant with NYSE continued listing requirements and potentially subject to the delisting process.</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If we are unable to retain senior executives and attract and retain other qualified employees, our business might be adversely affected.</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success depends in part on our ability to attract, hire, train and retain qualified managerial, sales, marketing, and service personnel. Competition for these types of personnel is high. We may be unsuccessful in attracting and retaining the personnel we require to conduct our operations successfully and, in such an</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event, our business could be materially and adversely affected. Our success also depends to a significant extent on the continued service and performance of our senior management team, including our Chairman and Chief Executive Officer, Marcus Lemonis. The loss of any member of our senior management team, or our failure to successfully manage any transitions in senior management or the integration of senior management into new roles could impair our ability to execute our business plan and could therefore have a material adverse effect on our business, results of operations and financial condition.</w:t>
      </w:r>
    </w:p>
    <w:p>
      <w:pPr>
        <w:spacing w:after="0" w:line="17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7"/>
          <w:szCs w:val="17"/>
          <w:color w:val="auto"/>
        </w:rPr>
        <w:t>For example, on June 1, 2024, Brent L. Moody, our President at the time, and Karin L. Bell, our Chief Financial Officer at the time, announced their resignations from their President and Chief Financial Officer positions, respectively, effective July 1, 2024 and each transitioned to a role of Senior Advisor through their retirement dates of December 31, 2024 for Mr. Moody and the date that we file our Form 10-K with the SEC for the year ended December 31, 2024 for Ms. Bell. Mr. Moody will continue to serve as a member of our Board of Directors. Effective July 1, 2024, Matthew D. Wagner was appointed as our President and will continue to serve as our principal operating officer. Additionally, effective July 1, 2024, Thomas E. Kirn was appointed as our Chief Financial Officer and principal financial officer. He will continue to serve as our principal accounting officer.</w:t>
      </w:r>
    </w:p>
    <w:p>
      <w:pPr>
        <w:spacing w:after="0" w:line="16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Additionally, certain members of our management team, including Mr. Lemonis, currently pursue and may continue to pursue other business ventures, which could divert their attention from executing on our business plan and objectives. We do not currently maintain key-man life insurance policies on any member of our senior management team or other key employees.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following table presents information related to our repurchases of Class A common stock for the periods indicated:</w:t>
      </w:r>
    </w:p>
    <w:tbl>
      <w:tblPr>
        <w:tblLayout w:type="fixed"/>
        <w:tblInd w:w="40" w:type="dxa"/>
        <w:tblCellMar>
          <w:top w:w="0" w:type="dxa"/>
          <w:left w:w="0" w:type="dxa"/>
          <w:bottom w:w="0" w:type="dxa"/>
          <w:right w:w="0" w:type="dxa"/>
        </w:tblCellMar>
      </w:tblPr>
      <w:tr>
        <w:trPr>
          <w:trHeight w:val="124"/>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5"/>
              </w:rPr>
              <w:t>Total Number of</w:t>
            </w:r>
          </w:p>
        </w:tc>
        <w:tc>
          <w:tcPr>
            <w:tcW w:w="12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7"/>
              </w:rPr>
              <w:t>Approximate Dollar</w:t>
            </w:r>
          </w:p>
        </w:tc>
      </w:tr>
      <w:tr>
        <w:trPr>
          <w:trHeight w:val="135"/>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7"/>
              </w:rPr>
              <w:t>Shares Purchased as</w:t>
            </w:r>
          </w:p>
        </w:tc>
        <w:tc>
          <w:tcPr>
            <w:tcW w:w="12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Value of Shares that</w:t>
            </w:r>
          </w:p>
        </w:tc>
      </w:tr>
      <w:tr>
        <w:trPr>
          <w:trHeight w:val="135"/>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Part of Publicly</w:t>
            </w:r>
          </w:p>
        </w:tc>
        <w:tc>
          <w:tcPr>
            <w:tcW w:w="12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May Yet Be</w:t>
            </w:r>
          </w:p>
        </w:tc>
      </w:tr>
      <w:tr>
        <w:trPr>
          <w:trHeight w:val="125"/>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ind w:left="140"/>
              <w:spacing w:after="0" w:line="125" w:lineRule="exact"/>
              <w:rPr>
                <w:sz w:val="20"/>
                <w:szCs w:val="20"/>
                <w:color w:val="auto"/>
              </w:rPr>
            </w:pPr>
            <w:r>
              <w:rPr>
                <w:rFonts w:ascii="Arial" w:cs="Arial" w:eastAsia="Arial" w:hAnsi="Arial"/>
                <w:sz w:val="12"/>
                <w:szCs w:val="12"/>
                <w:b w:val="1"/>
                <w:bCs w:val="1"/>
                <w:color w:val="auto"/>
              </w:rPr>
              <w:t>Total Number of</w:t>
            </w:r>
          </w:p>
        </w:tc>
        <w:tc>
          <w:tcPr>
            <w:tcW w:w="130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auto"/>
                <w:w w:val="95"/>
              </w:rPr>
              <w:t>Average Price Paid</w:t>
            </w:r>
          </w:p>
        </w:tc>
        <w:tc>
          <w:tcPr>
            <w:tcW w:w="13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6"/>
              </w:rPr>
              <w:t>Announced</w:t>
            </w:r>
          </w:p>
        </w:tc>
        <w:tc>
          <w:tcPr>
            <w:tcW w:w="12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7"/>
              </w:rPr>
              <w:t>Purchased Under the</w:t>
            </w:r>
          </w:p>
        </w:tc>
      </w:tr>
      <w:tr>
        <w:trPr>
          <w:trHeight w:val="155"/>
        </w:trPr>
        <w:tc>
          <w:tcPr>
            <w:tcW w:w="3720" w:type="dxa"/>
            <w:vAlign w:val="bottom"/>
            <w:gridSpan w:val="2"/>
          </w:tcPr>
          <w:p>
            <w:pPr>
              <w:ind w:left="20"/>
              <w:spacing w:after="0"/>
              <w:rPr>
                <w:sz w:val="20"/>
                <w:szCs w:val="20"/>
                <w:color w:val="auto"/>
              </w:rPr>
            </w:pPr>
            <w:r>
              <w:rPr>
                <w:rFonts w:ascii="Arial" w:cs="Arial" w:eastAsia="Arial" w:hAnsi="Arial"/>
                <w:sz w:val="12"/>
                <w:szCs w:val="12"/>
                <w:b w:val="1"/>
                <w:bCs w:val="1"/>
                <w:color w:val="auto"/>
              </w:rPr>
              <w:t>Period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 Purchased</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per Share</w:t>
            </w:r>
          </w:p>
        </w:tc>
        <w:tc>
          <w:tcPr>
            <w:tcW w:w="1320" w:type="dxa"/>
            <w:vAlign w:val="bottom"/>
            <w:gridSpan w:val="2"/>
          </w:tcPr>
          <w:p>
            <w:pPr>
              <w:jc w:val="center"/>
              <w:ind w:right="140"/>
              <w:spacing w:after="0" w:line="155" w:lineRule="exact"/>
              <w:rPr>
                <w:sz w:val="20"/>
                <w:szCs w:val="20"/>
                <w:color w:val="auto"/>
              </w:rPr>
            </w:pPr>
            <w:r>
              <w:rPr>
                <w:rFonts w:ascii="Arial" w:cs="Arial" w:eastAsia="Arial" w:hAnsi="Arial"/>
                <w:sz w:val="12"/>
                <w:szCs w:val="12"/>
                <w:b w:val="1"/>
                <w:bCs w:val="1"/>
                <w:color w:val="auto"/>
                <w:w w:val="94"/>
              </w:rPr>
              <w:t>Programs</w:t>
            </w:r>
            <w:r>
              <w:rPr>
                <w:rFonts w:ascii="Arial" w:cs="Arial" w:eastAsia="Arial" w:hAnsi="Arial"/>
                <w:sz w:val="17"/>
                <w:szCs w:val="17"/>
                <w:b w:val="1"/>
                <w:bCs w:val="1"/>
                <w:color w:val="auto"/>
                <w:w w:val="94"/>
                <w:vertAlign w:val="superscript"/>
              </w:rPr>
              <w:t>(1)</w:t>
            </w:r>
          </w:p>
        </w:tc>
        <w:tc>
          <w:tcPr>
            <w:tcW w:w="1240" w:type="dxa"/>
            <w:vAlign w:val="bottom"/>
          </w:tcPr>
          <w:p>
            <w:pPr>
              <w:jc w:val="center"/>
              <w:spacing w:after="0" w:line="155" w:lineRule="exact"/>
              <w:rPr>
                <w:sz w:val="20"/>
                <w:szCs w:val="20"/>
                <w:color w:val="auto"/>
              </w:rPr>
            </w:pPr>
            <w:r>
              <w:rPr>
                <w:rFonts w:ascii="Arial" w:cs="Arial" w:eastAsia="Arial" w:hAnsi="Arial"/>
                <w:sz w:val="12"/>
                <w:szCs w:val="12"/>
                <w:b w:val="1"/>
                <w:bCs w:val="1"/>
                <w:color w:val="auto"/>
                <w:w w:val="94"/>
              </w:rPr>
              <w:t>Programs</w:t>
            </w:r>
            <w:r>
              <w:rPr>
                <w:rFonts w:ascii="Arial" w:cs="Arial" w:eastAsia="Arial" w:hAnsi="Arial"/>
                <w:sz w:val="17"/>
                <w:szCs w:val="17"/>
                <w:b w:val="1"/>
                <w:bCs w:val="1"/>
                <w:color w:val="auto"/>
                <w:w w:val="94"/>
                <w:vertAlign w:val="superscript"/>
              </w:rPr>
              <w:t>(1)</w:t>
            </w:r>
          </w:p>
        </w:tc>
      </w:tr>
      <w:tr>
        <w:trPr>
          <w:trHeight w:val="196"/>
        </w:trPr>
        <w:tc>
          <w:tcPr>
            <w:tcW w:w="3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July 1, 2024 to July 31, 2024</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4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$ 120,166,000</w:t>
            </w:r>
          </w:p>
        </w:tc>
      </w:tr>
      <w:tr>
        <w:trPr>
          <w:trHeight w:val="203"/>
        </w:trPr>
        <w:tc>
          <w:tcPr>
            <w:tcW w:w="3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August 1, 2024 to August 31, 2024</w:t>
            </w:r>
          </w:p>
        </w:tc>
        <w:tc>
          <w:tcPr>
            <w:tcW w:w="13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202"/>
        </w:trPr>
        <w:tc>
          <w:tcPr>
            <w:tcW w:w="3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September 1, 2024 to September 30, 2024</w:t>
            </w:r>
          </w:p>
        </w:tc>
        <w:tc>
          <w:tcPr>
            <w:tcW w:w="13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196"/>
        </w:trPr>
        <w:tc>
          <w:tcPr>
            <w:tcW w:w="3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ind w:left="9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ind w:left="9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120,166,000</w:t>
            </w: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380" w:right="79" w:hanging="330"/>
        <w:spacing w:after="0" w:line="250"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now expires on December 31, 2025. This program does not obligate the Company to acquire any particular amount of Class A common stock and the program may be extended, modified, suspended or discontinued at any time at the board’s discretion.</w:t>
      </w:r>
    </w:p>
    <w:p>
      <w:pPr>
        <w:spacing w:after="0" w:line="6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table above excludes shares net settled by the Company in connection with tax withholdings associated with the vesting of restricted stock units as these shares were not issued and outstanding.</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Since we are a holding company, our ability to pay cash dividends on our Class A common stock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hanging="650"/>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has been made aware of the anticipated dissolution of ML Acquisition Company, LLC ("ML Acquisition Company”) and its wholly-owned subsidiary, CWGS Holding, LLC (“CWGS Holding” and, together with ML Acquisition Company, “ML Acquisition”), effective December 31, 2024. CWGS Holding is currently the record holder of 32,584,700 common units of CWGS Enterprises, LLC (“Common Units”) and an equal number of shares of Class B Common Stock of the Company. In connection with the anticipated dissolution, the Company expects that Common Units of CWGS Enterprises, LLC and Class B Common Stock of the Company held by CWGS Holding will be distributed to the members of ML Acquisition Company (the “Distribution”). The members of ML Acquisition Company are ML RV Group, LLC (“ML RV Group”), which is wholly owned by the Company’s Chairman and Chief Executive Officer, Marcus Lemonis, and AGI Holding Corp. (“AGI”), which the Company believes is wholly owned by The Stephens Adam Living Trust, the former trustee of which was the Company’s former director, Stephen Adams, prior to his death (together, the “ML Acquisition Members”). These members are considered “Permitted Transferees” of ML Acquisition as defined in the Amended and Restated Limited Liability Company Agreement of CWGS Enterprises, LLC. ML Acquisition and the ML Acquisition Members together with any future Permitted Transferees are referred to as “ML Related Parties”.</w:t>
      </w:r>
    </w:p>
    <w:p>
      <w:pPr>
        <w:spacing w:after="0" w:line="18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Following the Distribution, the Company anticipates that it will no longer be considered a “controlled company” under the rules of the New York Stock Exchange and that there will be certain impacts to provisions of its Amended and Restated Certificate of Incorporation (the “Charter”), Amended and Restated Bylaws (the “Bylaws”), and Voting Agreement, dated October 6, 2016, between the Company, CWGS Holding, ML RV Group, CVRV Acquisition II LLC and CVRV Acquisition LLC (together with their Permitted Transferees, the “Crestview Stockholders”) and Crestview Advisors L.L.C. (“Crestview”) (the “Voting Agreement”), including, but not limited to the following (which assumes that the equity ownership of ML Acquisition does not change prior to the Distribution):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Voting Agreement:</w:t>
      </w:r>
    </w:p>
    <w:p>
      <w:pPr>
        <w:spacing w:after="0" w:line="212" w:lineRule="exact"/>
        <w:rPr>
          <w:sz w:val="20"/>
          <w:szCs w:val="20"/>
          <w:color w:val="auto"/>
        </w:rPr>
      </w:pPr>
    </w:p>
    <w:p>
      <w:pPr>
        <w:jc w:val="both"/>
        <w:ind w:left="720" w:right="79" w:hanging="319"/>
        <w:spacing w:after="0" w:line="252"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ML Related Parties will no longer have the consent rights previously held by ML Acquisition under the Voting Agreement as previously disclosed in our definitive proxy statement filed with the Securities and Exchange Commission on April 3, 2024 (the “2024 Proxy”).</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ML Related Parties collectively will continue to be entitled to designate four (4) directors (the “ML Acquisition Directors”) to the Company’s Board of Directors (the “Board”). Currently, Andris A. Baltins and K. Dillon Schickli serve as the ML Acquisition Directors. If the equity ownership of the ML Related Parties decreases, the number of ML Acquisition Directors that the ML Related Parties are entitled to designate will decline at the thresholds previously disclosed in the 2024 Proxy.</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38"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ML Related Parties will no longer be obligated to vote, or cause to be voted, all outstanding shares of Class B Common Stock previously held by ML Acquisition at any annual or special meeting of stockholders of the Company at which directors of the Company are to be elected, or to take all Necessary Action (as defined in the Voting Agreement) to cause the election of the director designated to serve by Crestview Advisors L.L.C. However, ML RV Group will be required to vote, or cause to be voted, its share of Class C Common Stock at any annual or special meeting of stockholders of the Company at which directors of the Company are to be elected, or to take all Necessary Action to cause the election of the Crestview Director. In addition, the ML Related Parties will not have any voting obligations relating to the directors designated by the ML Related Parties. While the Crestview Stockholders will still be obligated to vote for the ML Acquisition Directors and the director designated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44" w:lineRule="auto"/>
        <w:rPr>
          <w:sz w:val="20"/>
          <w:szCs w:val="20"/>
          <w:color w:val="auto"/>
        </w:rPr>
      </w:pPr>
      <w:r>
        <w:rPr>
          <w:rFonts w:ascii="Arial" w:cs="Arial" w:eastAsia="Arial" w:hAnsi="Arial"/>
          <w:sz w:val="18"/>
          <w:szCs w:val="18"/>
          <w:color w:val="auto"/>
        </w:rPr>
        <w:t>to serve on the Board by ML RV Group, there will no longer be an individual, group or company that holds more than 50% of the voting power for the election of the Company’s directors and the Company will therefore no longer qualify as a “controlled company” under the rules of the New York Stock Exchange, absent an agreement between the ML Acquisition Members and Crestview as to future director elections.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12" w:lineRule="exact"/>
        <w:rPr>
          <w:sz w:val="20"/>
          <w:szCs w:val="20"/>
          <w:color w:val="auto"/>
        </w:rPr>
      </w:pPr>
    </w:p>
    <w:p>
      <w:pPr>
        <w:jc w:val="both"/>
        <w:ind w:left="720" w:right="79" w:hanging="319"/>
        <w:spacing w:after="0" w:line="237"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distributed shares of Class B Common Stock held by the ML Related Parties will collectively be entitled to the number of votes necessary such that the shares, in the aggregate, cast 47% of the total votes eligible to be cast by all holders of the Company’s common stock voting together as a single class on all matters presented to a vote of holders of Class B Common Stock at an annual or special meeting of stockholders. Each of the ML Related Parties will receive a pro rata portion of the 47% voting rights that reflects their respective proportional interest in the shares of Class B Common Stock previously held by ML Acquisition. After the ML Related Parties cease to own at least 27.5% of all Common Units issued and outstanding, each share of Class B Common Stock will be entitled to one</w:t>
      </w:r>
    </w:p>
    <w:p>
      <w:pPr>
        <w:spacing w:after="0" w:line="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 vote per share.</w:t>
      </w:r>
    </w:p>
    <w:p>
      <w:pPr>
        <w:spacing w:after="0" w:line="193"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share of Class C Common Stock held by ML RV Group will continue to entitle ML RV Group to the number of votes necessary such that it casts 5% of the total votes eligible to be cast by all holders of the Company’s common stock voting together as a single class. However, a “Change of Control”, as defined in the Charter, occurs when the ML Related Parties beneficially own, directly or indirectly, less than 27.5% of all outstanding Common Units, or upon the occurrence of certain other events. The share of Class C Common Stock held by ML RV Group will lose all voting rights (5%) upon the occurrence of a Change of Control.</w:t>
      </w:r>
    </w:p>
    <w:p>
      <w:pPr>
        <w:spacing w:after="0" w:line="18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Immediately following the Distribution, the Company anticipates that ML RV Group will hold no more than 16% of the Common Units and Class B Common Stock currently held by ML Acquisition (or 5,213,552 Common Units and shares of Class B Common Stock) and AGI will hold no less than 84% of the Common Units currently held by ML Acquisition (or 27,371,148 Common Units and shares of Class B Common Stock). Mr. Lemonis also owns or controls one share of Class C Common Stock held by ML RV Group and 155,268 shares of Class A Common Stock held directly by Mr. Lemonis. Mr. Lemonis is expected to have voting power of approximately 12.7% of the Company’s Class A Common Stock, Class B Common Stock and Class C Common Stock voting together as a single class. AGI is expected to have voting power of approximately 39.5% of the Company’s Class A Common Stock, Class B Common Stock and Class C Common Stock voting together as a single class.</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is not a party to the dissolution of ML Acquisition and related Distribution and, accordingly, the descriptions contained in this summary are subject to change. For additional information, please see the Charter, Tax Receivable Agreement and Voting Agreement filed with the Company’s Annual Report on Form 10-K for the fiscal year ended December 31, 2023 filed with the Securities and Exchange Commission on February 26, 2024.</w:t>
      </w:r>
    </w:p>
    <w:p>
      <w:pPr>
        <w:spacing w:after="0" w:line="176" w:lineRule="exact"/>
        <w:rPr>
          <w:sz w:val="20"/>
          <w:szCs w:val="20"/>
          <w:color w:val="auto"/>
        </w:rPr>
      </w:pPr>
    </w:p>
    <w:p>
      <w:pPr>
        <w:ind w:left="700" w:right="279" w:hanging="650"/>
        <w:spacing w:after="0" w:line="271"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w:t>
      </w:r>
    </w:p>
    <w:p>
      <w:pPr>
        <w:spacing w:after="0" w:line="15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00" w:hanging="65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Index</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23"/>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auto"/>
            </w:tcBorders>
            <w:gridSpan w:val="23"/>
          </w:tcPr>
          <w:p>
            <w:pPr>
              <w:spacing w:after="0" w:line="169" w:lineRule="exact"/>
              <w:rPr>
                <w:rFonts w:ascii="Arial" w:cs="Arial" w:eastAsia="Arial" w:hAnsi="Arial"/>
                <w:sz w:val="18"/>
                <w:szCs w:val="18"/>
                <w:color w:val="0000EE"/>
              </w:rPr>
            </w:pPr>
            <w:hyperlink r:id="rId86">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11/10/16</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Incorporation of Camping World</w:t>
              </w:r>
            </w:hyperlink>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86">
              <w:r>
                <w:rPr>
                  <w:rFonts w:ascii="Arial" w:cs="Arial" w:eastAsia="Arial" w:hAnsi="Arial"/>
                  <w:sz w:val="18"/>
                  <w:szCs w:val="18"/>
                  <w:color w:val="0000EE"/>
                  <w:w w:val="98"/>
                </w:rPr>
                <w:t>Holdings, Inc.</w:t>
              </w:r>
            </w:hyperlink>
          </w:p>
        </w:tc>
        <w:tc>
          <w:tcPr>
            <w:tcW w:w="1440" w:type="dxa"/>
            <w:vAlign w:val="bottom"/>
            <w:tcBorders>
              <w:top w:val="single" w:sz="8" w:color="0000EE"/>
            </w:tcBorders>
            <w:gridSpan w:val="10"/>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3220" w:type="dxa"/>
            <w:vAlign w:val="bottom"/>
            <w:gridSpan w:val="25"/>
          </w:tcPr>
          <w:p>
            <w:pPr>
              <w:spacing w:after="0"/>
              <w:rPr>
                <w:rFonts w:ascii="Arial" w:cs="Arial" w:eastAsia="Arial" w:hAnsi="Arial"/>
                <w:sz w:val="18"/>
                <w:szCs w:val="18"/>
                <w:color w:val="0000EE"/>
              </w:rPr>
            </w:pPr>
            <w:hyperlink r:id="rId87">
              <w:r>
                <w:rPr>
                  <w:rFonts w:ascii="Arial" w:cs="Arial" w:eastAsia="Arial" w:hAnsi="Arial"/>
                  <w:sz w:val="18"/>
                  <w:szCs w:val="18"/>
                  <w:color w:val="0000EE"/>
                </w:rPr>
                <w:t>Amended and Restated Bylaws of</w:t>
              </w:r>
            </w:hyperlink>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12/26/23</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Camping World Holdings,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r:id="rId88">
              <w:r>
                <w:rPr>
                  <w:rFonts w:ascii="Arial" w:cs="Arial" w:eastAsia="Arial" w:hAnsi="Arial"/>
                  <w:sz w:val="18"/>
                  <w:szCs w:val="18"/>
                  <w:color w:val="0000EE"/>
                </w:rPr>
                <w:t>Specimen Stock Certificate</w:t>
              </w:r>
            </w:hyperlink>
          </w:p>
        </w:tc>
        <w:tc>
          <w:tcPr>
            <w:tcW w:w="840" w:type="dxa"/>
            <w:vAlign w:val="bottom"/>
            <w:gridSpan w:val="15"/>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333-211977</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9/13/16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5"/>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evidencing the shares of Class A</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common stock</w:t>
              </w:r>
            </w:hyperlink>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220" w:type="dxa"/>
            <w:vAlign w:val="bottom"/>
            <w:gridSpan w:val="25"/>
          </w:tcPr>
          <w:p>
            <w:pPr>
              <w:spacing w:after="0"/>
              <w:rPr>
                <w:rFonts w:ascii="Arial" w:cs="Arial" w:eastAsia="Arial" w:hAnsi="Arial"/>
                <w:sz w:val="18"/>
                <w:szCs w:val="18"/>
                <w:color w:val="0000EE"/>
              </w:rPr>
            </w:pPr>
            <w:hyperlink r:id="rId89">
              <w:r>
                <w:rPr>
                  <w:rFonts w:ascii="Arial" w:cs="Arial" w:eastAsia="Arial" w:hAnsi="Arial"/>
                  <w:sz w:val="18"/>
                  <w:szCs w:val="18"/>
                  <w:color w:val="0000EE"/>
                </w:rPr>
                <w:t>Amendment No. 1 to Credit</w:t>
              </w:r>
            </w:hyperlink>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8/30/24</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Agreement and Incremental</w:t>
              </w:r>
            </w:hyperlink>
          </w:p>
        </w:tc>
        <w:tc>
          <w:tcPr>
            <w:tcW w:w="40" w:type="dxa"/>
            <w:vAlign w:val="bottom"/>
            <w:tcBorders>
              <w:bottom w:val="single" w:sz="8" w:color="0000EE"/>
            </w:tcBorders>
          </w:tcPr>
          <w:p>
            <w:pPr>
              <w:spacing w:after="0"/>
              <w:rPr>
                <w:sz w:val="15"/>
                <w:szCs w:val="15"/>
                <w:color w:val="auto"/>
              </w:rPr>
            </w:pPr>
          </w:p>
        </w:tc>
        <w:tc>
          <w:tcPr>
            <w:tcW w:w="2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9"/>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Amendment, dated August</w:t>
              </w:r>
            </w:hyperlink>
          </w:p>
        </w:tc>
        <w:tc>
          <w:tcPr>
            <w:tcW w:w="760" w:type="dxa"/>
            <w:vAlign w:val="bottom"/>
            <w:gridSpan w:val="14"/>
          </w:tcPr>
          <w:p>
            <w:pPr>
              <w:jc w:val="right"/>
              <w:ind w:right="40"/>
              <w:spacing w:after="0" w:line="182"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27, 2024,</w:t>
              </w:r>
            </w:hyperlink>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by and among subsidiaries of FRHP</w:t>
              </w:r>
            </w:hyperlink>
          </w:p>
        </w:tc>
        <w:tc>
          <w:tcPr>
            <w:tcW w:w="4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Lincolnshire, LLC, CWGS Group,</w:t>
              </w:r>
            </w:hyperlink>
          </w:p>
        </w:tc>
        <w:tc>
          <w:tcPr>
            <w:tcW w:w="100" w:type="dxa"/>
            <w:vAlign w:val="bottom"/>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LLC (as guarantor), Manufacturers</w:t>
              </w:r>
            </w:hyperlink>
          </w:p>
        </w:tc>
        <w:tc>
          <w:tcPr>
            <w:tcW w:w="8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r:id="rId89">
              <w:r>
                <w:rPr>
                  <w:rFonts w:ascii="Arial" w:cs="Arial" w:eastAsia="Arial" w:hAnsi="Arial"/>
                  <w:sz w:val="18"/>
                  <w:szCs w:val="18"/>
                  <w:color w:val="0000EE"/>
                  <w:w w:val="98"/>
                </w:rPr>
                <w:t>and Traders Trust Company, as</w:t>
              </w:r>
            </w:hyperlink>
          </w:p>
        </w:tc>
        <w:tc>
          <w:tcPr>
            <w:tcW w:w="2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5"/>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administrative agent, and the other</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89">
              <w:r>
                <w:rPr>
                  <w:rFonts w:ascii="Arial" w:cs="Arial" w:eastAsia="Arial" w:hAnsi="Arial"/>
                  <w:sz w:val="18"/>
                  <w:szCs w:val="18"/>
                  <w:color w:val="0000EE"/>
                  <w:w w:val="99"/>
                </w:rPr>
                <w:t>lenders party thereto</w:t>
              </w:r>
            </w:hyperlink>
          </w:p>
        </w:tc>
        <w:tc>
          <w:tcPr>
            <w:tcW w:w="1120" w:type="dxa"/>
            <w:vAlign w:val="bottom"/>
            <w:tcBorders>
              <w:top w:val="single" w:sz="8" w:color="0000EE"/>
            </w:tcBorders>
            <w:gridSpan w:val="13"/>
          </w:tcPr>
          <w:p>
            <w:pPr>
              <w:spacing w:after="0"/>
              <w:rPr>
                <w:sz w:val="15"/>
                <w:szCs w:val="15"/>
                <w:color w:val="auto"/>
              </w:rPr>
            </w:pPr>
          </w:p>
        </w:tc>
        <w:tc>
          <w:tcPr>
            <w:tcW w:w="200" w:type="dxa"/>
            <w:vAlign w:val="bottom"/>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1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Rule 13a-14(a) / 15d-14(a)</w:t>
            </w:r>
          </w:p>
        </w:tc>
        <w:tc>
          <w:tcPr>
            <w:tcW w:w="106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5"/>
          </w:tcPr>
          <w:p>
            <w:pPr>
              <w:spacing w:after="0" w:line="182" w:lineRule="exact"/>
              <w:rPr>
                <w:sz w:val="20"/>
                <w:szCs w:val="20"/>
                <w:color w:val="auto"/>
              </w:rPr>
            </w:pPr>
            <w:r>
              <w:rPr>
                <w:rFonts w:ascii="Arial" w:cs="Arial" w:eastAsia="Arial" w:hAnsi="Arial"/>
                <w:sz w:val="18"/>
                <w:szCs w:val="18"/>
                <w:color w:val="0000EE"/>
              </w:rPr>
              <w:t>Certification of Chief Executive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Officer</w:t>
            </w:r>
          </w:p>
        </w:tc>
        <w:tc>
          <w:tcPr>
            <w:tcW w:w="1920" w:type="dxa"/>
            <w:vAlign w:val="bottom"/>
            <w:tcBorders>
              <w:top w:val="single" w:sz="8" w:color="0000EE"/>
            </w:tcBorders>
            <w:gridSpan w:val="9"/>
          </w:tcPr>
          <w:p>
            <w:pPr>
              <w:spacing w:after="0"/>
              <w:rPr>
                <w:sz w:val="15"/>
                <w:szCs w:val="15"/>
                <w:color w:val="auto"/>
              </w:rPr>
            </w:pPr>
          </w:p>
        </w:tc>
        <w:tc>
          <w:tcPr>
            <w:tcW w:w="280" w:type="dxa"/>
            <w:vAlign w:val="bottom"/>
            <w:gridSpan w:val="6"/>
          </w:tcPr>
          <w:p>
            <w:pPr>
              <w:spacing w:after="0"/>
              <w:rPr>
                <w:sz w:val="15"/>
                <w:szCs w:val="15"/>
                <w:color w:val="auto"/>
              </w:rPr>
            </w:pPr>
          </w:p>
        </w:tc>
        <w:tc>
          <w:tcPr>
            <w:tcW w:w="240" w:type="dxa"/>
            <w:vAlign w:val="bottom"/>
            <w:gridSpan w:val="6"/>
          </w:tcPr>
          <w:p>
            <w:pPr>
              <w:spacing w:after="0"/>
              <w:rPr>
                <w:sz w:val="15"/>
                <w:szCs w:val="15"/>
                <w:color w:val="auto"/>
              </w:rPr>
            </w:pP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1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Rule 13a-14(a) / 15d-14(a)</w:t>
            </w:r>
          </w:p>
        </w:tc>
        <w:tc>
          <w:tcPr>
            <w:tcW w:w="1060" w:type="dxa"/>
            <w:vAlign w:val="bottom"/>
            <w:gridSpan w:val="1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tcBorders>
              <w:bottom w:val="single" w:sz="8" w:color="0000EE"/>
            </w:tcBorders>
            <w:gridSpan w:val="23"/>
          </w:tcPr>
          <w:p>
            <w:pPr>
              <w:spacing w:after="0" w:line="182" w:lineRule="exact"/>
              <w:rPr>
                <w:sz w:val="20"/>
                <w:szCs w:val="20"/>
                <w:color w:val="auto"/>
              </w:rPr>
            </w:pPr>
            <w:r>
              <w:rPr>
                <w:rFonts w:ascii="Arial" w:cs="Arial" w:eastAsia="Arial" w:hAnsi="Arial"/>
                <w:sz w:val="18"/>
                <w:szCs w:val="18"/>
                <w:color w:val="0000EE"/>
                <w:w w:val="99"/>
              </w:rPr>
              <w:t>Certification of Chief Financial Officer</w:t>
            </w: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Executive Officer</w:t>
            </w:r>
          </w:p>
        </w:tc>
        <w:tc>
          <w:tcPr>
            <w:tcW w:w="48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920" w:type="dxa"/>
            <w:vAlign w:val="bottom"/>
            <w:tcBorders>
              <w:left w:val="single" w:sz="8" w:color="0000EE"/>
            </w:tcBorders>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Financial Officer</w:t>
            </w:r>
          </w:p>
        </w:tc>
        <w:tc>
          <w:tcPr>
            <w:tcW w:w="48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92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auto"/>
              </w:rPr>
              <w:t>Inline XBRL Instance Document – the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25"/>
          </w:tcPr>
          <w:p>
            <w:pPr>
              <w:spacing w:after="0" w:line="202" w:lineRule="exact"/>
              <w:rPr>
                <w:sz w:val="20"/>
                <w:szCs w:val="20"/>
                <w:color w:val="auto"/>
              </w:rPr>
            </w:pPr>
            <w:r>
              <w:rPr>
                <w:rFonts w:ascii="Arial" w:cs="Arial" w:eastAsia="Arial" w:hAnsi="Arial"/>
                <w:sz w:val="18"/>
                <w:szCs w:val="18"/>
                <w:color w:val="auto"/>
              </w:rPr>
              <w:t>instance document does not appear</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25"/>
          </w:tcPr>
          <w:p>
            <w:pPr>
              <w:spacing w:after="0" w:line="202" w:lineRule="exact"/>
              <w:rPr>
                <w:sz w:val="20"/>
                <w:szCs w:val="20"/>
                <w:color w:val="auto"/>
              </w:rPr>
            </w:pPr>
            <w:r>
              <w:rPr>
                <w:rFonts w:ascii="Arial" w:cs="Arial" w:eastAsia="Arial" w:hAnsi="Arial"/>
                <w:sz w:val="18"/>
                <w:szCs w:val="18"/>
                <w:color w:val="auto"/>
              </w:rPr>
              <w:t>in the Interactive Data File because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25"/>
          </w:tcPr>
          <w:p>
            <w:pPr>
              <w:spacing w:after="0" w:line="202" w:lineRule="exact"/>
              <w:rPr>
                <w:sz w:val="20"/>
                <w:szCs w:val="20"/>
                <w:color w:val="auto"/>
              </w:rPr>
            </w:pPr>
            <w:r>
              <w:rPr>
                <w:rFonts w:ascii="Arial" w:cs="Arial" w:eastAsia="Arial" w:hAnsi="Arial"/>
                <w:sz w:val="18"/>
                <w:szCs w:val="18"/>
                <w:color w:val="auto"/>
              </w:rPr>
              <w:t>its XBRL tags are embedded within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auto"/>
              </w:rPr>
              <w:t>the Inline XBRL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auto"/>
              </w:rPr>
              <w:t>Schema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5"/>
          </w:tcPr>
          <w:p>
            <w:pPr>
              <w:spacing w:after="0"/>
              <w:rPr>
                <w:sz w:val="20"/>
                <w:szCs w:val="20"/>
                <w:color w:val="auto"/>
              </w:rPr>
            </w:pPr>
            <w:r>
              <w:rPr>
                <w:rFonts w:ascii="Arial" w:cs="Arial" w:eastAsia="Arial" w:hAnsi="Arial"/>
                <w:sz w:val="18"/>
                <w:szCs w:val="18"/>
                <w:color w:val="auto"/>
              </w:rPr>
              <w:t>Calculation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220" w:type="dxa"/>
            <w:vAlign w:val="bottom"/>
            <w:gridSpan w:val="2"/>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101.DEF</w:t>
            </w:r>
          </w:p>
        </w:tc>
        <w:tc>
          <w:tcPr>
            <w:tcW w:w="200" w:type="dxa"/>
            <w:vAlign w:val="bottom"/>
          </w:tcPr>
          <w:p>
            <w:pPr>
              <w:spacing w:after="0"/>
              <w:rPr>
                <w:sz w:val="15"/>
                <w:szCs w:val="15"/>
                <w:color w:val="auto"/>
              </w:rPr>
            </w:pPr>
          </w:p>
        </w:tc>
        <w:tc>
          <w:tcPr>
            <w:tcW w:w="30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Inline XBRL Extension Definition</w:t>
            </w:r>
          </w:p>
        </w:tc>
        <w:tc>
          <w:tcPr>
            <w:tcW w:w="1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Inline XBRL Taxonomy Label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Presentation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104</w:t>
            </w: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Cover Page Interactive Data File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(formatted as Inline XBRL and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3"/>
          </w:tcPr>
          <w:p>
            <w:pPr>
              <w:ind w:left="200"/>
              <w:spacing w:after="0"/>
              <w:rPr>
                <w:sz w:val="20"/>
                <w:szCs w:val="20"/>
                <w:color w:val="auto"/>
              </w:rPr>
            </w:pPr>
            <w:r>
              <w:rPr>
                <w:rFonts w:ascii="Arial" w:cs="Arial" w:eastAsia="Arial" w:hAnsi="Arial"/>
                <w:sz w:val="18"/>
                <w:szCs w:val="18"/>
                <w:color w:val="auto"/>
              </w:rPr>
              <w:t>contained in Exhibit 101)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270"/>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ind w:left="320" w:hanging="270"/>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rFonts w:ascii="Arial" w:cs="Arial" w:eastAsia="Arial" w:hAnsi="Arial"/>
          <w:sz w:val="14"/>
          <w:szCs w:val="14"/>
          <w:color w:val="auto"/>
        </w:rPr>
      </w:pPr>
    </w:p>
    <w:p>
      <w:pPr>
        <w:ind w:left="320" w:hanging="270"/>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5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Camping World Holdings, Inc</w:t>
            </w:r>
            <w:r>
              <w:rPr>
                <w:rFonts w:ascii="Arial" w:cs="Arial" w:eastAsia="Arial" w:hAnsi="Arial"/>
                <w:sz w:val="18"/>
                <w:szCs w:val="18"/>
                <w:color w:val="auto"/>
              </w:rPr>
              <w:t>.</w:t>
            </w:r>
          </w:p>
        </w:tc>
      </w:tr>
      <w:tr>
        <w:trPr>
          <w:trHeight w:val="221"/>
        </w:trPr>
        <w:tc>
          <w:tcPr>
            <w:tcW w:w="2980" w:type="dxa"/>
            <w:vAlign w:val="bottom"/>
          </w:tcPr>
          <w:p>
            <w:pPr>
              <w:spacing w:after="0"/>
              <w:rPr>
                <w:sz w:val="20"/>
                <w:szCs w:val="20"/>
                <w:color w:val="auto"/>
              </w:rPr>
            </w:pPr>
            <w:r>
              <w:rPr>
                <w:rFonts w:ascii="Arial" w:cs="Arial" w:eastAsia="Arial" w:hAnsi="Arial"/>
                <w:sz w:val="18"/>
                <w:szCs w:val="18"/>
                <w:color w:val="auto"/>
              </w:rPr>
              <w:t>Date: October 29, 2024</w:t>
            </w:r>
          </w:p>
        </w:tc>
        <w:tc>
          <w:tcPr>
            <w:tcW w:w="5920" w:type="dxa"/>
            <w:vAlign w:val="bottom"/>
            <w:gridSpan w:val="2"/>
          </w:tcPr>
          <w:p>
            <w:pPr>
              <w:ind w:left="1140"/>
              <w:spacing w:after="0"/>
              <w:rPr>
                <w:sz w:val="20"/>
                <w:szCs w:val="20"/>
                <w:color w:val="auto"/>
              </w:rPr>
            </w:pPr>
            <w:r>
              <w:rPr>
                <w:rFonts w:ascii="Arial" w:cs="Arial" w:eastAsia="Arial" w:hAnsi="Arial"/>
                <w:sz w:val="18"/>
                <w:szCs w:val="18"/>
                <w:color w:val="auto"/>
              </w:rPr>
              <w:t>By: /s/ Thomas E. Kirn</w:t>
            </w:r>
          </w:p>
        </w:tc>
      </w:tr>
      <w:tr>
        <w:trPr>
          <w:trHeight w:val="177"/>
        </w:trPr>
        <w:tc>
          <w:tcPr>
            <w:tcW w:w="2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Thomas E. Kirn</w:t>
            </w:r>
          </w:p>
        </w:tc>
      </w:tr>
      <w:tr>
        <w:trPr>
          <w:trHeight w:val="203"/>
        </w:trPr>
        <w:tc>
          <w:tcPr>
            <w:tcW w:w="2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(Principal Financial Officer and Principal</w:t>
            </w:r>
          </w:p>
        </w:tc>
      </w:tr>
      <w:tr>
        <w:trPr>
          <w:trHeight w:val="239"/>
        </w:trPr>
        <w:tc>
          <w:tcPr>
            <w:tcW w:w="2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Marcus A. Lemonis, certify that:</w:t>
      </w:r>
    </w:p>
    <w:p>
      <w:pPr>
        <w:spacing w:after="0" w:line="225" w:lineRule="exact"/>
        <w:rPr>
          <w:sz w:val="20"/>
          <w:szCs w:val="20"/>
          <w:color w:val="auto"/>
        </w:rPr>
      </w:pPr>
    </w:p>
    <w:p>
      <w:pPr>
        <w:ind w:left="240" w:hanging="196"/>
        <w:spacing w:after="0"/>
        <w:tabs>
          <w:tab w:leader="none" w:pos="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80" w:firstLine="4"/>
        <w:spacing w:after="0" w:line="268" w:lineRule="auto"/>
        <w:tabs>
          <w:tab w:leader="none" w:pos="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80" w:firstLine="4"/>
        <w:spacing w:after="0" w:line="268"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80" w:firstLine="4"/>
        <w:spacing w:after="0" w:line="261" w:lineRule="auto"/>
        <w:tabs>
          <w:tab w:leader="none" w:pos="2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80" w:hanging="8"/>
        <w:spacing w:after="0" w:line="262" w:lineRule="auto"/>
        <w:tabs>
          <w:tab w:leader="none" w:pos="103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80" w:hanging="8"/>
        <w:spacing w:after="0" w:line="262" w:lineRule="auto"/>
        <w:tabs>
          <w:tab w:leader="none" w:pos="9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80" w:hanging="8"/>
        <w:spacing w:after="0" w:line="268" w:lineRule="auto"/>
        <w:tabs>
          <w:tab w:leader="none" w:pos="9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80" w:hanging="8"/>
        <w:spacing w:after="0" w:line="262" w:lineRule="auto"/>
        <w:tabs>
          <w:tab w:leader="none" w:pos="9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80" w:firstLine="4"/>
        <w:spacing w:after="0" w:line="261" w:lineRule="auto"/>
        <w:tabs>
          <w:tab w:leader="none" w:pos="2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80" w:hanging="8"/>
        <w:spacing w:after="0" w:line="268" w:lineRule="auto"/>
        <w:tabs>
          <w:tab w:leader="none" w:pos="9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80" w:hanging="8"/>
        <w:spacing w:after="0" w:line="287" w:lineRule="auto"/>
        <w:tabs>
          <w:tab w:leader="none" w:pos="100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October 29, 2024</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122" w:right="14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Thomas E. Kirn, certify that:</w:t>
      </w:r>
    </w:p>
    <w:p>
      <w:pPr>
        <w:spacing w:after="0" w:line="225" w:lineRule="exact"/>
        <w:rPr>
          <w:sz w:val="20"/>
          <w:szCs w:val="20"/>
          <w:color w:val="auto"/>
        </w:rPr>
      </w:pPr>
    </w:p>
    <w:p>
      <w:pPr>
        <w:ind w:left="240" w:hanging="196"/>
        <w:spacing w:after="0"/>
        <w:tabs>
          <w:tab w:leader="none" w:pos="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160" w:firstLine="4"/>
        <w:spacing w:after="0" w:line="268" w:lineRule="auto"/>
        <w:tabs>
          <w:tab w:leader="none" w:pos="2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160" w:firstLine="4"/>
        <w:spacing w:after="0" w:line="268" w:lineRule="auto"/>
        <w:tabs>
          <w:tab w:leader="none" w:pos="24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160" w:firstLine="4"/>
        <w:spacing w:after="0" w:line="261" w:lineRule="auto"/>
        <w:tabs>
          <w:tab w:leader="none" w:pos="2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160" w:hanging="8"/>
        <w:spacing w:after="0" w:line="262" w:lineRule="auto"/>
        <w:tabs>
          <w:tab w:leader="none" w:pos="103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160" w:hanging="8"/>
        <w:spacing w:after="0" w:line="262" w:lineRule="auto"/>
        <w:tabs>
          <w:tab w:leader="none" w:pos="9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160" w:hanging="8"/>
        <w:spacing w:after="0" w:line="268" w:lineRule="auto"/>
        <w:tabs>
          <w:tab w:leader="none" w:pos="9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160" w:hanging="8"/>
        <w:spacing w:after="0" w:line="262" w:lineRule="auto"/>
        <w:tabs>
          <w:tab w:leader="none" w:pos="9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160" w:firstLine="4"/>
        <w:spacing w:after="0" w:line="261" w:lineRule="auto"/>
        <w:tabs>
          <w:tab w:leader="none" w:pos="2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160" w:hanging="8"/>
        <w:spacing w:after="0" w:line="268" w:lineRule="auto"/>
        <w:tabs>
          <w:tab w:leader="none" w:pos="9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160" w:hanging="8"/>
        <w:spacing w:after="0" w:line="287" w:lineRule="auto"/>
        <w:tabs>
          <w:tab w:leader="none" w:pos="10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October 29, 2024</w:t>
      </w:r>
      <w:r>
        <w:rPr>
          <w:sz w:val="20"/>
          <w:szCs w:val="20"/>
          <w:color w:val="auto"/>
        </w:rPr>
        <w:tab/>
      </w:r>
      <w:r>
        <w:rPr>
          <w:rFonts w:ascii="Arial" w:cs="Arial" w:eastAsia="Arial" w:hAnsi="Arial"/>
          <w:sz w:val="18"/>
          <w:szCs w:val="18"/>
          <w:color w:val="auto"/>
        </w:rPr>
        <w:t>By: /s/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E. Kirn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 and Principal</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20"/>
          </w:cols>
          <w:pgMar w:left="1440" w:top="122" w:right="1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20" w:firstLine="648"/>
        <w:spacing w:after="0" w:line="255"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September 30, 2024, as filed with the U.S. Securities and Exchange Commission on the date hereof (the “Report”), I, Marcus A. Lemonis, Chairman and Chief Executive Officer of the Company, hereby certify, pursuant to 18 U.S.C. Section 1350, as adopted pursuant to Section 906 of the Sarbanes-Oxley Act of 2002, that, to my knowledge:</w:t>
      </w:r>
    </w:p>
    <w:p>
      <w:pPr>
        <w:spacing w:after="0" w:line="183" w:lineRule="exact"/>
        <w:rPr>
          <w:sz w:val="20"/>
          <w:szCs w:val="20"/>
          <w:color w:val="auto"/>
        </w:rPr>
      </w:pPr>
    </w:p>
    <w:p>
      <w:pPr>
        <w:ind w:left="40" w:right="20" w:firstLine="652"/>
        <w:spacing w:after="0" w:line="28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20" w:firstLine="652"/>
        <w:spacing w:after="0" w:line="287" w:lineRule="auto"/>
        <w:tabs>
          <w:tab w:leader="none" w:pos="9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October 29, 2024</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60"/>
          </w:cols>
          <w:pgMar w:left="1440" w:top="122" w:right="999" w:bottom="1440" w:gutter="0" w:footer="0" w:header="0"/>
        </w:sectPr>
      </w:pPr>
    </w:p>
    <w:bookmarkStart w:id="73" w:name="page74"/>
    <w:bookmarkEnd w:id="73"/>
    <w:p>
      <w:pPr>
        <w:ind w:left="8280"/>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September 30, 2024,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firstLine="652"/>
        <w:spacing w:after="0" w:line="287" w:lineRule="auto"/>
        <w:tabs>
          <w:tab w:leader="none" w:pos="9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firstLine="652"/>
        <w:spacing w:after="0" w:line="287" w:lineRule="auto"/>
        <w:tabs>
          <w:tab w:leader="none" w:pos="9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r>
              <w:rPr>
                <w:rFonts w:ascii="Arial" w:cs="Arial" w:eastAsia="Arial" w:hAnsi="Arial"/>
                <w:sz w:val="18"/>
                <w:szCs w:val="18"/>
                <w:color w:val="auto"/>
              </w:rPr>
              <w:t>Date: October 29, 2024</w:t>
            </w:r>
          </w:p>
        </w:tc>
        <w:tc>
          <w:tcPr>
            <w:tcW w:w="5740" w:type="dxa"/>
            <w:vAlign w:val="bottom"/>
            <w:gridSpan w:val="2"/>
          </w:tcPr>
          <w:p>
            <w:pPr>
              <w:ind w:left="1300"/>
              <w:spacing w:after="0"/>
              <w:rPr>
                <w:sz w:val="20"/>
                <w:szCs w:val="20"/>
                <w:color w:val="auto"/>
              </w:rPr>
            </w:pPr>
            <w:r>
              <w:rPr>
                <w:rFonts w:ascii="Arial" w:cs="Arial" w:eastAsia="Arial" w:hAnsi="Arial"/>
                <w:sz w:val="18"/>
                <w:szCs w:val="18"/>
                <w:color w:val="auto"/>
              </w:rPr>
              <w:t>By:  /s/ Thomas E. Kirn</w:t>
            </w:r>
          </w:p>
        </w:tc>
      </w:tr>
      <w:tr>
        <w:trPr>
          <w:trHeight w:val="191"/>
        </w:trPr>
        <w:tc>
          <w:tcPr>
            <w:tcW w:w="3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Thomas E. Kirn</w:t>
            </w:r>
          </w:p>
        </w:tc>
      </w:tr>
      <w:tr>
        <w:trPr>
          <w:trHeight w:val="216"/>
        </w:trPr>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9"/>
        </w:trPr>
        <w:tc>
          <w:tcPr>
            <w:tcW w:w="3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13"/>
        </w:trPr>
        <w:tc>
          <w:tcPr>
            <w:tcW w:w="3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2"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2"/>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2"/>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4"/>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2"/>
    </w:lvl>
  </w:abstractNum>
  <w:abstractNum w:abstractNumId="16">
    <w:nsid w:val="440BADFC"/>
    <w:multiLevelType w:val="hybridMultilevel"/>
    <w:lvl w:ilvl="0">
      <w:lvlJc w:val="left"/>
      <w:lvlText w:val="%1."/>
      <w:numFmt w:val="decimal"/>
      <w:start w:val="6"/>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0"/>
    </w:lvl>
  </w:abstractNum>
  <w:abstractNum w:abstractNumId="23">
    <w:nsid w:val="5E884ADC"/>
    <w:multiLevelType w:val="hybridMultilevel"/>
    <w:lvl w:ilvl="0">
      <w:lvlJc w:val="left"/>
      <w:lvlText w:val="(%1)"/>
      <w:numFmt w:val="lowerRoman"/>
      <w:start w:val="7"/>
    </w:lvl>
  </w:abstractNum>
  <w:abstractNum w:abstractNumId="24">
    <w:nsid w:val="51EAD36B"/>
    <w:multiLevelType w:val="hybridMultilevel"/>
    <w:lvl w:ilvl="0">
      <w:lvlJc w:val="left"/>
      <w:lvlText w:val="(%1)"/>
      <w:numFmt w:val="lowerRoman"/>
      <w:start w:val="11"/>
    </w:lvl>
  </w:abstractNum>
  <w:abstractNum w:abstractNumId="25">
    <w:nsid w:val="2D517796"/>
    <w:multiLevelType w:val="hybridMultilevel"/>
    <w:lvl w:ilvl="0">
      <w:lvlJc w:val="left"/>
      <w:lvlText w:val="%1"/>
      <w:numFmt w:val="upperLetter"/>
      <w:start w:val="35"/>
    </w:lvl>
  </w:abstractNum>
  <w:abstractNum w:abstractNumId="26">
    <w:nsid w:val="580BD78F"/>
    <w:multiLevelType w:val="hybridMultilevel"/>
    <w:lvl w:ilvl="0">
      <w:lvlJc w:val="left"/>
      <w:lvlText w:val="%1."/>
      <w:numFmt w:val="decimal"/>
      <w:start w:val="15"/>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endash "/>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lowerLetter"/>
      <w:start w:val="1"/>
    </w:lvl>
    <w:lvl w:ilvl="1">
      <w:lvlJc w:val="left"/>
      <w:lvlText w:val="(%2)"/>
      <w:numFmt w:val="lowerLetter"/>
      <w:start w:val="2"/>
    </w:lvl>
  </w:abstractNum>
  <w:abstractNum w:abstractNumId="36">
    <w:nsid w:val="7A6D8D3C"/>
    <w:multiLevelType w:val="hybridMultilevel"/>
    <w:lvl w:ilvl="0">
      <w:lvlJc w:val="left"/>
      <w:lvlText w:val="(%1)"/>
      <w:numFmt w:val="lowerLetter"/>
      <w:start w:val="3"/>
    </w:lvl>
  </w:abstractNum>
  <w:abstractNum w:abstractNumId="37">
    <w:nsid w:val="4B588F54"/>
    <w:multiLevelType w:val="hybridMultilevel"/>
    <w:lvl w:ilvl="0">
      <w:lvlJc w:val="left"/>
      <w:lvlText w:val="(%1)"/>
      <w:numFmt w:val="lowerLetter"/>
      <w:start w:val="6"/>
    </w:lvl>
  </w:abstractNum>
  <w:abstractNum w:abstractNumId="38">
    <w:nsid w:val="542289EC"/>
    <w:multiLevelType w:val="hybridMultilevel"/>
    <w:lvl w:ilvl="0">
      <w:lvlJc w:val="left"/>
      <w:lvlText w:val="(%1)"/>
      <w:numFmt w:val="lowerLetter"/>
      <w:start w:val="7"/>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lowerLetter"/>
      <w:start w:val="2"/>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86" Type="http://schemas.openxmlformats.org/officeDocument/2006/relationships/hyperlink" Target="http://www.sec.gov/Archives/edgar/data/1669779/000155837016009958/cwh-20160930ex31ff0a1e6.htm" TargetMode="External"/><Relationship Id="rId87" Type="http://schemas.openxmlformats.org/officeDocument/2006/relationships/hyperlink" Target="https://www.sec.gov/Archives/edgar/data/1669779/000110465923128905/tm2333657d1_ex3-1.htm" TargetMode="External"/><Relationship Id="rId88" Type="http://schemas.openxmlformats.org/officeDocument/2006/relationships/hyperlink" Target="http://www.sec.gov/Archives/edgar/data/1669779/000104746916015424/a2229683zex-4_1.htm" TargetMode="External"/><Relationship Id="rId89" Type="http://schemas.openxmlformats.org/officeDocument/2006/relationships/hyperlink" Target="https://www.sec.gov/Archives/edgar/data/1669779/000155837024012550/cwh-20240827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2024-10-29T15:28:27Z</dcterms:created>
  <dcterms:modified xsi:type="dcterms:W3CDTF">2024-10-29T15:28:27Z</dcterms:modified>
</cp:coreProperties>
</file>