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246" w:right="340" w:hanging="3246"/>
        <w:spacing w:after="0" w:line="310" w:lineRule="auto"/>
        <w:tabs>
          <w:tab w:leader="none" w:pos="65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2025</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64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8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Class A Common Stock,</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$0.01 par value per share</w:t>
            </w:r>
          </w:p>
        </w:tc>
        <w:tc>
          <w:tcPr>
            <w:tcW w:w="196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2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100" w:firstLine="247"/>
        <w:spacing w:after="0" w:line="271" w:lineRule="auto"/>
        <w:rPr>
          <w:sz w:val="20"/>
          <w:szCs w:val="20"/>
          <w:color w:val="auto"/>
        </w:rPr>
      </w:pPr>
      <w:r>
        <w:rPr>
          <w:rFonts w:ascii="Arial" w:cs="Arial" w:eastAsia="Arial" w:hAnsi="Arial"/>
          <w:sz w:val="18"/>
          <w:szCs w:val="18"/>
          <w:color w:val="auto"/>
        </w:rPr>
        <w:t>As of April 25, 2025, the registrant had 62,569,449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3"/>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1"/>
          </w:tcPr>
          <w:p>
            <w:pPr>
              <w:ind w:left="300"/>
              <w:spacing w:after="0" w:line="182" w:lineRule="exact"/>
              <w:rPr>
                <w:sz w:val="20"/>
                <w:szCs w:val="20"/>
                <w:color w:val="auto"/>
              </w:rPr>
            </w:pPr>
            <w:r>
              <w:rPr>
                <w:rFonts w:ascii="Arial" w:cs="Arial" w:eastAsia="Arial" w:hAnsi="Arial"/>
                <w:sz w:val="18"/>
                <w:szCs w:val="18"/>
                <w:color w:val="0000EE"/>
              </w:rPr>
              <w:t>Balance Sheets – March 31, 2025, December 31, 2024,</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and March 31, 2024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88"/>
              </w:rPr>
              <w:t>Unaudited Condensed</w:t>
            </w:r>
          </w:p>
        </w:tc>
        <w:tc>
          <w:tcPr>
            <w:tcW w:w="5820" w:type="dxa"/>
            <w:vAlign w:val="bottom"/>
            <w:gridSpan w:val="17"/>
          </w:tcPr>
          <w:p>
            <w:pPr>
              <w:ind w:left="240"/>
              <w:spacing w:after="0" w:line="182" w:lineRule="exact"/>
              <w:rPr>
                <w:sz w:val="20"/>
                <w:szCs w:val="20"/>
                <w:color w:val="auto"/>
              </w:rPr>
            </w:pPr>
            <w:r>
              <w:rPr>
                <w:rFonts w:ascii="Arial" w:cs="Arial" w:eastAsia="Arial" w:hAnsi="Arial"/>
                <w:sz w:val="18"/>
                <w:szCs w:val="18"/>
                <w:color w:val="0000EE"/>
                <w:w w:val="99"/>
              </w:rPr>
              <w:t>Consolidated Statements of Operations – Three Months Ended March</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31, 2025 and 2024</w:t>
            </w:r>
          </w:p>
        </w:tc>
        <w:tc>
          <w:tcPr>
            <w:tcW w:w="59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Stockholders’ Equity – Three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March 31, 2025 and 2024</w:t>
            </w:r>
          </w:p>
        </w:tc>
        <w:tc>
          <w:tcPr>
            <w:tcW w:w="442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Cash Flows –Three Months Ended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March 31, 2025 and 2024</w:t>
            </w:r>
          </w:p>
        </w:tc>
        <w:tc>
          <w:tcPr>
            <w:tcW w:w="22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Notes to Unaudited Condensed Consolidated Financial Statements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5"/>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00" w:type="dxa"/>
            <w:vAlign w:val="bottom"/>
            <w:gridSpan w:val="6"/>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5"/>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1"/>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0"/>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March 31, 2025,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2024 filed with the Securities and Exchange Commission (“SEC”) on February 28, 2025.</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jc w:val="both"/>
        <w:ind w:left="1380" w:right="79" w:hanging="331"/>
        <w:spacing w:after="0" w:line="24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50"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Chairman and Chief Executive Officer, Marcus A. Lemonis.</w:t>
      </w:r>
    </w:p>
    <w:p>
      <w:pPr>
        <w:spacing w:after="0" w:line="11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sufficiency of our sources of liquidity and capital and potential need for additional financing; our stock repurchase program;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expectations regarding acquisitions of RV dealerships; cost reduction initiatives and expected cost savings; our human capital initiatives; expectations regarding our pending litigation,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52" w:lineRule="exact"/>
        <w:rPr>
          <w:sz w:val="20"/>
          <w:szCs w:val="20"/>
          <w:color w:val="auto"/>
        </w:rPr>
      </w:pPr>
    </w:p>
    <w:p>
      <w:pPr>
        <w:ind w:left="1040" w:right="11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as well as the health of the RV industry, and ongoing economic and financial uncertainties;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financing to us and our customers;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 particularly Thor Industries, Inc. and Forest River, Inc.;</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new RV dealership locations, including greenfield locations and acquisitions;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strength and value of our brands;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cost cutting initiatives and impairment charges incurred in connection with previous restructuring initiatives may be materially higher than expected or anticipated;</w:t>
      </w:r>
    </w:p>
    <w:p>
      <w:pPr>
        <w:spacing w:after="0" w:line="170"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 which may be susceptible to a natural disaster or other serious disruption at any such facility;</w:t>
      </w:r>
    </w:p>
    <w:p>
      <w:pPr>
        <w:spacing w:after="0" w:line="154"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 party providers of services, protection plans, products and resources and a disruption of these relationships or of these providers’ operations;</w:t>
      </w:r>
    </w:p>
    <w:p>
      <w:pPr>
        <w:spacing w:after="0" w:line="154" w:lineRule="exact"/>
        <w:rPr>
          <w:rFonts w:ascii="Times New Roman" w:cs="Times New Roman" w:eastAsia="Times New Roman" w:hAnsi="Times New Roman"/>
          <w:sz w:val="18"/>
          <w:szCs w:val="18"/>
          <w:color w:val="auto"/>
        </w:rPr>
      </w:pPr>
    </w:p>
    <w:p>
      <w:pPr>
        <w:ind w:left="1040" w:right="1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the products that we sell are manufactured abroad and any delays, new or increased tariffs, increased cost or quality control deficiencies in the importation of these products;</w:t>
      </w:r>
    </w:p>
    <w:p>
      <w:pPr>
        <w:spacing w:after="0" w:line="154" w:lineRule="exact"/>
        <w:rPr>
          <w:rFonts w:ascii="Times New Roman" w:cs="Times New Roman" w:eastAsia="Times New Roman" w:hAnsi="Times New Roman"/>
          <w:sz w:val="18"/>
          <w:szCs w:val="18"/>
          <w:color w:val="auto"/>
        </w:rPr>
      </w:pPr>
    </w:p>
    <w:p>
      <w:pPr>
        <w:ind w:left="1040" w:right="219" w:hanging="315"/>
        <w:spacing w:after="0" w:line="300" w:lineRule="auto"/>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third-party lending institutions and insurance companies will continue to provide financing for RV purchases, insurance and extended service contracts that relate to a portion of our net income;</w:t>
      </w:r>
    </w:p>
    <w:p>
      <w:pPr>
        <w:spacing w:after="0" w:line="1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we incur asset impairment charges for goodwill, intangible assets or other long-lived assets;</w:t>
      </w:r>
    </w:p>
    <w:p>
      <w:pPr>
        <w:spacing w:after="0" w:line="235"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224" w:lineRule="exact"/>
        <w:rPr>
          <w:rFonts w:ascii="Times New Roman" w:cs="Times New Roman" w:eastAsia="Times New Roman" w:hAnsi="Times New Roman"/>
          <w:sz w:val="18"/>
          <w:szCs w:val="18"/>
          <w:color w:val="auto"/>
        </w:rPr>
      </w:pPr>
    </w:p>
    <w:p>
      <w:pPr>
        <w:ind w:left="1040" w:right="3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54" w:lineRule="exact"/>
        <w:rPr>
          <w:rFonts w:ascii="Times New Roman" w:cs="Times New Roman" w:eastAsia="Times New Roman" w:hAnsi="Times New Roman"/>
          <w:sz w:val="18"/>
          <w:szCs w:val="18"/>
          <w:color w:val="auto"/>
        </w:rPr>
      </w:pPr>
    </w:p>
    <w:p>
      <w:pPr>
        <w:jc w:val="both"/>
        <w:ind w:left="1040" w:right="8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disruptions or breaches involving our or our third-party providers’ information technology systems or confidential information or our failure to meet increasingly demanding regulatory requirements;</w:t>
      </w:r>
    </w:p>
    <w:p>
      <w:pPr>
        <w:spacing w:after="0" w:line="17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material weaknesses in our internal control over financial reporting;</w:t>
      </w:r>
    </w:p>
    <w:p>
      <w:pPr>
        <w:spacing w:after="0" w:line="224"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relating to our organizational structure and to ownership of shares of our Class A common stock;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and in our other filings with the SEC.</w:t>
      </w:r>
    </w:p>
    <w:p>
      <w:pPr>
        <w:spacing w:after="0" w:line="15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4"/>
                <w:szCs w:val="14"/>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20,916</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Contracts in transit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149,113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61,222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154,231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118,800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2,119,169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1,821,837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2,077,592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74,418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Assets held for sale</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20,536</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2,502,952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2,271,288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2,436,896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886,244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846,760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878,956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749,177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739,352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768,903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210,586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215,140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18,520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12,998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747,802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734,023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735,680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31,929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37,245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5,147,210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5,066,930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250,884</w:t>
            </w:r>
          </w:p>
        </w:tc>
        <w:tc>
          <w:tcPr>
            <w:tcW w:w="30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145,346</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205,006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160,711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89,084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92,124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95,854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operating lease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65,653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61,993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Current portion of finance lease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7,646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Tax Receivable Agreement liability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23,147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23,275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25,651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Notes payable – floor plan,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1,320,687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1,161,713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1,414,696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Other current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74,129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70,900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72,783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current liabilities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1,993,641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1,680,952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2,055,284</w:t>
            </w:r>
          </w:p>
        </w:tc>
        <w:tc>
          <w:tcPr>
            <w:tcW w:w="0" w:type="dxa"/>
            <w:vAlign w:val="bottom"/>
          </w:tcPr>
          <w:p>
            <w:pPr>
              <w:spacing w:after="0"/>
              <w:rPr>
                <w:sz w:val="1"/>
                <w:szCs w:val="1"/>
                <w:color w:val="auto"/>
              </w:rPr>
            </w:pPr>
          </w:p>
        </w:tc>
      </w:tr>
      <w:tr>
        <w:trPr>
          <w:trHeight w:val="162"/>
        </w:trPr>
        <w:tc>
          <w:tcPr>
            <w:tcW w:w="56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769,518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764,113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796,770</w:t>
            </w:r>
          </w:p>
        </w:tc>
        <w:tc>
          <w:tcPr>
            <w:tcW w:w="0" w:type="dxa"/>
            <w:vAlign w:val="bottom"/>
          </w:tcPr>
          <w:p>
            <w:pPr>
              <w:spacing w:after="0"/>
              <w:rPr>
                <w:sz w:val="1"/>
                <w:szCs w:val="1"/>
                <w:color w:val="auto"/>
              </w:rPr>
            </w:pPr>
          </w:p>
        </w:tc>
      </w:tr>
      <w:tr>
        <w:trPr>
          <w:trHeight w:val="162"/>
        </w:trPr>
        <w:tc>
          <w:tcPr>
            <w:tcW w:w="5620" w:type="dxa"/>
            <w:vAlign w:val="bottom"/>
            <w:gridSpan w:val="2"/>
          </w:tcPr>
          <w:p>
            <w:pPr>
              <w:spacing w:after="0"/>
              <w:rPr>
                <w:sz w:val="20"/>
                <w:szCs w:val="20"/>
                <w:color w:val="auto"/>
              </w:rPr>
            </w:pPr>
            <w:r>
              <w:rPr>
                <w:rFonts w:ascii="Arial" w:cs="Arial" w:eastAsia="Arial" w:hAnsi="Arial"/>
                <w:sz w:val="13"/>
                <w:szCs w:val="13"/>
                <w:color w:val="auto"/>
              </w:rPr>
              <w:t>Finance lease liabilities, net of current portion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130,596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136,284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148,672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150,372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149,866</w:t>
            </w:r>
          </w:p>
        </w:tc>
        <w:tc>
          <w:tcPr>
            <w:tcW w:w="0" w:type="dxa"/>
            <w:vAlign w:val="bottom"/>
          </w:tcPr>
          <w:p>
            <w:pPr>
              <w:spacing w:after="0"/>
              <w:rPr>
                <w:sz w:val="1"/>
                <w:szCs w:val="1"/>
                <w:color w:val="auto"/>
              </w:rPr>
            </w:pPr>
          </w:p>
        </w:tc>
      </w:tr>
      <w:tr>
        <w:trPr>
          <w:trHeight w:val="162"/>
        </w:trPr>
        <w:tc>
          <w:tcPr>
            <w:tcW w:w="5620" w:type="dxa"/>
            <w:vAlign w:val="bottom"/>
            <w:gridSpan w:val="2"/>
          </w:tcPr>
          <w:p>
            <w:pPr>
              <w:spacing w:after="0"/>
              <w:rPr>
                <w:sz w:val="20"/>
                <w:szCs w:val="20"/>
                <w:color w:val="auto"/>
              </w:rPr>
            </w:pPr>
            <w:r>
              <w:rPr>
                <w:rFonts w:ascii="Arial" w:cs="Arial" w:eastAsia="Arial" w:hAnsi="Arial"/>
                <w:sz w:val="13"/>
                <w:szCs w:val="13"/>
                <w:color w:val="auto"/>
              </w:rPr>
              <w:t>Revolving line of credit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1,488,388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1,493,318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1,545,165</w:t>
            </w:r>
          </w:p>
        </w:tc>
        <w:tc>
          <w:tcPr>
            <w:tcW w:w="0" w:type="dxa"/>
            <w:vAlign w:val="bottom"/>
          </w:tcPr>
          <w:p>
            <w:pPr>
              <w:spacing w:after="0"/>
              <w:rPr>
                <w:sz w:val="1"/>
                <w:szCs w:val="1"/>
                <w:color w:val="auto"/>
              </w:rPr>
            </w:pPr>
          </w:p>
        </w:tc>
      </w:tr>
      <w:tr>
        <w:trPr>
          <w:trHeight w:val="162"/>
        </w:trPr>
        <w:tc>
          <w:tcPr>
            <w:tcW w:w="5620" w:type="dxa"/>
            <w:vAlign w:val="bottom"/>
            <w:gridSpan w:val="2"/>
          </w:tcPr>
          <w:p>
            <w:pPr>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62,699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63,642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65,970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94,885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94,927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89,528</w:t>
            </w: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4,688,399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4,378,328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4,870,752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Preferred stock, par value $0.01 per share – 20,000 shares authorized; none issued and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0" w:type="dxa"/>
            <w:vAlign w:val="bottom"/>
          </w:tcPr>
          <w:p>
            <w:pPr>
              <w:ind w:left="8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62,569,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62,502 and 49,571 shares issued and outstanding,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shares issued and outstanding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0" w:type="dxa"/>
            <w:vAlign w:val="bottom"/>
          </w:tcPr>
          <w:p>
            <w:pPr>
              <w:ind w:left="8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197,730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193,692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80"/>
              <w:spacing w:after="0"/>
              <w:rPr>
                <w:sz w:val="20"/>
                <w:szCs w:val="20"/>
                <w:color w:val="auto"/>
              </w:rPr>
            </w:pPr>
            <w:r>
              <w:rPr>
                <w:rFonts w:ascii="Arial" w:cs="Arial" w:eastAsia="Arial" w:hAnsi="Arial"/>
                <w:sz w:val="13"/>
                <w:szCs w:val="13"/>
                <w:color w:val="auto"/>
              </w:rPr>
              <w:t>Treasury stock, at cost; 4,499 shares at March 31, 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(157,631)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112,140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132,241</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310,500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326,562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142,768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148,311</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158,387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458,811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484,949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196,178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5,147,210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5,066,930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46,208</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621,432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656,086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422,351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164,992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177,894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148,667</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9,874</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6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1,367,316</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1,318,336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1,413,524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1,364,017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Costs applicable to revenue (exclusive of depreciation and amortization shown separately below):</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17,721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536,359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565,039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343,961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84,739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101,675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6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6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966,175</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946,437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983,896</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961,620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387,445</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22,544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(Gain) loss on sale or disposal of assets</w:t>
            </w: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operating expenses</w:t>
            </w:r>
          </w:p>
        </w:tc>
        <w:tc>
          <w:tcPr>
            <w:tcW w:w="6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408,786</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398,175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spacing w:after="0" w:line="155" w:lineRule="exact"/>
              <w:rPr>
                <w:sz w:val="20"/>
                <w:szCs w:val="20"/>
                <w:color w:val="auto"/>
              </w:rPr>
            </w:pPr>
            <w:r>
              <w:rPr>
                <w:rFonts w:ascii="Arial" w:cs="Arial" w:eastAsia="Arial" w:hAnsi="Arial"/>
                <w:sz w:val="14"/>
                <w:szCs w:val="14"/>
                <w:color w:val="auto"/>
              </w:rPr>
              <w:t>Income from operations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20,842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4,222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Floor plan interest expense</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(18,306)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interest expense, net</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net</w:t>
            </w: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other expense</w:t>
            </w:r>
          </w:p>
        </w:tc>
        <w:tc>
          <w:tcPr>
            <w:tcW w:w="6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(48,995)</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(64,070)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(28,153)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(59,848)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6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(24,682)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(50,806)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Less: net loss attributable to non-controlling interests</w:t>
            </w:r>
          </w:p>
        </w:tc>
        <w:tc>
          <w:tcPr>
            <w:tcW w:w="6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12,402</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8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(12,280)</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(22,307)</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Loss per share of Class A common stock:</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5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Diluted</w:t>
            </w: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(0.21)</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10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62,531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45,047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102,426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85,092</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Additional</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Non-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7"/>
        </w:trPr>
        <w:tc>
          <w:tcPr>
            <w:tcW w:w="2620" w:type="dxa"/>
            <w:vAlign w:val="bottom"/>
          </w:tcPr>
          <w:p>
            <w:pPr>
              <w:spacing w:after="0"/>
              <w:rPr>
                <w:sz w:val="11"/>
                <w:szCs w:val="11"/>
                <w:color w:val="auto"/>
              </w:rPr>
            </w:pPr>
          </w:p>
        </w:tc>
        <w:tc>
          <w:tcPr>
            <w:tcW w:w="3500" w:type="dxa"/>
            <w:vAlign w:val="bottom"/>
            <w:gridSpan w:val="15"/>
          </w:tcPr>
          <w:p>
            <w:pPr>
              <w:jc w:val="center"/>
              <w:spacing w:after="0"/>
              <w:rPr>
                <w:sz w:val="20"/>
                <w:szCs w:val="20"/>
                <w:color w:val="auto"/>
              </w:rPr>
            </w:pPr>
            <w:r>
              <w:rPr>
                <w:rFonts w:ascii="Arial" w:cs="Arial" w:eastAsia="Arial" w:hAnsi="Arial"/>
                <w:sz w:val="10"/>
                <w:szCs w:val="10"/>
                <w:b w:val="1"/>
                <w:bCs w:val="1"/>
                <w:color w:val="auto"/>
              </w:rPr>
              <w:t>Class A Common Stock  Class B Common Stock  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Paid-In</w:t>
            </w:r>
          </w:p>
        </w:tc>
        <w:tc>
          <w:tcPr>
            <w:tcW w:w="1280" w:type="dxa"/>
            <w:vAlign w:val="bottom"/>
            <w:gridSpan w:val="5"/>
          </w:tcPr>
          <w:p>
            <w:pPr>
              <w:ind w:left="26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20" w:type="dxa"/>
            <w:vAlign w:val="bottom"/>
          </w:tcPr>
          <w:p>
            <w:pPr>
              <w:spacing w:after="0"/>
              <w:rPr>
                <w:sz w:val="10"/>
                <w:szCs w:val="10"/>
                <w:color w:val="auto"/>
              </w:rPr>
            </w:pPr>
          </w:p>
        </w:tc>
        <w:tc>
          <w:tcPr>
            <w:tcW w:w="50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6"/>
              </w:rPr>
              <w:t>Amounts</w:t>
            </w:r>
          </w:p>
        </w:tc>
        <w:tc>
          <w:tcPr>
            <w:tcW w:w="80" w:type="dxa"/>
            <w:vAlign w:val="bottom"/>
          </w:tcPr>
          <w:p>
            <w:pPr>
              <w:spacing w:after="0"/>
              <w:rPr>
                <w:sz w:val="10"/>
                <w:szCs w:val="10"/>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Capital</w:t>
            </w:r>
          </w:p>
        </w:tc>
        <w:tc>
          <w:tcPr>
            <w:tcW w:w="5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6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2025</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62,502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193,692</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132,241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158,387</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484,949</w:t>
            </w:r>
          </w:p>
        </w:tc>
      </w:tr>
      <w:tr>
        <w:trPr>
          <w:trHeight w:val="135"/>
        </w:trPr>
        <w:tc>
          <w:tcPr>
            <w:tcW w:w="262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4,438</w:t>
            </w:r>
          </w:p>
        </w:tc>
        <w:tc>
          <w:tcPr>
            <w:tcW w:w="16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2,832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7,270</w:t>
            </w:r>
          </w:p>
        </w:tc>
      </w:tr>
      <w:tr>
        <w:trPr>
          <w:trHeight w:val="121"/>
        </w:trPr>
        <w:tc>
          <w:tcPr>
            <w:tcW w:w="26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446</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(447)</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2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2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(871)</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(871)</w:t>
            </w:r>
          </w:p>
        </w:tc>
      </w:tr>
      <w:tr>
        <w:trPr>
          <w:trHeight w:val="122"/>
        </w:trPr>
        <w:tc>
          <w:tcPr>
            <w:tcW w:w="26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(34)</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r>
      <w:tr>
        <w:trPr>
          <w:trHeight w:val="121"/>
        </w:trPr>
        <w:tc>
          <w:tcPr>
            <w:tcW w:w="262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ind w:left="4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(7,821)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(7,821)</w:t>
            </w:r>
          </w:p>
        </w:tc>
      </w:tr>
      <w:tr>
        <w:trPr>
          <w:trHeight w:val="122"/>
        </w:trPr>
        <w:tc>
          <w:tcPr>
            <w:tcW w:w="26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Net loss</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(12,280)</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(12,402)</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(24,682)</w:t>
            </w:r>
          </w:p>
        </w:tc>
      </w:tr>
      <w:tr>
        <w:trPr>
          <w:trHeight w:val="128"/>
        </w:trPr>
        <w:tc>
          <w:tcPr>
            <w:tcW w:w="2620" w:type="dxa"/>
            <w:vAlign w:val="bottom"/>
            <w:shd w:val="clear" w:color="auto" w:fill="CCEEFF"/>
          </w:tcPr>
          <w:p>
            <w:pPr>
              <w:spacing w:after="0"/>
              <w:rPr>
                <w:sz w:val="20"/>
                <w:szCs w:val="20"/>
                <w:color w:val="auto"/>
              </w:rPr>
            </w:pPr>
            <w:r>
              <w:rPr>
                <w:rFonts w:ascii="Arial" w:cs="Arial" w:eastAsia="Arial" w:hAnsi="Arial"/>
                <w:sz w:val="11"/>
                <w:szCs w:val="11"/>
                <w:color w:val="auto"/>
              </w:rPr>
              <w:t>Balance at March 31, 2025</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62,570</w:t>
            </w:r>
          </w:p>
        </w:tc>
        <w:tc>
          <w:tcPr>
            <w:tcW w:w="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39,466</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197,730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148,311</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458,811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the three months ended March 31,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Additional</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2580" w:type="dxa"/>
            <w:vAlign w:val="bottom"/>
          </w:tcPr>
          <w:p>
            <w:pPr>
              <w:spacing w:after="0"/>
              <w:rPr>
                <w:sz w:val="11"/>
                <w:szCs w:val="11"/>
                <w:color w:val="auto"/>
              </w:rPr>
            </w:pPr>
          </w:p>
        </w:tc>
        <w:tc>
          <w:tcPr>
            <w:tcW w:w="1160" w:type="dxa"/>
            <w:vAlign w:val="bottom"/>
            <w:gridSpan w:val="5"/>
          </w:tcPr>
          <w:p>
            <w:pPr>
              <w:jc w:val="center"/>
              <w:spacing w:after="0"/>
              <w:rPr>
                <w:sz w:val="20"/>
                <w:szCs w:val="20"/>
                <w:color w:val="auto"/>
              </w:rPr>
            </w:pPr>
            <w:r>
              <w:rPr>
                <w:rFonts w:ascii="Arial" w:cs="Arial" w:eastAsia="Arial" w:hAnsi="Arial"/>
                <w:sz w:val="10"/>
                <w:szCs w:val="10"/>
                <w:b w:val="1"/>
                <w:bCs w:val="1"/>
                <w:color w:val="auto"/>
                <w:w w:val="99"/>
              </w:rPr>
              <w:t>Class A Common Stock</w:t>
            </w:r>
          </w:p>
        </w:tc>
        <w:tc>
          <w:tcPr>
            <w:tcW w:w="1180" w:type="dxa"/>
            <w:vAlign w:val="bottom"/>
            <w:gridSpan w:val="5"/>
          </w:tcPr>
          <w:p>
            <w:pPr>
              <w:jc w:val="center"/>
              <w:ind w:left="11"/>
              <w:spacing w:after="0"/>
              <w:rPr>
                <w:sz w:val="20"/>
                <w:szCs w:val="20"/>
                <w:color w:val="auto"/>
              </w:rPr>
            </w:pPr>
            <w:r>
              <w:rPr>
                <w:rFonts w:ascii="Arial" w:cs="Arial" w:eastAsia="Arial" w:hAnsi="Arial"/>
                <w:sz w:val="10"/>
                <w:szCs w:val="10"/>
                <w:b w:val="1"/>
                <w:bCs w:val="1"/>
                <w:color w:val="auto"/>
                <w:w w:val="99"/>
              </w:rPr>
              <w:t>Class B Common Stock</w:t>
            </w:r>
          </w:p>
        </w:tc>
        <w:tc>
          <w:tcPr>
            <w:tcW w:w="1200" w:type="dxa"/>
            <w:vAlign w:val="bottom"/>
            <w:gridSpan w:val="5"/>
          </w:tcPr>
          <w:p>
            <w:pPr>
              <w:jc w:val="center"/>
              <w:ind w:left="11"/>
              <w:spacing w:after="0"/>
              <w:rPr>
                <w:sz w:val="20"/>
                <w:szCs w:val="20"/>
                <w:color w:val="auto"/>
              </w:rPr>
            </w:pPr>
            <w:r>
              <w:rPr>
                <w:rFonts w:ascii="Arial" w:cs="Arial" w:eastAsia="Arial" w:hAnsi="Arial"/>
                <w:sz w:val="10"/>
                <w:szCs w:val="10"/>
                <w:b w:val="1"/>
                <w:bCs w:val="1"/>
                <w:color w:val="auto"/>
                <w:w w:val="97"/>
              </w:rPr>
              <w:t>Class C Common 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Paid-In</w:t>
            </w:r>
          </w:p>
        </w:tc>
        <w:tc>
          <w:tcPr>
            <w:tcW w:w="1200" w:type="dxa"/>
            <w:vAlign w:val="bottom"/>
            <w:gridSpan w:val="4"/>
          </w:tcPr>
          <w:p>
            <w:pPr>
              <w:jc w:val="right"/>
              <w:ind w:right="186"/>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7"/>
              <w:spacing w:after="0"/>
              <w:rPr>
                <w:sz w:val="20"/>
                <w:szCs w:val="20"/>
                <w:color w:val="auto"/>
              </w:rPr>
            </w:pPr>
            <w:r>
              <w:rPr>
                <w:rFonts w:ascii="Arial" w:cs="Arial" w:eastAsia="Arial" w:hAnsi="Arial"/>
                <w:sz w:val="10"/>
                <w:szCs w:val="10"/>
                <w:b w:val="1"/>
                <w:bCs w:val="1"/>
                <w:color w:val="auto"/>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7"/>
              </w:rPr>
              <w:t>Controlling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2"/>
              </w:rPr>
              <w:t>Amounts</w:t>
            </w:r>
          </w:p>
        </w:tc>
        <w:tc>
          <w:tcPr>
            <w:tcW w:w="80" w:type="dxa"/>
            <w:vAlign w:val="bottom"/>
          </w:tcPr>
          <w:p>
            <w:pPr>
              <w:spacing w:after="0"/>
              <w:rPr>
                <w:sz w:val="10"/>
                <w:szCs w:val="10"/>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Capital</w:t>
            </w:r>
          </w:p>
        </w:tc>
        <w:tc>
          <w:tcPr>
            <w:tcW w:w="48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96"/>
              </w:rPr>
              <w:t>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7"/>
              <w:spacing w:after="0"/>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9"/>
              </w:rPr>
              <w:t>Interest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Total</w:t>
            </w:r>
          </w:p>
        </w:tc>
      </w:tr>
      <w:tr>
        <w:trPr>
          <w:trHeight w:val="115"/>
        </w:trPr>
        <w:tc>
          <w:tcPr>
            <w:tcW w:w="25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2024</w:t>
            </w:r>
          </w:p>
        </w:tc>
        <w:tc>
          <w:tcPr>
            <w:tcW w:w="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ind w:right="7"/>
              <w:spacing w:after="0" w:line="115" w:lineRule="exact"/>
              <w:rPr>
                <w:sz w:val="20"/>
                <w:szCs w:val="20"/>
                <w:color w:val="auto"/>
              </w:rPr>
            </w:pPr>
            <w:r>
              <w:rPr>
                <w:rFonts w:ascii="Arial" w:cs="Arial" w:eastAsia="Arial" w:hAnsi="Arial"/>
                <w:sz w:val="11"/>
                <w:szCs w:val="11"/>
                <w:color w:val="auto"/>
              </w:rPr>
              <w:t>131,665</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(4,551)</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(159,440)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2"/>
        </w:trPr>
        <w:tc>
          <w:tcPr>
            <w:tcW w:w="258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4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
              <w:spacing w:after="0" w:line="122" w:lineRule="exact"/>
              <w:rPr>
                <w:sz w:val="20"/>
                <w:szCs w:val="20"/>
                <w:color w:val="auto"/>
              </w:rPr>
            </w:pPr>
            <w:r>
              <w:rPr>
                <w:rFonts w:ascii="Arial" w:cs="Arial" w:eastAsia="Arial" w:hAnsi="Arial"/>
                <w:sz w:val="11"/>
                <w:szCs w:val="11"/>
                <w:color w:val="auto"/>
              </w:rPr>
              <w:t>2,751</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2,446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2"/>
        </w:trPr>
        <w:tc>
          <w:tcPr>
            <w:tcW w:w="25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58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58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580" w:type="dxa"/>
            <w:vAlign w:val="bottom"/>
          </w:tcPr>
          <w:p>
            <w:pPr>
              <w:ind w:left="100"/>
              <w:spacing w:after="0"/>
              <w:rPr>
                <w:sz w:val="20"/>
                <w:szCs w:val="20"/>
                <w:color w:val="auto"/>
              </w:rPr>
            </w:pPr>
            <w:r>
              <w:rPr>
                <w:rFonts w:ascii="Arial" w:cs="Arial" w:eastAsia="Arial" w:hAnsi="Arial"/>
                <w:sz w:val="11"/>
                <w:szCs w:val="11"/>
                <w:color w:val="auto"/>
              </w:rPr>
              <w:t>options</w:t>
            </w:r>
          </w:p>
        </w:tc>
        <w:tc>
          <w:tcPr>
            <w:tcW w:w="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5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(2,234)</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58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58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209</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22"/>
        </w:trPr>
        <w:tc>
          <w:tcPr>
            <w:tcW w:w="25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r>
      <w:tr>
        <w:trPr>
          <w:trHeight w:val="122"/>
        </w:trPr>
        <w:tc>
          <w:tcPr>
            <w:tcW w:w="258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(2)</w:t>
            </w:r>
          </w:p>
        </w:tc>
        <w:tc>
          <w:tcPr>
            <w:tcW w:w="4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2"/>
        </w:trPr>
        <w:tc>
          <w:tcPr>
            <w:tcW w:w="25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(28,499)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5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ind w:right="7"/>
              <w:spacing w:after="0" w:line="115" w:lineRule="exact"/>
              <w:rPr>
                <w:sz w:val="20"/>
                <w:szCs w:val="20"/>
                <w:color w:val="auto"/>
              </w:rPr>
            </w:pPr>
            <w:r>
              <w:rPr>
                <w:rFonts w:ascii="Arial" w:cs="Arial" w:eastAsia="Arial" w:hAnsi="Arial"/>
                <w:sz w:val="11"/>
                <w:szCs w:val="11"/>
                <w:color w:val="auto"/>
              </w:rPr>
              <w:t>132,213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(157,631)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53,410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the three months ended March 31, 2024.</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(24,682)</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(50,806)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7,270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00"/>
              <w:spacing w:after="0" w:line="202" w:lineRule="exact"/>
              <w:rPr>
                <w:sz w:val="20"/>
                <w:szCs w:val="20"/>
                <w:color w:val="auto"/>
              </w:rPr>
            </w:pPr>
            <w:r>
              <w:rPr>
                <w:rFonts w:ascii="Arial" w:cs="Arial" w:eastAsia="Arial" w:hAnsi="Arial"/>
                <w:sz w:val="18"/>
                <w:szCs w:val="18"/>
                <w:color w:val="auto"/>
              </w:rPr>
              <w:t>(Gain) loss on sale or disposal of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14,696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(90,359)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(230,772)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101,608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(15,455)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(2,245)</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(232,479)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(67,982)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(23,511)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real property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(48,584)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Proceeds from the sale of real property</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6,689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(80,564)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Purchases of intangible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intangible assets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(145,428)</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832"/>
        </w:trPr>
        <w:tc>
          <w:tcPr>
            <w:tcW w:w="6000" w:type="dxa"/>
            <w:vAlign w:val="bottom"/>
            <w:gridSpan w:val="2"/>
          </w:tcPr>
          <w:p>
            <w:pPr>
              <w:jc w:val="right"/>
              <w:ind w:right="13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20" w:type="dxa"/>
            <w:vAlign w:val="bottom"/>
          </w:tcPr>
          <w:p>
            <w:pPr>
              <w:spacing w:after="0"/>
              <w:rPr>
                <w:sz w:val="13"/>
                <w:szCs w:val="13"/>
                <w:color w:val="auto"/>
              </w:rPr>
            </w:pPr>
          </w:p>
        </w:tc>
        <w:tc>
          <w:tcPr>
            <w:tcW w:w="53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55,624</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(23,406)</w:t>
            </w: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proceeds on notes payable – floor plan, net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207,781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93,273</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on revolving line of credit</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43,000</w:t>
            </w: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Payments on revolving line of credit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(32,000)</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(1,828)</w:t>
            </w: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w:t>
            </w: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Payments of stock offering costs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(5,634)</w:t>
            </w: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 shares withheld for tax</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Distributions to holders of LLC common units</w:t>
            </w: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(9,947)</w:t>
            </w: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190,401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117,551</w:t>
            </w: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(187,506)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(9,929)</w:t>
            </w: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208,422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39,647</w:t>
            </w: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20,916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29,718</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2025</w:t>
      </w:r>
    </w:p>
    <w:p>
      <w:pPr>
        <w:spacing w:after="0" w:line="198" w:lineRule="exact"/>
        <w:rPr>
          <w:sz w:val="20"/>
          <w:szCs w:val="20"/>
          <w:color w:val="auto"/>
        </w:rPr>
      </w:pPr>
    </w:p>
    <w:p>
      <w:pPr>
        <w:ind w:left="60" w:right="4379" w:hanging="10"/>
        <w:spacing w:after="0" w:line="513"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months ended March 31, 2025 and 2024 are unaudited. The condensed consolidated balance sheet as of December 31, 2024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2024 filed with the SEC on February 28, 2025 (“Annual Report”).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CWH has sole voting power in and control of the management of CWGS, LLC. As of March 31, 2025, December 31, 2024, and March 31, 2024, CWH owned 61.1%, 61.0%, and 53.0%, respectively, of CWGS, LLC. Accordingly, the Company consolidates the financial results of CWGS, LLC and reports a non-controlling interest in its condensed consolidated financial statements.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Revisions to Prior Period Condensed Consolidated Financial Statements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Subsequent to the issuance of the Company's condensed consolidated financial statements for the quarter ended March 31, 2024, the Company's management identified prior period misstatements related to the measurement of the realizable portion of the Company’s outside basis difference deferred tax asset in CWGS, LLC, including the associated valuation allowance. As a result, deferred tax assets, net, additional paid-in capital, and income tax benefit (expense) as of and for the years ended December 31, 2023 and 2022 were revised in the Company’s Annual Report. The misstatements impacted the beginning balances of deferred taxes, net, additional paid-in capital, and retained earnings, which have been revised from the amounts previously reported as of March 31, 2024. The Company evaluated the materiality of these errors, both qualitatively and quantitatively, and determined the effect of these revisions was not material to the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Company’s condensed consolidated balance sheet for the period indicated: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As of March 31, 2024</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right"/>
              <w:ind w:right="91"/>
              <w:spacing w:after="0" w:line="111" w:lineRule="exact"/>
              <w:rPr>
                <w:sz w:val="20"/>
                <w:szCs w:val="20"/>
                <w:color w:val="auto"/>
              </w:rPr>
            </w:pPr>
            <w:r>
              <w:rPr>
                <w:rFonts w:ascii="Arial" w:cs="Arial" w:eastAsia="Arial" w:hAnsi="Arial"/>
                <w:sz w:val="12"/>
                <w:szCs w:val="12"/>
                <w:b w:val="1"/>
                <w:bCs w:val="1"/>
                <w:color w:val="auto"/>
              </w:rPr>
              <w:t>As Previously</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Pr>
          <w:p>
            <w:pPr>
              <w:spacing w:after="0"/>
              <w:rPr>
                <w:sz w:val="9"/>
                <w:szCs w:val="9"/>
                <w:color w:val="auto"/>
              </w:rPr>
            </w:pPr>
          </w:p>
        </w:tc>
        <w:tc>
          <w:tcPr>
            <w:tcW w:w="10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53"/>
        </w:trPr>
        <w:tc>
          <w:tcPr>
            <w:tcW w:w="49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3"/>
                <w:szCs w:val="13"/>
                <w:color w:val="auto"/>
              </w:rPr>
            </w:pPr>
          </w:p>
        </w:tc>
        <w:tc>
          <w:tcPr>
            <w:tcW w:w="1040" w:type="dxa"/>
            <w:vAlign w:val="bottom"/>
          </w:tcPr>
          <w:p>
            <w:pPr>
              <w:jc w:val="right"/>
              <w:ind w:right="231"/>
              <w:spacing w:after="0"/>
              <w:rPr>
                <w:sz w:val="20"/>
                <w:szCs w:val="20"/>
                <w:color w:val="auto"/>
              </w:rPr>
            </w:pPr>
            <w:r>
              <w:rPr>
                <w:rFonts w:ascii="Arial" w:cs="Arial" w:eastAsia="Arial" w:hAnsi="Arial"/>
                <w:sz w:val="13"/>
                <w:szCs w:val="13"/>
                <w:b w:val="1"/>
                <w:bCs w:val="1"/>
                <w:color w:val="auto"/>
              </w:rPr>
              <w:t>Reported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Deferred tax assets, net</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153,716</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43,768</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197,484</w:t>
            </w:r>
          </w:p>
        </w:tc>
        <w:tc>
          <w:tcPr>
            <w:tcW w:w="0" w:type="dxa"/>
            <w:vAlign w:val="bottom"/>
          </w:tcPr>
          <w:p>
            <w:pPr>
              <w:spacing w:after="0"/>
              <w:rPr>
                <w:sz w:val="1"/>
                <w:szCs w:val="1"/>
                <w:color w:val="auto"/>
              </w:rPr>
            </w:pPr>
          </w:p>
        </w:tc>
      </w:tr>
      <w:tr>
        <w:trPr>
          <w:trHeight w:val="162"/>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5,023,162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5,066,930</w:t>
            </w:r>
          </w:p>
        </w:tc>
        <w:tc>
          <w:tcPr>
            <w:tcW w:w="0" w:type="dxa"/>
            <w:vAlign w:val="bottom"/>
          </w:tcPr>
          <w:p>
            <w:pPr>
              <w:spacing w:after="0"/>
              <w:rPr>
                <w:sz w:val="1"/>
                <w:szCs w:val="1"/>
                <w:color w:val="auto"/>
              </w:rPr>
            </w:pPr>
          </w:p>
        </w:tc>
      </w:tr>
      <w:tr>
        <w:trPr>
          <w:trHeight w:val="16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132,213</w:t>
            </w:r>
          </w:p>
        </w:tc>
        <w:tc>
          <w:tcPr>
            <w:tcW w:w="0" w:type="dxa"/>
            <w:vAlign w:val="bottom"/>
          </w:tcPr>
          <w:p>
            <w:pPr>
              <w:spacing w:after="0"/>
              <w:rPr>
                <w:sz w:val="1"/>
                <w:szCs w:val="1"/>
                <w:color w:val="auto"/>
              </w:rPr>
            </w:pPr>
          </w:p>
        </w:tc>
      </w:tr>
      <w:tr>
        <w:trPr>
          <w:trHeight w:val="162"/>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157,303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10,383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167,686</w:t>
            </w:r>
          </w:p>
        </w:tc>
        <w:tc>
          <w:tcPr>
            <w:tcW w:w="0" w:type="dxa"/>
            <w:vAlign w:val="bottom"/>
          </w:tcPr>
          <w:p>
            <w:pPr>
              <w:spacing w:after="0"/>
              <w:rPr>
                <w:sz w:val="1"/>
                <w:szCs w:val="1"/>
                <w:color w:val="auto"/>
              </w:rPr>
            </w:pPr>
          </w:p>
        </w:tc>
      </w:tr>
      <w:tr>
        <w:trPr>
          <w:trHeight w:val="16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Camping World Holdings, Inc.</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142,768</w:t>
            </w:r>
          </w:p>
        </w:tc>
        <w:tc>
          <w:tcPr>
            <w:tcW w:w="0" w:type="dxa"/>
            <w:vAlign w:val="bottom"/>
          </w:tcPr>
          <w:p>
            <w:pPr>
              <w:spacing w:after="0"/>
              <w:rPr>
                <w:sz w:val="1"/>
                <w:szCs w:val="1"/>
                <w:color w:val="auto"/>
              </w:rPr>
            </w:pPr>
          </w:p>
        </w:tc>
      </w:tr>
      <w:tr>
        <w:trPr>
          <w:trHeight w:val="162"/>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152,410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196,178</w:t>
            </w:r>
          </w:p>
        </w:tc>
        <w:tc>
          <w:tcPr>
            <w:tcW w:w="0" w:type="dxa"/>
            <w:vAlign w:val="bottom"/>
          </w:tcPr>
          <w:p>
            <w:pPr>
              <w:spacing w:after="0"/>
              <w:rPr>
                <w:sz w:val="1"/>
                <w:szCs w:val="1"/>
                <w:color w:val="auto"/>
              </w:rPr>
            </w:pPr>
          </w:p>
        </w:tc>
      </w:tr>
      <w:tr>
        <w:trPr>
          <w:trHeight w:val="16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5,023,162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5,066,930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condensed consolidated statements of stockholders’ equity for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8"/>
          </w:tcPr>
          <w:p>
            <w:pPr>
              <w:ind w:left="320"/>
              <w:spacing w:after="0"/>
              <w:rPr>
                <w:sz w:val="20"/>
                <w:szCs w:val="20"/>
                <w:color w:val="auto"/>
              </w:rPr>
            </w:pPr>
            <w:r>
              <w:rPr>
                <w:rFonts w:ascii="Arial" w:cs="Arial" w:eastAsia="Arial" w:hAnsi="Arial"/>
                <w:sz w:val="11"/>
                <w:szCs w:val="11"/>
                <w:b w:val="1"/>
                <w:bCs w:val="1"/>
                <w:color w:val="auto"/>
              </w:rPr>
              <w:t>Additional Paid-In Capital</w:t>
            </w:r>
          </w:p>
        </w:tc>
        <w:tc>
          <w:tcPr>
            <w:tcW w:w="60" w:type="dxa"/>
            <w:vAlign w:val="bottom"/>
          </w:tcPr>
          <w:p>
            <w:pPr>
              <w:spacing w:after="0"/>
              <w:rPr>
                <w:sz w:val="11"/>
                <w:szCs w:val="11"/>
                <w:color w:val="auto"/>
              </w:rPr>
            </w:pPr>
          </w:p>
        </w:tc>
        <w:tc>
          <w:tcPr>
            <w:tcW w:w="1520" w:type="dxa"/>
            <w:vAlign w:val="bottom"/>
            <w:gridSpan w:val="6"/>
          </w:tcPr>
          <w:p>
            <w:pPr>
              <w:ind w:left="500"/>
              <w:spacing w:after="0"/>
              <w:rPr>
                <w:sz w:val="20"/>
                <w:szCs w:val="20"/>
                <w:color w:val="auto"/>
              </w:rPr>
            </w:pPr>
            <w:r>
              <w:rPr>
                <w:rFonts w:ascii="Arial" w:cs="Arial" w:eastAsia="Arial" w:hAnsi="Arial"/>
                <w:sz w:val="11"/>
                <w:szCs w:val="11"/>
                <w:b w:val="1"/>
                <w:bCs w:val="1"/>
                <w:color w:val="auto"/>
              </w:rPr>
              <w:t>Retained Earnings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7"/>
          </w:tcPr>
          <w:p>
            <w:pPr>
              <w:jc w:val="right"/>
              <w:ind w:right="326"/>
              <w:spacing w:after="0"/>
              <w:rPr>
                <w:sz w:val="20"/>
                <w:szCs w:val="20"/>
                <w:color w:val="auto"/>
              </w:rPr>
            </w:pPr>
            <w:r>
              <w:rPr>
                <w:rFonts w:ascii="Arial" w:cs="Arial" w:eastAsia="Arial" w:hAnsi="Arial"/>
                <w:sz w:val="11"/>
                <w:szCs w:val="11"/>
                <w:b w:val="1"/>
                <w:bCs w:val="1"/>
                <w:color w:val="auto"/>
              </w:rPr>
              <w:t>Total Stockholders' Equity</w:t>
            </w:r>
          </w:p>
        </w:tc>
      </w:tr>
      <w:tr>
        <w:trPr>
          <w:trHeight w:val="102"/>
        </w:trPr>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9"/>
              </w:rPr>
              <w:t>As</w:t>
            </w: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r>
      <w:tr>
        <w:trPr>
          <w:trHeight w:val="122"/>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rPr>
              <w:t>Previously</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rPr>
              <w:t>Previously</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rPr>
              <w:t>Previously</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24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Adjustment</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640" w:type="dxa"/>
            <w:vAlign w:val="bottom"/>
            <w:gridSpan w:val="2"/>
          </w:tcPr>
          <w:p>
            <w:pPr>
              <w:jc w:val="right"/>
              <w:spacing w:after="0"/>
              <w:rPr>
                <w:sz w:val="20"/>
                <w:szCs w:val="20"/>
                <w:color w:val="auto"/>
              </w:rPr>
            </w:pPr>
            <w:r>
              <w:rPr>
                <w:rFonts w:ascii="Arial" w:cs="Arial" w:eastAsia="Arial" w:hAnsi="Arial"/>
                <w:sz w:val="11"/>
                <w:szCs w:val="11"/>
                <w:b w:val="1"/>
                <w:bCs w:val="1"/>
                <w:color w:val="auto"/>
              </w:rPr>
              <w:t>As Revised</w:t>
            </w:r>
          </w:p>
        </w:tc>
      </w:tr>
      <w:tr>
        <w:trPr>
          <w:trHeight w:val="115"/>
        </w:trPr>
        <w:tc>
          <w:tcPr>
            <w:tcW w:w="22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January 1, 2024</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98,280</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131,665</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185,244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214,207</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2"/>
        </w:trPr>
        <w:tc>
          <w:tcPr>
            <w:tcW w:w="24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1"/>
        </w:trPr>
        <w:tc>
          <w:tcPr>
            <w:tcW w:w="240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40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22"/>
        </w:trPr>
        <w:tc>
          <w:tcPr>
            <w:tcW w:w="24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40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0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3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(658)</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08"/>
        </w:trPr>
        <w:tc>
          <w:tcPr>
            <w:tcW w:w="240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r>
      <w:tr>
        <w:trPr>
          <w:trHeight w:val="135"/>
        </w:trPr>
        <w:tc>
          <w:tcPr>
            <w:tcW w:w="24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(9,947)</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(9,947)</w:t>
            </w:r>
          </w:p>
        </w:tc>
      </w:tr>
      <w:tr>
        <w:trPr>
          <w:trHeight w:val="121"/>
        </w:trPr>
        <w:tc>
          <w:tcPr>
            <w:tcW w:w="24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Dividends</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6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2"/>
        </w:trPr>
        <w:tc>
          <w:tcPr>
            <w:tcW w:w="240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4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16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(50,806)</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400" w:type="dxa"/>
            <w:vAlign w:val="bottom"/>
            <w:tcBorders>
              <w:top w:val="single" w:sz="8" w:color="CCEEFF"/>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March 31, 2024</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98,828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132,213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157,303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152,410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4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This ASU requires that public business entities on an annual basis disclose (1) consistent categories and greater</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disaggregation of information in the rate reconciliation, and (2) income taxes paid disaggregated by jurisdiction. The standard is effective for annual periods beginning after December 15, 2024, with early adoption permitted. The Company adopted the provisions of this ASU as of January 1, 2025, with respect to the annual disclosures beginning with the year ending December 31, 2025, including the presentation of the comparable prior periods. The adoption of this ASU will result in additional annual income tax disclosures and does not otherwise have a material impact on the Company’s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spacing w:after="0" w:line="194" w:lineRule="exact"/>
        <w:rPr>
          <w:sz w:val="20"/>
          <w:szCs w:val="20"/>
          <w:color w:val="auto"/>
        </w:rPr>
      </w:pPr>
    </w:p>
    <w:p>
      <w:pPr>
        <w:ind w:left="60" w:right="7579" w:hanging="10"/>
        <w:spacing w:after="0" w:line="513"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2025, December 31, 2024, and March 31, 2024 contract assets of $9.2 million, $10.0 million and $13.4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three months ended March 31, 2025, the Company estimates approximately $30.9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16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As of March 31, 2025,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at March 31, 2025 and the periods during which the Company expects to recognize the amounts as revenue are presented as follows (in thousands):</w:t>
      </w:r>
    </w:p>
    <w:tbl>
      <w:tblPr>
        <w:tblLayout w:type="fixed"/>
        <w:tblInd w:w="760" w:type="dxa"/>
        <w:tblCellMar>
          <w:top w:w="0" w:type="dxa"/>
          <w:left w:w="0" w:type="dxa"/>
          <w:bottom w:w="0" w:type="dxa"/>
          <w:right w:w="0" w:type="dxa"/>
        </w:tblCellMar>
      </w:tblPr>
      <w:tr>
        <w:trPr>
          <w:trHeight w:val="150"/>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474"/>
              <w:spacing w:after="0" w:line="150" w:lineRule="exact"/>
              <w:rPr>
                <w:sz w:val="20"/>
                <w:szCs w:val="20"/>
                <w:color w:val="auto"/>
              </w:rPr>
            </w:pPr>
            <w:r>
              <w:rPr>
                <w:rFonts w:ascii="Arial" w:cs="Arial" w:eastAsia="Arial" w:hAnsi="Arial"/>
                <w:sz w:val="14"/>
                <w:szCs w:val="14"/>
                <w:b w:val="1"/>
                <w:bCs w:val="1"/>
                <w:color w:val="auto"/>
              </w:rPr>
              <w:t>As of</w:t>
            </w:r>
          </w:p>
        </w:tc>
      </w:tr>
      <w:tr>
        <w:trPr>
          <w:trHeight w:val="171"/>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2025</w:t>
            </w: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74,131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40,345</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19,717</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9,673</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4,966</w:t>
            </w: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2,951</w:t>
            </w:r>
          </w:p>
        </w:tc>
      </w:tr>
      <w:tr>
        <w:trPr>
          <w:trHeight w:val="196"/>
        </w:trPr>
        <w:tc>
          <w:tcPr>
            <w:tcW w:w="6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151,783</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Inventories and Floor Plan Payables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7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New RVs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1,509,594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1,241,533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1,469,193</w:t>
            </w: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Used RVs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406,728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413,546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389,810</w:t>
            </w: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Products, parts, accessories and other</w:t>
            </w:r>
          </w:p>
        </w:tc>
        <w:tc>
          <w:tcPr>
            <w:tcW w:w="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202,628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166,495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218,197</w:t>
            </w:r>
          </w:p>
        </w:tc>
      </w:tr>
      <w:tr>
        <w:trPr>
          <w:trHeight w:val="196"/>
        </w:trPr>
        <w:tc>
          <w:tcPr>
            <w:tcW w:w="37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2,119,169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1,821,837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2,077,592</w:t>
            </w: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February 2025, FreedomRoads, LLC entered into an amendment to the Floor Plan Facility, which (a) increased the commitment for floor plan borrowings by $ 300.0 million to $ 2.15 billion, (b) increased the commitment for the letter of credit facility by $ 15.0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March 31, 2025, December 31, 2024, and March 31, 2024, the applicable interest rate for the floor plan notes payable under the Floor Plan Facility was 6.34%, 6.72%, and 7.87%, respectively.</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outstanding balance of the revolving line of credit under the Floor Plan Facility was paid off in November 2024 and there was no balance outstanding as of March 31, 2025 and December 31, 2024. As of March 31, 2024, the applicable interest rate for revolving line of credit borrowings under the Floor Plan Facility was 7.62%. Additionally, under the Floor Plan Facility, the revolving line of credit borrowings are subject to a borrowing base calculation, which did not limit the borrowing capacity at March 31, 2025, December 31, 2024, and March 31, 2024.</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at March 31, 2025 that would trigger a subjective acceleration clause. Additionally, the credit agreement governing the Floor Plan Facility contains certain financial covenants. FreedomRoads, LLC was in compliance with all financial debt covenants at March 31, 2025, December 31, 2024, and March 31,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March 31, 2025 and December 31, 2024, and March 31, 2024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5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(1,320,687)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(1,161,713)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(1,414,696)</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(157,863)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(79,472)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(147,654)</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671,450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608,815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287,650</w:t>
            </w:r>
          </w:p>
        </w:tc>
      </w:tr>
      <w:tr>
        <w:trPr>
          <w:trHeight w:val="203"/>
        </w:trPr>
        <w:tc>
          <w:tcPr>
            <w:tcW w:w="45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(91,299)</w:t>
            </w:r>
          </w:p>
        </w:tc>
      </w:tr>
      <w:tr>
        <w:trPr>
          <w:trHeight w:val="203"/>
        </w:trPr>
        <w:tc>
          <w:tcPr>
            <w:tcW w:w="45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(55,125)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(9,340)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(31,551)</w:t>
            </w:r>
          </w:p>
        </w:tc>
      </w:tr>
      <w:tr>
        <w:trPr>
          <w:trHeight w:val="196"/>
        </w:trPr>
        <w:tc>
          <w:tcPr>
            <w:tcW w:w="45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534,366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566,323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164,800</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(31,885)</w:t>
            </w:r>
          </w:p>
        </w:tc>
      </w:tr>
      <w:tr>
        <w:trPr>
          <w:trHeight w:val="196"/>
        </w:trPr>
        <w:tc>
          <w:tcPr>
            <w:tcW w:w="4580" w:type="dxa"/>
            <w:vAlign w:val="bottom"/>
            <w:tcBorders>
              <w:top w:val="single" w:sz="8" w:color="CCEEFF"/>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38,115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30,700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63"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10" w:lineRule="exact"/>
        <w:rPr>
          <w:rFonts w:ascii="Arial" w:cs="Arial" w:eastAsia="Arial" w:hAnsi="Arial"/>
          <w:sz w:val="13"/>
          <w:szCs w:val="13"/>
          <w:color w:val="auto"/>
        </w:rPr>
      </w:pPr>
    </w:p>
    <w:p>
      <w:pPr>
        <w:jc w:val="both"/>
        <w:ind w:left="380" w:right="79" w:hanging="330"/>
        <w:spacing w:after="0" w:line="262"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p>
      <w:pPr>
        <w:spacing w:after="0" w:line="12" w:lineRule="exact"/>
        <w:rPr>
          <w:rFonts w:ascii="Arial" w:cs="Arial" w:eastAsia="Arial" w:hAnsi="Arial"/>
          <w:sz w:val="13"/>
          <w:szCs w:val="13"/>
          <w:color w:val="auto"/>
        </w:rPr>
      </w:pPr>
    </w:p>
    <w:p>
      <w:pPr>
        <w:ind w:left="380" w:right="79" w:hanging="330"/>
        <w:spacing w:after="0" w:line="285"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Long-Lived Asset Impairment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three months ended March 31, 2025 and 2024,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were below their carrying value and were impaired.</w:t>
      </w:r>
    </w:p>
    <w:p>
      <w:pPr>
        <w:spacing w:after="0" w:line="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all of which relate to the RV and Outdoor Retail segment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28"/>
              <w:spacing w:after="0" w:line="142" w:lineRule="exact"/>
              <w:rPr>
                <w:sz w:val="20"/>
                <w:szCs w:val="20"/>
                <w:color w:val="auto"/>
              </w:rPr>
            </w:pPr>
            <w:r>
              <w:rPr>
                <w:rFonts w:ascii="Arial" w:cs="Arial" w:eastAsia="Arial" w:hAnsi="Arial"/>
                <w:sz w:val="13"/>
                <w:szCs w:val="13"/>
                <w:b w:val="1"/>
                <w:bCs w:val="1"/>
                <w:color w:val="auto"/>
              </w:rPr>
              <w:t>2025</w:t>
            </w:r>
          </w:p>
        </w:tc>
        <w:tc>
          <w:tcPr>
            <w:tcW w:w="4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2024</w:t>
            </w:r>
          </w:p>
        </w:tc>
        <w:tc>
          <w:tcPr>
            <w:tcW w:w="520" w:type="dxa"/>
            <w:vAlign w:val="bottom"/>
          </w:tcPr>
          <w:p>
            <w:pPr>
              <w:spacing w:after="0"/>
              <w:rPr>
                <w:sz w:val="12"/>
                <w:szCs w:val="12"/>
                <w:color w:val="auto"/>
              </w:rPr>
            </w:pPr>
          </w:p>
        </w:tc>
      </w:tr>
      <w:tr>
        <w:trPr>
          <w:trHeight w:val="169"/>
        </w:trPr>
        <w:tc>
          <w:tcPr>
            <w:tcW w:w="52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Long-lived asset impairment charges by type of long-lived asset:</w:t>
            </w:r>
          </w:p>
        </w:tc>
        <w:tc>
          <w:tcPr>
            <w:tcW w:w="6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r>
      <w:tr>
        <w:trPr>
          <w:trHeight w:val="202"/>
        </w:trPr>
        <w:tc>
          <w:tcPr>
            <w:tcW w:w="528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1580" w:type="dxa"/>
            <w:vAlign w:val="bottom"/>
            <w:gridSpan w:val="2"/>
          </w:tcPr>
          <w:p>
            <w:pPr>
              <w:jc w:val="right"/>
              <w:ind w:right="728"/>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08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2,285</w:t>
            </w:r>
          </w:p>
        </w:tc>
      </w:tr>
      <w:tr>
        <w:trPr>
          <w:trHeight w:val="203"/>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1,290</w:t>
            </w:r>
          </w:p>
        </w:tc>
      </w:tr>
      <w:tr>
        <w:trPr>
          <w:trHeight w:val="203"/>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Building and improvements</w:t>
            </w:r>
          </w:p>
        </w:tc>
        <w:tc>
          <w:tcPr>
            <w:tcW w:w="6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2,252</w:t>
            </w:r>
          </w:p>
        </w:tc>
      </w:tr>
      <w:tr>
        <w:trPr>
          <w:trHeight w:val="19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6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28"/>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5,827</w:t>
            </w:r>
          </w:p>
        </w:tc>
      </w:tr>
      <w:tr>
        <w:trPr>
          <w:trHeight w:val="20"/>
        </w:trPr>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Assets Held for Sale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March 31, 2025, December 31, 2024, and March 31, 2024, three, two, and three RV and Outdoor Retail segment properties, respectively, met the criteria to be classified as held for sale. Also, as of March 31, 2025, certain assets related to one RV dealership met the criteria to be classified as held for sale, which included an allocation of goodwill of the RV and Outdoor Retail reporting unit based on the RV dealership’s relative fair value.</w:t>
      </w:r>
    </w:p>
    <w:p>
      <w:pPr>
        <w:spacing w:after="0" w:line="6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presents the components of assets held for sale at March 31, 2025, December 31, 2024, and March 31, 2024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6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7,588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6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6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1,350</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6,276</w:t>
            </w:r>
          </w:p>
        </w:tc>
      </w:tr>
      <w:tr>
        <w:trPr>
          <w:trHeight w:val="196"/>
        </w:trPr>
        <w:tc>
          <w:tcPr>
            <w:tcW w:w="36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20,536</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1,350</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6,276</w:t>
            </w:r>
          </w:p>
        </w:tc>
      </w:tr>
      <w:tr>
        <w:trPr>
          <w:trHeight w:val="20"/>
        </w:trPr>
        <w:tc>
          <w:tcPr>
            <w:tcW w:w="3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6099" w:hanging="10"/>
        <w:spacing w:after="0" w:line="485"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79" w:firstLine="648"/>
        <w:spacing w:after="0" w:line="271" w:lineRule="auto"/>
        <w:rPr>
          <w:sz w:val="20"/>
          <w:szCs w:val="20"/>
          <w:color w:val="auto"/>
        </w:rPr>
      </w:pPr>
      <w:r>
        <w:rPr>
          <w:rFonts w:ascii="Arial" w:cs="Arial" w:eastAsia="Arial" w:hAnsi="Arial"/>
          <w:sz w:val="18"/>
          <w:szCs w:val="18"/>
          <w:color w:val="auto"/>
        </w:rPr>
        <w:t>The following table presents a summary of changes in the Company’s goodwill by segment for the three months ended March 31, 2025 and 2024 and nine months ended December 31,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Plans</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Outdoor Retail</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9"/>
              </w:rPr>
              <w:t>Consolidated</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 (excluding impairment charges)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71,118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881,941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953,059</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711,222</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24,458</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March 31, 2024</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711,446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735,680</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Acquisitions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7,243</w:t>
            </w:r>
          </w:p>
        </w:tc>
      </w:tr>
      <w:tr>
        <w:trPr>
          <w:trHeight w:val="189"/>
        </w:trPr>
        <w:tc>
          <w:tcPr>
            <w:tcW w:w="49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(8,900)</w:t>
            </w: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December 31,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708,228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734,023</w:t>
            </w: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17,193</w:t>
            </w:r>
          </w:p>
        </w:tc>
      </w:tr>
      <w:tr>
        <w:trPr>
          <w:trHeight w:val="189"/>
        </w:trPr>
        <w:tc>
          <w:tcPr>
            <w:tcW w:w="4940" w:type="dxa"/>
            <w:vAlign w:val="bottom"/>
            <w:tcBorders>
              <w:bottom w:val="single" w:sz="8" w:color="CCEEFF"/>
            </w:tcBorders>
          </w:tcPr>
          <w:p>
            <w:pPr>
              <w:spacing w:after="0" w:line="189" w:lineRule="exact"/>
              <w:rPr>
                <w:sz w:val="20"/>
                <w:szCs w:val="20"/>
                <w:color w:val="auto"/>
              </w:rPr>
            </w:pPr>
            <w:r>
              <w:rPr>
                <w:rFonts w:ascii="Arial" w:cs="Arial" w:eastAsia="Arial" w:hAnsi="Arial"/>
                <w:sz w:val="14"/>
                <w:szCs w:val="14"/>
                <w:color w:val="auto"/>
              </w:rPr>
              <w:t xml:space="preserve">Reclassification to assets held for sale </w:t>
            </w:r>
            <w:r>
              <w:rPr>
                <w:rFonts w:ascii="Arial" w:cs="Arial" w:eastAsia="Arial" w:hAnsi="Arial"/>
                <w:sz w:val="21"/>
                <w:szCs w:val="21"/>
                <w:color w:val="auto"/>
                <w:vertAlign w:val="superscript"/>
              </w:rPr>
              <w:t>(2)</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r>
      <w:tr>
        <w:trPr>
          <w:trHeight w:val="183"/>
        </w:trPr>
        <w:tc>
          <w:tcPr>
            <w:tcW w:w="49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March 31, 2025</w:t>
            </w: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722,007</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747,802</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In May 2024, the Company closed on the sale of certain assets of the RV and Outdoor Retail segment’s RV furniture business (“CWDS”).</w:t>
      </w:r>
    </w:p>
    <w:p>
      <w:pPr>
        <w:spacing w:after="0" w:line="15" w:lineRule="exact"/>
        <w:rPr>
          <w:rFonts w:ascii="Arial" w:cs="Arial" w:eastAsia="Arial" w:hAnsi="Arial"/>
          <w:sz w:val="13"/>
          <w:szCs w:val="13"/>
          <w:color w:val="auto"/>
        </w:rPr>
      </w:pPr>
    </w:p>
    <w:p>
      <w:pPr>
        <w:ind w:left="380" w:hanging="33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See Note 5 – Assets Held for Sale for further details.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Finite-lived intangible assets and related accumulated amortization consisted of the following at March 31, 2025, December 31, 2024 and March 31, 2024 (in thousands):</w:t>
      </w:r>
    </w:p>
    <w:p>
      <w:pPr>
        <w:spacing w:after="0" w:line="5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(9,611)</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1,718</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1,897</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8,684</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(22,340)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4,186</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$ 62,050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(43,530)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18,520</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center"/>
              <w:ind w:right="27"/>
              <w:spacing w:after="0"/>
              <w:rPr>
                <w:sz w:val="20"/>
                <w:szCs w:val="20"/>
                <w:color w:val="auto"/>
              </w:rPr>
            </w:pPr>
            <w:r>
              <w:rPr>
                <w:rFonts w:ascii="Arial" w:cs="Arial" w:eastAsia="Arial" w:hAnsi="Arial"/>
                <w:sz w:val="14"/>
                <w:szCs w:val="14"/>
                <w:b w:val="1"/>
                <w:bCs w:val="1"/>
                <w:color w:val="auto"/>
              </w:rPr>
              <w:t>December 31, 2024</w:t>
            </w:r>
          </w:p>
        </w:tc>
        <w:tc>
          <w:tcPr>
            <w:tcW w:w="640" w:type="dxa"/>
            <w:vAlign w:val="bottom"/>
            <w:tcBorders>
              <w:bottom w:val="single" w:sz="8" w:color="auto"/>
            </w:tcBorders>
          </w:tcPr>
          <w:p>
            <w:pPr>
              <w:spacing w:after="0"/>
              <w:rPr>
                <w:sz w:val="24"/>
                <w:szCs w:val="2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(9,537)</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1,402</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4,521</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$ 62,050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19,469</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12"/>
              <w:spacing w:after="0" w:line="147" w:lineRule="exact"/>
              <w:rPr>
                <w:sz w:val="20"/>
                <w:szCs w:val="20"/>
                <w:color w:val="auto"/>
              </w:rPr>
            </w:pPr>
            <w:r>
              <w:rPr>
                <w:rFonts w:ascii="Arial" w:cs="Arial" w:eastAsia="Arial" w:hAnsi="Arial"/>
                <w:sz w:val="14"/>
                <w:szCs w:val="14"/>
                <w:b w:val="1"/>
                <w:bCs w:val="1"/>
                <w:color w:val="auto"/>
              </w:rPr>
              <w:t>Cost 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(9,316)</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1,823</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 and other</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2,104</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5,526</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$ 55,756</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12,998</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9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196"/>
        </w:trPr>
        <w:tc>
          <w:tcPr>
            <w:tcW w:w="29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1,332,960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1,343,580</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170,732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173,132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219,068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7,843</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8,168</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1,511,535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1,516,593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1,570,816</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(23,147)</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(23,275)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(25,651)</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1,488,388</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1,493,318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1,545,165</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14"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Net of $9.0 million, $9.6 million, and $11.4 million of original issue discount at March 31, 2025, December 31, 2024, and March 31, 2024, respectively, and $3.5 million, $3.8 million, and $4.4 million of finance costs at March 31, 2025, December 31, 2024, and March 31, 2024, respectively.</w:t>
      </w:r>
    </w:p>
    <w:p>
      <w:pPr>
        <w:spacing w:after="0" w:line="53"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Net of $2.8 million, $3.1 million, and $3.9 million of finance costs at March 31, 2025, December 31, 2024, and March 31, 2024,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March 31, 2025, December 31, 2024, and March 31, 2024,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(54,553)</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(51,049)</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(40,538)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(9,600)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(11,433)</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(3,514)</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(3,816)</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1,332,960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1,343,580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(14,015)</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1,318,945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1,321,520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1,329,565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1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(4,902)</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(4,902)</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(37,348)</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(37,320)</w:t>
            </w:r>
          </w:p>
        </w:tc>
        <w:tc>
          <w:tcPr>
            <w:tcW w:w="0" w:type="dxa"/>
            <w:vAlign w:val="bottom"/>
          </w:tcPr>
          <w:p>
            <w:pPr>
              <w:spacing w:after="0"/>
              <w:rPr>
                <w:sz w:val="1"/>
                <w:szCs w:val="1"/>
                <w:color w:val="auto"/>
              </w:rPr>
            </w:pPr>
          </w:p>
        </w:tc>
      </w:tr>
      <w:tr>
        <w:trPr>
          <w:trHeight w:val="196"/>
        </w:trPr>
        <w:tc>
          <w:tcPr>
            <w:tcW w:w="4820" w:type="dxa"/>
            <w:vAlign w:val="bottom"/>
          </w:tcPr>
          <w:p>
            <w:pPr>
              <w:ind w:left="340"/>
              <w:spacing w:after="0" w:line="196" w:lineRule="exact"/>
              <w:rPr>
                <w:sz w:val="20"/>
                <w:szCs w:val="20"/>
                <w:color w:val="auto"/>
              </w:rPr>
            </w:pPr>
            <w:r>
              <w:rPr>
                <w:rFonts w:ascii="Arial" w:cs="Arial" w:eastAsia="Arial" w:hAnsi="Arial"/>
                <w:sz w:val="18"/>
                <w:szCs w:val="18"/>
                <w:color w:val="auto"/>
              </w:rPr>
              <w:t>Additional borrowing capacity</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2025, December 31, 2024, and March 31, 2024, the average interest rate on the Term Loan Facility was 6.94%, 6.97%, and 7.94%, respectively, and the effective interest rate was 7.18%, 7.43%, and 8.18%, respectively.</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at March 31, 2025 that would trigger a subjective acceleration clause.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of the total commitment on the Revolving Credit Facility (excluding (i) up to $15.0 million attributable to any outstanding undrawn letters of credit and (ii) any cash collateralized or backstopped letters of credit), as defined in the Credit Agreement. As of March 31, 2025,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March 31, 2025, December 31, 2024, and March 31,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of March 31, 2025, December 31, 2024 and March 31, 2024,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$ 300.0 million with an option that allows FRHP to request an additional $100.0 million of principal capacity. During the three months ended March 31, 2025, FRHP had no additional borrowings under the M&amp;T Real Estate facility, and during the three months ended March 31, 2024, FRHP borrowed an additional $55.6 million. During the three months ended March 31, 2024, FRHP repaid $17.3 million of the M&amp;T Real Estate Facility to pay off the remaining principal balances relating to three properties. As of March 31, 2025, the remaining available borrowing capacity was $57.4 million.</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2025, December 31, 2024, and March 31, 2024, Camping World Property, LLC, successor by conversion to Camping World Property, Inc. (the ‘‘Real Estate Borrower’’), an indirect wholly-owned subsidiary of CWGS, LLC, and CIBC Bank USA, were parties to loan and security agreements for real estate credit facilities ((as amended from time to time, the “First CIBC Real Estate Facility” and the “Third CIBC Real Estate Facility”) and together with the M&amp;T Real Estate Facility, the “Real Estate Facilities”). In May 2024, the Real Estate Borrower repaid the outstanding balance of the Third CIBC Real Estate Facility of $8.9 million, which related to the facility for the divested operations of CWDS in Elkhart, Indiana, and the Third CIBC Real Estate Facility was terminated. The First CIBC Real Estate Facility matures in October 2028.</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 at March 31, 2025:</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24"/>
              <w:spacing w:after="0"/>
              <w:rPr>
                <w:sz w:val="20"/>
                <w:szCs w:val="20"/>
                <w:color w:val="auto"/>
              </w:rPr>
            </w:pPr>
            <w:r>
              <w:rPr>
                <w:rFonts w:ascii="Arial" w:cs="Arial" w:eastAsia="Arial" w:hAnsi="Arial"/>
                <w:sz w:val="14"/>
                <w:szCs w:val="14"/>
                <w:b w:val="1"/>
                <w:bCs w:val="1"/>
                <w:color w:val="auto"/>
              </w:rPr>
              <w:t>As of March 31, 2025</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gridSpan w:val="3"/>
            <w:vMerge w:val="continue"/>
          </w:tcPr>
          <w:p>
            <w:pPr>
              <w:spacing w:after="0"/>
              <w:rPr>
                <w:sz w:val="16"/>
                <w:szCs w:val="16"/>
                <w:color w:val="auto"/>
              </w:rPr>
            </w:pPr>
          </w:p>
        </w:tc>
        <w:tc>
          <w:tcPr>
            <w:tcW w:w="8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5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167,425</w:t>
            </w:r>
          </w:p>
        </w:tc>
        <w:tc>
          <w:tcPr>
            <w:tcW w:w="16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170,732</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at March 31, 2025 that would trigger a subjective acceleration clause. Additionally, the Real Estate Facilities are subject to certain cross default provisions, a debt service coverage ratio, and other customary covenants. The Company was in compliance with all financial debt covenants at March 31, 2025, December 31, 2024, and March 31,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March 31, 2025, the outstanding principal balance of other long-term debt was $7.8 million with a weighted average interest rate of 4.27%.</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8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29,190</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finance lease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2,860</w:t>
            </w:r>
          </w:p>
        </w:tc>
      </w:tr>
      <w:tr>
        <w:trPr>
          <w:trHeight w:val="203"/>
        </w:trPr>
        <w:tc>
          <w:tcPr>
            <w:tcW w:w="5820" w:type="dxa"/>
            <w:vAlign w:val="bottom"/>
          </w:tcPr>
          <w:p>
            <w:pPr>
              <w:ind w:left="100"/>
              <w:spacing w:after="0" w:line="202" w:lineRule="exact"/>
              <w:rPr>
                <w:sz w:val="20"/>
                <w:szCs w:val="20"/>
                <w:color w:val="auto"/>
              </w:rPr>
            </w:pPr>
            <w:r>
              <w:rPr>
                <w:rFonts w:ascii="Arial" w:cs="Arial" w:eastAsia="Arial" w:hAnsi="Arial"/>
                <w:sz w:val="18"/>
                <w:szCs w:val="18"/>
                <w:color w:val="auto"/>
              </w:rPr>
              <w:t>Interest on finance lease liabilities</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2,466</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6,704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5,329</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40,292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39,568</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2025, December 31, 2024, and March 31, 2024, finance lease assets of $119.4 million, $120.0 million, and $139.8 million, respectively, were included in property and equipment, net in the accompanying condensed consolidated balance sheets.</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57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30,113</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29,588</w:t>
            </w:r>
          </w:p>
        </w:tc>
      </w:tr>
      <w:tr>
        <w:trPr>
          <w:trHeight w:val="202"/>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1,829</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24,521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44,183</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42,228</w:t>
            </w:r>
          </w:p>
        </w:tc>
      </w:tr>
    </w:tbl>
    <w:p>
      <w:pPr>
        <w:spacing w:after="0" w:line="13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three months ended March 31, 2025 and 2024, the Company entered into sale-leaseback transactions for one and two properties, respectively, associated with store locations in the RV and Outdoor Retail segment and received consideration of $3.5 million and $23.5 million of cash, respectively. The Company recorded no gain for the three months ended March 31, 2025, and recorded a gain of $0.1 million for the three months ended March 31, 2024 that was included in (gain) loss on sale or disposal of assets in the condensed consolidated statements of income. The Company entered into a 19-year lease agreement as the lessee with the buyer of the property in 2025 and 20-year lease agreements as the lessee with each buyer of the properties in 2024.</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3"/>
                <w:szCs w:val="13"/>
                <w:b w:val="1"/>
                <w:bCs w:val="1"/>
                <w:color w:val="auto"/>
              </w:rPr>
              <w:t>March 31, 2025</w:t>
            </w: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3"/>
                <w:szCs w:val="13"/>
                <w:b w:val="1"/>
                <w:bCs w:val="1"/>
                <w:color w:val="auto"/>
              </w:rPr>
              <w:t>December 31, 2024</w:t>
            </w:r>
          </w:p>
        </w:tc>
        <w:tc>
          <w:tcPr>
            <w:tcW w:w="260" w:type="dxa"/>
            <w:vAlign w:val="bottom"/>
          </w:tcPr>
          <w:p>
            <w:pPr>
              <w:spacing w:after="0"/>
              <w:rPr>
                <w:sz w:val="14"/>
                <w:szCs w:val="14"/>
                <w:color w:val="auto"/>
              </w:rPr>
            </w:pPr>
          </w:p>
        </w:tc>
        <w:tc>
          <w:tcPr>
            <w:tcW w:w="1580" w:type="dxa"/>
            <w:vAlign w:val="bottom"/>
            <w:gridSpan w:val="4"/>
          </w:tcPr>
          <w:p>
            <w:pPr>
              <w:ind w:left="180"/>
              <w:spacing w:after="0"/>
              <w:rPr>
                <w:sz w:val="20"/>
                <w:szCs w:val="20"/>
                <w:color w:val="auto"/>
              </w:rPr>
            </w:pPr>
            <w:r>
              <w:rPr>
                <w:rFonts w:ascii="Arial" w:cs="Arial" w:eastAsia="Arial" w:hAnsi="Arial"/>
                <w:sz w:val="13"/>
                <w:szCs w:val="13"/>
                <w:b w:val="1"/>
                <w:bCs w:val="1"/>
                <w:color w:val="auto"/>
              </w:rPr>
              <w:t>March 31, 2024</w:t>
            </w:r>
          </w:p>
        </w:tc>
      </w:tr>
      <w:tr>
        <w:trPr>
          <w:trHeight w:val="142"/>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12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3"/>
                <w:szCs w:val="13"/>
                <w:b w:val="1"/>
                <w:bCs w:val="1"/>
                <w:color w:val="auto"/>
              </w:rPr>
              <w:t>Carrying Value</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Level 3</w:t>
            </w: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r>
      <w:tr>
        <w:trPr>
          <w:trHeight w:val="149"/>
        </w:trPr>
        <w:tc>
          <w:tcPr>
            <w:tcW w:w="316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Derived participation investment </w:t>
            </w:r>
            <w:r>
              <w:rPr>
                <w:rFonts w:ascii="Arial" w:cs="Arial" w:eastAsia="Arial" w:hAnsi="Arial"/>
                <w:sz w:val="17"/>
                <w:szCs w:val="17"/>
                <w:color w:val="auto"/>
                <w:vertAlign w:val="superscript"/>
              </w:rPr>
              <w:t>(1)</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1,151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1,151</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540"/>
              <w:spacing w:after="0"/>
              <w:rPr>
                <w:sz w:val="20"/>
                <w:szCs w:val="20"/>
                <w:color w:val="auto"/>
              </w:rPr>
            </w:pPr>
            <w:r>
              <w:rPr>
                <w:rFonts w:ascii="Arial" w:cs="Arial" w:eastAsia="Arial" w:hAnsi="Arial"/>
                <w:sz w:val="13"/>
                <w:szCs w:val="13"/>
                <w:color w:val="auto"/>
              </w:rPr>
              <w:t>—   $</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r>
      <w:tr>
        <w:trPr>
          <w:trHeight w:val="20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77"/>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 xml:space="preserve">Acquisition-related contingent consideration </w:t>
            </w:r>
            <w:r>
              <w:rPr>
                <w:rFonts w:ascii="Arial" w:cs="Arial" w:eastAsia="Arial" w:hAnsi="Arial"/>
                <w:sz w:val="20"/>
                <w:szCs w:val="20"/>
                <w:color w:val="auto"/>
                <w:vertAlign w:val="superscript"/>
              </w:rPr>
              <w:t>(2)</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r>
    </w:tbl>
    <w:p>
      <w:pPr>
        <w:ind w:left="380" w:hanging="330"/>
        <w:spacing w:after="0" w:line="19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Derived participation investment was included in other assets in the accompanying condensed consolidated balance sheets.</w:t>
      </w:r>
    </w:p>
    <w:p>
      <w:pPr>
        <w:spacing w:after="0" w:line="62" w:lineRule="exact"/>
        <w:rPr>
          <w:rFonts w:ascii="Arial" w:cs="Arial" w:eastAsia="Arial" w:hAnsi="Arial"/>
          <w:sz w:val="19"/>
          <w:szCs w:val="19"/>
          <w:color w:val="auto"/>
          <w:vertAlign w:val="superscript"/>
        </w:rPr>
      </w:pPr>
    </w:p>
    <w:p>
      <w:pPr>
        <w:ind w:left="380" w:right="279" w:hanging="330"/>
        <w:spacing w:after="0" w:line="188"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The $0.2 million current and $0.2 million non-current portions of acquisition-related contingent consideration were included in accrued liabilities and other long-term liabilities, respectively, in the accompanying condensed consolidated balance sheets.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320" w:lineRule="exact"/>
        <w:rPr>
          <w:sz w:val="20"/>
          <w:szCs w:val="20"/>
          <w:color w:val="auto"/>
        </w:rPr>
      </w:pPr>
    </w:p>
    <w:tbl>
      <w:tblPr>
        <w:tblLayout w:type="fixed"/>
        <w:tblInd w:w="720" w:type="dxa"/>
        <w:tblCellMar>
          <w:top w:w="0" w:type="dxa"/>
          <w:left w:w="0" w:type="dxa"/>
          <w:bottom w:w="0" w:type="dxa"/>
          <w:right w:w="0" w:type="dxa"/>
        </w:tblCellMar>
      </w:tblPr>
      <w:tr>
        <w:trPr>
          <w:trHeight w:val="127"/>
        </w:trPr>
        <w:tc>
          <w:tcPr>
            <w:tcW w:w="3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0"/>
                <w:szCs w:val="10"/>
                <w:b w:val="1"/>
                <w:bCs w:val="1"/>
                <w:color w:val="auto"/>
              </w:rPr>
              <w:t>Three Months Ended March 31, 2025</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300" w:type="dxa"/>
            <w:vAlign w:val="bottom"/>
            <w:gridSpan w:val="2"/>
            <w:vMerge w:val="restart"/>
          </w:tcPr>
          <w:p>
            <w:pPr>
              <w:spacing w:after="0"/>
              <w:rPr>
                <w:sz w:val="20"/>
                <w:szCs w:val="20"/>
                <w:color w:val="auto"/>
              </w:rPr>
            </w:pPr>
            <w:r>
              <w:rPr>
                <w:rFonts w:ascii="Arial" w:cs="Arial" w:eastAsia="Arial" w:hAnsi="Arial"/>
                <w:sz w:val="11"/>
                <w:szCs w:val="11"/>
                <w:color w:val="auto"/>
              </w:rPr>
              <w:t>($ in thousands)</w:t>
            </w:r>
          </w:p>
        </w:tc>
        <w:tc>
          <w:tcPr>
            <w:tcW w:w="180" w:type="dxa"/>
            <w:vAlign w:val="bottom"/>
          </w:tcPr>
          <w:p>
            <w:pPr>
              <w:spacing w:after="0"/>
              <w:rPr>
                <w:sz w:val="9"/>
                <w:szCs w:val="9"/>
                <w:color w:val="auto"/>
              </w:rPr>
            </w:pPr>
          </w:p>
        </w:tc>
        <w:tc>
          <w:tcPr>
            <w:tcW w:w="1580" w:type="dxa"/>
            <w:vAlign w:val="bottom"/>
            <w:gridSpan w:val="2"/>
          </w:tcPr>
          <w:p>
            <w:pPr>
              <w:jc w:val="center"/>
              <w:ind w:right="400"/>
              <w:spacing w:after="0" w:line="110" w:lineRule="exact"/>
              <w:rPr>
                <w:sz w:val="20"/>
                <w:szCs w:val="20"/>
                <w:color w:val="auto"/>
              </w:rPr>
            </w:pPr>
            <w:r>
              <w:rPr>
                <w:rFonts w:ascii="Arial" w:cs="Arial" w:eastAsia="Arial" w:hAnsi="Arial"/>
                <w:sz w:val="10"/>
                <w:szCs w:val="10"/>
                <w:b w:val="1"/>
                <w:bCs w:val="1"/>
                <w:color w:val="auto"/>
                <w:w w:val="97"/>
              </w:rPr>
              <w:t>Derived Participation</w:t>
            </w:r>
          </w:p>
        </w:tc>
        <w:tc>
          <w:tcPr>
            <w:tcW w:w="1500" w:type="dxa"/>
            <w:vAlign w:val="bottom"/>
            <w:gridSpan w:val="2"/>
          </w:tcPr>
          <w:p>
            <w:pPr>
              <w:jc w:val="right"/>
              <w:spacing w:after="0" w:line="110" w:lineRule="exact"/>
              <w:rPr>
                <w:sz w:val="20"/>
                <w:szCs w:val="20"/>
                <w:color w:val="auto"/>
              </w:rPr>
            </w:pPr>
            <w:r>
              <w:rPr>
                <w:rFonts w:ascii="Arial" w:cs="Arial" w:eastAsia="Arial" w:hAnsi="Arial"/>
                <w:sz w:val="10"/>
                <w:szCs w:val="10"/>
                <w:b w:val="1"/>
                <w:bCs w:val="1"/>
                <w:color w:val="auto"/>
                <w:w w:val="99"/>
              </w:rPr>
              <w:t>Acquisition-related contingent</w:t>
            </w:r>
          </w:p>
        </w:tc>
        <w:tc>
          <w:tcPr>
            <w:tcW w:w="0" w:type="dxa"/>
            <w:vAlign w:val="bottom"/>
          </w:tcPr>
          <w:p>
            <w:pPr>
              <w:spacing w:after="0"/>
              <w:rPr>
                <w:sz w:val="1"/>
                <w:szCs w:val="1"/>
                <w:color w:val="auto"/>
              </w:rPr>
            </w:pPr>
          </w:p>
        </w:tc>
      </w:tr>
      <w:tr>
        <w:trPr>
          <w:trHeight w:val="127"/>
        </w:trPr>
        <w:tc>
          <w:tcPr>
            <w:tcW w:w="4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Investment</w:t>
            </w:r>
          </w:p>
        </w:tc>
        <w:tc>
          <w:tcPr>
            <w:tcW w:w="1160" w:type="dxa"/>
            <w:vAlign w:val="bottom"/>
          </w:tcPr>
          <w:p>
            <w:pPr>
              <w:jc w:val="right"/>
              <w:ind w:right="30"/>
              <w:spacing w:after="0"/>
              <w:rPr>
                <w:sz w:val="20"/>
                <w:szCs w:val="20"/>
                <w:color w:val="auto"/>
              </w:rPr>
            </w:pPr>
            <w:r>
              <w:rPr>
                <w:rFonts w:ascii="Arial" w:cs="Arial" w:eastAsia="Arial" w:hAnsi="Arial"/>
                <w:sz w:val="10"/>
                <w:szCs w:val="10"/>
                <w:b w:val="1"/>
                <w:bCs w:val="1"/>
                <w:color w:val="auto"/>
              </w:rPr>
              <w:t>consideration</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4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156</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3"/>
                <w:szCs w:val="13"/>
                <w:color w:val="auto"/>
              </w:rPr>
              <w:t>Purchases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1,018</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Settlements</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Gains included in earnings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2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three months ended March 31, 2025. Based on loan activity by the consumer financing partner in March 2025, the Company was committed to invest an additional $1.6 million, which was paid in April 2025 and is not included in the carrying value or fair value amounts presented above.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unrealized gains or losses during the three months ended March 31, 2025.</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2025 and 2024 of assets and liabilities that are not measured at fair value on a recurring basis.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Revolving Line of Credit, the Real Estate Facilities and the Other Long-Term Debt are estimated by discounting the future contractual cash flows at the current market interest rate that is available based on similar financial instruments.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Fair Value</w:t>
            </w:r>
          </w:p>
        </w:tc>
        <w:tc>
          <w:tcPr>
            <w:tcW w:w="16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0"/>
                <w:szCs w:val="10"/>
                <w:b w:val="1"/>
                <w:bCs w:val="1"/>
                <w:color w:val="auto"/>
              </w:rPr>
              <w:t>March 31, 2025</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December 31, 2024</w:t>
            </w:r>
          </w:p>
        </w:tc>
        <w:tc>
          <w:tcPr>
            <w:tcW w:w="10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0"/>
                <w:szCs w:val="10"/>
                <w:b w:val="1"/>
                <w:bCs w:val="1"/>
                <w:color w:val="auto"/>
              </w:rPr>
              <w:t>March 31, 2024</w:t>
            </w:r>
          </w:p>
        </w:tc>
      </w:tr>
      <w:tr>
        <w:trPr>
          <w:trHeight w:val="142"/>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Measurement</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6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Carrying Value</w:t>
            </w:r>
          </w:p>
        </w:tc>
        <w:tc>
          <w:tcPr>
            <w:tcW w:w="780" w:type="dxa"/>
            <w:vAlign w:val="bottom"/>
          </w:tcPr>
          <w:p>
            <w:pPr>
              <w:jc w:val="right"/>
              <w:ind w:right="96"/>
              <w:spacing w:after="0"/>
              <w:rPr>
                <w:sz w:val="20"/>
                <w:szCs w:val="20"/>
                <w:color w:val="auto"/>
              </w:rPr>
            </w:pPr>
            <w:r>
              <w:rPr>
                <w:rFonts w:ascii="Arial" w:cs="Arial" w:eastAsia="Arial" w:hAnsi="Arial"/>
                <w:sz w:val="10"/>
                <w:szCs w:val="10"/>
                <w:b w:val="1"/>
                <w:bCs w:val="1"/>
                <w:color w:val="auto"/>
              </w:rPr>
              <w:t>Fair Value</w:t>
            </w:r>
          </w:p>
        </w:tc>
      </w:tr>
      <w:tr>
        <w:trPr>
          <w:trHeight w:val="142"/>
        </w:trPr>
        <w:tc>
          <w:tcPr>
            <w:tcW w:w="26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$ 1,332,960</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$ 1,294,993</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$ 1,335,535</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$ 1,320,286</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$ 1,343,580</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$ 1,322,077</w:t>
            </w:r>
          </w:p>
        </w:tc>
      </w:tr>
      <w:tr>
        <w:trPr>
          <w:trHeight w:val="14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Plan Facility Revolving Line of Credit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31,885</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33,134</w:t>
            </w:r>
          </w:p>
        </w:tc>
      </w:tr>
      <w:tr>
        <w:trPr>
          <w:trHeight w:val="14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 Estate Facilities</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170,732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173,557</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173,132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176,684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219,068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230,710</w:t>
            </w:r>
          </w:p>
        </w:tc>
      </w:tr>
      <w:tr>
        <w:trPr>
          <w:trHeight w:val="176"/>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Other Long-Term Debt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7,843</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6,616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7,926</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8,168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6,708</w:t>
            </w:r>
          </w:p>
        </w:tc>
      </w:tr>
    </w:tbl>
    <w:p>
      <w:pPr>
        <w:spacing w:after="0" w:line="210" w:lineRule="exact"/>
        <w:rPr>
          <w:sz w:val="20"/>
          <w:szCs w:val="20"/>
          <w:color w:val="auto"/>
        </w:rPr>
      </w:pPr>
    </w:p>
    <w:p>
      <w:pPr>
        <w:ind w:left="60" w:right="5819" w:hanging="10"/>
        <w:spacing w:after="0" w:line="486" w:lineRule="auto"/>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8" w:lineRule="exact"/>
        <w:rPr>
          <w:sz w:val="20"/>
          <w:szCs w:val="20"/>
          <w:color w:val="auto"/>
        </w:rPr>
      </w:pPr>
    </w:p>
    <w:p>
      <w:pPr>
        <w:jc w:val="both"/>
        <w:ind w:left="60" w:right="59" w:hanging="10"/>
        <w:spacing w:after="0" w:line="235"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April 17, 2025, FR Holdco, CW, Marcus A. Lemonis,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NBCUniversal, and Machete filed a Notice Regarding Bankruptcy Order and Request to Enter Judgment. There can be no assurances that we will be able to collect amounts owed pursuant to the Arbitration Award.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April 17, 2025, FR Holdco, CW, Marcus A. Lemonis, NBCUniversal, and Machete filed a Notice Regarding Bankruptcy Order and Request to Enter Judgment. There can be no assurances that we will be able to collect amounts owed pursuant to the Arbitration Award.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From time to time, the Company is involved in litigation arising in the normal course of business operations.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connection with the divestiture of CWDS in May 2024, the Company entered into a supplier agreement (the “Supplier Agreement”) with the buyer that requires the Company to purchase an aggregate $250.0 million of product over the approximately 10-year term of the Supplier Agreement. Any shortfall under this aggregate purchase threshold results in an extension of the term of the Supplier Agreement and does not otherwise result in financial penalties.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March 31, 2025, December 31, 2024, and March 31, 2024, outstanding standby letters of credit issued through our Floor Plan Facility were $14.3 million, $14.3 million, and $12.3 million, respectively (see Note 3 — Inventories and Floor Plan Payables). The outstanding standby letters of credit issued through the Senior Secured Credit Facilities as of March 31, 2025, December 31, 2024, and March 31, 2024 were $4.9 million (see Note 7 — Long-Term Debt). As of March 31, 2025, December 31, 2024, and March 31, 2024, outstanding surety bonds were $25.3 million, $26.6 million, and $24.4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 were as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6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(received) during the period for:</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Interest</w:t>
            </w:r>
          </w:p>
        </w:tc>
        <w:tc>
          <w:tcPr>
            <w:tcW w:w="220" w:type="dxa"/>
            <w:vAlign w:val="bottom"/>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46,441</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61,812</w:t>
            </w:r>
          </w:p>
        </w:tc>
      </w:tr>
      <w:tr>
        <w:trPr>
          <w:trHeight w:val="203"/>
        </w:trPr>
        <w:tc>
          <w:tcPr>
            <w:tcW w:w="6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Leasehold improvements paid by lessor</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Capital expenditures in accounts payable and accrued liabilities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6,203</w:t>
            </w:r>
          </w:p>
        </w:tc>
      </w:tr>
      <w:tr>
        <w:trPr>
          <w:trHeight w:val="184"/>
        </w:trPr>
        <w:tc>
          <w:tcPr>
            <w:tcW w:w="66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Prior period deposit applied to portion of purchase price of RV dealership</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21"/>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r>
      <w:tr>
        <w:trPr>
          <w:trHeight w:val="239"/>
        </w:trPr>
        <w:tc>
          <w:tcPr>
            <w:tcW w:w="6640" w:type="dxa"/>
            <w:vAlign w:val="bottom"/>
          </w:tcPr>
          <w:p>
            <w:pPr>
              <w:ind w:left="220"/>
              <w:spacing w:after="0"/>
              <w:rPr>
                <w:sz w:val="20"/>
                <w:szCs w:val="20"/>
                <w:color w:val="auto"/>
              </w:rPr>
            </w:pPr>
            <w:r>
              <w:rPr>
                <w:rFonts w:ascii="Arial" w:cs="Arial" w:eastAsia="Arial" w:hAnsi="Arial"/>
                <w:sz w:val="18"/>
                <w:szCs w:val="18"/>
                <w:color w:val="auto"/>
              </w:rPr>
              <w:t>Cost of treasury stock issued for vested restricted stock units</w:t>
            </w:r>
          </w:p>
        </w:tc>
        <w:tc>
          <w:tcPr>
            <w:tcW w:w="2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2,595</w:t>
            </w:r>
          </w:p>
        </w:tc>
      </w:tr>
    </w:tbl>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three months ended March 31, 2025 and 2024,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three months ended March 31, 2025, the RV and Outdoor Retail segment acquired the assets of various RV dealerships comprised of eight locations for an aggregate purchase price of approximately $91.6 million, of which one RV dealership had not opened by March 31, 2025. As a component of the aggregate purchase price to acquire certain of these locations,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and ultimately recognized as goodwill. Additionally, a $1.0 million deposit was made in December 2024 for non-Lazydays RV dealership acquisitions that were completed during the three months ended March 31, 2025. Separate from these acquisitions, during the three months ended March 31, 2025, the Company purchased real property for an aggregate purchase price of $48.6 million.</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three months ended March 31, 2024, the RV and Outdoor Retail segment acquired the assets of various RV dealerships comprised of nine locations for an aggregate purchase price of approximately $67.7 million, of which one RV dealerships had not opened by March 31, 2024. Separate from these acquisitions, during the three months ended March 31, 2024, the Company purchased real property for an aggregate purchase price of $1.2 million.</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73,507</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(8,312)</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196"/>
        </w:trPr>
        <w:tc>
          <w:tcPr>
            <w:tcW w:w="5660" w:type="dxa"/>
            <w:vAlign w:val="bottom"/>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74,371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40,620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acquired: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Supplier and customer relationships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intangible assets acquired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17,193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91,564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80,564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58,800</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(71,181)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(48,684)</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9,383</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fair values above for the three months ended March 31, 2025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three months ended March 31,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2024.</w:t>
      </w:r>
    </w:p>
    <w:p>
      <w:pPr>
        <w:spacing w:after="0" w:line="7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three months ended March 31, 2025 and 2024,</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acquired goodwill of $17.2 million and $24.5 million, respectively, was expected to be deductible for tax purposes.</w:t>
      </w:r>
    </w:p>
    <w:p>
      <w:pPr>
        <w:spacing w:after="0" w:line="4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Included in the condensed consolidated financial statements for the three months ended March 31, 2025 were revenue of $11.8 million and pre-tax income of $0.1 million from the acquired dealerships from the applicable acquisition dates. Included in the condensed consolidated financial statements for the three months ended March 31, 2024 were revenue of $7.0 million and insignificant pre-tax income from the acquired dealerships from the applicable acquisition dates. Pro forma information on these acquisitions has not been included, because the Company has deemed them to not be individually or cumulatively material.</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CWH is organized as a Subchapter C corporation and, as of March 31, 2025, is a 61.1% owner of CWGS, LLC (see Note 15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Americas Road and Travel Club, Inc. and FreedomRoads RV, Inc. and their wholly-owned subsidiaries, are subject to entity-level taxes as they are Subchapter C corporations.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For the three months ended March 31, 2025 and 2024, the Company's effective income tax rate was 12.3% and 15.1%, respectively. The effective tax rate differed from the federal statutory rate of 21.0% primarily due to state taxes, changes in our uncertain tax position reserves, non-deductible executive compensation, and a portion of the Company’s earnings being attributable to non-controlling interests in limited liability companies, which are not subject to entity level taxes.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jc w:val="both"/>
        <w:ind w:left="60" w:right="59" w:hanging="10"/>
        <w:spacing w:after="0" w:line="236" w:lineRule="auto"/>
        <w:tabs>
          <w:tab w:leader="none" w:pos="2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three months ended March 31, 2025 and 2024, there were no redemptions of common units by Continuing Equity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January 2012 until its expiration in March 2024, FreedomRoads, LLC was the lessee of what is now its previous corporate headquarters in Lincolnshire, Illinois (as amended from time to time, the “Lincolnshire Lease”). For the three months ended March 31, 2024, rental payments for the Lincolnshire Lease, including common area maintenance charges, were $0.2 million, which were included in SG&amp;A expenses in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condensed consolidated statements of operations. The Company’s Chairman and Chief Executive Officer had personally guaranteed the Lincolnshire Lease.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Non-Controlling Interests</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1920" w:type="dxa"/>
            <w:vAlign w:val="bottom"/>
            <w:gridSpan w:val="4"/>
          </w:tcPr>
          <w:p>
            <w:pPr>
              <w:ind w:left="320"/>
              <w:spacing w:after="0"/>
              <w:rPr>
                <w:sz w:val="20"/>
                <w:szCs w:val="20"/>
                <w:color w:val="auto"/>
              </w:rPr>
            </w:pPr>
            <w:r>
              <w:rPr>
                <w:rFonts w:ascii="Arial" w:cs="Arial" w:eastAsia="Arial" w:hAnsi="Arial"/>
                <w:sz w:val="12"/>
                <w:szCs w:val="12"/>
                <w:b w:val="1"/>
                <w:bCs w:val="1"/>
                <w:color w:val="auto"/>
              </w:rPr>
              <w:t>As of March 31, 2025</w:t>
            </w:r>
          </w:p>
        </w:tc>
        <w:tc>
          <w:tcPr>
            <w:tcW w:w="1940" w:type="dxa"/>
            <w:vAlign w:val="bottom"/>
            <w:gridSpan w:val="4"/>
          </w:tcPr>
          <w:p>
            <w:pPr>
              <w:ind w:left="220"/>
              <w:spacing w:after="0"/>
              <w:rPr>
                <w:sz w:val="20"/>
                <w:szCs w:val="20"/>
                <w:color w:val="auto"/>
              </w:rPr>
            </w:pPr>
            <w:r>
              <w:rPr>
                <w:rFonts w:ascii="Arial" w:cs="Arial" w:eastAsia="Arial" w:hAnsi="Arial"/>
                <w:sz w:val="12"/>
                <w:szCs w:val="12"/>
                <w:b w:val="1"/>
                <w:bCs w:val="1"/>
                <w:color w:val="auto"/>
              </w:rPr>
              <w:t>As of December 31, 2024</w:t>
            </w:r>
          </w:p>
        </w:tc>
        <w:tc>
          <w:tcPr>
            <w:tcW w:w="1840" w:type="dxa"/>
            <w:vAlign w:val="bottom"/>
            <w:gridSpan w:val="3"/>
          </w:tcPr>
          <w:p>
            <w:pPr>
              <w:jc w:val="right"/>
              <w:ind w:right="271"/>
              <w:spacing w:after="0"/>
              <w:rPr>
                <w:sz w:val="20"/>
                <w:szCs w:val="20"/>
                <w:color w:val="auto"/>
              </w:rPr>
            </w:pPr>
            <w:r>
              <w:rPr>
                <w:rFonts w:ascii="Arial" w:cs="Arial" w:eastAsia="Arial" w:hAnsi="Arial"/>
                <w:sz w:val="12"/>
                <w:szCs w:val="12"/>
                <w:b w:val="1"/>
                <w:bCs w:val="1"/>
                <w:color w:val="auto"/>
              </w:rPr>
              <w:t>As of March 31, 2024</w:t>
            </w:r>
          </w:p>
        </w:tc>
      </w:tr>
      <w:tr>
        <w:trPr>
          <w:trHeight w:val="129"/>
        </w:trPr>
        <w:tc>
          <w:tcPr>
            <w:tcW w:w="3200" w:type="dxa"/>
            <w:vAlign w:val="bottom"/>
          </w:tcPr>
          <w:p>
            <w:pPr>
              <w:spacing w:after="0"/>
              <w:rPr>
                <w:sz w:val="11"/>
                <w:szCs w:val="11"/>
                <w:color w:val="auto"/>
              </w:rPr>
            </w:pPr>
          </w:p>
        </w:tc>
        <w:tc>
          <w:tcPr>
            <w:tcW w:w="10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4"/>
              </w:rPr>
              <w:t>Ownership %</w:t>
            </w:r>
          </w:p>
        </w:tc>
        <w:tc>
          <w:tcPr>
            <w:tcW w:w="120" w:type="dxa"/>
            <w:vAlign w:val="bottom"/>
          </w:tcPr>
          <w:p>
            <w:pPr>
              <w:spacing w:after="0"/>
              <w:rPr>
                <w:sz w:val="11"/>
                <w:szCs w:val="11"/>
                <w:color w:val="auto"/>
              </w:rPr>
            </w:pPr>
          </w:p>
        </w:tc>
        <w:tc>
          <w:tcPr>
            <w:tcW w:w="10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4"/>
              </w:rPr>
              <w:t>Ownership %</w:t>
            </w:r>
          </w:p>
        </w:tc>
        <w:tc>
          <w:tcPr>
            <w:tcW w:w="120" w:type="dxa"/>
            <w:vAlign w:val="bottom"/>
          </w:tcPr>
          <w:p>
            <w:pPr>
              <w:spacing w:after="0"/>
              <w:rPr>
                <w:sz w:val="11"/>
                <w:szCs w:val="11"/>
                <w:color w:val="auto"/>
              </w:rPr>
            </w:pPr>
          </w:p>
        </w:tc>
        <w:tc>
          <w:tcPr>
            <w:tcW w:w="10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7"/>
              </w:rPr>
              <w:t>Ownership %</w:t>
            </w:r>
          </w:p>
        </w:tc>
      </w:tr>
      <w:tr>
        <w:trPr>
          <w:trHeight w:val="155"/>
        </w:trPr>
        <w:tc>
          <w:tcPr>
            <w:tcW w:w="3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62,569,449</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61.1%</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62,502,096</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45,071,762</w:t>
            </w: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53.0%</w:t>
            </w:r>
          </w:p>
        </w:tc>
      </w:tr>
      <w:tr>
        <w:trPr>
          <w:trHeight w:val="162"/>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Continuing Equity Owners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155"/>
        </w:trPr>
        <w:tc>
          <w:tcPr>
            <w:tcW w:w="32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102,464,842</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102,397,489</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85,116,298</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230" w:lineRule="exact"/>
        <w:rPr>
          <w:sz w:val="20"/>
          <w:szCs w:val="20"/>
          <w:color w:val="auto"/>
        </w:rPr>
      </w:pPr>
    </w:p>
    <w:p>
      <w:pPr>
        <w:ind w:left="718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1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6"/>
        </w:trPr>
        <w:tc>
          <w:tcPr>
            <w:tcW w:w="69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(12,280)</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(22,307)</w:t>
            </w:r>
          </w:p>
        </w:tc>
        <w:tc>
          <w:tcPr>
            <w:tcW w:w="0" w:type="dxa"/>
            <w:vAlign w:val="bottom"/>
          </w:tcPr>
          <w:p>
            <w:pPr>
              <w:spacing w:after="0"/>
              <w:rPr>
                <w:sz w:val="1"/>
                <w:szCs w:val="1"/>
                <w:color w:val="auto"/>
              </w:rPr>
            </w:pPr>
          </w:p>
        </w:tc>
      </w:tr>
      <w:tr>
        <w:trPr>
          <w:trHeight w:val="162"/>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Transfers to non-controlling interests: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purchase of common units from CWGS, LLC with</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proceeds from the exercise of stock options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Increase (decrease) in additional paid-in capital as a result of the vesting of restricted stock units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53"/>
        </w:trPr>
        <w:tc>
          <w:tcPr>
            <w:tcW w:w="71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increase in additional paid-in capital as a result of repurchases of Class A common stock for</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withholding taxes on vested RSUs</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33"/>
        </w:trPr>
        <w:tc>
          <w:tcPr>
            <w:tcW w:w="710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Change from net loss attributable to Camping World Holdings, Inc. and transfers to non-controlling</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(12,705)</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(24,354)</w:t>
            </w:r>
          </w:p>
        </w:tc>
        <w:tc>
          <w:tcPr>
            <w:tcW w:w="0" w:type="dxa"/>
            <w:vAlign w:val="bottom"/>
          </w:tcPr>
          <w:p>
            <w:pPr>
              <w:spacing w:after="0"/>
              <w:rPr>
                <w:sz w:val="1"/>
                <w:szCs w:val="1"/>
                <w:color w:val="auto"/>
              </w:rPr>
            </w:pPr>
          </w:p>
        </w:tc>
      </w:tr>
      <w:tr>
        <w:trPr>
          <w:trHeight w:val="158"/>
        </w:trPr>
        <w:tc>
          <w:tcPr>
            <w:tcW w:w="710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interests</w:t>
            </w:r>
          </w:p>
        </w:tc>
        <w:tc>
          <w:tcPr>
            <w:tcW w:w="1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Stock-Based Compensation Plans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summarizes the stock-based compensation (“SBC”) that has been included in the following line items within the condensed consolidated statements of operations during:</w:t>
      </w:r>
    </w:p>
    <w:p>
      <w:pPr>
        <w:spacing w:after="0" w:line="203"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142"/>
        </w:trPr>
        <w:tc>
          <w:tcPr>
            <w:tcW w:w="578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2024</w:t>
            </w:r>
          </w:p>
        </w:tc>
      </w:tr>
      <w:tr>
        <w:trPr>
          <w:trHeight w:val="196"/>
        </w:trPr>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Stock-based compensation expense: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Costs applicable to revenue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5,105</w:t>
            </w: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7,270</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5,197</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summarizes stock option, restricted stock unit (“RSU”) and performance stock unit (“PSU”) activities for the three months ended March 31, 2025:</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Stock</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right"/>
              <w:ind w:right="1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450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 Units</w:t>
            </w:r>
          </w:p>
        </w:tc>
        <w:tc>
          <w:tcPr>
            <w:tcW w:w="1340" w:type="dxa"/>
            <w:vAlign w:val="bottom"/>
          </w:tcPr>
          <w:p>
            <w:pPr>
              <w:jc w:val="right"/>
              <w:ind w:right="175"/>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2024</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155</w:t>
            </w: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1,652</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Granted</w:t>
            </w:r>
          </w:p>
        </w:tc>
        <w:tc>
          <w:tcPr>
            <w:tcW w:w="940" w:type="dxa"/>
            <w:vAlign w:val="bottom"/>
          </w:tcPr>
          <w:p>
            <w:pPr>
              <w:spacing w:after="0"/>
              <w:rPr>
                <w:sz w:val="17"/>
                <w:szCs w:val="17"/>
                <w:color w:val="auto"/>
              </w:rPr>
            </w:pP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(109)</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Forfeited</w:t>
            </w:r>
          </w:p>
        </w:tc>
        <w:tc>
          <w:tcPr>
            <w:tcW w:w="94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March 31, 2025</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March 31, 2025</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154</w:t>
            </w:r>
          </w:p>
        </w:tc>
        <w:tc>
          <w:tcPr>
            <w:tcW w:w="200" w:type="dxa"/>
            <w:vAlign w:val="bottom"/>
            <w:vMerge w:val="continue"/>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0" w:right="100" w:firstLine="648"/>
        <w:spacing w:after="0" w:line="253" w:lineRule="auto"/>
        <w:rPr>
          <w:sz w:val="20"/>
          <w:szCs w:val="20"/>
          <w:color w:val="auto"/>
        </w:rPr>
      </w:pPr>
      <w:r>
        <w:rPr>
          <w:rFonts w:ascii="Arial" w:cs="Arial" w:eastAsia="Arial" w:hAnsi="Arial"/>
          <w:sz w:val="18"/>
          <w:szCs w:val="18"/>
          <w:color w:val="auto"/>
        </w:rPr>
        <w:t>During the three months ended March 31, 2025, the Company granted a total of 469,004 RSUs to non-executive employees with an aggregate grant date fair value of $10.1 million and weighted-average grant date fair value of $21.57 per RSU, which will be recognized, net of forfeitures, over a vesting period of five years.</w:t>
      </w:r>
    </w:p>
    <w:p>
      <w:pPr>
        <w:spacing w:after="0" w:line="61" w:lineRule="exact"/>
        <w:rPr>
          <w:sz w:val="20"/>
          <w:szCs w:val="20"/>
          <w:color w:val="auto"/>
        </w:rPr>
      </w:pPr>
    </w:p>
    <w:p>
      <w:pPr>
        <w:jc w:val="both"/>
        <w:ind w:left="60" w:right="100" w:firstLine="648"/>
        <w:spacing w:after="0" w:line="242" w:lineRule="auto"/>
        <w:rPr>
          <w:sz w:val="20"/>
          <w:szCs w:val="20"/>
          <w:color w:val="auto"/>
        </w:rPr>
      </w:pPr>
      <w:r>
        <w:rPr>
          <w:rFonts w:ascii="Arial" w:cs="Arial" w:eastAsia="Arial" w:hAnsi="Arial"/>
          <w:sz w:val="18"/>
          <w:szCs w:val="18"/>
          <w:color w:val="auto"/>
        </w:rPr>
        <w:t>In January 2025, pursuant to the amended and restated employment agreement entered into with Marcus A. Lemonis, the Company granted Mr. Lemonis (i) an award of 600,000 RSUs with a grant date fair value of $ 22.13 per RSU, which will be recognized, net of forfeitures, over a vesting period through November 15, 2027, and (ii) an award of PSUs under the 2016 Plan with respect to 750,000 PSUs if earned at “target” levels of performance, which will be eligible to vest based on the achievement of specified stock price hurdles over a three-year performance period ending on December 31, 2027.</w:t>
      </w:r>
    </w:p>
    <w:p>
      <w:pPr>
        <w:spacing w:after="0" w:line="71" w:lineRule="exact"/>
        <w:rPr>
          <w:sz w:val="20"/>
          <w:szCs w:val="20"/>
          <w:color w:val="auto"/>
        </w:rPr>
      </w:pPr>
    </w:p>
    <w:p>
      <w:pPr>
        <w:jc w:val="both"/>
        <w:ind w:left="60" w:right="100" w:firstLine="648"/>
        <w:spacing w:after="0" w:line="239" w:lineRule="auto"/>
        <w:rPr>
          <w:sz w:val="20"/>
          <w:szCs w:val="20"/>
          <w:color w:val="auto"/>
        </w:rPr>
      </w:pPr>
      <w:r>
        <w:rPr>
          <w:rFonts w:ascii="Arial" w:cs="Arial" w:eastAsia="Arial" w:hAnsi="Arial"/>
          <w:sz w:val="18"/>
          <w:szCs w:val="18"/>
          <w:color w:val="auto"/>
        </w:rPr>
        <w:t>The PSUs are comprised of four tranches of 187,500 PSUs with hurdles ranging from $ 32.50 per share to $47.50 per share in $5.00 per share increments. The achievement of the stock price hurdles is based on the average 30 consecutive trading day closing stock price of the Company’s Class A common stock. The grant date fair value was estimated using a Monte Carlo simulation to simulate stock price trajectories over the performance period. Key inputs to the model as of the date of grant included the duration of the performance period, the risk-free interest rate, and the closing stock price, volatility and dividend yield of the Company’s Class A common stock. The PSUs had a weighted-average grant date fair value of $13.84 per PSU, which will be recognized over a weighted-average derived service period of approximately one year, net of any forfeitures for termination of employment prior to the completion of the derived service period for any tranches with unsatisfied vesting conditions.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Loss Per Share</w:t>
      </w:r>
    </w:p>
    <w:p>
      <w:pPr>
        <w:spacing w:after="0" w:line="212" w:lineRule="exact"/>
        <w:rPr>
          <w:sz w:val="20"/>
          <w:szCs w:val="20"/>
          <w:color w:val="auto"/>
        </w:rPr>
      </w:pPr>
    </w:p>
    <w:p>
      <w:pPr>
        <w:jc w:val="both"/>
        <w:ind w:left="60" w:right="100" w:firstLine="648"/>
        <w:spacing w:after="0" w:line="244" w:lineRule="auto"/>
        <w:rPr>
          <w:sz w:val="20"/>
          <w:szCs w:val="20"/>
          <w:color w:val="auto"/>
        </w:rPr>
      </w:pPr>
      <w:r>
        <w:rPr>
          <w:rFonts w:ascii="Arial" w:cs="Arial" w:eastAsia="Arial" w:hAnsi="Arial"/>
          <w:sz w:val="18"/>
          <w:szCs w:val="18"/>
          <w:color w:val="auto"/>
        </w:rPr>
        <w:t>Basic loss per share of Class A common stock is computed by dividing net loss attributable to Camping World Holdings, Inc. by the weighted-average number of shares of Class A common stock outstanding during the period. Diluted loss per share of Class A common stock is computed by dividing net loss attributable to Camping World Holdings, Inc. by the weighted-average number of shares of Class A common stock outstanding adjusted to give effect to potentially dilutive securities.</w:t>
      </w:r>
    </w:p>
    <w:p>
      <w:pPr>
        <w:spacing w:after="0" w:line="176" w:lineRule="exact"/>
        <w:rPr>
          <w:sz w:val="20"/>
          <w:szCs w:val="20"/>
          <w:color w:val="auto"/>
        </w:rPr>
      </w:pPr>
    </w:p>
    <w:p>
      <w:pPr>
        <w:jc w:val="both"/>
        <w:ind w:left="60" w:right="10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per share of Class A common stock:</w:t>
      </w:r>
    </w:p>
    <w:p>
      <w:pPr>
        <w:spacing w:after="0" w:line="190" w:lineRule="exact"/>
        <w:rPr>
          <w:sz w:val="20"/>
          <w:szCs w:val="20"/>
          <w:color w:val="auto"/>
        </w:rPr>
      </w:pPr>
    </w:p>
    <w:p>
      <w:pPr>
        <w:ind w:left="726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14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(24,682)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12,402</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Net loss attributable to Camping World Holdings, Inc. — basic</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(12,280)</w:t>
            </w:r>
          </w:p>
        </w:tc>
        <w:tc>
          <w:tcPr>
            <w:tcW w:w="180" w:type="dxa"/>
            <w:vAlign w:val="bottom"/>
          </w:tcPr>
          <w:p>
            <w:pPr>
              <w:spacing w:after="0"/>
              <w:rPr>
                <w:sz w:val="13"/>
                <w:szCs w:val="13"/>
                <w:color w:val="auto"/>
              </w:rPr>
            </w:pP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(22,307)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Add: reallocation of net loss attributable to non-controlling interests from the assumed redemption of</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common units of CWGS, LLC for Class A common stock</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(9,191)</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Net loss attributable to Camping World Holdings, Inc. — diluted</w:t>
            </w: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(21,471)</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(43,582)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62,531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common units of CWGS, LLC that are convertible into Class A common stock</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Weighted-average shares of Class A common stock outstanding — diluted</w:t>
            </w: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102,426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85,092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Loss per share of Class A common stock — basic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per share of Class A common stock — diluted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anti-dilutive securities excluded from the computation of diluted loss per share of Class A</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Stock options to purchase Class A common stock</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units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contingently issuable shares excluded from the computation of diluted loss per share of</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 A common stock since all necessary conditions had not been satisfied:</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Performance stock units</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
        <w:spacing w:after="0"/>
        <w:tabs>
          <w:tab w:leader="none" w:pos="440" w:val="left"/>
        </w:tabs>
        <w:rPr>
          <w:sz w:val="20"/>
          <w:szCs w:val="20"/>
          <w:color w:val="auto"/>
        </w:rPr>
      </w:pPr>
      <w:r>
        <w:rPr>
          <w:rFonts w:ascii="Arial" w:cs="Arial" w:eastAsia="Arial" w:hAnsi="Arial"/>
          <w:sz w:val="22"/>
          <w:szCs w:val="22"/>
          <w:color w:val="231F20"/>
          <w:vertAlign w:val="superscript"/>
        </w:rPr>
        <w:t>(1)</w:t>
      </w:r>
      <w:r>
        <w:rPr>
          <w:sz w:val="20"/>
          <w:szCs w:val="20"/>
          <w:color w:val="auto"/>
        </w:rPr>
        <w:tab/>
      </w:r>
      <w:r>
        <w:rPr>
          <w:rFonts w:ascii="Arial" w:cs="Arial" w:eastAsia="Arial" w:hAnsi="Arial"/>
          <w:sz w:val="14"/>
          <w:szCs w:val="14"/>
          <w:color w:val="auto"/>
        </w:rPr>
        <w:t>See Note 16 – Stock-Based Compensation Plans for further details of PSUs.</w:t>
      </w:r>
    </w:p>
    <w:p>
      <w:pPr>
        <w:sectPr>
          <w:pgSz w:w="11900" w:h="16838" w:orient="portrait"/>
          <w:cols w:equalWidth="0" w:num="1">
            <w:col w:w="9060"/>
          </w:cols>
          <w:pgMar w:left="1440" w:top="512" w:right="139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loss per share of Class B common stock or Class C common stock under the two-class method has not been presented.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Segments Information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SG&amp;A expense, (iv) floor plan interest expense, and (v) other segment items. Segment expenses exclude depreciation and amortization and certain noncash and other items that the Chief Operating Decision Maker does not consider in his evaluation of ongoing operating performance. These excluded items include (a) SBC and (b) loss and/or impairment on investments in equity securities.</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3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2"/>
                <w:szCs w:val="12"/>
                <w:b w:val="1"/>
                <w:bCs w:val="1"/>
                <w:color w:val="auto"/>
              </w:rPr>
              <w:t>Three Months Ended March 31, 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2"/>
                <w:szCs w:val="12"/>
                <w:b w:val="1"/>
                <w:bCs w:val="1"/>
                <w:color w:val="auto"/>
              </w:rPr>
              <w:t>Three Months Ended March 31, 2024</w:t>
            </w:r>
          </w:p>
        </w:tc>
        <w:tc>
          <w:tcPr>
            <w:tcW w:w="180" w:type="dxa"/>
            <w:vAlign w:val="bottom"/>
          </w:tcPr>
          <w:p>
            <w:pPr>
              <w:spacing w:after="0"/>
              <w:rPr>
                <w:sz w:val="12"/>
                <w:szCs w:val="12"/>
                <w:color w:val="auto"/>
              </w:rPr>
            </w:pPr>
          </w:p>
        </w:tc>
      </w:tr>
      <w:tr>
        <w:trPr>
          <w:trHeight w:val="184"/>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Good Sam</w:t>
            </w:r>
          </w:p>
        </w:tc>
        <w:tc>
          <w:tcPr>
            <w:tcW w:w="26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6"/>
              </w:rPr>
              <w:t>RV and</w:t>
            </w:r>
          </w:p>
        </w:tc>
        <w:tc>
          <w:tcPr>
            <w:tcW w:w="2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Good Sam</w:t>
            </w:r>
          </w:p>
        </w:tc>
        <w:tc>
          <w:tcPr>
            <w:tcW w:w="24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6"/>
              </w:rPr>
              <w:t>RV and</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7"/>
              </w:rPr>
              <w:t>Services</w:t>
            </w:r>
          </w:p>
        </w:tc>
        <w:tc>
          <w:tcPr>
            <w:tcW w:w="26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Outdoor</w:t>
            </w:r>
          </w:p>
        </w:tc>
        <w:tc>
          <w:tcPr>
            <w:tcW w:w="2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Services</w:t>
            </w:r>
          </w:p>
        </w:tc>
        <w:tc>
          <w:tcPr>
            <w:tcW w:w="24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Outdoor</w:t>
            </w:r>
          </w:p>
        </w:tc>
      </w:tr>
      <w:tr>
        <w:trPr>
          <w:trHeight w:val="147"/>
        </w:trPr>
        <w:tc>
          <w:tcPr>
            <w:tcW w:w="3420" w:type="dxa"/>
            <w:vAlign w:val="bottom"/>
          </w:tcPr>
          <w:p>
            <w:pPr>
              <w:spacing w:after="0"/>
              <w:rPr>
                <w:sz w:val="20"/>
                <w:szCs w:val="20"/>
                <w:color w:val="auto"/>
              </w:rPr>
            </w:pPr>
            <w:r>
              <w:rPr>
                <w:rFonts w:ascii="Arial" w:cs="Arial" w:eastAsia="Arial" w:hAnsi="Arial"/>
                <w:sz w:val="11"/>
                <w:szCs w:val="11"/>
                <w:color w:val="auto"/>
              </w:rPr>
              <w:t>($ in thousands)</w:t>
            </w:r>
          </w:p>
        </w:tc>
        <w:tc>
          <w:tcPr>
            <w:tcW w:w="20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and Plans</w:t>
            </w:r>
          </w:p>
        </w:tc>
        <w:tc>
          <w:tcPr>
            <w:tcW w:w="26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7"/>
              </w:rPr>
              <w:t>Retail</w:t>
            </w:r>
          </w:p>
        </w:tc>
        <w:tc>
          <w:tcPr>
            <w:tcW w:w="20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and Plans</w:t>
            </w:r>
          </w:p>
        </w:tc>
        <w:tc>
          <w:tcPr>
            <w:tcW w:w="240" w:type="dxa"/>
            <w:vAlign w:val="bottom"/>
          </w:tcPr>
          <w:p>
            <w:pPr>
              <w:spacing w:after="0"/>
              <w:rPr>
                <w:sz w:val="12"/>
                <w:szCs w:val="12"/>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7"/>
              </w:rPr>
              <w:t>Retail</w:t>
            </w:r>
          </w:p>
        </w:tc>
      </w:tr>
      <w:tr>
        <w:trPr>
          <w:trHeight w:val="183"/>
        </w:trPr>
        <w:tc>
          <w:tcPr>
            <w:tcW w:w="34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89"/>
        </w:trPr>
        <w:tc>
          <w:tcPr>
            <w:tcW w:w="3420" w:type="dxa"/>
            <w:vAlign w:val="bottom"/>
          </w:tcPr>
          <w:p>
            <w:pPr>
              <w:ind w:left="100"/>
              <w:spacing w:after="0"/>
              <w:rPr>
                <w:sz w:val="20"/>
                <w:szCs w:val="20"/>
                <w:color w:val="auto"/>
              </w:rPr>
            </w:pPr>
            <w:r>
              <w:rPr>
                <w:rFonts w:ascii="Arial" w:cs="Arial" w:eastAsia="Arial" w:hAnsi="Arial"/>
                <w:sz w:val="16"/>
                <w:szCs w:val="16"/>
                <w:color w:val="auto"/>
              </w:rPr>
              <w:t>Good Sam Services and Plans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46,208</w:t>
            </w:r>
          </w:p>
        </w:tc>
        <w:tc>
          <w:tcPr>
            <w:tcW w:w="120" w:type="dxa"/>
            <w:vAlign w:val="bottom"/>
          </w:tcPr>
          <w:p>
            <w:pPr>
              <w:spacing w:after="0"/>
              <w:rPr>
                <w:sz w:val="16"/>
                <w:szCs w:val="16"/>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45,681</w:t>
            </w:r>
          </w:p>
        </w:tc>
        <w:tc>
          <w:tcPr>
            <w:tcW w:w="14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189"/>
        </w:trPr>
        <w:tc>
          <w:tcPr>
            <w:tcW w:w="3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New vehicles</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621,432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656,086</w:t>
            </w: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Pr>
          <w:p>
            <w:pPr>
              <w:ind w:left="100"/>
              <w:spacing w:after="0"/>
              <w:rPr>
                <w:sz w:val="20"/>
                <w:szCs w:val="20"/>
                <w:color w:val="auto"/>
              </w:rPr>
            </w:pPr>
            <w:r>
              <w:rPr>
                <w:rFonts w:ascii="Arial" w:cs="Arial" w:eastAsia="Arial" w:hAnsi="Arial"/>
                <w:sz w:val="16"/>
                <w:szCs w:val="16"/>
                <w:color w:val="auto"/>
              </w:rPr>
              <w:t>Used vehicles</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422,351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337,685</w:t>
            </w:r>
          </w:p>
        </w:tc>
        <w:tc>
          <w:tcPr>
            <w:tcW w:w="180" w:type="dxa"/>
            <w:vAlign w:val="bottom"/>
          </w:tcPr>
          <w:p>
            <w:pPr>
              <w:spacing w:after="0"/>
              <w:rPr>
                <w:sz w:val="16"/>
                <w:szCs w:val="16"/>
                <w:color w:val="auto"/>
              </w:rPr>
            </w:pPr>
          </w:p>
        </w:tc>
      </w:tr>
      <w:tr>
        <w:trPr>
          <w:trHeight w:val="189"/>
        </w:trPr>
        <w:tc>
          <w:tcPr>
            <w:tcW w:w="3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Products, service and other</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164,992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177,894</w:t>
            </w: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Pr>
          <w:p>
            <w:pPr>
              <w:ind w:left="100"/>
              <w:spacing w:after="0"/>
              <w:rPr>
                <w:sz w:val="20"/>
                <w:szCs w:val="20"/>
                <w:color w:val="auto"/>
              </w:rPr>
            </w:pPr>
            <w:r>
              <w:rPr>
                <w:rFonts w:ascii="Arial" w:cs="Arial" w:eastAsia="Arial" w:hAnsi="Arial"/>
                <w:sz w:val="16"/>
                <w:szCs w:val="16"/>
                <w:color w:val="auto"/>
              </w:rPr>
              <w:t>Finance and insurance, net</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135,454</w:t>
            </w:r>
          </w:p>
        </w:tc>
        <w:tc>
          <w:tcPr>
            <w:tcW w:w="180" w:type="dxa"/>
            <w:vAlign w:val="bottom"/>
          </w:tcPr>
          <w:p>
            <w:pPr>
              <w:spacing w:after="0"/>
              <w:rPr>
                <w:sz w:val="16"/>
                <w:szCs w:val="16"/>
                <w:color w:val="auto"/>
              </w:rPr>
            </w:pPr>
          </w:p>
        </w:tc>
      </w:tr>
      <w:tr>
        <w:trPr>
          <w:trHeight w:val="189"/>
        </w:trPr>
        <w:tc>
          <w:tcPr>
            <w:tcW w:w="3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 Sam Club</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11,217</w:t>
            </w: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c>
          <w:tcPr>
            <w:tcW w:w="180" w:type="dxa"/>
            <w:vAlign w:val="bottom"/>
            <w:tcBorders>
              <w:bottom w:val="single" w:sz="8" w:color="CCEEFF"/>
            </w:tcBorders>
          </w:tcPr>
          <w:p>
            <w:pPr>
              <w:spacing w:after="0"/>
              <w:rPr>
                <w:sz w:val="16"/>
                <w:szCs w:val="16"/>
                <w:color w:val="auto"/>
              </w:rPr>
            </w:pPr>
          </w:p>
        </w:tc>
      </w:tr>
      <w:tr>
        <w:trPr>
          <w:trHeight w:val="183"/>
        </w:trPr>
        <w:tc>
          <w:tcPr>
            <w:tcW w:w="34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revenue before intersegment eliminations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47,016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1,369,720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46,611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1,321,057</w:t>
            </w:r>
          </w:p>
        </w:tc>
        <w:tc>
          <w:tcPr>
            <w:tcW w:w="180" w:type="dxa"/>
            <w:vAlign w:val="bottom"/>
            <w:shd w:val="clear" w:color="auto" w:fill="CCEEFF"/>
          </w:tcPr>
          <w:p>
            <w:pPr>
              <w:spacing w:after="0"/>
              <w:rPr>
                <w:sz w:val="15"/>
                <w:szCs w:val="15"/>
                <w:color w:val="auto"/>
              </w:rPr>
            </w:pPr>
          </w:p>
        </w:tc>
      </w:tr>
      <w:tr>
        <w:trPr>
          <w:trHeight w:val="189"/>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expenses: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Pr>
          <w:p>
            <w:pPr>
              <w:ind w:left="100"/>
              <w:spacing w:after="0" w:line="189" w:lineRule="exact"/>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966,094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15,138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946,390</w:t>
            </w:r>
          </w:p>
        </w:tc>
        <w:tc>
          <w:tcPr>
            <w:tcW w:w="180" w:type="dxa"/>
            <w:vAlign w:val="bottom"/>
          </w:tcPr>
          <w:p>
            <w:pPr>
              <w:spacing w:after="0"/>
              <w:rPr>
                <w:sz w:val="16"/>
                <w:szCs w:val="16"/>
                <w:color w:val="auto"/>
              </w:rPr>
            </w:pPr>
          </w:p>
        </w:tc>
      </w:tr>
      <w:tr>
        <w:trPr>
          <w:trHeight w:val="189"/>
        </w:trPr>
        <w:tc>
          <w:tcPr>
            <w:tcW w:w="342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Pr>
          <w:p>
            <w:pPr>
              <w:ind w:left="100"/>
              <w:spacing w:after="0" w:line="189" w:lineRule="exact"/>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369,732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356,186</w:t>
            </w:r>
          </w:p>
        </w:tc>
        <w:tc>
          <w:tcPr>
            <w:tcW w:w="180" w:type="dxa"/>
            <w:vAlign w:val="bottom"/>
          </w:tcPr>
          <w:p>
            <w:pPr>
              <w:spacing w:after="0"/>
              <w:rPr>
                <w:sz w:val="16"/>
                <w:szCs w:val="16"/>
                <w:color w:val="auto"/>
              </w:rPr>
            </w:pPr>
          </w:p>
        </w:tc>
      </w:tr>
      <w:tr>
        <w:trPr>
          <w:trHeight w:val="189"/>
        </w:trPr>
        <w:tc>
          <w:tcPr>
            <w:tcW w:w="3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Floor plan interest expense</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27,882</w:t>
            </w:r>
          </w:p>
        </w:tc>
        <w:tc>
          <w:tcPr>
            <w:tcW w:w="180" w:type="dxa"/>
            <w:vAlign w:val="bottom"/>
            <w:shd w:val="clear" w:color="auto" w:fill="CCEEFF"/>
          </w:tcPr>
          <w:p>
            <w:pPr>
              <w:spacing w:after="0"/>
              <w:rPr>
                <w:sz w:val="16"/>
                <w:szCs w:val="16"/>
                <w:color w:val="auto"/>
              </w:rPr>
            </w:pPr>
          </w:p>
        </w:tc>
      </w:tr>
      <w:tr>
        <w:trPr>
          <w:trHeight w:val="189"/>
        </w:trPr>
        <w:tc>
          <w:tcPr>
            <w:tcW w:w="3420" w:type="dxa"/>
            <w:vAlign w:val="bottom"/>
          </w:tcPr>
          <w:p>
            <w:pPr>
              <w:ind w:left="100"/>
              <w:spacing w:after="0" w:line="189" w:lineRule="exact"/>
              <w:rPr>
                <w:sz w:val="20"/>
                <w:szCs w:val="20"/>
                <w:color w:val="auto"/>
              </w:rPr>
            </w:pPr>
            <w:r>
              <w:rPr>
                <w:rFonts w:ascii="Arial" w:cs="Arial" w:eastAsia="Arial" w:hAnsi="Arial"/>
                <w:sz w:val="14"/>
                <w:szCs w:val="14"/>
                <w:color w:val="auto"/>
              </w:rPr>
              <w:t>Other segment items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6"/>
                <w:szCs w:val="16"/>
                <w:color w:val="auto"/>
              </w:rPr>
            </w:pPr>
          </w:p>
        </w:tc>
      </w:tr>
      <w:tr>
        <w:trPr>
          <w:trHeight w:val="183"/>
        </w:trPr>
        <w:tc>
          <w:tcPr>
            <w:tcW w:w="34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Segment Adjusted EBITDA</w:t>
            </w:r>
          </w:p>
        </w:tc>
        <w:tc>
          <w:tcPr>
            <w:tcW w:w="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21,110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13,003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23,255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1" w:lineRule="exact"/>
        <w:rPr>
          <w:sz w:val="20"/>
          <w:szCs w:val="20"/>
          <w:color w:val="auto"/>
        </w:rPr>
      </w:pPr>
    </w:p>
    <w:p>
      <w:pPr>
        <w:ind w:left="460" w:hanging="329"/>
        <w:spacing w:after="0"/>
        <w:tabs>
          <w:tab w:leader="none" w:pos="46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93" w:lineRule="exact"/>
        <w:rPr>
          <w:rFonts w:ascii="Arial" w:cs="Arial" w:eastAsia="Arial" w:hAnsi="Arial"/>
          <w:sz w:val="22"/>
          <w:szCs w:val="22"/>
          <w:color w:val="231F20"/>
          <w:vertAlign w:val="superscript"/>
        </w:rPr>
      </w:pPr>
    </w:p>
    <w:p>
      <w:pPr>
        <w:ind w:left="460" w:hanging="329"/>
        <w:spacing w:after="0" w:line="183" w:lineRule="auto"/>
        <w:tabs>
          <w:tab w:leader="none" w:pos="460" w:val="left"/>
        </w:tabs>
        <w:numPr>
          <w:ilvl w:val="0"/>
          <w:numId w:val="19"/>
        </w:numPr>
        <w:rPr>
          <w:rFonts w:ascii="Arial" w:cs="Arial" w:eastAsia="Arial" w:hAnsi="Arial"/>
          <w:sz w:val="20"/>
          <w:szCs w:val="20"/>
          <w:color w:val="231F20"/>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94" w:lineRule="exact"/>
        <w:rPr>
          <w:rFonts w:ascii="Arial" w:cs="Arial" w:eastAsia="Arial" w:hAnsi="Arial"/>
          <w:sz w:val="20"/>
          <w:szCs w:val="20"/>
          <w:color w:val="231F20"/>
          <w:vertAlign w:val="superscript"/>
        </w:rPr>
      </w:pPr>
    </w:p>
    <w:p>
      <w:pPr>
        <w:ind w:left="460" w:right="79" w:hanging="329"/>
        <w:spacing w:after="0" w:line="196" w:lineRule="auto"/>
        <w:tabs>
          <w:tab w:leader="none" w:pos="46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spacing w:after="0" w:line="17" w:lineRule="exact"/>
        <w:rPr>
          <w:rFonts w:ascii="Arial" w:cs="Arial" w:eastAsia="Arial" w:hAnsi="Arial"/>
          <w:sz w:val="22"/>
          <w:szCs w:val="22"/>
          <w:color w:val="231F20"/>
          <w:vertAlign w:val="superscript"/>
        </w:rPr>
      </w:pPr>
    </w:p>
    <w:p>
      <w:pPr>
        <w:ind w:left="460" w:hanging="329"/>
        <w:spacing w:after="0"/>
        <w:tabs>
          <w:tab w:leader="none" w:pos="46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Adjusted SG&amp;A expenses excludes SBC expense and intersegment operating expenses.</w:t>
      </w:r>
    </w:p>
    <w:p>
      <w:pPr>
        <w:spacing w:after="0" w:line="93" w:lineRule="exact"/>
        <w:rPr>
          <w:rFonts w:ascii="Arial" w:cs="Arial" w:eastAsia="Arial" w:hAnsi="Arial"/>
          <w:sz w:val="22"/>
          <w:szCs w:val="22"/>
          <w:color w:val="231F20"/>
          <w:vertAlign w:val="superscript"/>
        </w:rPr>
      </w:pPr>
    </w:p>
    <w:p>
      <w:pPr>
        <w:ind w:left="460" w:right="79" w:hanging="329"/>
        <w:spacing w:after="0" w:line="196" w:lineRule="auto"/>
        <w:tabs>
          <w:tab w:leader="none" w:pos="46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36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4445</wp:posOffset>
            </wp:positionV>
            <wp:extent cx="21774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54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60" w:type="dxa"/>
            <w:vAlign w:val="bottom"/>
          </w:tcPr>
          <w:p>
            <w:pPr>
              <w:spacing w:after="0"/>
              <w:rPr>
                <w:sz w:val="12"/>
                <w:szCs w:val="12"/>
                <w:color w:val="auto"/>
              </w:rPr>
            </w:pPr>
          </w:p>
        </w:tc>
        <w:tc>
          <w:tcPr>
            <w:tcW w:w="1180" w:type="dxa"/>
            <w:vAlign w:val="bottom"/>
          </w:tcPr>
          <w:p>
            <w:pPr>
              <w:jc w:val="right"/>
              <w:ind w:right="560"/>
              <w:spacing w:after="0"/>
              <w:rPr>
                <w:sz w:val="20"/>
                <w:szCs w:val="20"/>
                <w:color w:val="auto"/>
              </w:rPr>
            </w:pPr>
            <w:r>
              <w:rPr>
                <w:rFonts w:ascii="Arial" w:cs="Arial" w:eastAsia="Arial" w:hAnsi="Arial"/>
                <w:sz w:val="12"/>
                <w:szCs w:val="12"/>
                <w:b w:val="1"/>
                <w:bCs w:val="1"/>
                <w:color w:val="auto"/>
              </w:rPr>
              <w:t>2025</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60"/>
              <w:spacing w:after="0"/>
              <w:rPr>
                <w:sz w:val="20"/>
                <w:szCs w:val="20"/>
                <w:color w:val="auto"/>
              </w:rPr>
            </w:pPr>
            <w:r>
              <w:rPr>
                <w:rFonts w:ascii="Arial" w:cs="Arial" w:eastAsia="Arial" w:hAnsi="Arial"/>
                <w:sz w:val="12"/>
                <w:szCs w:val="12"/>
                <w:b w:val="1"/>
                <w:bCs w:val="1"/>
                <w:color w:val="auto"/>
              </w:rPr>
              <w:t>2024</w:t>
            </w:r>
          </w:p>
        </w:tc>
      </w:tr>
      <w:tr>
        <w:trPr>
          <w:trHeight w:val="196"/>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0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Good Sam Services and Plans Segment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47,016</w:t>
            </w:r>
          </w:p>
        </w:tc>
        <w:tc>
          <w:tcPr>
            <w:tcW w:w="3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46,611</w:t>
            </w:r>
          </w:p>
        </w:tc>
      </w:tr>
      <w:tr>
        <w:trPr>
          <w:trHeight w:val="203"/>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RV and Outdoor Retail Segment</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1,369,720</w:t>
            </w: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1,321,057</w:t>
            </w:r>
          </w:p>
        </w:tc>
      </w:tr>
      <w:tr>
        <w:trPr>
          <w:trHeight w:val="183"/>
        </w:trPr>
        <w:tc>
          <w:tcPr>
            <w:tcW w:w="54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segment revenue</w:t>
            </w: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1,416,736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1,367,668</w:t>
            </w:r>
          </w:p>
        </w:tc>
      </w:tr>
      <w:tr>
        <w:trPr>
          <w:trHeight w:val="203"/>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Intersegment eliminations</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(3,212)</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r>
      <w:tr>
        <w:trPr>
          <w:trHeight w:val="183"/>
        </w:trPr>
        <w:tc>
          <w:tcPr>
            <w:tcW w:w="54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1,413,524</w:t>
            </w:r>
          </w:p>
        </w:tc>
        <w:tc>
          <w:tcPr>
            <w:tcW w:w="3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1,364,017</w:t>
            </w:r>
          </w:p>
        </w:tc>
      </w:tr>
      <w:tr>
        <w:trPr>
          <w:trHeight w:val="20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Segment Adjusted EBITDA:</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Good Sam Services and Plans Segment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203"/>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RV and Outdoor Retail Segment</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13,003</w:t>
            </w: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(11,641)</w:t>
            </w:r>
          </w:p>
        </w:tc>
      </w:tr>
      <w:tr>
        <w:trPr>
          <w:trHeight w:val="183"/>
        </w:trPr>
        <w:tc>
          <w:tcPr>
            <w:tcW w:w="54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Segment Adjusted EBITDA</w:t>
            </w: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34,113</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11,614</w:t>
            </w:r>
          </w:p>
        </w:tc>
      </w:tr>
      <w:tr>
        <w:trPr>
          <w:trHeight w:val="203"/>
        </w:trPr>
        <w:tc>
          <w:tcPr>
            <w:tcW w:w="5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Corporate SG&amp;A excluding SBC</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(2,926)</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r>
      <w:tr>
        <w:trPr>
          <w:trHeight w:val="20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(22,544)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(19,290)</w:t>
            </w:r>
          </w:p>
        </w:tc>
      </w:tr>
      <w:tr>
        <w:trPr>
          <w:trHeight w:val="203"/>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Long-lived asset impairment</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(620)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r>
      <w:tr>
        <w:trPr>
          <w:trHeight w:val="20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Gain (loss) on sale or disposal of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1,823</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(1,585)</w:t>
            </w:r>
          </w:p>
        </w:tc>
      </w:tr>
      <w:tr>
        <w:trPr>
          <w:trHeight w:val="203"/>
        </w:trPr>
        <w:tc>
          <w:tcPr>
            <w:tcW w:w="5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(7,270)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w:t>
            </w:r>
          </w:p>
        </w:tc>
      </w:tr>
      <w:tr>
        <w:trPr>
          <w:trHeight w:val="203"/>
        </w:trPr>
        <w:tc>
          <w:tcPr>
            <w:tcW w:w="54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Loss and impairment on investments in equity securities</w:t>
            </w:r>
            <w:r>
              <w:rPr>
                <w:rFonts w:ascii="Arial" w:cs="Arial" w:eastAsia="Arial" w:hAnsi="Arial"/>
                <w:sz w:val="23"/>
                <w:szCs w:val="23"/>
                <w:color w:val="auto"/>
                <w:vertAlign w:val="superscript"/>
              </w:rPr>
              <w:t>(3)</w:t>
            </w:r>
          </w:p>
        </w:tc>
        <w:tc>
          <w:tcPr>
            <w:tcW w:w="3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(157)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interest expense, net</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(30,531)</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(36,094)</w:t>
            </w:r>
          </w:p>
        </w:tc>
      </w:tr>
      <w:tr>
        <w:trPr>
          <w:trHeight w:val="203"/>
        </w:trPr>
        <w:tc>
          <w:tcPr>
            <w:tcW w:w="54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Intersegment eliminations</w:t>
            </w:r>
            <w:r>
              <w:rPr>
                <w:rFonts w:ascii="Arial" w:cs="Arial" w:eastAsia="Arial" w:hAnsi="Arial"/>
                <w:sz w:val="23"/>
                <w:szCs w:val="23"/>
                <w:color w:val="auto"/>
                <w:vertAlign w:val="superscript"/>
              </w:rPr>
              <w:t>(4)</w:t>
            </w:r>
          </w:p>
        </w:tc>
        <w:tc>
          <w:tcPr>
            <w:tcW w:w="3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183"/>
        </w:trPr>
        <w:tc>
          <w:tcPr>
            <w:tcW w:w="54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Loss before income taxes</w:t>
            </w: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(28,153)</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(59,848)</w:t>
            </w: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60" w:right="79" w:hanging="329"/>
        <w:spacing w:after="0" w:line="220" w:lineRule="auto"/>
        <w:tabs>
          <w:tab w:leader="none" w:pos="46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p>
      <w:pPr>
        <w:spacing w:after="0" w:line="81" w:lineRule="exact"/>
        <w:rPr>
          <w:rFonts w:ascii="Arial" w:cs="Arial" w:eastAsia="Arial" w:hAnsi="Arial"/>
          <w:sz w:val="22"/>
          <w:szCs w:val="22"/>
          <w:color w:val="231F20"/>
          <w:vertAlign w:val="superscript"/>
        </w:rPr>
      </w:pPr>
    </w:p>
    <w:p>
      <w:pPr>
        <w:ind w:left="460" w:right="79" w:hanging="329"/>
        <w:spacing w:after="0" w:line="204" w:lineRule="auto"/>
        <w:tabs>
          <w:tab w:leader="none" w:pos="46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This SBC amount includes SBC allocated to the segments and SBC relating to the Board of Directors for their service as board members that is not allocated to the segments (See Note 16 — Stock-Based Compensation Plans).</w:t>
      </w:r>
    </w:p>
    <w:p>
      <w:pPr>
        <w:spacing w:after="0" w:line="80" w:lineRule="exact"/>
        <w:rPr>
          <w:rFonts w:ascii="Arial" w:cs="Arial" w:eastAsia="Arial" w:hAnsi="Arial"/>
          <w:sz w:val="22"/>
          <w:szCs w:val="22"/>
          <w:color w:val="231F20"/>
          <w:vertAlign w:val="superscript"/>
        </w:rPr>
      </w:pPr>
    </w:p>
    <w:p>
      <w:pPr>
        <w:ind w:left="460" w:right="79" w:hanging="329"/>
        <w:spacing w:after="0" w:line="204" w:lineRule="auto"/>
        <w:tabs>
          <w:tab w:leader="none" w:pos="46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 These amounts are included in other expense, net in the condensed consolidated statements of operations.</w:t>
      </w:r>
    </w:p>
    <w:p>
      <w:pPr>
        <w:spacing w:after="0" w:line="17" w:lineRule="exact"/>
        <w:rPr>
          <w:rFonts w:ascii="Arial" w:cs="Arial" w:eastAsia="Arial" w:hAnsi="Arial"/>
          <w:sz w:val="22"/>
          <w:szCs w:val="22"/>
          <w:color w:val="231F20"/>
          <w:vertAlign w:val="superscript"/>
        </w:rPr>
      </w:pPr>
    </w:p>
    <w:p>
      <w:pPr>
        <w:ind w:left="460" w:hanging="329"/>
        <w:spacing w:after="0"/>
        <w:tabs>
          <w:tab w:leader="none" w:pos="46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Represents the net impact of intersegment eliminations on (loss) income before income taxes.</w:t>
      </w:r>
    </w:p>
    <w:p>
      <w:pPr>
        <w:spacing w:after="0" w:line="120"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56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7"/>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top w:val="single" w:sz="8" w:color="auto"/>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21,643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18,442</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tcPr>
          <w:p>
            <w:pPr>
              <w:spacing w:after="0" w:line="196" w:lineRule="exact"/>
              <w:rPr>
                <w:sz w:val="20"/>
                <w:szCs w:val="20"/>
                <w:color w:val="auto"/>
              </w:rPr>
            </w:pPr>
            <w:r>
              <w:rPr>
                <w:rFonts w:ascii="Arial" w:cs="Arial" w:eastAsia="Arial" w:hAnsi="Arial"/>
                <w:sz w:val="18"/>
                <w:szCs w:val="18"/>
                <w:color w:val="auto"/>
              </w:rPr>
              <w:t>Total depreciation and amortization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19,290</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9"/>
          </w:tcPr>
          <w:p>
            <w:pPr>
              <w:ind w:left="40"/>
              <w:spacing w:after="0"/>
              <w:rPr>
                <w:sz w:val="20"/>
                <w:szCs w:val="20"/>
                <w:color w:val="auto"/>
              </w:rPr>
            </w:pPr>
            <w:r>
              <w:rPr>
                <w:rFonts w:ascii="Arial" w:cs="Arial" w:eastAsia="Arial" w:hAnsi="Arial"/>
                <w:sz w:val="12"/>
                <w:szCs w:val="12"/>
                <w:b w:val="1"/>
                <w:bCs w:val="1"/>
                <w:color w:val="auto"/>
              </w:rPr>
              <w:t>Three Months Ended March 31,</w:t>
            </w:r>
          </w:p>
        </w:tc>
      </w:tr>
      <w:tr>
        <w:trPr>
          <w:trHeight w:val="142"/>
        </w:trPr>
        <w:tc>
          <w:tcPr>
            <w:tcW w:w="56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7"/>
              </w:rPr>
              <w:t>2025</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r>
      <w:tr>
        <w:trPr>
          <w:trHeight w:val="196"/>
        </w:trPr>
        <w:tc>
          <w:tcPr>
            <w:tcW w:w="56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interest expense, net: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6,409</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8,114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6,357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8,096</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24,174</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27,998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interest expense, net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30,531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36,094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7"/>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w:t>
            </w:r>
          </w:p>
        </w:tc>
      </w:tr>
      <w:tr>
        <w:trPr>
          <w:trHeight w:val="147"/>
        </w:trPr>
        <w:tc>
          <w:tcPr>
            <w:tcW w:w="56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2"/>
                <w:szCs w:val="12"/>
                <w:color w:val="auto"/>
              </w:rPr>
            </w:pPr>
          </w:p>
        </w:tc>
        <w:tc>
          <w:tcPr>
            <w:tcW w:w="840" w:type="dxa"/>
            <w:vAlign w:val="bottom"/>
          </w:tcPr>
          <w:p>
            <w:pPr>
              <w:jc w:val="right"/>
              <w:ind w:right="239"/>
              <w:spacing w:after="0"/>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77"/>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r>
      <w:tr>
        <w:trPr>
          <w:trHeight w:val="196"/>
        </w:trPr>
        <w:tc>
          <w:tcPr>
            <w:tcW w:w="54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88,377</w:t>
            </w:r>
          </w:p>
        </w:tc>
        <w:tc>
          <w:tcPr>
            <w:tcW w:w="3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121,876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83,411</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4,818,291</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4,509,509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4,744,164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4,906,668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4,631,385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7"/>
              </w:rPr>
              <w:t>4,827,575</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240,542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231,892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239,355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5,147,210</w:t>
            </w:r>
          </w:p>
        </w:tc>
        <w:tc>
          <w:tcPr>
            <w:tcW w:w="40" w:type="dxa"/>
            <w:vAlign w:val="bottom"/>
            <w:tcBorders>
              <w:bottom w:val="single" w:sz="8" w:color="auto"/>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7"/>
              </w:rPr>
              <w:t>4,863,277</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5,066,930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14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4445</wp:posOffset>
            </wp:positionV>
            <wp:extent cx="1174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70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2"/>
                <w:szCs w:val="12"/>
                <w:b w:val="1"/>
                <w:bCs w:val="1"/>
                <w:color w:val="auto"/>
              </w:rPr>
              <w:t>2024</w:t>
            </w:r>
          </w:p>
        </w:tc>
      </w:tr>
      <w:tr>
        <w:trPr>
          <w:trHeight w:val="196"/>
        </w:trPr>
        <w:tc>
          <w:tcPr>
            <w:tcW w:w="68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7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Good Sam Services and Plans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2,905</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1,857</w:t>
            </w:r>
          </w:p>
        </w:tc>
      </w:tr>
      <w:tr>
        <w:trPr>
          <w:trHeight w:val="203"/>
        </w:trPr>
        <w:tc>
          <w:tcPr>
            <w:tcW w:w="7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RV and Outdoor Retail</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69,190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25,313</w:t>
            </w:r>
          </w:p>
        </w:tc>
      </w:tr>
      <w:tr>
        <w:trPr>
          <w:trHeight w:val="196"/>
        </w:trPr>
        <w:tc>
          <w:tcPr>
            <w:tcW w:w="70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72,095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27,170</w:t>
            </w: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2024, filed with the SEC on February 28, 2025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For purposes of this Form 10-Q, we define an "Active Customer" as a customer who has transacted with us in any of the eight most recently completed fiscal quarters prior to the date of measurement. Unless otherwise indicated, the date of measurement is March 31, 2025, our most recently completed fiscal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Through our Camping World and Good Sam brands, our vision is to build a business that makes RVing and other outdoor adventures fun and easy.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 specialized services and plans, including roadside assistance, protection plans and insurance, uniquely enables us to connect with our customers as stewards of an outdoor and recreational lifestyle. On March 31, 2025, we operated a total of 209 locations, with all of them selling and/or servicing RVs. See Note 1 – Summary of Significant Accounting Policies to our condensed consolidated financial statements included in Part I, Item 1 of this Form 10-Q.</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2024 to March 31, 2025, are in the table below:</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left="42"/>
              <w:spacing w:after="0"/>
              <w:rPr>
                <w:sz w:val="20"/>
                <w:szCs w:val="20"/>
                <w:color w:val="auto"/>
              </w:rPr>
            </w:pPr>
            <w:r>
              <w:rPr>
                <w:rFonts w:ascii="Arial" w:cs="Arial" w:eastAsia="Arial" w:hAnsi="Arial"/>
                <w:sz w:val="12"/>
                <w:szCs w:val="12"/>
                <w:b w:val="1"/>
                <w:bCs w:val="1"/>
                <w:color w:val="auto"/>
                <w:w w:val="95"/>
              </w:rPr>
              <w:t>RV</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5"/>
        </w:trPr>
        <w:tc>
          <w:tcPr>
            <w:tcW w:w="3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62"/>
              <w:spacing w:after="0"/>
              <w:rPr>
                <w:sz w:val="20"/>
                <w:szCs w:val="20"/>
                <w:color w:val="auto"/>
              </w:rPr>
            </w:pPr>
            <w:r>
              <w:rPr>
                <w:rFonts w:ascii="Arial" w:cs="Arial" w:eastAsia="Arial" w:hAnsi="Arial"/>
                <w:sz w:val="12"/>
                <w:szCs w:val="12"/>
                <w:b w:val="1"/>
                <w:bCs w:val="1"/>
                <w:color w:val="auto"/>
                <w:w w:val="96"/>
              </w:rPr>
              <w:t>Dealerships</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March 31, 2024</w:t>
            </w:r>
          </w:p>
        </w:tc>
        <w:tc>
          <w:tcPr>
            <w:tcW w:w="980" w:type="dxa"/>
            <w:vAlign w:val="bottom"/>
            <w:gridSpan w:val="2"/>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215</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182</w:t>
            </w:r>
          </w:p>
        </w:tc>
      </w:tr>
      <w:tr>
        <w:trPr>
          <w:trHeight w:val="149"/>
        </w:trPr>
        <w:tc>
          <w:tcPr>
            <w:tcW w:w="4720" w:type="dxa"/>
            <w:vAlign w:val="bottom"/>
            <w:gridSpan w:val="3"/>
          </w:tcPr>
          <w:p>
            <w:pPr>
              <w:ind w:left="100"/>
              <w:spacing w:after="0"/>
              <w:rPr>
                <w:sz w:val="20"/>
                <w:szCs w:val="20"/>
                <w:color w:val="auto"/>
              </w:rPr>
            </w:pPr>
            <w:r>
              <w:rPr>
                <w:rFonts w:ascii="Arial" w:cs="Arial" w:eastAsia="Arial" w:hAnsi="Arial"/>
                <w:sz w:val="13"/>
                <w:szCs w:val="13"/>
                <w:color w:val="auto"/>
              </w:rPr>
              <w:t>Opened</w:t>
            </w:r>
          </w:p>
        </w:tc>
        <w:tc>
          <w:tcPr>
            <w:tcW w:w="300" w:type="dxa"/>
            <w:vAlign w:val="bottom"/>
          </w:tcPr>
          <w:p>
            <w:pPr>
              <w:jc w:val="right"/>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Converted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4720" w:type="dxa"/>
            <w:vAlign w:val="bottom"/>
            <w:gridSpan w:val="3"/>
          </w:tcPr>
          <w:p>
            <w:pPr>
              <w:ind w:left="100"/>
              <w:spacing w:after="0"/>
              <w:rPr>
                <w:sz w:val="20"/>
                <w:szCs w:val="20"/>
                <w:color w:val="auto"/>
              </w:rPr>
            </w:pPr>
            <w:r>
              <w:rPr>
                <w:rFonts w:ascii="Arial" w:cs="Arial" w:eastAsia="Arial" w:hAnsi="Arial"/>
                <w:sz w:val="13"/>
                <w:szCs w:val="13"/>
                <w:color w:val="auto"/>
              </w:rPr>
              <w:t>Temporarily closed</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Closed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49"/>
        </w:trPr>
        <w:tc>
          <w:tcPr>
            <w:tcW w:w="39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2"/>
                <w:szCs w:val="12"/>
                <w:color w:val="auto"/>
              </w:rPr>
              <w:t xml:space="preserve">Achieved designation of same store </w:t>
            </w:r>
            <w:r>
              <w:rPr>
                <w:rFonts w:ascii="Arial" w:cs="Arial" w:eastAsia="Arial" w:hAnsi="Arial"/>
                <w:sz w:val="17"/>
                <w:szCs w:val="17"/>
                <w:color w:val="auto"/>
                <w:vertAlign w:val="superscript"/>
              </w:rPr>
              <w:t>(1)</w:t>
            </w: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42"/>
        </w:trPr>
        <w:tc>
          <w:tcPr>
            <w:tcW w:w="472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March 31, 2025</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208</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209</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right="79" w:hanging="330"/>
        <w:spacing w:after="0" w:line="281"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According to the RV Industry Association’s (“RVIA”) survey of manufacturers, which almost entirely focuses on North America, wholesale shipments of new RVs for 2024 were 333,733 units, 6.6% greater than in 2023. The Spring 2025 edition of RV </w:t>
      </w:r>
      <w:r>
        <w:rPr>
          <w:rFonts w:ascii="Arial" w:cs="Arial" w:eastAsia="Arial" w:hAnsi="Arial"/>
          <w:sz w:val="18"/>
          <w:szCs w:val="18"/>
          <w:i w:val="1"/>
          <w:iCs w:val="1"/>
          <w:color w:val="auto"/>
        </w:rPr>
        <w:t>RoadSigns</w:t>
      </w:r>
      <w:r>
        <w:rPr>
          <w:rFonts w:ascii="Arial" w:cs="Arial" w:eastAsia="Arial" w:hAnsi="Arial"/>
          <w:sz w:val="18"/>
          <w:szCs w:val="18"/>
          <w:color w:val="auto"/>
        </w:rPr>
        <w:t>, the quarterly forecast prepared by ITR Economics for the RVIA, projected RV wholesale shipments to be approximately 350,100 in 2025, or 4.9% higher than 2024. RV wholesale shipments for the first three months of 2025 were 97,848 units, up 13.9% compared to the same timeframe last year per the March 2025 survey of manufacturers prepared by the RVIA.</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per unit cost of new vehicles in fiscal year 2023 was significantly higher than we experienced prior to the COVID-19 pandemic, due to the RV manufacturers’ supply constraints during the pandemic, strong demand for new vehicles during the pandemic, higher inflation, and higher interest rates. We focused on clearing out a significant portion of our higher cost pre-2024 model year new vehicles in late 2023 and the first quarter of 2024. The increased mix of lower cost recent model year vehicles during the first quarter of 2025 resulted in lower average selling prices and average cost per unit of new vehicles with little impact to gross margins. Additionally, residual values of used vehicles had declined during 2024 as a result of a decrease in new vehicle costs, which resulted in the first quarter of 2025 having lower average selling prices and average cost per unit of used vehicles and a 104 basis point improvement in used vehicle gross margins.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had experienced lower used vehicle inventory levels for much of 2024 as we slowed procurement to allow RV owner pricing expectations to adjust as a result of 2024 model year pricing declines. Beginning in the fourth quarter of 2024, we took steps to reverse the trend of decreasing used vehicle revenue and unit sales, including the increase in the procurement of used vehicles, which resulted in a 25.1% increase in used vehicle revenue and 30.3% increase in used vehicle unit sales in the first quarter of 2025. Accordingly, we expect used vehicle revenue and unit sales to outpace comparative 2024 periods for much of 2025.</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or may be imposed on imports from these countries. We have made adjustments to our procurement practices to partially mitigate certain of the potential negative effects that additional tariffs may impose on the sourcing of our inventory and equipment. Additionally, many of our U.S.-based suppliers source some of their components from these countries, which could result in higher procurement costs from U.S.-based suppliers. In 2024, our costs applicable to revenue included the costs of directly sourced inventory from China, Mexico, and Canada of approximately $27.0 million, $10.0 million and $2.0 million,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As noted in “Industry Trends” above, we have experienced, and continue to experience, reduced cost and average selling prices with respect to new vehicles and, as a byproduct of the new vehicle pricing decrease, used vehicles. New and used vehicles regularly represent a majority of our costs. However, inflationary factors, such as increases to our product costs, or tariffs on imported product or components used by RV manufacturers, have in the past adversely affected and may in the future adversely affect our operating results if the selling prices of our products and services do not increase proportionately with those increased costs or if demand for our products and services declines as a result of price increases to address inflationary costs. We finance substantially all of our new vehicle inventory and certain of our used vehicle inventory through revolving floor plan arrangements. Inflationary increases in the costs of new and/or used vehicles financed through the revolving floor plan arrangement result in an increase in the outstanding principal balance of the revolving floor plan arrangement.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Structure Impact on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corporate structure is commonly referred to as an “Up-C” structure and typically results in a different relationship between income before income taxes and income tax expense than would be experienced by most public companies with a more traditional corporate structure. More traditional structures are typically 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More specifically, CWH is organized as a C-Corp and, as of March 31, 2025, is a 61.1%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Americas Road and Travel Club, Inc. and FreedomRoads RV, Inc., and their wholly-owned subsidiaries, which are active C-Corps embedded within the CWGS, LLC structure.</w:t>
      </w:r>
    </w:p>
    <w:p>
      <w:pPr>
        <w:spacing w:after="0" w:line="17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CWH receives an allocation of its share of the net income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of CWGS, LLC allocated to CWH that relates to separately taxed C-Corp entities is recorded within the consolidated results of CWGS, LLC. No income tax expense is recognized by the Company for the portion of net income of CWGS, LLC allocated to non-controlling interests other than income tax expense recorded by CWGS, LLC. Rather, tax distributions are paid to the non-controlling interest holders which are recorded as distributions to holders of LLC common units in the condensed consolidated statements of cash flows. CWH is subject to U.S. federal, state and local income taxes with respect to its allocable share of any taxable income of CWGS, LLC and is taxed at the prevailing corporate tax rates. For the three months ended March 31, 2025 and 2024, the Company used a blended statutory tax rate assumption of 25.0%, for income adjustments applicable to CWH when calculating the adjusted net loss attributable to Camping World Holdings, Inc. ─ basic and diluted (see “Non-GAAP Financial Measures” in Part I, Item 2 of this Form 10-Q). CWGS, LLC may be liable for various other state and local taxes.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80" w:firstLine="648"/>
        <w:spacing w:after="0" w:line="253" w:lineRule="auto"/>
        <w:rPr>
          <w:sz w:val="20"/>
          <w:szCs w:val="20"/>
          <w:color w:val="auto"/>
        </w:rPr>
      </w:pPr>
      <w:r>
        <w:rPr>
          <w:rFonts w:ascii="Arial" w:cs="Arial" w:eastAsia="Arial" w:hAnsi="Arial"/>
          <w:sz w:val="18"/>
          <w:szCs w:val="18"/>
          <w:color w:val="auto"/>
        </w:rPr>
        <w:t>The following table presents the allocation of CWGS, LLC’s C-Corp and Pass-Through net loss to CWH, the allocation of CWGS, LLC’s net loss to non-controlling interests, income tax benefit recognized by CWH, and other items:</w:t>
      </w:r>
    </w:p>
    <w:p>
      <w:pPr>
        <w:spacing w:after="0" w:line="205" w:lineRule="exact"/>
        <w:rPr>
          <w:sz w:val="20"/>
          <w:szCs w:val="20"/>
          <w:color w:val="auto"/>
        </w:rPr>
      </w:pPr>
    </w:p>
    <w:p>
      <w:pPr>
        <w:ind w:left="666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0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2024</w:t>
            </w:r>
          </w:p>
        </w:tc>
      </w:tr>
      <w:tr>
        <w:trPr>
          <w:trHeight w:val="196"/>
        </w:trPr>
        <w:tc>
          <w:tcPr>
            <w:tcW w:w="59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C-Corp portion of CWGS, LLC net income allocated to CWH</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r>
      <w:tr>
        <w:trPr>
          <w:trHeight w:val="203"/>
        </w:trPr>
        <w:tc>
          <w:tcPr>
            <w:tcW w:w="6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Pass-Through portion of CWGS, LLC net loss allocated to CWH</w:t>
            </w:r>
          </w:p>
        </w:tc>
        <w:tc>
          <w:tcPr>
            <w:tcW w:w="30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(20,134)</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(32,505)</w:t>
            </w:r>
          </w:p>
        </w:tc>
      </w:tr>
      <w:tr>
        <w:trPr>
          <w:trHeight w:val="196"/>
        </w:trPr>
        <w:tc>
          <w:tcPr>
            <w:tcW w:w="60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CWGS, LLC net loss allocated to CWH</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(19,439)</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(32,059)</w:t>
            </w:r>
          </w:p>
        </w:tc>
      </w:tr>
      <w:tr>
        <w:trPr>
          <w:trHeight w:val="203"/>
        </w:trPr>
        <w:tc>
          <w:tcPr>
            <w:tcW w:w="6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CWGS, LLC net loss allocated to noncontrolling interests</w:t>
            </w:r>
          </w:p>
        </w:tc>
        <w:tc>
          <w:tcPr>
            <w:tcW w:w="30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(12,402)</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(28,499)</w:t>
            </w:r>
          </w:p>
        </w:tc>
      </w:tr>
      <w:tr>
        <w:trPr>
          <w:trHeight w:val="196"/>
        </w:trPr>
        <w:tc>
          <w:tcPr>
            <w:tcW w:w="606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CWGS, LLC net loss</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(31,841)</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(60,558)</w:t>
            </w:r>
          </w:p>
        </w:tc>
      </w:tr>
      <w:tr>
        <w:trPr>
          <w:trHeight w:val="203"/>
        </w:trPr>
        <w:tc>
          <w:tcPr>
            <w:tcW w:w="6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Income tax benefit recorded by CWH</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6,989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9,362</w:t>
            </w:r>
          </w:p>
        </w:tc>
      </w:tr>
      <w:tr>
        <w:trPr>
          <w:trHeight w:val="203"/>
        </w:trPr>
        <w:tc>
          <w:tcPr>
            <w:tcW w:w="60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incremental CWH net income</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196"/>
        </w:trPr>
        <w:tc>
          <w:tcPr>
            <w:tcW w:w="6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(24,682)</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(50,806)</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further information on income tax benefit:</w:t>
      </w:r>
    </w:p>
    <w:p>
      <w:pPr>
        <w:spacing w:after="0" w:line="249"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 in thousands)</w:t>
            </w:r>
          </w:p>
        </w:tc>
        <w:tc>
          <w:tcPr>
            <w:tcW w:w="19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benefit recorded by CWH</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6,989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9,362</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recorded by CWGS, LLC</w:t>
            </w: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(3,518)</w:t>
            </w:r>
          </w:p>
        </w:tc>
        <w:tc>
          <w:tcPr>
            <w:tcW w:w="3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tax benefit</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vMerge w:val="restart"/>
          </w:tcPr>
          <w:p>
            <w:pPr>
              <w:jc w:val="right"/>
              <w:ind w:right="129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0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2" w:right="1439"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2025 Compared to Three Months Ended March 31, 2024</w:t>
      </w:r>
    </w:p>
    <w:p>
      <w:pPr>
        <w:spacing w:after="0" w:line="1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three months ended March 31, 2025 to our financial results from the three months ended March 31, 2024. The following table sets forth information comparing the components of net loss for the three months ended March 31, 2025 and 2024:</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1"/>
                <w:szCs w:val="11"/>
                <w:b w:val="1"/>
                <w:bCs w:val="1"/>
                <w:color w:val="auto"/>
              </w:rPr>
              <w:t>Three Months Ended</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4"/>
          </w:tcPr>
          <w:p>
            <w:pPr>
              <w:jc w:val="right"/>
              <w:ind w:right="560"/>
              <w:spacing w:after="0" w:line="115" w:lineRule="exact"/>
              <w:rPr>
                <w:sz w:val="20"/>
                <w:szCs w:val="20"/>
                <w:color w:val="auto"/>
              </w:rPr>
            </w:pPr>
            <w:r>
              <w:rPr>
                <w:rFonts w:ascii="Arial" w:cs="Arial" w:eastAsia="Arial" w:hAnsi="Arial"/>
                <w:sz w:val="11"/>
                <w:szCs w:val="11"/>
                <w:b w:val="1"/>
                <w:bCs w:val="1"/>
                <w:color w:val="auto"/>
              </w:rPr>
              <w:t>March 31, 2025</w:t>
            </w:r>
          </w:p>
        </w:tc>
        <w:tc>
          <w:tcPr>
            <w:tcW w:w="100" w:type="dxa"/>
            <w:vAlign w:val="bottom"/>
          </w:tcPr>
          <w:p>
            <w:pPr>
              <w:spacing w:after="0"/>
              <w:rPr>
                <w:sz w:val="10"/>
                <w:szCs w:val="10"/>
                <w:color w:val="auto"/>
              </w:rPr>
            </w:pPr>
          </w:p>
        </w:tc>
        <w:tc>
          <w:tcPr>
            <w:tcW w:w="1480" w:type="dxa"/>
            <w:vAlign w:val="bottom"/>
            <w:gridSpan w:val="3"/>
          </w:tcPr>
          <w:p>
            <w:pPr>
              <w:jc w:val="right"/>
              <w:ind w:right="329"/>
              <w:spacing w:after="0" w:line="115" w:lineRule="exact"/>
              <w:rPr>
                <w:sz w:val="20"/>
                <w:szCs w:val="20"/>
                <w:color w:val="auto"/>
              </w:rPr>
            </w:pPr>
            <w:r>
              <w:rPr>
                <w:rFonts w:ascii="Arial" w:cs="Arial" w:eastAsia="Arial" w:hAnsi="Arial"/>
                <w:sz w:val="11"/>
                <w:szCs w:val="11"/>
                <w:b w:val="1"/>
                <w:bCs w:val="1"/>
                <w:color w:val="auto"/>
              </w:rPr>
              <w:t>March 31, 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Favorable/ (Unfavorable)</w:t>
            </w: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Percent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Percent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4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Revenue</w:t>
            </w: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Revenue</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49"/>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89"/>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6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46,208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45,681</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621,432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656,086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(34,654)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422,351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337,685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84,666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164,992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177,894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(12,902)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148,667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135,454</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9,874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11,217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6"/>
        </w:trPr>
        <w:tc>
          <w:tcPr>
            <w:tcW w:w="38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1,367,316</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1,318,336</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48,980</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1,413,524</w:t>
            </w: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1,364,017</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49,507</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91,047</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(5,974)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78,390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59,152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19,238</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80,253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148,667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135,454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13,213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401,141</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371,899</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29,242</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429,628</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402,397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27,231</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387,445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371,473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(15,972)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(3,254)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5,827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5,207</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sale or disposal of assets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(1,823)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408,786</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398,175</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(10,611)</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20,842</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4,222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16,620</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393.7%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(18,306)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(27,882)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(30,531)</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(36,094)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(48,995)</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(64,070)</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15,075</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Loss before income taxes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(28,153)</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(59,848)</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31,695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9,042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(5,571)</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55"/>
        </w:trPr>
        <w:tc>
          <w:tcPr>
            <w:tcW w:w="384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(24,682)</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(50,806)</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26,124</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Less: net loss attributable to non-controlling interests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12,402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28,499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(16,097)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55"/>
        </w:trPr>
        <w:tc>
          <w:tcPr>
            <w:tcW w:w="384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(12,280)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(22,307)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10,027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00" w:type="dxa"/>
            <w:vAlign w:val="bottom"/>
            <w:gridSpan w:val="17"/>
          </w:tcPr>
          <w:p>
            <w:pPr>
              <w:ind w:left="20"/>
              <w:spacing w:after="0"/>
              <w:rPr>
                <w:sz w:val="20"/>
                <w:szCs w:val="20"/>
                <w:color w:val="auto"/>
              </w:rPr>
            </w:pPr>
            <w:r>
              <w:rPr>
                <w:rFonts w:ascii="Arial" w:cs="Arial" w:eastAsia="Arial" w:hAnsi="Arial"/>
                <w:sz w:val="13"/>
                <w:szCs w:val="13"/>
                <w:b w:val="1"/>
                <w:bCs w:val="1"/>
                <w:color w:val="auto"/>
              </w:rPr>
              <w:t>Supplemental Data</w:t>
            </w:r>
          </w:p>
        </w:tc>
        <w:tc>
          <w:tcPr>
            <w:tcW w:w="120" w:type="dxa"/>
            <w:vAlign w:val="bottom"/>
          </w:tcPr>
          <w:p>
            <w:pPr>
              <w:spacing w:after="0"/>
              <w:rPr>
                <w:sz w:val="14"/>
                <w:szCs w:val="14"/>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(decrease)</w:t>
            </w:r>
          </w:p>
        </w:tc>
        <w:tc>
          <w:tcPr>
            <w:tcW w:w="440" w:type="dxa"/>
            <w:vAlign w:val="bottom"/>
          </w:tcPr>
          <w:p>
            <w:pPr>
              <w:spacing w:after="0"/>
              <w:rPr>
                <w:sz w:val="13"/>
                <w:szCs w:val="13"/>
                <w:color w:val="auto"/>
              </w:rPr>
            </w:pPr>
          </w:p>
        </w:tc>
        <w:tc>
          <w:tcPr>
            <w:tcW w:w="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16,726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16,882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(156)</w:t>
            </w: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(0.9%)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10,694</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30,665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27,576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3,089</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60" w:type="dxa"/>
            <w:vAlign w:val="bottom"/>
            <w:gridSpan w:val="11"/>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37,154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38,863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(1,709)</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31,577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(1,277)</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180" w:type="dxa"/>
            <w:vAlign w:val="bottom"/>
            <w:gridSpan w:val="2"/>
            <w:vMerge w:val="restart"/>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00" w:type="dxa"/>
            <w:vAlign w:val="bottom"/>
            <w:gridSpan w:val="10"/>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15,791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16,116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(325)</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13,157</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10,239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08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28,948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26,355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2,593</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6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60" w:type="dxa"/>
            <w:vAlign w:val="bottom"/>
            <w:gridSpan w:val="9"/>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940" w:type="dxa"/>
            <w:vAlign w:val="bottom"/>
            <w:tcBorders>
              <w:top w:val="single" w:sz="8" w:color="CCEEFF"/>
            </w:tcBorders>
            <w:gridSpan w:val="4"/>
          </w:tcPr>
          <w:p>
            <w:pPr>
              <w:spacing w:after="0"/>
              <w:rPr>
                <w:sz w:val="13"/>
                <w:szCs w:val="13"/>
                <w:color w:val="auto"/>
              </w:rPr>
            </w:pPr>
          </w:p>
        </w:tc>
        <w:tc>
          <w:tcPr>
            <w:tcW w:w="1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587,456</w:t>
            </w: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rPr>
              <w:t>628,813</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20"/>
              <w:spacing w:after="0" w:line="155" w:lineRule="exact"/>
              <w:rPr>
                <w:sz w:val="20"/>
                <w:szCs w:val="20"/>
                <w:color w:val="auto"/>
              </w:rPr>
            </w:pPr>
            <w:r>
              <w:rPr>
                <w:rFonts w:ascii="Arial" w:cs="Arial" w:eastAsia="Arial" w:hAnsi="Arial"/>
                <w:sz w:val="14"/>
                <w:szCs w:val="14"/>
                <w:color w:val="auto"/>
              </w:rPr>
              <w:t>(41,357)</w:t>
            </w:r>
          </w:p>
        </w:tc>
        <w:tc>
          <w:tcPr>
            <w:tcW w:w="44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321,354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139,506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149,776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(10,270)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141,129</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130,144</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1,266,953</w:t>
            </w:r>
          </w:p>
        </w:tc>
        <w:tc>
          <w:tcPr>
            <w:tcW w:w="2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1,230,087</w:t>
            </w:r>
          </w:p>
        </w:tc>
        <w:tc>
          <w:tcPr>
            <w:tcW w:w="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36,866</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280" w:type="dxa"/>
            <w:vAlign w:val="bottom"/>
            <w:gridSpan w:val="5"/>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5,086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5,393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(307)</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10,179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10,359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Gross margin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8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66.8%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(511) bps</w:t>
            </w: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color w:val="auto"/>
              </w:rPr>
              <w:t>(19) bps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7"/>
              </w:rPr>
              <w:t>bps</w:t>
            </w: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580</w:t>
            </w:r>
          </w:p>
        </w:tc>
        <w:tc>
          <w:tcPr>
            <w:tcW w:w="20" w:type="dxa"/>
            <w:vAlign w:val="bottom"/>
          </w:tcPr>
          <w:p>
            <w:pPr>
              <w:spacing w:after="0"/>
              <w:rPr>
                <w:sz w:val="14"/>
                <w:szCs w:val="14"/>
                <w:color w:val="auto"/>
              </w:rPr>
            </w:pPr>
          </w:p>
        </w:tc>
        <w:tc>
          <w:tcPr>
            <w:tcW w:w="440" w:type="dxa"/>
            <w:vAlign w:val="bottom"/>
          </w:tcPr>
          <w:p>
            <w:pPr>
              <w:jc w:val="right"/>
              <w:ind w:right="128"/>
              <w:spacing w:after="0"/>
              <w:rPr>
                <w:sz w:val="20"/>
                <w:szCs w:val="20"/>
                <w:color w:val="auto"/>
              </w:rPr>
            </w:pPr>
            <w:r>
              <w:rPr>
                <w:rFonts w:ascii="Arial" w:cs="Arial" w:eastAsia="Arial" w:hAnsi="Arial"/>
                <w:sz w:val="14"/>
                <w:szCs w:val="14"/>
                <w:color w:val="auto"/>
                <w:w w:val="97"/>
              </w:rPr>
              <w:t>bps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unch</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4"/>
                <w:szCs w:val="14"/>
                <w:color w:val="auto"/>
              </w:rPr>
              <w:t>(69) bps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80" w:type="dxa"/>
            <w:vAlign w:val="bottom"/>
            <w:tcBorders>
              <w:top w:val="single" w:sz="8" w:color="CCEEFF"/>
            </w:tcBorders>
            <w:gridSpan w:val="16"/>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28.2%</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97"/>
              </w:rPr>
              <w:t>bps</w:t>
            </w:r>
          </w:p>
        </w:tc>
        <w:tc>
          <w:tcPr>
            <w:tcW w:w="7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080" w:type="dxa"/>
            <w:vAlign w:val="bottom"/>
            <w:tcBorders>
              <w:bottom w:val="single" w:sz="8" w:color="CCEEFF"/>
            </w:tcBorders>
            <w:gridSpan w:val="16"/>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29.5%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w:t>
            </w: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right"/>
              <w:ind w:right="128"/>
              <w:spacing w:after="0" w:line="155" w:lineRule="exact"/>
              <w:rPr>
                <w:sz w:val="20"/>
                <w:szCs w:val="20"/>
                <w:color w:val="auto"/>
              </w:rPr>
            </w:pPr>
            <w:r>
              <w:rPr>
                <w:rFonts w:ascii="Arial" w:cs="Arial" w:eastAsia="Arial" w:hAnsi="Arial"/>
                <w:sz w:val="14"/>
                <w:szCs w:val="14"/>
                <w:color w:val="auto"/>
                <w:w w:val="97"/>
              </w:rPr>
              <w:t>bps</w:t>
            </w:r>
          </w:p>
        </w:tc>
        <w:tc>
          <w:tcPr>
            <w:tcW w:w="78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8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RV service &amp; retail centers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80" w:type="dxa"/>
            <w:vAlign w:val="bottom"/>
            <w:tcBorders>
              <w:top w:val="single" w:sz="8" w:color="CCEEFF"/>
              <w:bottom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215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2900" w:type="dxa"/>
            <w:vAlign w:val="bottom"/>
            <w:tcBorders>
              <w:top w:val="single" w:sz="8" w:color="auto"/>
            </w:tcBorders>
            <w:gridSpan w:val="1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18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1,509,594</w:t>
            </w: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rPr>
              <w:t>1,469,193</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40,401</w:t>
            </w:r>
          </w:p>
        </w:tc>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406,728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389,810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Products, parts, accessories and misc.</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202,628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218,197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(15,569)</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80" w:type="dxa"/>
            <w:vAlign w:val="bottom"/>
            <w:tcBorders>
              <w:top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2,118,950</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2,077,200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41,750</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7,258</w:t>
            </w:r>
          </w:p>
        </w:tc>
        <w:tc>
          <w:tcPr>
            <w:tcW w:w="2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6,963</w:t>
            </w:r>
          </w:p>
        </w:tc>
        <w:tc>
          <w:tcPr>
            <w:tcW w:w="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295</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300" w:type="dxa"/>
            <w:vAlign w:val="bottom"/>
            <w:tcBorders>
              <w:bottom w:val="single" w:sz="8" w:color="CCEEFF"/>
            </w:tcBorders>
            <w:gridSpan w:val="6"/>
            <w:vMerge w:val="restart"/>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00" w:type="dxa"/>
            <w:vAlign w:val="bottom"/>
            <w:gridSpan w:val="6"/>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16"/>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4,140,985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Arial" w:cs="Arial" w:eastAsia="Arial" w:hAnsi="Arial"/>
                <w:sz w:val="14"/>
                <w:szCs w:val="14"/>
                <w:color w:val="auto"/>
              </w:rPr>
              <w:t>4,827,623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(686,638)</w:t>
            </w:r>
          </w:p>
        </w:tc>
        <w:tc>
          <w:tcPr>
            <w:tcW w:w="4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1,702,017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1,961,112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(259,095)</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2,857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080" w:type="dxa"/>
            <w:vAlign w:val="bottom"/>
            <w:gridSpan w:val="16"/>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8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7"/>
              </w:rPr>
              <w:t>bps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16"/>
          </w:tcPr>
          <w:p>
            <w:pPr>
              <w:ind w:left="100"/>
              <w:spacing w:after="0"/>
              <w:rPr>
                <w:sz w:val="20"/>
                <w:szCs w:val="20"/>
                <w:color w:val="auto"/>
              </w:rPr>
            </w:pPr>
            <w:r>
              <w:rPr>
                <w:rFonts w:ascii="Arial" w:cs="Arial" w:eastAsia="Arial" w:hAnsi="Arial"/>
                <w:sz w:val="14"/>
                <w:szCs w:val="14"/>
                <w:color w:val="auto"/>
              </w:rPr>
              <w:t>Same store locations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line="217"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fully-constructed bay dedicated to service, installation, and/or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partially offset by reduced contracts in force for our roadside assistance programs.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partially offset by increased Good Sam branded extended vehicle warranty program sales through retail finance and insurance offerings.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revenue decreased primarily due to a 4.4% decrease in the average selling price per new vehicle sold, and to a lesser extent, the 0.9% reduction in volume of vehicles sold. On a same store basis, new vehicles revenue decreased 6.6% to $587.5 million from a decrease in new vehicles sold of 2.0%, in addition to a 4.7% decrease in the average selling price per new vehicle sold.</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gross profit decreased primarily due to a 5.7% lower gross profit per new vehicle sold resulting from a lower average sales price per vehicle sold. New vehicles gross margin decreased 19 basis points to 13.7%, primarily driven by the 4.4% decrease in the average selling price per new vehicle sold, partially offset by a 4.2% reduction in the average cost per new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revenue increased primarily due to a 30.3% increase in used vehicles unit sales, partially offset by a 4.0% decrease in the average selling price per used vehicle sold. On a same store basis, used vehicles revenue increased 24.1% to $398.9 million from an increase in the number of used vehicles sold of 28.5% partially offset by a 3.4% decrease in average sales price per used vehicle sold.</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Used vehicles gross profit increased primarily due to the 30.3% increase in used vehicles sold and increased gross profit per used vehicle sold. Used vehicle gross margin increased 104 basis points primarily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due to a 5.3% decrease in the average cost per unit sold, partially offset by the average price per used vehicle sold decreasing 4.0%.</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the divestiture of our RV furniture business in May 2024, which contributed $6.6 million of revenue, outside of the RV furniture sold through our store locations, for the three months ended March 31, 2024, and a reallocation of service labor in 2025 toward used inventory reconditioning. On a same store basis, products, service and other revenue decreased 6.9% to $139.5 million.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 in products, service and other gross profit and the 580 basis point increase in products, service and other gross margin to 48.6% was driven by the divestiture of the RV furniture business, which had negative gross margins for the three months ended March 31, 2024, higher billing rates for service labor, and improved gross margins on our aftermarket part assortment.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$13.2 million, which was primarily a result of an increased number of contracts sold resulting from increased vehicles sold and an increase in revenue per contract. Finance and insurance, net revenue as a percentage of new and used vehicle revenue was 14.2%, an increase from 13.6%. On a same store basis, finance and insurance, net revenue increased 8.4%.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Good Sam Club revenue, gross profit, and gross margin decreased primarily from the 13.2% decrease in Good Sam Club members, excluding free basic plan members. The decline in Good Sam Club members was a result of the availability of the free basic plan that was introduced in late 2023, which provides for limited participation in the loyalty point program without access to the remaining member benefits, and price increases introduced by early 2024 that impacted renewal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Selling, general and administrative expenses increased primarily due to a $9.6 million increase in employee cash compensation costs, $7.3 million of additional advertising expenses, and a $2.0 million increase in employee SBC expense, partially offset by $4.2 million of reduced legal fees.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Long-Lived Asset Impairment to our condensed consolidated financial statements included in Part I, Item 1 of this Form 10-Q, we recognized $0.6 million of long-lived asset impairments, a decrease of $ 5.2 million. These long-lived asset impairments related to decreases in market rental rates or market value of real property for closed locations, or based on the Company’s review of location performance in the normal course of business.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decrease in floor plan interest expense was due both to a 134 basis point decrease in the average floor plan borrowing rate and a lower average floor plan notes payable balance. The average interest rate for</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Floor Plan Facility for the three months ended March 31, 2025 and 2024 was 6.35% and 7.68%,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Other interest expense, net decreased primarily due to the reduced interest rate on our Term Loan Facility, reduced borrowings on the Company’s Real Estate Facilities, and no outstanding balance on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three months ended March 31, 2025 and 2024 was 6.96% and 7.97%, respectively. The average interest rate on the M&amp;T Real Estate Facility for three months ended March 31, 2025 and 2024 was 6.64% and 7.73%, respectively.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 of income tax benefit was primarily due to lower losses generated from CWGS, LLC for which the Company is subject to U.S. federal and state taxes on its allocable share and changes in reserves for uncertain tax positions.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sets forth a reconciliation of total segment income to consolidated income before income taxes for each of our segments for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2"/>
                <w:szCs w:val="12"/>
                <w:b w:val="1"/>
                <w:bCs w:val="1"/>
                <w:color w:val="auto"/>
              </w:rPr>
              <w:t>Three Months Ended March 31,</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Favorable /</w:t>
            </w:r>
          </w:p>
        </w:tc>
      </w:tr>
      <w:tr>
        <w:trPr>
          <w:trHeight w:val="169"/>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Percent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Percent of</w:t>
            </w:r>
          </w:p>
        </w:tc>
        <w:tc>
          <w:tcPr>
            <w:tcW w:w="100" w:type="dxa"/>
            <w:vAlign w:val="bottom"/>
          </w:tcPr>
          <w:p>
            <w:pPr>
              <w:spacing w:after="0"/>
              <w:rPr>
                <w:sz w:val="14"/>
                <w:szCs w:val="14"/>
                <w:color w:val="auto"/>
              </w:rPr>
            </w:pPr>
          </w:p>
        </w:tc>
        <w:tc>
          <w:tcPr>
            <w:tcW w:w="1320" w:type="dxa"/>
            <w:vAlign w:val="bottom"/>
            <w:gridSpan w:val="4"/>
          </w:tcPr>
          <w:p>
            <w:pPr>
              <w:ind w:left="200"/>
              <w:spacing w:after="0"/>
              <w:rPr>
                <w:sz w:val="20"/>
                <w:szCs w:val="20"/>
                <w:color w:val="auto"/>
              </w:rPr>
            </w:pPr>
            <w:r>
              <w:rPr>
                <w:rFonts w:ascii="Arial" w:cs="Arial" w:eastAsia="Arial" w:hAnsi="Arial"/>
                <w:sz w:val="12"/>
                <w:szCs w:val="12"/>
                <w:b w:val="1"/>
                <w:bCs w:val="1"/>
                <w:color w:val="auto"/>
              </w:rPr>
              <w:t>(Unfavorable)</w:t>
            </w:r>
          </w:p>
        </w:tc>
      </w:tr>
      <w:tr>
        <w:trPr>
          <w:trHeight w:val="169"/>
        </w:trPr>
        <w:tc>
          <w:tcPr>
            <w:tcW w:w="41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Revenue</w:t>
            </w: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Revenue</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200"/>
              <w:spacing w:after="0"/>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r>
      <w:tr>
        <w:trPr>
          <w:trHeight w:val="156"/>
        </w:trPr>
        <w:tc>
          <w:tcPr>
            <w:tcW w:w="39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46,208</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45,681</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(13.1%)</w:t>
            </w:r>
          </w:p>
        </w:tc>
      </w:tr>
      <w:tr>
        <w:trPr>
          <w:trHeight w:val="155"/>
        </w:trPr>
        <w:tc>
          <w:tcPr>
            <w:tcW w:w="412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47,016</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46,611</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405</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17,677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15,138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(2,539)</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(16.8%)</w:t>
            </w:r>
          </w:p>
        </w:tc>
      </w:tr>
      <w:tr>
        <w:trPr>
          <w:trHeight w:val="162"/>
        </w:trPr>
        <w:tc>
          <w:tcPr>
            <w:tcW w:w="41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7,642</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7,288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(354)</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r>
      <w:tr>
        <w:trPr>
          <w:trHeight w:val="155"/>
        </w:trPr>
        <w:tc>
          <w:tcPr>
            <w:tcW w:w="412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21,110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23,255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1,367,316</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1,318,336</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48,980</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2,721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(317)</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(11.7%)</w:t>
            </w:r>
          </w:p>
        </w:tc>
      </w:tr>
      <w:tr>
        <w:trPr>
          <w:trHeight w:val="155"/>
        </w:trPr>
        <w:tc>
          <w:tcPr>
            <w:tcW w:w="412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1,369,720</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1,321,057</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48,663</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966,094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946,390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(19,704)</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r>
      <w:tr>
        <w:trPr>
          <w:trHeight w:val="162"/>
        </w:trPr>
        <w:tc>
          <w:tcPr>
            <w:tcW w:w="41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w:t>
            </w: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369,732</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356,186</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(13,546)</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r>
      <w:tr>
        <w:trPr>
          <w:trHeight w:val="162"/>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18,306</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27,882</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58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217.6%</w:t>
            </w:r>
          </w:p>
        </w:tc>
        <w:tc>
          <w:tcPr>
            <w:tcW w:w="80" w:type="dxa"/>
            <w:vAlign w:val="bottom"/>
          </w:tcPr>
          <w:p>
            <w:pPr>
              <w:spacing w:after="0"/>
              <w:rPr>
                <w:sz w:val="14"/>
                <w:szCs w:val="14"/>
                <w:color w:val="auto"/>
              </w:rPr>
            </w:pPr>
          </w:p>
        </w:tc>
      </w:tr>
      <w:tr>
        <w:trPr>
          <w:trHeight w:val="155"/>
        </w:trPr>
        <w:tc>
          <w:tcPr>
            <w:tcW w:w="412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13,003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(11,641)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24,644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are eliminated in our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excludes stock-based compensation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11"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Adjusted selling, general, and administrative expenses excludes stock-based compensation expense and intersegment operating expenses.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developing new services and plans. Adjusted selling, general and administrative expense increased primarily from increased employee cash compensation expense. The Good Sam Services and Plans Segment Adjusted EBITDA decrease was driven primarily by the increase to adjusted costs applicable to revenue and adjusted selling, general and administrative expense, partially offset by the increase to external revenue discussed above. Intersegment revenue and intersegment costs applicable to revenue did not have a significant impact on the decrease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11.2% higher total unit sales, partially offset by the reductions in cost per new and used vehicles discussed above, and (ii) lower products, service and other costs applicable to revenue primarily from the same drivers of the decrease in revenue discussed above. Adjusted selling, general and administrative expense increased primarily due to approximately $7.7 million of increased advertising expenses, $5.2 million of increased commissions costs, and $3.9 million of increased employee cash compensation expense, partially offset by a $4.3 million reduction in legal fees. The RV and Outdoor Retail Segment Adjusted EBITDA increased from the increases in revenue and reduction in floor plan interest expense, partially offset by the increase in segment expenses discussed above. Intersegment revenue, intersegment costs applicable to revenue, and intersegment operating expenses did not have a significant impact on the increase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Loss Attributable to Camping World Holdings, Inc. – Basic; Adjusted Net Loss Attributable to Camping World Holdings, Inc. – Diluted; Adjusted Loss Per Share – Basic; Adjusted Loss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 -GAAP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and in the reconciliation tables below help management with a measure of our core operating performance over time by removing items that are not related to day-to-day operations.</w:t>
      </w:r>
    </w:p>
    <w:p>
      <w:pPr>
        <w:spacing w:after="0" w:line="15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define “EBITDA” as net loss before other interest expense, net (excluding floor plan interest expense), provision for income tax benefit and depreciation and amortization. We define “Adjusted EBITDA” as EBITDA further adjusted for the impact of certain noncash and other items that we do not consider in our evaluation of ongoing operating performance. These items include, among other things, long-lived asset impairment, gains and losses on sale or disposal of assets, net, SBC,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369" w:lineRule="exact"/>
        <w:rPr>
          <w:sz w:val="20"/>
          <w:szCs w:val="20"/>
          <w:color w:val="auto"/>
        </w:rPr>
      </w:pPr>
    </w:p>
    <w:p>
      <w:pPr>
        <w:ind w:left="680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3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2024</w:t>
            </w:r>
          </w:p>
        </w:tc>
      </w:tr>
      <w:tr>
        <w:trPr>
          <w:trHeight w:val="155"/>
        </w:trPr>
        <w:tc>
          <w:tcPr>
            <w:tcW w:w="60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Good Sam Services and Plans Segment Adjusted EBITDA</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21,110</w:t>
            </w: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23,255</w:t>
            </w:r>
          </w:p>
        </w:tc>
      </w:tr>
      <w:tr>
        <w:trPr>
          <w:trHeight w:val="162"/>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RV and Outdoor Retail Segment Adjusted EBITDA</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13,003</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(11,641)</w:t>
            </w:r>
          </w:p>
        </w:tc>
      </w:tr>
      <w:tr>
        <w:trPr>
          <w:trHeight w:val="155"/>
        </w:trPr>
        <w:tc>
          <w:tcPr>
            <w:tcW w:w="63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Segment Adjusted EBITDA</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34,113</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11,614</w:t>
            </w:r>
          </w:p>
        </w:tc>
      </w:tr>
      <w:tr>
        <w:trPr>
          <w:trHeight w:val="162"/>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Corporate and Other Adjusted EBITDA</w:t>
            </w:r>
          </w:p>
        </w:tc>
        <w:tc>
          <w:tcPr>
            <w:tcW w:w="26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(2,967)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(3,375)</w:t>
            </w:r>
          </w:p>
        </w:tc>
      </w:tr>
      <w:tr>
        <w:trPr>
          <w:trHeight w:val="155"/>
        </w:trPr>
        <w:tc>
          <w:tcPr>
            <w:tcW w:w="634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Total Adjusted EBITDA</w:t>
            </w: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31,146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8,239</w:t>
            </w:r>
          </w:p>
        </w:tc>
      </w:tr>
      <w:tr>
        <w:trPr>
          <w:trHeight w:val="20"/>
        </w:trPr>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76"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62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2025</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r>
      <w:tr>
        <w:trPr>
          <w:trHeight w:val="155"/>
        </w:trPr>
        <w:tc>
          <w:tcPr>
            <w:tcW w:w="59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EBITDA and Adjusted EBITDA:</w:t>
            </w: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(24,682)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(50,806)</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36,094</w:t>
            </w:r>
          </w:p>
        </w:tc>
        <w:tc>
          <w:tcPr>
            <w:tcW w:w="20" w:type="dxa"/>
            <w:vAlign w:val="bottom"/>
          </w:tcPr>
          <w:p>
            <w:pPr>
              <w:spacing w:after="0"/>
              <w:rPr>
                <w:sz w:val="14"/>
                <w:szCs w:val="14"/>
                <w:color w:val="auto"/>
              </w:rPr>
            </w:pPr>
          </w:p>
        </w:tc>
      </w:tr>
      <w:tr>
        <w:trPr>
          <w:trHeight w:val="162"/>
        </w:trPr>
        <w:tc>
          <w:tcPr>
            <w:tcW w:w="620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22,544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19,290</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benefit</w:t>
            </w: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(3,471)</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(9,042)</w:t>
            </w:r>
          </w:p>
        </w:tc>
        <w:tc>
          <w:tcPr>
            <w:tcW w:w="20" w:type="dxa"/>
            <w:vAlign w:val="bottom"/>
          </w:tcPr>
          <w:p>
            <w:pPr>
              <w:spacing w:after="0"/>
              <w:rPr>
                <w:sz w:val="14"/>
                <w:szCs w:val="14"/>
                <w:color w:val="auto"/>
              </w:rPr>
            </w:pPr>
          </w:p>
        </w:tc>
      </w:tr>
      <w:tr>
        <w:trPr>
          <w:trHeight w:val="156"/>
        </w:trPr>
        <w:tc>
          <w:tcPr>
            <w:tcW w:w="620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24,922</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(4,464)</w:t>
            </w:r>
          </w:p>
        </w:tc>
        <w:tc>
          <w:tcPr>
            <w:tcW w:w="20" w:type="dxa"/>
            <w:vAlign w:val="bottom"/>
          </w:tcPr>
          <w:p>
            <w:pPr>
              <w:spacing w:after="0"/>
              <w:rPr>
                <w:sz w:val="13"/>
                <w:szCs w:val="13"/>
                <w:color w:val="auto"/>
              </w:rPr>
            </w:pPr>
          </w:p>
        </w:tc>
      </w:tr>
      <w:tr>
        <w:trPr>
          <w:trHeight w:val="162"/>
        </w:trPr>
        <w:tc>
          <w:tcPr>
            <w:tcW w:w="62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20" w:type="dxa"/>
            <w:vAlign w:val="bottom"/>
          </w:tcPr>
          <w:p>
            <w:pPr>
              <w:spacing w:after="0"/>
              <w:rPr>
                <w:sz w:val="14"/>
                <w:szCs w:val="14"/>
                <w:color w:val="auto"/>
              </w:rPr>
            </w:pPr>
          </w:p>
        </w:tc>
      </w:tr>
      <w:tr>
        <w:trPr>
          <w:trHeight w:val="162"/>
        </w:trPr>
        <w:tc>
          <w:tcPr>
            <w:tcW w:w="6200" w:type="dxa"/>
            <w:vAlign w:val="bottom"/>
            <w:gridSpan w:val="2"/>
          </w:tcPr>
          <w:p>
            <w:pPr>
              <w:ind w:left="340"/>
              <w:spacing w:after="0"/>
              <w:rPr>
                <w:sz w:val="20"/>
                <w:szCs w:val="20"/>
                <w:color w:val="auto"/>
              </w:rPr>
            </w:pPr>
            <w:r>
              <w:rPr>
                <w:rFonts w:ascii="Arial" w:cs="Arial" w:eastAsia="Arial" w:hAnsi="Arial"/>
                <w:sz w:val="14"/>
                <w:szCs w:val="14"/>
                <w:color w:val="auto"/>
              </w:rPr>
              <w:t>(Gain) loss on sale or disposal of assets, net (b)</w:t>
            </w:r>
          </w:p>
        </w:tc>
        <w:tc>
          <w:tcPr>
            <w:tcW w:w="3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(1,823)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1,585</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SBC (c)</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7,270</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20" w:type="dxa"/>
            <w:vAlign w:val="bottom"/>
          </w:tcPr>
          <w:p>
            <w:pPr>
              <w:spacing w:after="0"/>
              <w:rPr>
                <w:sz w:val="14"/>
                <w:szCs w:val="14"/>
                <w:color w:val="auto"/>
              </w:rPr>
            </w:pPr>
          </w:p>
        </w:tc>
      </w:tr>
      <w:tr>
        <w:trPr>
          <w:trHeight w:val="162"/>
        </w:trPr>
        <w:tc>
          <w:tcPr>
            <w:tcW w:w="6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Loss and/or impairment on investments in equity securities (d)</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r>
      <w:tr>
        <w:trPr>
          <w:trHeight w:val="155"/>
        </w:trPr>
        <w:tc>
          <w:tcPr>
            <w:tcW w:w="6200" w:type="dxa"/>
            <w:vAlign w:val="bottom"/>
            <w:tcBorders>
              <w:bottom w:val="single" w:sz="8" w:color="CCEEFF"/>
            </w:tcBorders>
            <w:gridSpan w:val="2"/>
            <w:shd w:val="clear" w:color="auto" w:fill="CCEEFF"/>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31,146</w:t>
            </w:r>
          </w:p>
        </w:tc>
        <w:tc>
          <w:tcPr>
            <w:tcW w:w="2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8,239</w:t>
            </w:r>
          </w:p>
        </w:tc>
        <w:tc>
          <w:tcPr>
            <w:tcW w:w="20" w:type="dxa"/>
            <w:vAlign w:val="bottom"/>
          </w:tcPr>
          <w:p>
            <w:pPr>
              <w:spacing w:after="0"/>
              <w:rPr>
                <w:sz w:val="13"/>
                <w:szCs w:val="13"/>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6200" w:type="dxa"/>
            <w:vAlign w:val="bottom"/>
            <w:gridSpan w:val="2"/>
          </w:tcPr>
          <w:p>
            <w:pPr>
              <w:ind w:left="20"/>
              <w:spacing w:after="0"/>
              <w:rPr>
                <w:sz w:val="20"/>
                <w:szCs w:val="20"/>
                <w:color w:val="auto"/>
              </w:rPr>
            </w:pPr>
            <w:r>
              <w:rPr>
                <w:rFonts w:ascii="Arial" w:cs="Arial" w:eastAsia="Arial" w:hAnsi="Arial"/>
                <w:sz w:val="11"/>
                <w:szCs w:val="11"/>
                <w:color w:val="auto"/>
              </w:rPr>
              <w:t>(as percentage of total revenue)</w:t>
            </w:r>
          </w:p>
        </w:tc>
        <w:tc>
          <w:tcPr>
            <w:tcW w:w="1220" w:type="dxa"/>
            <w:vAlign w:val="bottom"/>
            <w:tcBorders>
              <w:top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2025</w:t>
            </w: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r>
      <w:tr>
        <w:trPr>
          <w:trHeight w:val="156"/>
        </w:trPr>
        <w:tc>
          <w:tcPr>
            <w:tcW w:w="59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EBITDA margin:</w:t>
            </w:r>
          </w:p>
        </w:tc>
        <w:tc>
          <w:tcPr>
            <w:tcW w:w="2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gridSpan w:val="2"/>
          </w:tcPr>
          <w:p>
            <w:pPr>
              <w:ind w:left="120"/>
              <w:spacing w:after="0"/>
              <w:rPr>
                <w:sz w:val="20"/>
                <w:szCs w:val="20"/>
                <w:color w:val="auto"/>
              </w:rPr>
            </w:pPr>
            <w:r>
              <w:rPr>
                <w:rFonts w:ascii="Arial" w:cs="Arial" w:eastAsia="Arial" w:hAnsi="Arial"/>
                <w:sz w:val="14"/>
                <w:szCs w:val="14"/>
                <w:color w:val="auto"/>
              </w:rPr>
              <w:t>Net loss margin</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(1.7%)</w:t>
            </w: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r>
      <w:tr>
        <w:trPr>
          <w:trHeight w:val="162"/>
        </w:trPr>
        <w:tc>
          <w:tcPr>
            <w:tcW w:w="620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benefit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r>
      <w:tr>
        <w:trPr>
          <w:trHeight w:val="155"/>
        </w:trPr>
        <w:tc>
          <w:tcPr>
            <w:tcW w:w="620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 margin</w:t>
            </w: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3"/>
                <w:szCs w:val="13"/>
                <w:color w:val="auto"/>
              </w:rPr>
            </w:pPr>
          </w:p>
        </w:tc>
      </w:tr>
      <w:tr>
        <w:trPr>
          <w:trHeight w:val="162"/>
        </w:trPr>
        <w:tc>
          <w:tcPr>
            <w:tcW w:w="62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r>
      <w:tr>
        <w:trPr>
          <w:trHeight w:val="162"/>
        </w:trPr>
        <w:tc>
          <w:tcPr>
            <w:tcW w:w="6200" w:type="dxa"/>
            <w:vAlign w:val="bottom"/>
            <w:gridSpan w:val="2"/>
          </w:tcPr>
          <w:p>
            <w:pPr>
              <w:ind w:left="340"/>
              <w:spacing w:after="0"/>
              <w:rPr>
                <w:sz w:val="20"/>
                <w:szCs w:val="20"/>
                <w:color w:val="auto"/>
              </w:rPr>
            </w:pPr>
            <w:r>
              <w:rPr>
                <w:rFonts w:ascii="Arial" w:cs="Arial" w:eastAsia="Arial" w:hAnsi="Arial"/>
                <w:sz w:val="14"/>
                <w:szCs w:val="14"/>
                <w:color w:val="auto"/>
              </w:rPr>
              <w:t>(Gain) loss on sale or disposal of assets, net (b)</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(0.1%)</w:t>
            </w: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r>
      <w:tr>
        <w:trPr>
          <w:trHeight w:val="162"/>
        </w:trPr>
        <w:tc>
          <w:tcPr>
            <w:tcW w:w="62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SBC (c)</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r>
      <w:tr>
        <w:trPr>
          <w:trHeight w:val="162"/>
        </w:trPr>
        <w:tc>
          <w:tcPr>
            <w:tcW w:w="620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Loss and/or impairment on investments in equity securities (d)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2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r>
      <w:tr>
        <w:trPr>
          <w:trHeight w:val="155"/>
        </w:trPr>
        <w:tc>
          <w:tcPr>
            <w:tcW w:w="6200" w:type="dxa"/>
            <w:vAlign w:val="bottom"/>
            <w:tcBorders>
              <w:bottom w:val="single" w:sz="8" w:color="CCEEFF"/>
            </w:tcBorders>
            <w:gridSpan w:val="2"/>
            <w:shd w:val="clear" w:color="auto" w:fill="CCEEFF"/>
          </w:tcPr>
          <w:p>
            <w:pPr>
              <w:ind w:left="440"/>
              <w:spacing w:after="0" w:line="155" w:lineRule="exact"/>
              <w:rPr>
                <w:sz w:val="20"/>
                <w:szCs w:val="20"/>
                <w:color w:val="auto"/>
              </w:rPr>
            </w:pPr>
            <w:r>
              <w:rPr>
                <w:rFonts w:ascii="Arial" w:cs="Arial" w:eastAsia="Arial" w:hAnsi="Arial"/>
                <w:sz w:val="14"/>
                <w:szCs w:val="14"/>
                <w:color w:val="auto"/>
              </w:rPr>
              <w:t>Adjusted EBITDA margin</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w:t>
            </w:r>
          </w:p>
        </w:tc>
        <w:tc>
          <w:tcPr>
            <w:tcW w:w="2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w:t>
            </w:r>
          </w:p>
        </w:tc>
        <w:tc>
          <w:tcPr>
            <w:tcW w:w="20" w:type="dxa"/>
            <w:vAlign w:val="bottom"/>
          </w:tcPr>
          <w:p>
            <w:pPr>
              <w:spacing w:after="0"/>
              <w:rPr>
                <w:sz w:val="13"/>
                <w:szCs w:val="13"/>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40" w:right="79" w:hanging="322"/>
        <w:spacing w:after="0" w:line="285" w:lineRule="auto"/>
        <w:tabs>
          <w:tab w:leader="none" w:pos="44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spacing w:after="0" w:line="22" w:lineRule="exact"/>
        <w:rPr>
          <w:rFonts w:ascii="Arial" w:cs="Arial" w:eastAsia="Arial" w:hAnsi="Arial"/>
          <w:sz w:val="14"/>
          <w:szCs w:val="14"/>
          <w:color w:val="231F20"/>
        </w:rPr>
      </w:pPr>
    </w:p>
    <w:p>
      <w:pPr>
        <w:ind w:left="440" w:hanging="322"/>
        <w:spacing w:after="0"/>
        <w:tabs>
          <w:tab w:leader="none" w:pos="44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40" w:hanging="322"/>
        <w:spacing w:after="0"/>
        <w:tabs>
          <w:tab w:leader="none" w:pos="44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68" w:lineRule="exact"/>
        <w:rPr>
          <w:rFonts w:ascii="Arial" w:cs="Arial" w:eastAsia="Arial" w:hAnsi="Arial"/>
          <w:sz w:val="14"/>
          <w:szCs w:val="14"/>
          <w:color w:val="231F20"/>
        </w:rPr>
      </w:pPr>
    </w:p>
    <w:p>
      <w:pPr>
        <w:ind w:left="460" w:right="79" w:hanging="329"/>
        <w:spacing w:after="0" w:line="285" w:lineRule="auto"/>
        <w:tabs>
          <w:tab w:leader="none" w:pos="460" w:val="left"/>
        </w:tabs>
        <w:numPr>
          <w:ilvl w:val="1"/>
          <w:numId w:val="25"/>
        </w:numPr>
        <w:rPr>
          <w:rFonts w:ascii="Arial" w:cs="Arial" w:eastAsia="Arial" w:hAnsi="Arial"/>
          <w:sz w:val="14"/>
          <w:szCs w:val="14"/>
          <w:color w:val="231F20"/>
        </w:rPr>
      </w:pPr>
      <w:r>
        <w:rPr>
          <w:rFonts w:ascii="Arial" w:cs="Arial" w:eastAsia="Arial" w:hAnsi="Arial"/>
          <w:sz w:val="14"/>
          <w:szCs w:val="14"/>
          <w:color w:val="auto"/>
        </w:rPr>
        <w:t>Represents losses and gains and impairment on investments in equity securities and interest income relating to any notes receivables with those investments.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Adjusted Net Loss Attributable to Camping World Holdings, Inc. and Adjusted Loss Per Share</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“Adjusted Net Loss Attributable to Camping World Holdings, Inc. – Basic” as net loss attributable to Camping World Holdings, Inc. adjusted for the impact of certain noncash and other items that we do not consider in our evaluation of ongoing operating performance. These items include, among other things, long-lived asset impairment, gains and losses on sale or disposal of assets, net, SBC, loss and impairment on investments in equity securities, other unusual or one-time items, the income tax benefit effect of these adjustments, and the effect of net loss attributable to non-controlling interests from these adjustments.</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Loss Attributable to Camping World Holdings, Inc. – Diluted” as Adjusted Net Loss Attributable to Camping World Holdings, Inc. – Basic adjusted for the reallocation of net loss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Loss Per Share – Basic” as Adjusted Net Loss Attributable to Camping World Holdings, Inc. - Basic divided by the weighted-average shares of Class A common stock outstanding. We define “Adjusted Loss Per Share – Diluted” as Adjusted Net Loss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Loss Attributable to Camping World Holdings, Inc. – Basic, Adjusted Net Loss Attributable to Camping World Holdings, Inc. – Diluted, Adjusted Loss Per Share – Basic, and Adjusted Loss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reconciles Adjusted Net Loss Attributable to Camping World Holdings, Inc. – Basic, Adjusted Net Loss Attributable to Camping World Holdings, Inc. – Diluted, Adjusted Loss Per Share – Basic, and Adjusted Loss Per Share – Diluted to the most directly comparable GAAP financial performance measure:</w:t>
      </w:r>
    </w:p>
    <w:p>
      <w:pPr>
        <w:spacing w:after="0" w:line="191" w:lineRule="exact"/>
        <w:rPr>
          <w:sz w:val="20"/>
          <w:szCs w:val="20"/>
          <w:color w:val="auto"/>
        </w:rPr>
      </w:pPr>
    </w:p>
    <w:p>
      <w:pPr>
        <w:ind w:left="682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638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9"/>
              <w:spacing w:after="0" w:line="129" w:lineRule="exact"/>
              <w:rPr>
                <w:sz w:val="20"/>
                <w:szCs w:val="20"/>
                <w:color w:val="auto"/>
              </w:rPr>
            </w:pPr>
            <w:r>
              <w:rPr>
                <w:rFonts w:ascii="Arial" w:cs="Arial" w:eastAsia="Arial" w:hAnsi="Arial"/>
                <w:sz w:val="12"/>
                <w:szCs w:val="12"/>
                <w:b w:val="1"/>
                <w:bCs w:val="1"/>
                <w:color w:val="auto"/>
              </w:rPr>
              <w:t>2025</w:t>
            </w: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49"/>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2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Net loss attributable to Camping World Holdings, Inc.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(12,280)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(95)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sale or disposal of assets (c):</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(1,823)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(expense) for above adjustment (b)</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SBC (d):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(1,114)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and/or impairment on investments in equity securities (e):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Adjustment to net loss attributable to non-controlling interests resulting from the above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adjustments (f)</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(2,420)</w:t>
            </w:r>
          </w:p>
        </w:tc>
        <w:tc>
          <w:tcPr>
            <w:tcW w:w="3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56"/>
        </w:trPr>
        <w:tc>
          <w:tcPr>
            <w:tcW w:w="6380" w:type="dxa"/>
            <w:vAlign w:val="bottom"/>
            <w:tcBorders>
              <w:top w:val="single" w:sz="8" w:color="CCEEFF"/>
            </w:tcBorders>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net loss attributable to Camping World Holdings, Inc. – basic</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(9,431)</w:t>
            </w: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(17,263)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8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loss attributable to non-controlling interests from the dilutive redemption of</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units in CWGS, LLC (g)</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(9,982)</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Income tax on reallocation of net loss attributable to non-controlling interests from the dilutive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redemption of common units in CWGS, LLC (h)</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net loss attributable to Camping World Holdings, Inc. – diluted</w:t>
            </w:r>
          </w:p>
        </w:tc>
        <w:tc>
          <w:tcPr>
            <w:tcW w:w="26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(16,804)</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62,531</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 common stock (i)</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Adjusted weighted average Class A common shares outstanding – diluted</w:t>
            </w:r>
          </w:p>
        </w:tc>
        <w:tc>
          <w:tcPr>
            <w:tcW w:w="2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102,426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85,092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Adjusted loss per share - 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(0.15)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loss per share - diluted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(0.16)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Anti-dilutive amounts (j):</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Denominator: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options to purchase Class A common stock (i)</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Anti-dilutive restricted stock units (i)</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per share amounts: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per share of Class A common stock — basic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(0.20)</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Non-GAAP Adjustments (k)</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loss per share - basic</w:t>
            </w: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(0.15)</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per share of Class A common stock — diluted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(0.21)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Non-GAAP Adjustments (k)</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loss per share - diluted</w:t>
            </w: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(0.16)</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460" w:right="479" w:hanging="329"/>
        <w:spacing w:after="0" w:line="325" w:lineRule="auto"/>
        <w:tabs>
          <w:tab w:leader="none" w:pos="460" w:val="left"/>
        </w:tabs>
        <w:numPr>
          <w:ilvl w:val="0"/>
          <w:numId w:val="26"/>
        </w:numPr>
        <w:rPr>
          <w:rFonts w:ascii="Arial" w:cs="Arial" w:eastAsia="Arial" w:hAnsi="Arial"/>
          <w:sz w:val="13"/>
          <w:szCs w:val="13"/>
          <w:color w:val="231F20"/>
        </w:rPr>
      </w:pPr>
      <w:r>
        <w:rPr>
          <w:rFonts w:ascii="Arial" w:cs="Arial" w:eastAsia="Arial" w:hAnsi="Arial"/>
          <w:sz w:val="13"/>
          <w:szCs w:val="13"/>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jc w:val="both"/>
        <w:ind w:left="460" w:right="79" w:hanging="329"/>
        <w:spacing w:after="0" w:line="263" w:lineRule="auto"/>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This assumption uses a blended statutory tax rate of 25.0% for the adjustments for the 2025 and 2024 periods, which represent the estimated tax rates that would apply had the above adjustments been included in the determination of our non-GAAP metric.</w:t>
      </w:r>
    </w:p>
    <w:p>
      <w:pPr>
        <w:spacing w:after="0" w:line="24" w:lineRule="exact"/>
        <w:rPr>
          <w:rFonts w:ascii="Arial" w:cs="Arial" w:eastAsia="Arial" w:hAnsi="Arial"/>
          <w:sz w:val="14"/>
          <w:szCs w:val="14"/>
          <w:color w:val="231F20"/>
        </w:rPr>
      </w:pPr>
    </w:p>
    <w:p>
      <w:pPr>
        <w:ind w:left="460" w:hanging="329"/>
        <w:spacing w:after="0"/>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8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receivables with those investments.</w:t>
      </w:r>
    </w:p>
    <w:p>
      <w:pPr>
        <w:spacing w:after="0" w:line="9"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the adjustment to net loss attributable to non-controlling interests resulting from the above adjustments that impact the net loss of CWGS, LLC. This adjustment uses the non-controlling interest’s weighted average ownership of CWGS, LLC of 39.0% and 47.1% for the three months ended March 31, 2025 and 2024, respectively.</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Represents the reallocation of net loss attributable to non-controlling interests from the impact of the assumed change in ownership of CWGS, LLC from stock options, restricted stock units, and/or common units of CWGS, LLC.</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right="79" w:hanging="329"/>
        <w:spacing w:after="0" w:line="285" w:lineRule="auto"/>
        <w:tabs>
          <w:tab w:leader="none" w:pos="46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Represents the income tax expense effect of the above adjustment for reallocation of net loss attributable to non-controlling interests. This assumption uses a blended statutory tax rate of 25.0% for the adjustments for the 2025 and 2024 periods.</w:t>
      </w:r>
    </w:p>
    <w:p>
      <w:pPr>
        <w:spacing w:after="0" w:line="22" w:lineRule="exact"/>
        <w:rPr>
          <w:rFonts w:ascii="Arial" w:cs="Arial" w:eastAsia="Arial" w:hAnsi="Arial"/>
          <w:sz w:val="14"/>
          <w:szCs w:val="14"/>
          <w:color w:val="231F20"/>
        </w:rPr>
      </w:pPr>
    </w:p>
    <w:p>
      <w:pPr>
        <w:ind w:left="460" w:hanging="329"/>
        <w:spacing w:after="0"/>
        <w:tabs>
          <w:tab w:leader="none" w:pos="46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Represents the impact to the denominator for stock options, restricted stock units, and/or common units of CWGS, LLC.</w:t>
      </w:r>
    </w:p>
    <w:p>
      <w:pPr>
        <w:spacing w:after="0" w:line="68" w:lineRule="exact"/>
        <w:rPr>
          <w:rFonts w:ascii="Arial" w:cs="Arial" w:eastAsia="Arial" w:hAnsi="Arial"/>
          <w:sz w:val="14"/>
          <w:szCs w:val="14"/>
          <w:color w:val="231F20"/>
        </w:rPr>
      </w:pPr>
    </w:p>
    <w:p>
      <w:pPr>
        <w:ind w:left="460" w:right="79" w:hanging="329"/>
        <w:spacing w:after="0" w:line="281" w:lineRule="auto"/>
        <w:tabs>
          <w:tab w:leader="none" w:pos="460" w:val="left"/>
        </w:tabs>
        <w:numPr>
          <w:ilvl w:val="0"/>
          <w:numId w:val="27"/>
        </w:numPr>
        <w:rPr>
          <w:rFonts w:ascii="Arial" w:cs="Arial" w:eastAsia="Arial" w:hAnsi="Arial"/>
          <w:sz w:val="13"/>
          <w:szCs w:val="13"/>
          <w:color w:val="231F20"/>
        </w:rPr>
      </w:pPr>
      <w:r>
        <w:rPr>
          <w:rFonts w:ascii="Arial" w:cs="Arial" w:eastAsia="Arial" w:hAnsi="Arial"/>
          <w:sz w:val="13"/>
          <w:szCs w:val="13"/>
          <w:color w:val="auto"/>
        </w:rPr>
        <w:t>The below amounts have not been considered in our adjusted loss per share – diluted amounts as the effect of these items are anti-dilutive. Additionally, 750,000 performance stock units granted in January 2025 were excluded from the calculation of our adjusted loss per share– diluted, since they represent contingently issuable shares for which all of the necessary conditions had not been satisfied (see Note 16 — Stock-Based Compensation Plans to our condensed consolidated financial statements included in Part I, Item 1 of this Form 10-Q).</w:t>
      </w:r>
    </w:p>
    <w:p>
      <w:pPr>
        <w:spacing w:after="0" w:line="15" w:lineRule="exact"/>
        <w:rPr>
          <w:rFonts w:ascii="Arial" w:cs="Arial" w:eastAsia="Arial" w:hAnsi="Arial"/>
          <w:sz w:val="13"/>
          <w:szCs w:val="13"/>
          <w:color w:val="231F20"/>
        </w:rPr>
      </w:pPr>
    </w:p>
    <w:p>
      <w:pPr>
        <w:ind w:left="460" w:hanging="329"/>
        <w:spacing w:after="0"/>
        <w:tabs>
          <w:tab w:leader="none" w:pos="46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loss detailed above (see (a) through (f) above).</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76" w:lineRule="exact"/>
        <w:rPr>
          <w:sz w:val="20"/>
          <w:szCs w:val="20"/>
          <w:color w:val="auto"/>
        </w:rPr>
      </w:pPr>
    </w:p>
    <w:p>
      <w:pPr>
        <w:ind w:left="660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59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71"/>
              <w:spacing w:after="0" w:line="129" w:lineRule="exact"/>
              <w:rPr>
                <w:sz w:val="20"/>
                <w:szCs w:val="20"/>
                <w:color w:val="auto"/>
              </w:rPr>
            </w:pPr>
            <w:r>
              <w:rPr>
                <w:rFonts w:ascii="Arial" w:cs="Arial" w:eastAsia="Arial" w:hAnsi="Arial"/>
                <w:sz w:val="12"/>
                <w:szCs w:val="12"/>
                <w:b w:val="1"/>
                <w:bCs w:val="1"/>
                <w:color w:val="auto"/>
              </w:rPr>
              <w:t>2025</w:t>
            </w: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71"/>
              <w:spacing w:after="0" w:line="129" w:lineRule="exact"/>
              <w:rPr>
                <w:sz w:val="20"/>
                <w:szCs w:val="20"/>
                <w:color w:val="auto"/>
              </w:rPr>
            </w:pPr>
            <w:r>
              <w:rPr>
                <w:rFonts w:ascii="Arial" w:cs="Arial" w:eastAsia="Arial" w:hAnsi="Arial"/>
                <w:sz w:val="12"/>
                <w:szCs w:val="12"/>
                <w:b w:val="1"/>
                <w:bCs w:val="1"/>
                <w:color w:val="auto"/>
              </w:rPr>
              <w:t>2024</w:t>
            </w:r>
          </w:p>
        </w:tc>
      </w:tr>
      <w:tr>
        <w:trPr>
          <w:trHeight w:val="183"/>
        </w:trPr>
        <w:tc>
          <w:tcPr>
            <w:tcW w:w="5660" w:type="dxa"/>
            <w:vAlign w:val="bottom"/>
            <w:tcBorders>
              <w:top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b w:val="1"/>
                <w:bCs w:val="1"/>
                <w:color w:val="auto"/>
              </w:rPr>
              <w:t>SG&amp;A Excluding SBC:</w:t>
            </w: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9"/>
        </w:trPr>
        <w:tc>
          <w:tcPr>
            <w:tcW w:w="5940" w:type="dxa"/>
            <w:vAlign w:val="bottom"/>
            <w:gridSpan w:val="2"/>
          </w:tcPr>
          <w:p>
            <w:pPr>
              <w:ind w:left="220"/>
              <w:spacing w:after="0"/>
              <w:rPr>
                <w:sz w:val="20"/>
                <w:szCs w:val="20"/>
                <w:color w:val="auto"/>
              </w:rPr>
            </w:pPr>
            <w:r>
              <w:rPr>
                <w:rFonts w:ascii="Arial" w:cs="Arial" w:eastAsia="Arial" w:hAnsi="Arial"/>
                <w:sz w:val="16"/>
                <w:szCs w:val="16"/>
                <w:color w:val="auto"/>
              </w:rPr>
              <w:t>SG&amp;A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387,445</w:t>
            </w:r>
          </w:p>
        </w:tc>
        <w:tc>
          <w:tcPr>
            <w:tcW w:w="280" w:type="dxa"/>
            <w:vAlign w:val="bottom"/>
          </w:tcPr>
          <w:p>
            <w:pPr>
              <w:spacing w:after="0"/>
              <w:rPr>
                <w:sz w:val="16"/>
                <w:szCs w:val="16"/>
                <w:color w:val="auto"/>
              </w:rPr>
            </w:pP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371,473</w:t>
            </w:r>
          </w:p>
        </w:tc>
      </w:tr>
      <w:tr>
        <w:trPr>
          <w:trHeight w:val="18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SBC - SG&amp;A</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(7,145)</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w:t>
            </w:r>
          </w:p>
        </w:tc>
      </w:tr>
      <w:tr>
        <w:trPr>
          <w:trHeight w:val="195"/>
        </w:trPr>
        <w:tc>
          <w:tcPr>
            <w:tcW w:w="5940" w:type="dxa"/>
            <w:vAlign w:val="bottom"/>
            <w:tcBorders>
              <w:bottom w:val="single" w:sz="8" w:color="CCEEFF"/>
            </w:tcBorders>
            <w:gridSpan w:val="2"/>
          </w:tcPr>
          <w:p>
            <w:pPr>
              <w:ind w:left="440"/>
              <w:spacing w:after="0" w:line="155" w:lineRule="exact"/>
              <w:rPr>
                <w:sz w:val="20"/>
                <w:szCs w:val="20"/>
                <w:color w:val="auto"/>
              </w:rPr>
            </w:pPr>
            <w:r>
              <w:rPr>
                <w:rFonts w:ascii="Arial" w:cs="Arial" w:eastAsia="Arial" w:hAnsi="Arial"/>
                <w:sz w:val="16"/>
                <w:szCs w:val="16"/>
                <w:color w:val="auto"/>
              </w:rPr>
              <w:t>SG&amp;A Excluding SBC:</w:t>
            </w:r>
          </w:p>
        </w:tc>
        <w:tc>
          <w:tcPr>
            <w:tcW w:w="3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380,300</w:t>
            </w:r>
          </w:p>
        </w:tc>
        <w:tc>
          <w:tcPr>
            <w:tcW w:w="2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366,368</w:t>
            </w:r>
          </w:p>
        </w:tc>
      </w:tr>
      <w:tr>
        <w:trPr>
          <w:trHeight w:val="143"/>
        </w:trPr>
        <w:tc>
          <w:tcPr>
            <w:tcW w:w="59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6"/>
                <w:szCs w:val="16"/>
                <w:color w:val="auto"/>
              </w:rPr>
              <w:t>As a percentage of gross profit</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88.5%</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91.0%</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5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March 31, 2025, we did not repurchase Class A common stock under our stock repurchase program, which expires on December 31, 2025. As of March 31, 2025, $120.2 million was available under the stock repurchase program to repurchase additional shares of our Class A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Since December 2016, we have paid our quarterly cash dividend to holders of Class A common stock. Since September 2023, the quarterly cash dividend has been $0.125 per share of Class A common stock, and we paid $7.8 million, in the aggregate, for dividends for the first quarter of 2025. This dividend was funded entirely from the Excess Tax Distribution (as defined under “Dividend Policy” included in Part II, Item 5 of our Annual Report), with no portion funded by other common unit cash distributions from CWGS, LLC. Since CWGS, LLC has not funded these recent quarterly cash dividends with dividend distributions outside of required tax distributions, we believe that this will help us utilize our capital to continue to execute our expansion plans through accretive RV dealership acquisitions.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three months ended March 31, 2025, the RV and Outdoor Retail segment purchased real property for an aggregate purchase price of $48.6 million.</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Over the next twelve months, our expansion of existing and new dealerships through construction and acquisition is expected to cost between $45.0 million and $55.0 million from a combination of business acquisitions and capital expenditures relating to land, buildings, and improvements. Included in this range is $3.0 million related to business acquisitions where, at a minimum, we have already signed a letter of intent with the seller.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Facilities, Other Long-Term Debt, and Finance Lease Arrangements” for a summary of the cash requirements related to our indebtedness.</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Based on loan activity by our consumer financing partner in March 2025 for our arrangement to invest in a participation interest in the cash flows of certain financing transactions under the white label financing program with such consumer financing partner (“Derived Participation Investment”), we were committed to invest an additional $1.6 million, which was paid in April 2025 (see Note 9 – Fair Value Measurements to our condensed consolidated financial statements included in Part I, Item 1 of this Form 10-Q). We expect to invest an additional $2.0 million to $8.0 million in the Derived Participation Investment during the remainder of 2025 for loan activity after March 2025.</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Cash requirements relating to the Tax Receivable Agreement liability, supplier agreement, operating and finance lease obligations, and service and marketing sponsorship agreements have not materially changed since our Annual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March 31, 2025, December 31, 2024, and March 31, 2024, we had working capital of $509.4 million, $590.3 million, and $381.6 million, respectively, including $20.9 million, $208.4 million, and $29.7 million, respectively, of cash and cash equivalents. Within current liabilities, which are deducted from current assets to calculate our working capital, we had deferred revenues of $89.1 million, $92.1 million, and $95.9 million as of March 31, 2025, December 31, 2024, and March 31, 2024, respectively. Deferred revenues primarily consists of cash collected for club memberships and roadside assistance contracts in advance of services to be provided, which is deferred and recognized as revenue over the life of the membership, deferred revenues for the annual campground guide, and our Good Sam Club loyalty points liability.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at March 31, 2025 was $157.9 million, $ 140.2 million of which could have been withdrawn while remaining in compliance with the financial covenants of the Floor Plan Facility.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sectPr>
          <w:pgSz w:w="11900" w:h="16838" w:orient="portrait"/>
          <w:cols w:equalWidth="0" w:num="1">
            <w:col w:w="9019"/>
          </w:cols>
          <w:pgMar w:left="1440" w:top="512"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10"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The following table shows summary cash flow information for the three months ended March 31, 2025 and 2024:</w:t>
      </w:r>
    </w:p>
    <w:p>
      <w:pPr>
        <w:ind w:left="6200"/>
        <w:spacing w:after="0" w:line="237" w:lineRule="auto"/>
        <w:rPr>
          <w:sz w:val="20"/>
          <w:szCs w:val="20"/>
          <w:color w:val="auto"/>
        </w:rPr>
      </w:pPr>
      <w:r>
        <w:rPr>
          <w:rFonts w:ascii="Arial" w:cs="Arial" w:eastAsia="Arial" w:hAnsi="Arial"/>
          <w:sz w:val="14"/>
          <w:szCs w:val="14"/>
          <w:b w:val="1"/>
          <w:bCs w:val="1"/>
          <w:color w:val="auto"/>
        </w:rPr>
        <w:t>Three Months Ended March 31,</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56"/>
        </w:trPr>
        <w:tc>
          <w:tcPr>
            <w:tcW w:w="55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(232,479)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(67,982)</w:t>
            </w:r>
          </w:p>
        </w:tc>
        <w:tc>
          <w:tcPr>
            <w:tcW w:w="180" w:type="dxa"/>
            <w:vAlign w:val="bottom"/>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(145,428)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(59,498)</w:t>
            </w:r>
          </w:p>
        </w:tc>
        <w:tc>
          <w:tcPr>
            <w:tcW w:w="18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190,401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117,551</w:t>
            </w:r>
          </w:p>
        </w:tc>
        <w:tc>
          <w:tcPr>
            <w:tcW w:w="180" w:type="dxa"/>
            <w:vAlign w:val="bottom"/>
            <w:shd w:val="clear" w:color="auto" w:fill="CCEEFF"/>
          </w:tcPr>
          <w:p>
            <w:pPr>
              <w:spacing w:after="0"/>
              <w:rPr>
                <w:sz w:val="17"/>
                <w:szCs w:val="17"/>
                <w:color w:val="auto"/>
              </w:rPr>
            </w:pPr>
          </w:p>
        </w:tc>
      </w:tr>
      <w:tr>
        <w:trPr>
          <w:trHeight w:val="196"/>
        </w:trPr>
        <w:tc>
          <w:tcPr>
            <w:tcW w:w="554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(187,506)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(9,929)</w:t>
            </w:r>
          </w:p>
        </w:tc>
        <w:tc>
          <w:tcPr>
            <w:tcW w:w="180" w:type="dxa"/>
            <w:vAlign w:val="bottom"/>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Net cash used in operating activities was $ 232.5 million in the three months ended March 31, 2025, an increase of $164.5 million from $68.0 million of net cash used in operating activities in the three months ended March 31, 2024. The increase was primarily due to a $236.8 million decrease in the working capital adjustment for inventory, a $24.1 million decrease in the working capital adjustment for receivables and contracts in transit, a $6.7 million decrease in the working capital adjustment for deferred revenue, a $5.2 million decrease in long-lived asset impairment, and a $3.4 million reduction in loss on sale or disposal of assets, partially offset by a $76.4 million increase in working capital adjustment for accounts payable and other accrued expenses, a $ 26.1 million decrease in net loss, a $4.0 million increase in working capital adjustment for prepaid expenses and other assets, a $3.3 million increase in depreciation and amortization, and a $2.1 million increase in SBC.</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Part I, Item 2 of this Form 10-Q).</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our capital expenditures for the three months ended March 31,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11"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940" w:type="dxa"/>
        <w:tblCellMar>
          <w:top w:w="0" w:type="dxa"/>
          <w:left w:w="0" w:type="dxa"/>
          <w:bottom w:w="0" w:type="dxa"/>
          <w:right w:w="0" w:type="dxa"/>
        </w:tblCellMar>
      </w:tblPr>
      <w:tr>
        <w:trPr>
          <w:trHeight w:val="155"/>
        </w:trPr>
        <w:tc>
          <w:tcPr>
            <w:tcW w:w="46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5,628</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5,146</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4,692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3,999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3,866</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23,511</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25,927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March 31, 2026 are discussed above. As of March 31, 2025, we had entered into contracts for construction of new dealership buildings for an aggregate future commitment of capital expenditures of $3.0 million. There were no other material commitments for capital expenditures as of March 31, 2025.</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cash used in investing activities was $145.4 million for the three months ended March 31, 2025. The $145.4 million of cash used in investing activities was primarily comprised of $ 80.6 million for the acquisition of RV dealerships, net of cash acquired and the $ 11.0 million of deposits paid in 2024 for these 2025 acquisitions; $48.6 million for the purchase of real property; and $23.5 million of capital expenditures primarily related to retail locations; partially offset by $6.7 million of proceeds from the sale of real property.</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$59.5 million for the three months ended March 31, 2024. The $59.5 million of cash used in investing activities was primarily comprised of $58.8 million for the acquisition of RV dealerships, net of cash acquired and the $8.9 million of deposits paid in 2023 for these 2024 acquisitions; $25.9 million of capital expenditures primarily related to retail locations; and $1.2 million for the purchase of real property; partially offset by $23.9 million of proceeds from the sale of real property and $2.6 million of proceeds from the sale of intangible assets.</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net cash provided by financing activities was $190.4 million for the three months ended March 31, 2025. The $ 190.4 million of cash provided by financing activities was primarily due to $207.8 million of net proceeds on borrowings under the Floor Plan Facility, partially offset by $7.8 million of dividends paid on Class A common stock, $6.3 million of payments on long-term debt, and $1.8 million for finance lease payments.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net cash provided by financing activities was $117.6 million for the three months ended March 31, 2024. The $117.6 million of cash provided by financing activities was primarily due to $93.3 million of net proceeds from borrowings under the Floor Plan Facility, $55.6 million of proceeds from long-term debt, and $43.0 million from borrowings on revolving line of credit, partially offset by $32.0 million of payments on the revolving line of credit, $23.4 million payments on long-term debt, $9.9 million of member distributions, $5.6 million of dividends paid on Class A common stock, and $1.8 million for finance lease payments.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As of March 31, 2025,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68"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 Obligations to our condensed consolidated financial statements included in Part I, Item 1 of this Form 10-Q) at March 31, 2025:</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23"/>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r>
      <w:tr>
        <w:trPr>
          <w:trHeight w:val="171"/>
        </w:trPr>
        <w:tc>
          <w:tcPr>
            <w:tcW w:w="55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Portion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Available</w:t>
            </w:r>
          </w:p>
        </w:tc>
        <w:tc>
          <w:tcPr>
            <w:tcW w:w="160" w:type="dxa"/>
            <w:vAlign w:val="bottom"/>
            <w:tcBorders>
              <w:bottom w:val="single" w:sz="8" w:color="CCEEFF"/>
            </w:tcBorders>
          </w:tcPr>
          <w:p>
            <w:pPr>
              <w:spacing w:after="0"/>
              <w:rPr>
                <w:sz w:val="14"/>
                <w:szCs w:val="14"/>
                <w:color w:val="auto"/>
              </w:rPr>
            </w:pPr>
          </w:p>
        </w:tc>
      </w:tr>
      <w:tr>
        <w:trPr>
          <w:trHeight w:val="183"/>
        </w:trPr>
        <w:tc>
          <w:tcPr>
            <w:tcW w:w="5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Floor Plan Facility:</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5540" w:type="dxa"/>
            <w:vAlign w:val="bottom"/>
          </w:tcPr>
          <w:p>
            <w:pPr>
              <w:ind w:left="100"/>
              <w:spacing w:after="0"/>
              <w:rPr>
                <w:sz w:val="20"/>
                <w:szCs w:val="20"/>
                <w:color w:val="auto"/>
              </w:rPr>
            </w:pPr>
            <w:r>
              <w:rPr>
                <w:rFonts w:ascii="Arial" w:cs="Arial" w:eastAsia="Arial" w:hAnsi="Arial"/>
                <w:sz w:val="16"/>
                <w:szCs w:val="16"/>
                <w:color w:val="auto"/>
              </w:rPr>
              <w:t>Notes payable - floor plan</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$ 1,320,687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$ 1,320,687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 xml:space="preserve">534,366 </w:t>
            </w:r>
            <w:r>
              <w:rPr>
                <w:rFonts w:ascii="Arial" w:cs="Arial" w:eastAsia="Arial" w:hAnsi="Arial"/>
                <w:sz w:val="21"/>
                <w:szCs w:val="21"/>
                <w:color w:val="auto"/>
                <w:vertAlign w:val="superscript"/>
              </w:rPr>
              <w:t>(1)</w:t>
            </w:r>
          </w:p>
        </w:tc>
      </w:tr>
      <w:tr>
        <w:trPr>
          <w:trHeight w:val="189"/>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Revolving line of credit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(2)</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Senior Secured Credit Facilities: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Facility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1,332,960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89"/>
        </w:trPr>
        <w:tc>
          <w:tcPr>
            <w:tcW w:w="5540" w:type="dxa"/>
            <w:vAlign w:val="bottom"/>
          </w:tcPr>
          <w:p>
            <w:pPr>
              <w:ind w:left="10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22,750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(3)</w:t>
            </w:r>
          </w:p>
        </w:tc>
      </w:tr>
      <w:tr>
        <w:trPr>
          <w:trHeight w:val="18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9"/>
        </w:trPr>
        <w:tc>
          <w:tcPr>
            <w:tcW w:w="5540" w:type="dxa"/>
            <w:vAlign w:val="bottom"/>
          </w:tcPr>
          <w:p>
            <w:pPr>
              <w:ind w:left="100"/>
              <w:spacing w:after="0"/>
              <w:rPr>
                <w:sz w:val="20"/>
                <w:szCs w:val="20"/>
                <w:color w:val="auto"/>
              </w:rPr>
            </w:pPr>
            <w:r>
              <w:rPr>
                <w:rFonts w:ascii="Arial" w:cs="Arial" w:eastAsia="Arial" w:hAnsi="Arial"/>
                <w:sz w:val="16"/>
                <w:szCs w:val="16"/>
                <w:color w:val="auto"/>
              </w:rPr>
              <w:t>Real Estate Facilities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170,732</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w w:val="95"/>
              </w:rPr>
              <w:t>(4)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8,794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(4)</w:t>
            </w:r>
          </w:p>
        </w:tc>
      </w:tr>
      <w:tr>
        <w:trPr>
          <w:trHeight w:val="189"/>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debt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7,843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89"/>
        </w:trPr>
        <w:tc>
          <w:tcPr>
            <w:tcW w:w="5540" w:type="dxa"/>
            <w:vAlign w:val="bottom"/>
          </w:tcPr>
          <w:p>
            <w:pPr>
              <w:ind w:left="100"/>
              <w:spacing w:after="0"/>
              <w:rPr>
                <w:sz w:val="20"/>
                <w:szCs w:val="20"/>
                <w:color w:val="auto"/>
              </w:rPr>
            </w:pPr>
            <w:r>
              <w:rPr>
                <w:rFonts w:ascii="Arial" w:cs="Arial" w:eastAsia="Arial" w:hAnsi="Arial"/>
                <w:sz w:val="16"/>
                <w:szCs w:val="16"/>
                <w:color w:val="auto"/>
              </w:rPr>
              <w:t>Finance lease obligations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138,242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7,646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r>
        <w:trPr>
          <w:trHeight w:val="182"/>
        </w:trPr>
        <w:tc>
          <w:tcPr>
            <w:tcW w:w="55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$ 2,970,464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$ 1,351,480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684,506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92" w:lineRule="auto"/>
        <w:tabs>
          <w:tab w:leader="none" w:pos="380" w:val="left"/>
        </w:tabs>
        <w:numPr>
          <w:ilvl w:val="0"/>
          <w:numId w:val="28"/>
        </w:numPr>
        <w:rPr>
          <w:rFonts w:ascii="Arial" w:cs="Arial" w:eastAsia="Arial" w:hAnsi="Arial"/>
          <w:sz w:val="13"/>
          <w:szCs w:val="13"/>
          <w:color w:val="231F20"/>
        </w:rPr>
      </w:pPr>
      <w:r>
        <w:rPr>
          <w:rFonts w:ascii="Arial" w:cs="Arial" w:eastAsia="Arial" w:hAnsi="Arial"/>
          <w:sz w:val="13"/>
          <w:szCs w:val="13"/>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80" w:right="79"/>
        <w:spacing w:after="0" w:line="248" w:lineRule="auto"/>
        <w:rPr>
          <w:sz w:val="20"/>
          <w:szCs w:val="20"/>
          <w:color w:val="auto"/>
        </w:rPr>
      </w:pPr>
      <w:r>
        <w:rPr>
          <w:rFonts w:ascii="Arial" w:cs="Arial" w:eastAsia="Arial" w:hAnsi="Arial"/>
          <w:sz w:val="14"/>
          <w:szCs w:val="14"/>
          <w:color w:val="auto"/>
        </w:rPr>
        <w:t>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23"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March 31, 2025.</w:t>
      </w:r>
    </w:p>
    <w:p>
      <w:pPr>
        <w:spacing w:after="0" w:line="55" w:lineRule="exact"/>
        <w:rPr>
          <w:rFonts w:ascii="Arial" w:cs="Arial" w:eastAsia="Arial" w:hAnsi="Arial"/>
          <w:sz w:val="13"/>
          <w:szCs w:val="13"/>
          <w:color w:val="231F20"/>
        </w:rPr>
      </w:pPr>
    </w:p>
    <w:p>
      <w:pPr>
        <w:jc w:val="both"/>
        <w:ind w:left="380" w:right="79" w:hanging="330"/>
        <w:spacing w:after="0" w:line="287" w:lineRule="auto"/>
        <w:tabs>
          <w:tab w:leader="none" w:pos="380" w:val="left"/>
        </w:tabs>
        <w:numPr>
          <w:ilvl w:val="0"/>
          <w:numId w:val="29"/>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at March 31, 2025.</w:t>
      </w:r>
    </w:p>
    <w:p>
      <w:pPr>
        <w:spacing w:after="0" w:line="9" w:lineRule="exact"/>
        <w:rPr>
          <w:rFonts w:ascii="Arial" w:cs="Arial" w:eastAsia="Arial" w:hAnsi="Arial"/>
          <w:sz w:val="13"/>
          <w:szCs w:val="13"/>
          <w:color w:val="231F20"/>
        </w:rPr>
      </w:pPr>
    </w:p>
    <w:p>
      <w:pPr>
        <w:jc w:val="both"/>
        <w:ind w:left="380" w:right="79" w:hanging="330"/>
        <w:spacing w:after="0" w:line="289" w:lineRule="auto"/>
        <w:tabs>
          <w:tab w:leader="none" w:pos="380" w:val="left"/>
        </w:tabs>
        <w:numPr>
          <w:ilvl w:val="0"/>
          <w:numId w:val="29"/>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22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2025 and 2024, the applicable interest rate for the floor plan notes payable under the Floor Plan Facility was 6.34% and 7.87%, respectively. As of March 31, 2025 and 2024, the average interest rate for the Term Loan Facility was 6.94% and 7.94%, respectively. The decrease in interest rates and lower average outstanding principal balances for our floor plan, Real Estate Facilities, and revolving line of credit have resulted in a combined year-over-year decrease of our floor plan interest expense and other interest expense, net of $15.1 million for the three months ended March 31, 2025 compared to the three months ended March 31, 2024.</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In the first quarter of 2025 and 2024, we entered into sale-leaseback transactions for one and two properties, respectively, associated with store locations in the RV and Outdoor Retail segment and received consideration of $3.5 million and $23.5 million of cash, respectively. We recorded no gain for the first quarter of 2025 and recorded a gain of $0.1 million for the first quarter of 2024 that was included in (gain) loss on sale or disposal of assets in the condensed consolidated statements of income. We entered into a 19-year lease agreement as the lessee with the buyer of the property in 2025 and 20-year lease agreements as the lessee with each buyer of the properties in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March 31, 2025 was $151.8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There has been no material change in our critical accounting policies and estimates from those previously reported and disclosed in our Annual Report.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Annual Report. As of March 31, 2025, there have been no material changes in this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not effective as of March 31, 2025 as a result of the material weakness described in our Annual Report and below.</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connection with the preparation of our financial statements for the year ended December 31, 2024, we identified a material weakness in the design and operation of our income tax controls, including over the review of the measurement of the realizable portion of the Company’s outside basis difference deferred tax asset in the operating partnership, CWGS, LLC. This material weakness remains unremediated as of March 31, 2025.</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Efforts to Address Material Weakness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management is committed to maintaining a strong internal control environment. In response to the identified material weakness above, management with the oversight of the Audit Committee of the Board of Directors, is taking comprehensive actions to remediate the above material weakness. Our remediation plans include the following:</w:t>
      </w:r>
    </w:p>
    <w:p>
      <w:pPr>
        <w:spacing w:after="0" w:line="174" w:lineRule="exact"/>
        <w:rPr>
          <w:sz w:val="20"/>
          <w:szCs w:val="20"/>
          <w:color w:val="auto"/>
        </w:rPr>
      </w:pPr>
    </w:p>
    <w:p>
      <w:pPr>
        <w:ind w:left="1380" w:right="99" w:hanging="331"/>
        <w:spacing w:after="0" w:line="270" w:lineRule="auto"/>
        <w:tabs>
          <w:tab w:leader="none" w:pos="13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Implementing separate specific controls over the review of the quantification of realizable tax basis in CWGS, LLC;</w:t>
      </w:r>
    </w:p>
    <w:p>
      <w:pPr>
        <w:spacing w:after="0" w:line="154" w:lineRule="exact"/>
        <w:rPr>
          <w:rFonts w:ascii="Times New Roman" w:cs="Times New Roman" w:eastAsia="Times New Roman" w:hAnsi="Times New Roman"/>
          <w:sz w:val="18"/>
          <w:szCs w:val="18"/>
          <w:color w:val="auto"/>
        </w:rPr>
      </w:pPr>
    </w:p>
    <w:p>
      <w:pPr>
        <w:ind w:left="1380" w:right="739" w:hanging="331"/>
        <w:spacing w:after="0" w:line="270" w:lineRule="auto"/>
        <w:tabs>
          <w:tab w:leader="none" w:pos="13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Redesigning the reports utilized to calculate the gross outside basis difference to enhance management’s review of the calculation; and</w:t>
      </w:r>
    </w:p>
    <w:p>
      <w:pPr>
        <w:spacing w:after="0" w:line="154" w:lineRule="exact"/>
        <w:rPr>
          <w:rFonts w:ascii="Times New Roman" w:cs="Times New Roman" w:eastAsia="Times New Roman" w:hAnsi="Times New Roman"/>
          <w:sz w:val="18"/>
          <w:szCs w:val="18"/>
          <w:color w:val="auto"/>
        </w:rPr>
      </w:pPr>
    </w:p>
    <w:p>
      <w:pPr>
        <w:ind w:left="1380" w:right="639" w:hanging="331"/>
        <w:spacing w:after="0" w:line="270" w:lineRule="auto"/>
        <w:tabs>
          <w:tab w:leader="none" w:pos="138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conducting training for individuals responsible for reviewing calculation and measurement of the realizable tax basis in CWGS, LLC.</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material weakness expeditiously. The material weakness will not be considered remediated until the applicable remediated controls operate for a sufficient period of time and management has concluded, through testing, that these controls are operating effectively.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discussed above, there were no changes in our internal control over financial reporting (as defined in Rules 13a-15(f) and 15d-15(f) under the Exchange Act) identified in connection with the evaluation of our internal control performed during the fiscal quarter ended March 31, 2025, that has materially affected, or is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Note 10 – Commitments and Contingencies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tbl>
      <w:tblPr>
        <w:tblLayout w:type="fixed"/>
        <w:tblInd w:w="40" w:type="dxa"/>
        <w:tblCellMar>
          <w:top w:w="0" w:type="dxa"/>
          <w:left w:w="0" w:type="dxa"/>
          <w:bottom w:w="0" w:type="dxa"/>
          <w:right w:w="0" w:type="dxa"/>
        </w:tblCellMar>
      </w:tblPr>
      <w:tr>
        <w:trPr>
          <w:trHeight w:val="124"/>
        </w:trPr>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5"/>
              </w:rPr>
              <w:t>Total Number of</w:t>
            </w:r>
          </w:p>
        </w:tc>
        <w:tc>
          <w:tcPr>
            <w:tcW w:w="1260" w:type="dxa"/>
            <w:vAlign w:val="bottom"/>
          </w:tcPr>
          <w:p>
            <w:pPr>
              <w:spacing w:after="0"/>
              <w:rPr>
                <w:sz w:val="10"/>
                <w:szCs w:val="10"/>
                <w:color w:val="auto"/>
              </w:rPr>
            </w:pP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Shares Purchased as</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Part of Publicly</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r>
      <w:tr>
        <w:trPr>
          <w:trHeight w:val="125"/>
        </w:trPr>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60"/>
              <w:spacing w:after="0" w:line="125" w:lineRule="exact"/>
              <w:rPr>
                <w:sz w:val="20"/>
                <w:szCs w:val="20"/>
                <w:color w:val="auto"/>
              </w:rPr>
            </w:pPr>
            <w:r>
              <w:rPr>
                <w:rFonts w:ascii="Arial" w:cs="Arial" w:eastAsia="Arial" w:hAnsi="Arial"/>
                <w:sz w:val="12"/>
                <w:szCs w:val="12"/>
                <w:b w:val="1"/>
                <w:bCs w:val="1"/>
                <w:color w:val="auto"/>
              </w:rPr>
              <w:t>Total Number of</w:t>
            </w: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7"/>
              </w:rPr>
              <w:t>Average Price Paid</w:t>
            </w: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6"/>
              </w:rPr>
              <w:t>Announced</w:t>
            </w:r>
          </w:p>
        </w:tc>
        <w:tc>
          <w:tcPr>
            <w:tcW w:w="12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May Yet Be Purchased</w:t>
            </w:r>
          </w:p>
        </w:tc>
      </w:tr>
      <w:tr>
        <w:trPr>
          <w:trHeight w:val="155"/>
        </w:trPr>
        <w:tc>
          <w:tcPr>
            <w:tcW w:w="370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per Share</w:t>
            </w:r>
          </w:p>
        </w:tc>
        <w:tc>
          <w:tcPr>
            <w:tcW w:w="1320" w:type="dxa"/>
            <w:vAlign w:val="bottom"/>
            <w:gridSpan w:val="2"/>
          </w:tcPr>
          <w:p>
            <w:pPr>
              <w:jc w:val="center"/>
              <w:ind w:right="120"/>
              <w:spacing w:after="0" w:line="155" w:lineRule="exact"/>
              <w:rPr>
                <w:sz w:val="20"/>
                <w:szCs w:val="20"/>
                <w:color w:val="auto"/>
              </w:rPr>
            </w:pPr>
            <w:r>
              <w:rPr>
                <w:rFonts w:ascii="Arial" w:cs="Arial" w:eastAsia="Arial" w:hAnsi="Arial"/>
                <w:sz w:val="12"/>
                <w:szCs w:val="12"/>
                <w:b w:val="1"/>
                <w:bCs w:val="1"/>
                <w:color w:val="auto"/>
                <w:w w:val="91"/>
              </w:rPr>
              <w:t>Programs</w:t>
            </w:r>
            <w:r>
              <w:rPr>
                <w:rFonts w:ascii="Arial" w:cs="Arial" w:eastAsia="Arial" w:hAnsi="Arial"/>
                <w:sz w:val="17"/>
                <w:szCs w:val="17"/>
                <w:b w:val="1"/>
                <w:bCs w:val="1"/>
                <w:color w:val="auto"/>
                <w:w w:val="91"/>
                <w:vertAlign w:val="superscript"/>
              </w:rPr>
              <w:t>(1)</w:t>
            </w:r>
          </w:p>
        </w:tc>
        <w:tc>
          <w:tcPr>
            <w:tcW w:w="1260" w:type="dxa"/>
            <w:vAlign w:val="bottom"/>
          </w:tcPr>
          <w:p>
            <w:pPr>
              <w:jc w:val="center"/>
              <w:spacing w:after="0" w:line="155" w:lineRule="exact"/>
              <w:rPr>
                <w:sz w:val="20"/>
                <w:szCs w:val="20"/>
                <w:color w:val="auto"/>
              </w:rPr>
            </w:pPr>
            <w:r>
              <w:rPr>
                <w:rFonts w:ascii="Arial" w:cs="Arial" w:eastAsia="Arial" w:hAnsi="Arial"/>
                <w:sz w:val="12"/>
                <w:szCs w:val="12"/>
                <w:b w:val="1"/>
                <w:bCs w:val="1"/>
                <w:color w:val="auto"/>
                <w:w w:val="95"/>
              </w:rPr>
              <w:t>Under the Programs</w:t>
            </w:r>
            <w:r>
              <w:rPr>
                <w:rFonts w:ascii="Arial" w:cs="Arial" w:eastAsia="Arial" w:hAnsi="Arial"/>
                <w:sz w:val="17"/>
                <w:szCs w:val="17"/>
                <w:b w:val="1"/>
                <w:bCs w:val="1"/>
                <w:color w:val="auto"/>
                <w:w w:val="95"/>
                <w:vertAlign w:val="superscript"/>
              </w:rPr>
              <w:t>(1)</w:t>
            </w:r>
          </w:p>
        </w:tc>
      </w:tr>
      <w:tr>
        <w:trPr>
          <w:trHeight w:val="196"/>
        </w:trPr>
        <w:tc>
          <w:tcPr>
            <w:tcW w:w="3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January 1, 2025 to January 31, 2025</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$ 120,166,000</w:t>
            </w:r>
          </w:p>
        </w:tc>
      </w:tr>
      <w:tr>
        <w:trPr>
          <w:trHeight w:val="203"/>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1, 2025 to February 28, 2025</w:t>
            </w:r>
          </w:p>
        </w:tc>
        <w:tc>
          <w:tcPr>
            <w:tcW w:w="13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203"/>
        </w:trPr>
        <w:tc>
          <w:tcPr>
            <w:tcW w:w="3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March 1, 2025 to March 31, 2025</w:t>
            </w:r>
          </w:p>
        </w:tc>
        <w:tc>
          <w:tcPr>
            <w:tcW w:w="13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196"/>
        </w:trPr>
        <w:tc>
          <w:tcPr>
            <w:tcW w:w="3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380" w:right="79" w:hanging="330"/>
        <w:spacing w:after="0" w:line="250"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p>
      <w:pPr>
        <w:spacing w:after="0" w:line="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Since we are a holding company, our ability to pay cash dividends on our Class A common stock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Floor Plan Facility.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w:t>
      </w:r>
    </w:p>
    <w:p>
      <w:pPr>
        <w:spacing w:after="0" w:line="211" w:lineRule="exact"/>
        <w:rPr>
          <w:rFonts w:ascii="Arial" w:cs="Arial" w:eastAsia="Arial" w:hAnsi="Arial"/>
          <w:sz w:val="18"/>
          <w:szCs w:val="18"/>
          <w:color w:val="auto"/>
        </w:rPr>
      </w:pPr>
    </w:p>
    <w:p>
      <w:pPr>
        <w:jc w:val="both"/>
        <w:ind w:left="700" w:right="59"/>
        <w:spacing w:after="0" w:line="247" w:lineRule="auto"/>
        <w:rPr>
          <w:rFonts w:ascii="Arial" w:cs="Arial" w:eastAsia="Arial" w:hAnsi="Arial"/>
          <w:sz w:val="18"/>
          <w:szCs w:val="18"/>
          <w:color w:val="auto"/>
        </w:rPr>
      </w:pPr>
      <w:r>
        <w:rPr>
          <w:rFonts w:ascii="Arial" w:cs="Arial" w:eastAsia="Arial" w:hAnsi="Arial"/>
          <w:sz w:val="18"/>
          <w:szCs w:val="18"/>
          <w:color w:val="auto"/>
        </w:rPr>
        <w:t>On April 30, 2025, our Board of Directors approved Amended and Restated Bylaws that were amended to provide, among other things, (i) that the Chairperson and Vice Chairperson roles of the Board are not required to be officer roles and (ii) for the officer role of “Senior Vice President.” A copy of the Amended and Restated Bylaws is filed as Exhibit 3.2 hereto in this Form 10-Q.</w:t>
      </w:r>
    </w:p>
    <w:p>
      <w:pPr>
        <w:spacing w:after="0" w:line="173" w:lineRule="exact"/>
        <w:rPr>
          <w:rFonts w:ascii="Arial" w:cs="Arial" w:eastAsia="Arial" w:hAnsi="Arial"/>
          <w:sz w:val="18"/>
          <w:szCs w:val="18"/>
          <w:color w:val="auto"/>
        </w:rPr>
      </w:pPr>
    </w:p>
    <w:p>
      <w:pPr>
        <w:ind w:left="700" w:right="279" w:hanging="650"/>
        <w:spacing w:after="0" w:line="27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Index</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200" w:type="dxa"/>
            <w:vAlign w:val="bottom"/>
            <w:gridSpan w:val="9"/>
          </w:tcPr>
          <w:p>
            <w:pPr>
              <w:ind w:left="84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3020" w:type="dxa"/>
            <w:vAlign w:val="bottom"/>
            <w:tcBorders>
              <w:top w:val="single" w:sz="8" w:color="auto"/>
            </w:tcBorders>
            <w:gridSpan w:val="8"/>
          </w:tcPr>
          <w:p>
            <w:pPr>
              <w:spacing w:after="0" w:line="169" w:lineRule="exact"/>
              <w:rPr>
                <w:rFonts w:ascii="Arial" w:cs="Arial" w:eastAsia="Arial" w:hAnsi="Arial"/>
                <w:sz w:val="18"/>
                <w:szCs w:val="18"/>
                <w:color w:val="0000EE"/>
              </w:rPr>
            </w:pPr>
            <w:hyperlink r:id="rId63">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Incorporation of Camping World</w:t>
              </w:r>
            </w:hyperlink>
          </w:p>
        </w:tc>
        <w:tc>
          <w:tcPr>
            <w:tcW w:w="2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Holdings, Inc.</w:t>
              </w:r>
            </w:hyperlink>
          </w:p>
        </w:tc>
        <w:tc>
          <w:tcPr>
            <w:tcW w:w="1380" w:type="dxa"/>
            <w:vAlign w:val="bottom"/>
            <w:tcBorders>
              <w:top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3200" w:type="dxa"/>
            <w:vAlign w:val="bottom"/>
            <w:gridSpan w:val="9"/>
          </w:tcPr>
          <w:p>
            <w:pPr>
              <w:spacing w:after="0"/>
              <w:rPr>
                <w:sz w:val="20"/>
                <w:szCs w:val="20"/>
                <w:color w:val="auto"/>
              </w:rPr>
            </w:pPr>
            <w:r>
              <w:rPr>
                <w:rFonts w:ascii="Arial" w:cs="Arial" w:eastAsia="Arial" w:hAnsi="Arial"/>
                <w:sz w:val="18"/>
                <w:szCs w:val="18"/>
                <w:color w:val="0000EE"/>
              </w:rPr>
              <w:t>Amended and Restated Bylaws of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Camping World Holdings, Inc.</w:t>
            </w: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360" w:type="dxa"/>
            <w:vAlign w:val="bottom"/>
            <w:tcBorders>
              <w:top w:val="single" w:sz="8" w:color="0000EE"/>
            </w:tcBorders>
            <w:gridSpan w:val="3"/>
          </w:tcPr>
          <w:p>
            <w:pPr>
              <w:spacing w:after="0"/>
              <w:rPr>
                <w:rFonts w:ascii="Arial" w:cs="Arial" w:eastAsia="Arial" w:hAnsi="Arial"/>
                <w:sz w:val="18"/>
                <w:szCs w:val="18"/>
                <w:color w:val="0000EE"/>
              </w:rPr>
            </w:pPr>
            <w:hyperlink r:id="rId64">
              <w:r>
                <w:rPr>
                  <w:rFonts w:ascii="Arial" w:cs="Arial" w:eastAsia="Arial" w:hAnsi="Arial"/>
                  <w:sz w:val="18"/>
                  <w:szCs w:val="18"/>
                  <w:color w:val="0000EE"/>
                </w:rPr>
                <w:t>Specimen Stock Certificate</w:t>
              </w:r>
            </w:hyperlink>
          </w:p>
        </w:tc>
        <w:tc>
          <w:tcPr>
            <w:tcW w:w="840" w:type="dxa"/>
            <w:vAlign w:val="bottom"/>
            <w:gridSpan w:val="6"/>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333-211977</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9"/>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evidencing the shares of Class A</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common stock</w:t>
              </w:r>
            </w:hyperlink>
          </w:p>
        </w:tc>
        <w:tc>
          <w:tcPr>
            <w:tcW w:w="60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21"/>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22"/>
          </w:tcPr>
          <w:p>
            <w:pPr>
              <w:spacing w:after="0" w:line="169" w:lineRule="exact"/>
              <w:rPr>
                <w:rFonts w:ascii="Arial" w:cs="Arial" w:eastAsia="Arial" w:hAnsi="Arial"/>
                <w:sz w:val="18"/>
                <w:szCs w:val="18"/>
                <w:color w:val="0000EE"/>
              </w:rPr>
            </w:pPr>
            <w:hyperlink r:id="rId66">
              <w:r>
                <w:rPr>
                  <w:rFonts w:ascii="Arial" w:cs="Arial" w:eastAsia="Arial" w:hAnsi="Arial"/>
                  <w:sz w:val="18"/>
                  <w:szCs w:val="18"/>
                  <w:color w:val="0000EE"/>
                </w:rPr>
                <w:t>Ninth Amended and Restated Credit</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2/19/25</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Agreement, dated February18, 2025,</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20"/>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among FreedomRoads, LLC, as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company and a borrower, certain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subsidiaries of FreedomRoads,</w:t>
              </w:r>
            </w:hyperlink>
          </w:p>
        </w:tc>
        <w:tc>
          <w:tcPr>
            <w:tcW w:w="580" w:type="dxa"/>
            <w:vAlign w:val="bottom"/>
            <w:gridSpan w:val="14"/>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LLC,</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as a subsidiary borrowers, Bank of</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America, N.A., as administrative</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agent, and the lenders party thereto</w:t>
              </w:r>
            </w:hyperlink>
          </w:p>
        </w:tc>
        <w:tc>
          <w:tcPr>
            <w:tcW w:w="360" w:type="dxa"/>
            <w:vAlign w:val="bottom"/>
            <w:gridSpan w:val="10"/>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220" w:type="dxa"/>
            <w:vAlign w:val="bottom"/>
            <w:gridSpan w:val="24"/>
          </w:tcPr>
          <w:p>
            <w:pPr>
              <w:spacing w:after="0"/>
              <w:rPr>
                <w:rFonts w:ascii="Arial" w:cs="Arial" w:eastAsia="Arial" w:hAnsi="Arial"/>
                <w:sz w:val="18"/>
                <w:szCs w:val="18"/>
                <w:color w:val="0000EE"/>
              </w:rPr>
            </w:pPr>
            <w:hyperlink r:id="rId67">
              <w:r>
                <w:rPr>
                  <w:rFonts w:ascii="Arial" w:cs="Arial" w:eastAsia="Arial" w:hAnsi="Arial"/>
                  <w:sz w:val="18"/>
                  <w:szCs w:val="18"/>
                  <w:color w:val="0000EE"/>
                </w:rPr>
                <w:t>Performance Stock Unit Award Grant</w:t>
              </w:r>
            </w:hyperlink>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2/28/25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Notice and Award Agreement, dated</w:t>
              </w:r>
            </w:hyperlink>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January 26, 2025 with Marcus A.</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Lemonis</w:t>
              </w:r>
            </w:hyperlink>
          </w:p>
        </w:tc>
        <w:tc>
          <w:tcPr>
            <w:tcW w:w="1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3220" w:type="dxa"/>
            <w:vAlign w:val="bottom"/>
            <w:gridSpan w:val="24"/>
          </w:tcPr>
          <w:p>
            <w:pPr>
              <w:spacing w:after="0"/>
              <w:rPr>
                <w:rFonts w:ascii="Arial" w:cs="Arial" w:eastAsia="Arial" w:hAnsi="Arial"/>
                <w:sz w:val="18"/>
                <w:szCs w:val="18"/>
                <w:color w:val="0000EE"/>
              </w:rPr>
            </w:pPr>
            <w:hyperlink r:id="rId68">
              <w:r>
                <w:rPr>
                  <w:rFonts w:ascii="Arial" w:cs="Arial" w:eastAsia="Arial" w:hAnsi="Arial"/>
                  <w:sz w:val="18"/>
                  <w:szCs w:val="18"/>
                  <w:color w:val="0000EE"/>
                </w:rPr>
                <w:t>Amended and Restated Employment</w:t>
              </w:r>
            </w:hyperlink>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2/28/25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Agreement with Marcus A. Lemonis</w:t>
              </w:r>
            </w:hyperlink>
          </w:p>
        </w:tc>
        <w:tc>
          <w:tcPr>
            <w:tcW w:w="60" w:type="dxa"/>
            <w:vAlign w:val="bottom"/>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effective January 1, 2025</w:t>
              </w:r>
            </w:hyperlink>
          </w:p>
        </w:tc>
        <w:tc>
          <w:tcPr>
            <w:tcW w:w="820" w:type="dxa"/>
            <w:vAlign w:val="bottom"/>
            <w:tcBorders>
              <w:top w:val="single" w:sz="8" w:color="0000EE"/>
            </w:tcBorders>
            <w:gridSpan w:val="8"/>
          </w:tcPr>
          <w:p>
            <w:pPr>
              <w:spacing w:after="0"/>
              <w:rPr>
                <w:sz w:val="15"/>
                <w:szCs w:val="15"/>
                <w:color w:val="auto"/>
              </w:rPr>
            </w:pPr>
          </w:p>
        </w:tc>
        <w:tc>
          <w:tcPr>
            <w:tcW w:w="180" w:type="dxa"/>
            <w:vAlign w:val="bottom"/>
            <w:gridSpan w:val="9"/>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Rule 13a-14(a) / 15d-14(a)</w:t>
            </w:r>
          </w:p>
        </w:tc>
        <w:tc>
          <w:tcPr>
            <w:tcW w:w="108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4"/>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5"/>
          </w:tcPr>
          <w:p>
            <w:pPr>
              <w:spacing w:after="0"/>
              <w:rPr>
                <w:sz w:val="15"/>
                <w:szCs w:val="15"/>
                <w:color w:val="auto"/>
              </w:rPr>
            </w:pPr>
          </w:p>
        </w:tc>
        <w:tc>
          <w:tcPr>
            <w:tcW w:w="260" w:type="dxa"/>
            <w:vAlign w:val="bottom"/>
            <w:gridSpan w:val="4"/>
          </w:tcPr>
          <w:p>
            <w:pPr>
              <w:spacing w:after="0"/>
              <w:rPr>
                <w:sz w:val="15"/>
                <w:szCs w:val="15"/>
                <w:color w:val="auto"/>
              </w:rPr>
            </w:pPr>
          </w:p>
        </w:tc>
        <w:tc>
          <w:tcPr>
            <w:tcW w:w="300" w:type="dxa"/>
            <w:vAlign w:val="bottom"/>
            <w:gridSpan w:val="11"/>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Rule 13a-14(a) / 15d-14(a)</w:t>
            </w:r>
          </w:p>
        </w:tc>
        <w:tc>
          <w:tcPr>
            <w:tcW w:w="108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Certification of Chief Financial Officer</w:t>
            </w:r>
          </w:p>
        </w:tc>
        <w:tc>
          <w:tcPr>
            <w:tcW w:w="20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Executive Officer</w:t>
            </w:r>
          </w:p>
        </w:tc>
        <w:tc>
          <w:tcPr>
            <w:tcW w:w="500" w:type="dxa"/>
            <w:vAlign w:val="bottom"/>
            <w:gridSpan w:val="1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920" w:type="dxa"/>
            <w:vAlign w:val="bottom"/>
            <w:tcBorders>
              <w:left w:val="single" w:sz="8" w:color="0000EE"/>
            </w:tcBorders>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Financial Officer</w:t>
            </w:r>
          </w:p>
        </w:tc>
        <w:tc>
          <w:tcPr>
            <w:tcW w:w="500" w:type="dxa"/>
            <w:vAlign w:val="bottom"/>
            <w:gridSpan w:val="1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92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Inline XBRL Instance Document – the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4"/>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4"/>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4"/>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the Inline XBRL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Schema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Calculation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Inline XBRL Extension Definition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Inline XBRL Taxonomy Label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220" w:type="dxa"/>
            <w:vAlign w:val="bottom"/>
            <w:gridSpan w:val="2"/>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101.PRE</w:t>
            </w:r>
          </w:p>
        </w:tc>
        <w:tc>
          <w:tcPr>
            <w:tcW w:w="200" w:type="dxa"/>
            <w:vAlign w:val="bottom"/>
          </w:tcPr>
          <w:p>
            <w:pPr>
              <w:spacing w:after="0"/>
              <w:rPr>
                <w:sz w:val="15"/>
                <w:szCs w:val="15"/>
                <w:color w:val="auto"/>
              </w:rPr>
            </w:pPr>
          </w:p>
        </w:tc>
        <w:tc>
          <w:tcPr>
            <w:tcW w:w="30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Inline XBRL Taxonomy Extension</w:t>
            </w:r>
          </w:p>
        </w:tc>
        <w:tc>
          <w:tcPr>
            <w:tcW w:w="1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Presentation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Cover Page Interactive Data File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(formatted as Inline XBRL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contained in Exhibit 101)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6120" w:type="dxa"/>
            <w:vAlign w:val="bottom"/>
            <w:gridSpan w:val="2"/>
          </w:tcPr>
          <w:p>
            <w:pPr>
              <w:ind w:left="134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2780" w:type="dxa"/>
            <w:vAlign w:val="bottom"/>
          </w:tcPr>
          <w:p>
            <w:pPr>
              <w:spacing w:after="0"/>
              <w:rPr>
                <w:sz w:val="20"/>
                <w:szCs w:val="20"/>
                <w:color w:val="auto"/>
              </w:rPr>
            </w:pPr>
            <w:r>
              <w:rPr>
                <w:rFonts w:ascii="Arial" w:cs="Arial" w:eastAsia="Arial" w:hAnsi="Arial"/>
                <w:sz w:val="18"/>
                <w:szCs w:val="18"/>
                <w:color w:val="auto"/>
              </w:rPr>
              <w:t>Date: May 1, 2025</w:t>
            </w:r>
          </w:p>
        </w:tc>
        <w:tc>
          <w:tcPr>
            <w:tcW w:w="6120" w:type="dxa"/>
            <w:vAlign w:val="bottom"/>
            <w:gridSpan w:val="2"/>
          </w:tcPr>
          <w:p>
            <w:pPr>
              <w:ind w:left="1340"/>
              <w:spacing w:after="0"/>
              <w:rPr>
                <w:sz w:val="20"/>
                <w:szCs w:val="20"/>
                <w:color w:val="auto"/>
              </w:rPr>
            </w:pPr>
            <w:r>
              <w:rPr>
                <w:rFonts w:ascii="Arial" w:cs="Arial" w:eastAsia="Arial" w:hAnsi="Arial"/>
                <w:sz w:val="18"/>
                <w:szCs w:val="18"/>
                <w:color w:val="auto"/>
              </w:rPr>
              <w:t>By: /s/ Thomas E. Kirn</w:t>
            </w:r>
          </w:p>
        </w:tc>
      </w:tr>
      <w:tr>
        <w:trPr>
          <w:trHeight w:val="177"/>
        </w:trPr>
        <w:tc>
          <w:tcPr>
            <w:tcW w:w="2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Thomas E. Kirn</w:t>
            </w:r>
          </w:p>
        </w:tc>
      </w:tr>
      <w:tr>
        <w:trPr>
          <w:trHeight w:val="203"/>
        </w:trPr>
        <w:tc>
          <w:tcPr>
            <w:tcW w:w="2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w:t>
            </w:r>
          </w:p>
        </w:tc>
      </w:tr>
      <w:tr>
        <w:trPr>
          <w:trHeight w:val="239"/>
        </w:trPr>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1185545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3" w:right="9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86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MEETINGS OF STOCKHOLDERS</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28"/>
        </w:trPr>
        <w:tc>
          <w:tcPr>
            <w:tcW w:w="9520" w:type="dxa"/>
            <w:vAlign w:val="bottom"/>
            <w:gridSpan w:val="2"/>
            <w:vMerge w:val="continue"/>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  Place of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Annual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1.04  Notice of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Adjournments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Quorum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Proxies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1.09  Fixing Date for Determination of Stockholders of Record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  List of Stockholders Entitled to Vote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   Action by Written Consent of Stockholders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  Inspectors of Election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1.13  Conduct of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1.14  Notice of Business to be Brought Before a Meeting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1.15  Notice of Nominations for Election to the Board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1.16  Additional Requirements for Valid Nomination of Candidates to Serve as Director and, If Elected, to be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Seated as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Number; Tenure; Qualifications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  Election; Resignation; Removal; Vacancies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2.03</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Regular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2.04</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Meetings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  Telephonic Meetings Permitted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2.06  Quorum; Vote Required for Action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2.07</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2.08  Action by Unanimous Consent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2.09  Compensation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3.01</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Rules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OFFICERS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4.01</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  Removal, Resignation and Vacancies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4.03</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Chairperson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4.04  Chief Executive Officer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4.05  Chief Financial Officer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3"/>
        </w:trPr>
        <w:tc>
          <w:tcPr>
            <w:tcW w:w="16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3" w:right="9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4.06  Chief Operating Officer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4.07  Chief Legal Officer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4.08</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4.09</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Treasurer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Controller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4.13  Appointing Attorneys and Agents; Voting Securities of Other Entities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4.14</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ARTICLE V. STOCK</w:t>
            </w:r>
          </w:p>
        </w:tc>
        <w:tc>
          <w:tcPr>
            <w:tcW w:w="67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5.01</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5.02  Lost, Stolen or Destroyed Stock Certificates; Issuance of New Certificates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AND ADVANCEMENT OF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6.01  Right to Indemnification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6.02  Advancement of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Claims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6.04  Non-exclusivity of Rights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6.05</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Sources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6.06  Amendment or Repeal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6.07  Other Indemnification and Advancement of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7.01</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7.02</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7.03  Manner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7.04  Waiver of Notice of Meetings of Stockholders, Directors and Committees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7.05  Form of Records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7.06  Amendment of Bylaws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7.07</w:t>
            </w: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Forum Selection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Meetings of stockholders of Camping World Holdings,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and such stockholders,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may be held at any place, within or without the State of Delaware,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by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In the absence of such designation, meetings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shall be held at the principal executive office of the Corporation. The Board of Directors may, in its sole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that a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9" w:name="page60"/>
    <w:bookmarkEnd w:id="59"/>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Stockholders shall not be held at any place, but may instead be held solely by means of remote communication authorized by and in accordance with Section 211(a) of the General Corporation Law of the State of Delaware (“</w:t>
      </w:r>
      <w:r>
        <w:rPr>
          <w:rFonts w:ascii="Times New Roman" w:cs="Times New Roman" w:eastAsia="Times New Roman" w:hAnsi="Times New Roman"/>
          <w:sz w:val="17"/>
          <w:szCs w:val="17"/>
          <w:b w:val="1"/>
          <w:bCs w:val="1"/>
          <w:i w:val="1"/>
          <w:iCs w:val="1"/>
          <w:color w:val="auto"/>
        </w:rPr>
        <w:t>Delaware General Corporation Law</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for the election of directors at such date and time as may be designated by resolution of the Board of Directors from time to time. Any other business as may be properly brought before the annual meeting may be transacted at the annual meeting. The Board of Directors may postpone, reschedule or cancel any annual meeting of Stockholders previously scheduled by the Board of Directors.</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for any purpose or purposes may be called only by the majority of the Board of Directors or the holders of a majority in voting power of the outstanding shares of capital stock of the Corporation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for as long as the ML Related Parties (as defined in the Amended and Restated Certificate of Incorporation of the Corporation effective as of October 6, 2016 (as the same may be further amended, restated, amended and restated or otherwise modified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beneficially own, directly or indirectly, twenty-seven and five-tenths percent</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(27.5%) or more of all Common Units (as defined in the Certificate of Incorporation) issued and outstanding, and only by the majority of the Board of Directors if the ML Related Parties beneficially own, directly or indirectly, less than twenty-seven and-five tenths percent (27.5%) of all Common Units issued and outstanding. Special meetings validly called in accordance with this Section 1.03 of these amended and restated bylaws adopted by the Board of Directors as of October 6, 2016 (as the same may be further amended, restated, amended and restated or otherwise modified from time to time, these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may be held at such date and time as specified in the applicable notice. Business transacted at any special meeting of Stockholders shall be limited to the purposes stated in the notice. The Corporation may postpone, reschedule or cancel any special meeting of Stockholders previously scheduled by the chairperson of the Board of Directors (the “</w:t>
      </w:r>
      <w:r>
        <w:rPr>
          <w:rFonts w:ascii="Times New Roman" w:cs="Times New Roman" w:eastAsia="Times New Roman" w:hAnsi="Times New Roman"/>
          <w:sz w:val="18"/>
          <w:szCs w:val="18"/>
          <w:b w:val="1"/>
          <w:bCs w:val="1"/>
          <w:i w:val="1"/>
          <w:iCs w:val="1"/>
          <w:color w:val="auto"/>
        </w:rPr>
        <w:t>Chairperson</w:t>
      </w:r>
      <w:r>
        <w:rPr>
          <w:rFonts w:ascii="Times New Roman" w:cs="Times New Roman" w:eastAsia="Times New Roman" w:hAnsi="Times New Roman"/>
          <w:sz w:val="18"/>
          <w:szCs w:val="18"/>
          <w:color w:val="auto"/>
        </w:rPr>
        <w:t>”) or Board of Directors.</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200" w:lineRule="exact"/>
        <w:rPr>
          <w:sz w:val="20"/>
          <w:szCs w:val="20"/>
          <w:color w:val="auto"/>
        </w:rPr>
      </w:pPr>
    </w:p>
    <w:p>
      <w:pPr>
        <w:spacing w:after="0" w:line="20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annual or special, may be adjourned from time to time by the chairperson of the meeting (or by the Stockholders in accordance with Section 1.06) to reconvene at the same or some other place, if any, and notice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Delaware General Corporation Law.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the record date for determining Stockholders entitled to notice of such adjourned meeting as provided in Section 1.09(a) of these Bylaws, and shall give notice of the adjourned meeting to each Stockholder of record as of the record date so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Except as otherwise provided by law, the Certificate of Incorporation or these Bylaws, at each meeting of Stockholders the presence or participation in person or by remote communication, if applicable, or by proxy of the holders of a majority in voting power of the outstanding shares of Stock entitled to vote at the meeting shall be necessary and sufficient to constitute a quorum for the transaction of business. In the absence of a quorum, then either (i) the chairperson of the meeting or (ii) a majority in voting power of the Stockholders entitled to vote thereon, present in person, or by remote communication, if applicable, or represented by proxy, shall have the power to adjourn the meeting from time to time in the manner provided in Section 1.05 of these Bylaws until a quorum is present or represented. Shares of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shall not limit the right of the Corporation or any subsidiary of the Corporation to vote shares of Stock held by it in a fiduciary capacity.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or by remote communication, if applicable, or represented by proxy, shall constitute a quorum entitled to take action with respect to the vote on such matter. A quorum, once established at a meeting, shall not be broken by the withdrawal of enough votes to leave less than a quorum.</w:t>
      </w:r>
    </w:p>
    <w:p>
      <w:pPr>
        <w:spacing w:after="0" w:line="19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Chairperson or by the person whom the Chairperson shall appoint, or in the absence of such person or such appointment, by any Vice Chairperson, if any, or in his or her absence by the Chief Executive Officer, or in his or her absence, by a person designated by the Board of Directors, or in the absence of such designation by a chairperson chosen at the meeting by vote of a majority of the Stockholders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1" w:name="page62"/>
    <w:bookmarkEnd w:id="61"/>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Each Stockholder entitled to vote at a meeting of Stockholders or express consent to corporate action in writing without a meeting (if permitted by the Certificate of Incorporation) may authorize another person or persons to act for such Stockholder by proxy, but no such proxy shall be voted or acted upon after three years from its date, unless the proxy provides for a longer period. The revocability of a proxy that states on its face that it is irrevocable shall be governed by the provisions of Section 212 of the Delaware General Corporation Law. A proxy may be in the form of an electronic transmission which sets forth or is submitted with information from which it can be determined that the transmission was authorized by the Stockholder.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All other elections and questions presented to the Stockholders at a meeting at which a quorum is present shall be decided by the affirmative vote of the holders of a majority in voting power of the shares of Stock which are present in person or by proxy and entitled to vote thereon,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 Any Stockholder directly or indirectly soliciting proxies from other Stockholders must use a proxy card color other than white, which shall be reserved for the exclusive use by the Board of Directors.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Fixing Date for Determination of Stockholders of Record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3"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2" w:name="page63"/>
    <w:bookmarkEnd w:id="62"/>
    <w:p>
      <w:pPr>
        <w:ind w:right="80" w:firstLine="656"/>
        <w:spacing w:after="0" w:line="256"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7" w:lineRule="exact"/>
        <w:rPr>
          <w:rFonts w:ascii="Times New Roman" w:cs="Times New Roman" w:eastAsia="Times New Roman" w:hAnsi="Times New Roman"/>
          <w:sz w:val="18"/>
          <w:szCs w:val="18"/>
          <w:color w:val="auto"/>
        </w:rPr>
      </w:pPr>
    </w:p>
    <w:p>
      <w:pPr>
        <w:ind w:right="160" w:firstLine="656"/>
        <w:spacing w:after="0" w:line="253"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(or an officer or agent of the Corporation having custody of the book in which proceedings of meetings of Stockholders are recorded)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and make, no later than the tenth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ten (10) days before the date of the meeting, the list shall reflect the Stockholders entitled to vote as of the tenth day (10th) before the meeting date), arranged in alphabetical order, and showing the address of each Stockholder and the number of shares registered in the name of each Stockholder as of the record date (or such other date). Such list shall be open to the examination of any Stockholder, for any purpose germane to the meeting for a period of ten (10) days ending on the day before the meeting date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(ii) during ordinary business hours at the principal place of business of the Corporation. Except as otherwise provided by law, the stock ledger shall be the only evidence as to who are the Stockholders entitled to examine the list of Stockholders required by this Section 1.10 or to vote in person, or by means of remote communication, or by proxy at any meeting of Stockholders.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Action by Written Consent of Stockholders</w:t>
      </w:r>
      <w:r>
        <w:rPr>
          <w:rFonts w:ascii="Times New Roman" w:cs="Times New Roman" w:eastAsia="Times New Roman" w:hAnsi="Times New Roman"/>
          <w:sz w:val="18"/>
          <w:szCs w:val="18"/>
          <w:color w:val="auto"/>
        </w:rPr>
        <w:t>. Any action required or permitted to be taken at any annual or special meeting of stockholders may be taken without a meeting, without prior notice and without a vote, if a consent or consents in writing, setting forth the action so taken, are signed by the holders of outstanding shares of the relevant class(es) or series of stock of the Corporation representing not less than the minimum number of votes that would be necessary to authorize or take such action at a meeting at which all shares of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3" w:name="page64"/>
    <w:bookmarkEnd w:id="63"/>
    <w:p>
      <w:pPr>
        <w:spacing w:after="0" w:line="272" w:lineRule="auto"/>
        <w:rPr>
          <w:sz w:val="20"/>
          <w:szCs w:val="20"/>
          <w:color w:val="auto"/>
        </w:rPr>
      </w:pPr>
      <w:r>
        <w:rPr>
          <w:rFonts w:ascii="Times New Roman" w:cs="Times New Roman" w:eastAsia="Times New Roman" w:hAnsi="Times New Roman"/>
          <w:sz w:val="17"/>
          <w:szCs w:val="17"/>
          <w:color w:val="auto"/>
        </w:rPr>
        <w:t xml:space="preserve">the Corporation then issued and outstanding (other than treasury stock) entitled to vote thereon were present and voted and delivered to the Corporation by delivery to its registered office in Delaware, its principal place of business, or to an officer or agent of the Corporation having custody of the book in which proceedings of meetings of stockholders are recorded;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subject to the rights of any series of preferred stock, par value $0.01 per share of the Corporation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permitting the holders of such series of Preferred Stock to act by written consent, and except as otherwise provided in Section 6.4 of the Certificate of Incorporation, after the date on which the ML Related Parties beneficially own, directly or indirectly, less than twenty-seven and five-tenths percent (27.5%) of all Common Units issued and outstanding, any action required or permitted to be taken by stockholders of the Corporation must be effected at a duly called annual or special meeting of the stockholders and may not be effected by written consent in lieu of a meeting.</w:t>
      </w:r>
    </w:p>
    <w:p>
      <w:pPr>
        <w:spacing w:after="0" w:line="17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97"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date and time of the opening and the closing of the polls for each matter upon which the Stockholders will vote at a meeting shall be announced at the meeting by the person presiding over the meeting designated in accordance with Section 1.07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18"/>
          <w:szCs w:val="18"/>
          <w:color w:val="auto"/>
        </w:rPr>
        <w:t>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7"/>
          <w:szCs w:val="17"/>
          <w:u w:val="single" w:color="auto"/>
          <w:color w:val="auto"/>
        </w:rPr>
        <w:t>Notice of Business to be Brought Before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56"/>
        <w:spacing w:after="0" w:line="25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or at the direction of the Board of Directors or the Chairperson or (iii) otherwise properly brought before the meeting by a Stockholder present in person who (A) (1) was a record owner of shares of capital stock of the Corporation both at the time of giving the notice provided for in this Section 1.14 and at the time of the meeting, (2) is entitled to vote at the meeting, and (3) has complied with this Section 1.14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Stockholders shall not otherwise be permitted to propose business to be brought before a special meeting of the Stockholders. For purposes of this Section 1.14, “</w:t>
      </w:r>
      <w:r>
        <w:rPr>
          <w:rFonts w:ascii="Times New Roman" w:cs="Times New Roman" w:eastAsia="Times New Roman" w:hAnsi="Times New Roman"/>
          <w:sz w:val="18"/>
          <w:szCs w:val="18"/>
          <w:b w:val="1"/>
          <w:bCs w:val="1"/>
          <w:i w:val="1"/>
          <w:iCs w:val="1"/>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annual meeting of the Corporation, or a qualified representative of such proposing Stockholder, appear at such annual meeting, either in person or by means of remote communication. A “</w:t>
      </w:r>
      <w:r>
        <w:rPr>
          <w:rFonts w:ascii="Times New Roman" w:cs="Times New Roman" w:eastAsia="Times New Roman" w:hAnsi="Times New Roman"/>
          <w:sz w:val="18"/>
          <w:szCs w:val="18"/>
          <w:b w:val="1"/>
          <w:bCs w:val="1"/>
          <w:i w:val="1"/>
          <w:iCs w:val="1"/>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such proposing Stockholder shall be a duly authorized officer, manager or partner of such Stockholder or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of Directors must comply with Section 1.15 and Section 1.16 and this Section 1.14 shall not be applicable to nominations except as expressly provided in Section 1.15 and Section 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5" w:name="page66"/>
    <w:bookmarkEnd w:id="65"/>
    <w:p>
      <w:pPr>
        <w:ind w:left="-40" w:right="60" w:firstLine="656"/>
        <w:spacing w:after="0" w:line="233" w:lineRule="auto"/>
        <w:tabs>
          <w:tab w:leader="none" w:pos="12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1.14.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date, notice by the Stockholder to be timely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(i)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(ii)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202"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1.14,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620" w:firstLine="644"/>
        <w:spacing w:after="0" w:line="254" w:lineRule="auto"/>
        <w:tabs>
          <w:tab w:leader="none" w:pos="19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20" w:firstLine="644"/>
        <w:spacing w:after="0" w:line="253" w:lineRule="auto"/>
        <w:tabs>
          <w:tab w:leader="none" w:pos="19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b w:val="1"/>
          <w:bCs w:val="1"/>
          <w:i w:val="1"/>
          <w:iCs w:val="1"/>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(2) any derivative or synthetic arrangement having the characteristics of a long position or a short position in any class or series of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877" w:right="1039" w:bottom="1440" w:gutter="0" w:footer="0" w:header="0"/>
        </w:sectPr>
      </w:pPr>
    </w:p>
    <w:bookmarkStart w:id="66" w:name="page67"/>
    <w:bookmarkEnd w:id="66"/>
    <w:p>
      <w:pPr>
        <w:ind w:left="200"/>
        <w:spacing w:after="0" w:line="251" w:lineRule="auto"/>
        <w:rPr>
          <w:sz w:val="20"/>
          <w:szCs w:val="20"/>
          <w:color w:val="auto"/>
        </w:rPr>
      </w:pPr>
      <w:r>
        <w:rPr>
          <w:rFonts w:ascii="Times New Roman" w:cs="Times New Roman" w:eastAsia="Times New Roman" w:hAnsi="Times New Roman"/>
          <w:sz w:val="18"/>
          <w:szCs w:val="18"/>
          <w:color w:val="auto"/>
        </w:rPr>
        <w:t>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capital stock of the Corporation, (y) mitigate any loss relating to, reduce the economic risk (of ownership or otherwise) of, or manage the risk of share price decrease in, any class or series of shares of capital stock of the Corporation, or (z) increase or decrease the voting power in respect of any class or series of shares of capital stock of the Corporation held or maintained by, held for the benefit of, or involving such Proposing Person, 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capital stock of the Corporation owned beneficially by such Proposing Person that are separated or separable from the underlying shares of capital stock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capital stock of the Corporation or a Synthetic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67" w:name="page68"/>
    <w:bookmarkEnd w:id="67"/>
    <w:p>
      <w:pPr>
        <w:ind w:left="660"/>
        <w:spacing w:after="0" w:line="252" w:lineRule="auto"/>
        <w:rPr>
          <w:sz w:val="20"/>
          <w:szCs w:val="20"/>
          <w:color w:val="auto"/>
        </w:rPr>
      </w:pPr>
      <w:r>
        <w:rPr>
          <w:rFonts w:ascii="Times New Roman" w:cs="Times New Roman" w:eastAsia="Times New Roman" w:hAnsi="Times New Roman"/>
          <w:sz w:val="18"/>
          <w:szCs w:val="18"/>
          <w:color w:val="auto"/>
        </w:rPr>
        <w:t>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8"/>
          <w:szCs w:val="18"/>
          <w:b w:val="1"/>
          <w:bCs w:val="1"/>
          <w:i w:val="1"/>
          <w:iCs w:val="1"/>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97" w:lineRule="exact"/>
        <w:rPr>
          <w:sz w:val="20"/>
          <w:szCs w:val="20"/>
          <w:color w:val="auto"/>
        </w:rPr>
      </w:pPr>
    </w:p>
    <w:p>
      <w:pPr>
        <w:ind w:left="660" w:right="20" w:firstLine="644"/>
        <w:spacing w:after="0" w:line="252" w:lineRule="auto"/>
        <w:tabs>
          <w:tab w:leader="none" w:pos="19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disclosures required by this paragraph (iii) shall not include any disclosures with respect to any broker, dealer,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 trust company or other nominee who is a Proposing Person solely as a result of being the Stockholder directed to prepare and submit the notice required by these Bylaws on behalf of a beneficial owner.</w:t>
      </w:r>
    </w:p>
    <w:p>
      <w:pPr>
        <w:spacing w:after="0" w:line="193"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color w:val="auto"/>
        </w:rPr>
        <w:t>For purposes of this Section 1.14, the term “</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defined in paragraphs (a)(ii)-(vi) of Instruction 3 to Item 4 of Schedule 14A) with such Stockholder in such solicitation.</w:t>
      </w:r>
    </w:p>
    <w:p>
      <w:pPr>
        <w:spacing w:after="0" w:line="225" w:lineRule="exact"/>
        <w:rPr>
          <w:sz w:val="20"/>
          <w:szCs w:val="20"/>
          <w:color w:val="auto"/>
        </w:rPr>
      </w:pPr>
    </w:p>
    <w:p>
      <w:pPr>
        <w:ind w:right="320" w:firstLine="656"/>
        <w:spacing w:after="0" w:line="266"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75" w:lineRule="exact"/>
        <w:rPr>
          <w:rFonts w:ascii="Times New Roman" w:cs="Times New Roman" w:eastAsia="Times New Roman" w:hAnsi="Times New Roman"/>
          <w:sz w:val="18"/>
          <w:szCs w:val="18"/>
          <w:color w:val="auto"/>
        </w:rPr>
      </w:pPr>
    </w:p>
    <w:p>
      <w:pPr>
        <w:ind w:firstLine="656"/>
        <w:spacing w:after="0" w:line="252"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1.14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7" w:lineRule="exact"/>
        <w:rPr>
          <w:rFonts w:ascii="Times New Roman" w:cs="Times New Roman" w:eastAsia="Times New Roman" w:hAnsi="Times New Roman"/>
          <w:sz w:val="18"/>
          <w:szCs w:val="18"/>
          <w:color w:val="auto"/>
        </w:rPr>
      </w:pPr>
    </w:p>
    <w:p>
      <w:pPr>
        <w:ind w:right="100" w:firstLine="656"/>
        <w:spacing w:after="0" w:line="258"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1.14. The chairperson of the meeting shall, if the facts warrant, determine that the business was not properly brought before the meeting in accordance with this Section 1.14, and if he or she should so determine, he or she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ind w:right="240" w:firstLine="656"/>
        <w:spacing w:after="0" w:line="256"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1.14 with respect to any business proposed to be brought before an annual meeting, each Proposing Person shall comply with all applicable requirements of the Exchange Act with respect to any such business. Nothing in this Section 1.14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ind w:right="60" w:firstLine="656"/>
        <w:spacing w:after="0" w:line="286"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b w:val="1"/>
          <w:bCs w:val="1"/>
          <w:i w:val="1"/>
          <w:iCs w:val="1"/>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Corporation with the Securities and Exchange Commission pursuant to Sections 13, 14 or 15(d) of the Exchange Act.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7"/>
          <w:szCs w:val="17"/>
          <w:u w:val="single" w:color="auto"/>
          <w:color w:val="auto"/>
        </w:rPr>
        <w:t>Notice of Nominations for Election to the Board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2"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(ii) by or at the direction of any party to that certain voting agreement, dated as of October 6, 2016, by and among the Corporation and the other persons party thereto (as may be amended from time to time,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provided that such right shall only pertain to an annual meeting, the Voting Agreement remains in effect and only to the extent permitted by, and subject to any limitations set forth in, Section 1 and Section 2 thereof, or (iii) by a Stockholder present in person who (A) was a record owner of shares of capital stock of the Corporation both at the time of giving the notice provided for in this Section 1.15 and at the time of the meeting, (B) is entitled to vote at the meeting, and (C) has complied with this Section 1.15 and Section 1.16 as to such notice and nomination. For purposes of this Section 1.15, “</w:t>
      </w:r>
      <w:r>
        <w:rPr>
          <w:rFonts w:ascii="Times New Roman" w:cs="Times New Roman" w:eastAsia="Times New Roman" w:hAnsi="Times New Roman"/>
          <w:sz w:val="18"/>
          <w:szCs w:val="18"/>
          <w:b w:val="1"/>
          <w:bCs w:val="1"/>
          <w:i w:val="1"/>
          <w:iCs w:val="1"/>
          <w:color w:val="auto"/>
        </w:rPr>
        <w:t>present in person</w:t>
      </w:r>
      <w:r>
        <w:rPr>
          <w:rFonts w:ascii="Times New Roman" w:cs="Times New Roman" w:eastAsia="Times New Roman" w:hAnsi="Times New Roman"/>
          <w:sz w:val="18"/>
          <w:szCs w:val="18"/>
          <w:color w:val="auto"/>
        </w:rPr>
        <w:t>” shall mean that the Stockholder nominating any person for election to the Board of Directors at the meeting of the Corporation, or a qualified representative of such Stockholder, appear at such meeting in person or by means of remote communication.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clauses (ii) and (iii) shall be the exclusive means for a Stockholder to make any nomination of a person or persons for election to the Board of Directors at an annual meeting or special meeting, as applicable.</w:t>
      </w:r>
    </w:p>
    <w:p>
      <w:pPr>
        <w:spacing w:after="0" w:line="191" w:lineRule="exact"/>
        <w:rPr>
          <w:rFonts w:ascii="Times New Roman" w:cs="Times New Roman" w:eastAsia="Times New Roman" w:hAnsi="Times New Roman"/>
          <w:sz w:val="18"/>
          <w:szCs w:val="18"/>
          <w:color w:val="auto"/>
        </w:rPr>
      </w:pPr>
    </w:p>
    <w:p>
      <w:pPr>
        <w:ind w:right="80" w:firstLine="656"/>
        <w:spacing w:after="0" w:line="256"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of Directors at an annual meeting in accordance with Section 1.15(a)(iii), the Stockholder must (1) provide Timely Notice (as defined in Section 1.14) thereof in writing and in proper form to the Secretary of the Corporation, (2) provide the information, agreements and questionnaires with respect to such Stockholder and its candidate for nomination as required to be set forth by this Section 1.15 and Section 1.16 and (3) provide any updates or supplements to such notice at the times and in the forms required by this Section 1.15 and Section 1.16.</w:t>
      </w:r>
    </w:p>
    <w:p>
      <w:pPr>
        <w:spacing w:after="0" w:line="187" w:lineRule="exact"/>
        <w:rPr>
          <w:rFonts w:ascii="Times New Roman" w:cs="Times New Roman" w:eastAsia="Times New Roman" w:hAnsi="Times New Roman"/>
          <w:sz w:val="18"/>
          <w:szCs w:val="18"/>
          <w:color w:val="auto"/>
        </w:rPr>
      </w:pPr>
    </w:p>
    <w:p>
      <w:pPr>
        <w:ind w:left="660" w:right="40" w:firstLine="644"/>
        <w:spacing w:after="0" w:line="258" w:lineRule="auto"/>
        <w:tabs>
          <w:tab w:leader="none" w:pos="19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in accordance with Section 1.15(a)(iii), the Stockholder must (A) provide Special Meeting Timely Notice (as defined below) thereof in writing and in proper form to the Secretary of the Corporation at the principal executive offices of the Corporation, (B) provide the information with respect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8"/>
          <w:szCs w:val="18"/>
          <w:color w:val="auto"/>
        </w:rPr>
        <w:t>Nominating Person (as defined below) and its candidate for nomination as required by this Section 1.15 and Section 1.16 and</w:t>
      </w:r>
    </w:p>
    <w:p>
      <w:pPr>
        <w:spacing w:after="0" w:line="27" w:lineRule="exact"/>
        <w:rPr>
          <w:sz w:val="20"/>
          <w:szCs w:val="20"/>
          <w:color w:val="auto"/>
        </w:rPr>
      </w:pPr>
    </w:p>
    <w:p>
      <w:pPr>
        <w:ind w:left="200" w:right="140" w:hanging="4"/>
        <w:spacing w:after="0" w:line="218" w:lineRule="auto"/>
        <w:tabs>
          <w:tab w:leader="none" w:pos="4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updates or supplements to such notice at the times and in the forms required by this Section 1.15 and Section 1.16.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(as defined in Section 1.14) of the date of such special meeting was first made (such notice within such time periods, “</w:t>
      </w:r>
      <w:r>
        <w:rPr>
          <w:rFonts w:ascii="Times New Roman" w:cs="Times New Roman" w:eastAsia="Times New Roman" w:hAnsi="Times New Roman"/>
          <w:sz w:val="18"/>
          <w:szCs w:val="18"/>
          <w:b w:val="1"/>
          <w:bCs w:val="1"/>
          <w:i w:val="1"/>
          <w:iCs w:val="1"/>
          <w:color w:val="auto"/>
        </w:rPr>
        <w:t>Special Meeting Timely Notice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200" w:right="220" w:firstLine="644"/>
        <w:spacing w:after="0" w:line="312" w:lineRule="auto"/>
        <w:tabs>
          <w:tab w:leader="none" w:pos="149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any adjournment or postponement of an annual meeting or special meeting or the announcement thereof commence a new time period for the giving of a Stockholder’s notice as described in this Section 1.15.</w:t>
      </w:r>
    </w:p>
    <w:p>
      <w:pPr>
        <w:spacing w:after="0" w:line="139" w:lineRule="exact"/>
        <w:rPr>
          <w:rFonts w:ascii="Times New Roman" w:cs="Times New Roman" w:eastAsia="Times New Roman" w:hAnsi="Times New Roman"/>
          <w:sz w:val="17"/>
          <w:szCs w:val="17"/>
          <w:color w:val="auto"/>
        </w:rPr>
      </w:pPr>
    </w:p>
    <w:p>
      <w:pPr>
        <w:ind w:left="200" w:right="120" w:firstLine="644"/>
        <w:spacing w:after="0" w:line="256" w:lineRule="auto"/>
        <w:tabs>
          <w:tab w:leader="none" w:pos="14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(as defined below) provide Timely Notice or Special Meeting Timely Notice,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(A) the conclusion of the time period for Timely Notice or Special Meeting Timely Notice, as applicable, or (B) the tenth day following the date of public disclosure (as defined in Section 1.14) of such increase.</w:t>
      </w:r>
    </w:p>
    <w:p>
      <w:pPr>
        <w:spacing w:after="0" w:line="187" w:lineRule="exact"/>
        <w:rPr>
          <w:sz w:val="20"/>
          <w:szCs w:val="20"/>
          <w:color w:val="auto"/>
        </w:rPr>
      </w:pPr>
    </w:p>
    <w:p>
      <w:pPr>
        <w:ind w:left="840" w:hanging="64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1.15,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200" w:right="60" w:firstLine="644"/>
        <w:spacing w:after="0" w:line="266" w:lineRule="auto"/>
        <w:tabs>
          <w:tab w:leader="none" w:pos="14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1.14(c)(i), except that, for purposes of this Section 1.15, the term “Nominating Person” shall be substituted for the term “Proposing Person” in all places it appears in Section 1.14(c)(i));</w:t>
      </w:r>
    </w:p>
    <w:p>
      <w:pPr>
        <w:spacing w:after="0" w:line="175" w:lineRule="exact"/>
        <w:rPr>
          <w:rFonts w:ascii="Times New Roman" w:cs="Times New Roman" w:eastAsia="Times New Roman" w:hAnsi="Times New Roman"/>
          <w:sz w:val="18"/>
          <w:szCs w:val="18"/>
          <w:color w:val="auto"/>
        </w:rPr>
      </w:pPr>
    </w:p>
    <w:p>
      <w:pPr>
        <w:ind w:left="200" w:right="60" w:firstLine="644"/>
        <w:spacing w:after="0" w:line="257" w:lineRule="auto"/>
        <w:tabs>
          <w:tab w:leader="none" w:pos="14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1.14(c)(ii), except that for purposes of this Section 1.15 the term “Nominating Person” shall be substituted for the term “Proposing Person” in all places it appears in Section 1.14(c)(ii) and the disclosure with respect to the business to be brought before the meeting in Section 1.14(c)</w:t>
      </w:r>
    </w:p>
    <w:p>
      <w:pPr>
        <w:spacing w:after="0" w:line="1" w:lineRule="exact"/>
        <w:rPr>
          <w:rFonts w:ascii="Times New Roman" w:cs="Times New Roman" w:eastAsia="Times New Roman" w:hAnsi="Times New Roman"/>
          <w:sz w:val="18"/>
          <w:szCs w:val="18"/>
          <w:color w:val="auto"/>
        </w:rPr>
      </w:pPr>
    </w:p>
    <w:p>
      <w:pPr>
        <w:ind w:left="200" w:hanging="4"/>
        <w:spacing w:after="0" w:line="252" w:lineRule="auto"/>
        <w:tabs>
          <w:tab w:leader="none" w:pos="4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made with respect to the election of directors at the meeting); and provided that, in lieu of including the information set forth in Section 1.14(c)(ii)(G), the Nominating Person’s notice for purposes of this Section 1.15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189" w:lineRule="exact"/>
        <w:rPr>
          <w:rFonts w:ascii="Times New Roman" w:cs="Times New Roman" w:eastAsia="Times New Roman" w:hAnsi="Times New Roman"/>
          <w:sz w:val="18"/>
          <w:szCs w:val="18"/>
          <w:color w:val="auto"/>
        </w:rPr>
      </w:pPr>
    </w:p>
    <w:p>
      <w:pPr>
        <w:ind w:left="200" w:right="480" w:firstLine="644"/>
        <w:spacing w:after="0" w:line="282" w:lineRule="auto"/>
        <w:tabs>
          <w:tab w:leader="none" w:pos="14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71" w:name="page72"/>
    <w:bookmarkEnd w:id="71"/>
    <w:p>
      <w:pPr>
        <w:ind w:left="660"/>
        <w:spacing w:after="0" w:line="253" w:lineRule="auto"/>
        <w:rPr>
          <w:sz w:val="20"/>
          <w:szCs w:val="20"/>
          <w:color w:val="auto"/>
        </w:rPr>
      </w:pPr>
      <w:r>
        <w:rPr>
          <w:rFonts w:ascii="Times New Roman" w:cs="Times New Roman" w:eastAsia="Times New Roman" w:hAnsi="Times New Roman"/>
          <w:sz w:val="18"/>
          <w:szCs w:val="18"/>
          <w:color w:val="auto"/>
        </w:rPr>
        <w:t>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 Section 1.16.</w:t>
      </w:r>
    </w:p>
    <w:p>
      <w:pPr>
        <w:spacing w:after="0" w:line="188"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For purposes of this Section 1.15, the term “</w:t>
      </w:r>
      <w:r>
        <w:rPr>
          <w:rFonts w:ascii="Times New Roman" w:cs="Times New Roman" w:eastAsia="Times New Roman" w:hAnsi="Times New Roman"/>
          <w:sz w:val="18"/>
          <w:szCs w:val="18"/>
          <w:b w:val="1"/>
          <w:bCs w:val="1"/>
          <w:i w:val="1"/>
          <w:iCs w:val="1"/>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right="200"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75" w:lineRule="exact"/>
        <w:rPr>
          <w:rFonts w:ascii="Times New Roman" w:cs="Times New Roman" w:eastAsia="Times New Roman" w:hAnsi="Times New Roman"/>
          <w:sz w:val="18"/>
          <w:szCs w:val="18"/>
          <w:color w:val="auto"/>
        </w:rPr>
      </w:pPr>
    </w:p>
    <w:p>
      <w:pPr>
        <w:ind w:right="60" w:firstLine="656"/>
        <w:spacing w:after="0" w:line="252"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or the materials delivered pursuant to this Section 1.15, as applicable, if necessary, so that the information provided or required to be provided in such notice pursuant to this Section 1.15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2" w:name="page73"/>
    <w:bookmarkEnd w:id="72"/>
    <w:p>
      <w:pPr>
        <w:ind w:firstLine="656"/>
        <w:spacing w:after="0" w:line="252"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1.15 with respect to any nomination proposed to be made at a meeting, each Nominating Person shall comply with all applicable requirements of the Exchange Act with respect to any such nominations. Notwithstanding the foregoing provisions of this Section 1.15,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1.15 or by Rule 14a-19,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9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Seated as Directors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56"/>
        <w:spacing w:after="0" w:line="253"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the candidate must be nominated in the manner prescribed in Section 1.15 and the candidate for nomination must have previously delivered (in accordance with the time periods prescribed for delivery in a notice to such candidate given by or on behalf of the Board of Directors), to the Secretary at the principal executive offices of the Corporation, (a) a completed written questionnaire (in a form provided by the Corporation upon written request of any Stockholder of record therefor) with respect to the background, qualifications, stock ownership and independence of such proposed nominee and (b) a written representation and agreement (in the form provided by the Corporation upon written request of any Stockholder of record therefor) that such candidate for nomination (i) 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t>entity other than the Corporation with respect to any direct or indirect compensation or reimbursement for service as a director that has not been disclosed to the Corporation, (iii)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of the Corporation (and, if requested by any candidate for nomination, the Secretary shall provide to such candidate for nomination all such policies and guidelines then in effect) and</w:t>
      </w:r>
    </w:p>
    <w:p>
      <w:pPr>
        <w:spacing w:after="0" w:line="3"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serve as a director of the Corporation, if elected.</w:t>
      </w:r>
    </w:p>
    <w:p>
      <w:pPr>
        <w:spacing w:after="0" w:line="206" w:lineRule="exact"/>
        <w:rPr>
          <w:rFonts w:ascii="Times New Roman" w:cs="Times New Roman" w:eastAsia="Times New Roman" w:hAnsi="Times New Roman"/>
          <w:sz w:val="18"/>
          <w:szCs w:val="18"/>
          <w:color w:val="auto"/>
        </w:rPr>
      </w:pPr>
    </w:p>
    <w:p>
      <w:pPr>
        <w:ind w:right="100" w:firstLine="656"/>
        <w:spacing w:after="0" w:line="254"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188" w:lineRule="exact"/>
        <w:rPr>
          <w:rFonts w:ascii="Times New Roman" w:cs="Times New Roman" w:eastAsia="Times New Roman" w:hAnsi="Times New Roman"/>
          <w:sz w:val="18"/>
          <w:szCs w:val="18"/>
          <w:color w:val="auto"/>
        </w:rPr>
      </w:pPr>
    </w:p>
    <w:p>
      <w:pPr>
        <w:ind w:right="20" w:firstLine="656"/>
        <w:spacing w:after="0" w:line="252"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1.16, if necessary, so that the information provided or required to be provided pursuant to this Section 1.16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97"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under Section 1.15 unless such candidate for nomination and the Nominating Person seeking to place such candidate’s name in nomination, if applicable, has complied with Section 1.15 and this Section 1.16, as applicable. The chairperson of the meeting shall, if the facts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4" w:name="page75"/>
    <w:bookmarkEnd w:id="74"/>
    <w:p>
      <w:pPr>
        <w:ind w:right="240"/>
        <w:spacing w:after="0" w:line="261" w:lineRule="auto"/>
        <w:rPr>
          <w:sz w:val="20"/>
          <w:szCs w:val="20"/>
          <w:color w:val="auto"/>
        </w:rPr>
      </w:pPr>
      <w:r>
        <w:rPr>
          <w:rFonts w:ascii="Times New Roman" w:cs="Times New Roman" w:eastAsia="Times New Roman" w:hAnsi="Times New Roman"/>
          <w:sz w:val="18"/>
          <w:szCs w:val="18"/>
          <w:color w:val="auto"/>
        </w:rPr>
        <w:t>determine that a nomination was not properly made in accordance with Section 1.15 and this Section 1.16,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0" w:lineRule="exact"/>
        <w:rPr>
          <w:sz w:val="20"/>
          <w:szCs w:val="20"/>
          <w:color w:val="auto"/>
        </w:rPr>
      </w:pPr>
    </w:p>
    <w:p>
      <w:pPr>
        <w:ind w:right="20" w:firstLine="656"/>
        <w:spacing w:after="0" w:line="282"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1.15 and this Section 1.16 and elected as a director.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Number; Tenure; Qualifications</w:t>
      </w:r>
      <w:r>
        <w:rPr>
          <w:rFonts w:ascii="Times New Roman" w:cs="Times New Roman" w:eastAsia="Times New Roman" w:hAnsi="Times New Roman"/>
          <w:sz w:val="18"/>
          <w:szCs w:val="18"/>
          <w:color w:val="auto"/>
        </w:rPr>
        <w:t>. Subject to the Certificate of Incorporation, the rights of holders of any series of Preferred Stock to elect directors and the Voting Agreement, the total number of directors constituting the entire Board of Directors shall be fixed from time to time exclusively by resolutions adopted by the Board of Directors. The directors shall be classified in the manner provided in the Certificate of Incorporation. Each director shall hold office until such time as provided in the Certificate of Incorporation. Directors need not be Stockholders.</w:t>
      </w:r>
    </w:p>
    <w:p>
      <w:pPr>
        <w:spacing w:after="0" w:line="18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Election; Resignation; Removal; Vacancies</w:t>
      </w:r>
      <w:r>
        <w:rPr>
          <w:rFonts w:ascii="Times New Roman" w:cs="Times New Roman" w:eastAsia="Times New Roman" w:hAnsi="Times New Roman"/>
          <w:sz w:val="17"/>
          <w:szCs w:val="17"/>
          <w:color w:val="auto"/>
        </w:rPr>
        <w:t>. Except as otherwise provided in the Certificate of Incorporation or these Bylaws, directors shall be elected at the annual meeting of Stockholders by such Stockholders as have the right to vote on such election. Any director may resign at any time upon written or electronic notice to the Corporation. Such resignation shall be effective upon delivery unless it is specified to be effective at some later time or upon the happening of some later event. Subject to the rights of holders of any series of Preferred Stock, directors of the Corporation may be removed only as expressly provided in the Certificate of Incorporation. Except as otherwise required by law and subject to the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retirement, disqualification, removal from office or other cause shall be filled only by a majority vote of the directors then in office, though less than a quorum, or by a sole remaining director entitled to vote thereon, and not by the Stockholders. Any director so chosen shall hold office until the next election of the class for which such director shall have been chosen and until his successor shall be elected and qualified.</w:t>
      </w:r>
    </w:p>
    <w:p>
      <w:pPr>
        <w:spacing w:after="0" w:line="18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and at such times as the Board of Directors may from time to time determine; provided that any director who is absent when such a determination is made shall be given notice of the determination.</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held at any time or place, if any, within or without the State of Delaware whenever called by the Chairperson, the Chief Executive Officer or a majority of the directors then in office. Notice to directors of the date, place and time of any special meeting of the Board of Directors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77" w:right="1059" w:bottom="1440" w:gutter="0" w:footer="0" w:header="0"/>
        </w:sectPr>
      </w:pPr>
    </w:p>
    <w:bookmarkStart w:id="75" w:name="page76"/>
    <w:bookmarkEnd w:id="75"/>
    <w:p>
      <w:pPr>
        <w:spacing w:after="0" w:line="258" w:lineRule="auto"/>
        <w:rPr>
          <w:sz w:val="20"/>
          <w:szCs w:val="20"/>
          <w:color w:val="auto"/>
        </w:rPr>
      </w:pPr>
      <w:r>
        <w:rPr>
          <w:rFonts w:ascii="Times New Roman" w:cs="Times New Roman" w:eastAsia="Times New Roman" w:hAnsi="Times New Roman"/>
          <w:sz w:val="18"/>
          <w:szCs w:val="18"/>
          <w:color w:val="auto"/>
        </w:rPr>
        <w:t>given to each director by the Secretary or by the officer or one of the directors calling the meeting. Notice may be given in person, by mail or by e-mail, telephone, telecopier or other means of electronic transmission. If the notice is delivered in person, by e-mail, telephone, telecopier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Telephonic Meetings Permitted</w:t>
      </w:r>
      <w:r>
        <w:rPr>
          <w:rFonts w:ascii="Times New Roman" w:cs="Times New Roman" w:eastAsia="Times New Roman" w:hAnsi="Times New Roman"/>
          <w:sz w:val="18"/>
          <w:szCs w:val="18"/>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Section 2.05 shall constitute presence in person at such meeting.</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xml:space="preserve">. At all meetings of the Board of Directors a majority of the number of directors fixed by the Board of Directors pursuant to Section 2.01 shall constitute a quorum for the transaction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the purposes of filling vacancies pursuant to Section 2.02 of these Bylaws, a meeting of the Board of Directors may be held if a majority of the directors then in office participate in such meeting. Except in cases in which the Certificate of Incorporation, these Bylaws or applicable law otherwise provides, a majority of the votes entitled to be cast by the directors present at a meeting duly held at which a quorum is present shall be the act of the Board of Directors.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Chairperson, or in his or her absence by the person whom the Chairperson shall appoint,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of Directors or such committee in accordance with applicable law.</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like compensation for attending committee meetings. Any director of the Corporation may decline any or all such compensation payable to such director in his or her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w:t>
      </w:r>
    </w:p>
    <w:p>
      <w:pPr>
        <w:spacing w:after="0" w:line="19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may consist of a chief executive officer (the “</w:t>
      </w:r>
      <w:r>
        <w:rPr>
          <w:rFonts w:ascii="Times New Roman" w:cs="Times New Roman" w:eastAsia="Times New Roman" w:hAnsi="Times New Roman"/>
          <w:sz w:val="18"/>
          <w:szCs w:val="18"/>
          <w:b w:val="1"/>
          <w:bCs w:val="1"/>
          <w:i w:val="1"/>
          <w:iCs w:val="1"/>
          <w:color w:val="auto"/>
        </w:rPr>
        <w:t>Chief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a president (the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a chief financial officer (the “</w:t>
      </w:r>
      <w:r>
        <w:rPr>
          <w:rFonts w:ascii="Times New Roman" w:cs="Times New Roman" w:eastAsia="Times New Roman" w:hAnsi="Times New Roman"/>
          <w:sz w:val="18"/>
          <w:szCs w:val="18"/>
          <w:b w:val="1"/>
          <w:bCs w:val="1"/>
          <w:i w:val="1"/>
          <w:iCs w:val="1"/>
          <w:color w:val="auto"/>
        </w:rPr>
        <w:t>Chief Financial Officer</w:t>
      </w:r>
      <w:r>
        <w:rPr>
          <w:rFonts w:ascii="Times New Roman" w:cs="Times New Roman" w:eastAsia="Times New Roman" w:hAnsi="Times New Roman"/>
          <w:sz w:val="18"/>
          <w:szCs w:val="18"/>
          <w:color w:val="auto"/>
        </w:rPr>
        <w:t>”), a chief operating officer (the “</w:t>
      </w:r>
      <w:r>
        <w:rPr>
          <w:rFonts w:ascii="Times New Roman" w:cs="Times New Roman" w:eastAsia="Times New Roman" w:hAnsi="Times New Roman"/>
          <w:sz w:val="18"/>
          <w:szCs w:val="18"/>
          <w:b w:val="1"/>
          <w:bCs w:val="1"/>
          <w:i w:val="1"/>
          <w:iCs w:val="1"/>
          <w:color w:val="auto"/>
        </w:rPr>
        <w:t>Chief Operating Officer</w:t>
      </w:r>
      <w:r>
        <w:rPr>
          <w:rFonts w:ascii="Times New Roman" w:cs="Times New Roman" w:eastAsia="Times New Roman" w:hAnsi="Times New Roman"/>
          <w:sz w:val="18"/>
          <w:szCs w:val="18"/>
          <w:color w:val="auto"/>
        </w:rPr>
        <w:t>”), a chief legal officer (the “</w:t>
      </w:r>
      <w:r>
        <w:rPr>
          <w:rFonts w:ascii="Times New Roman" w:cs="Times New Roman" w:eastAsia="Times New Roman" w:hAnsi="Times New Roman"/>
          <w:sz w:val="18"/>
          <w:szCs w:val="18"/>
          <w:b w:val="1"/>
          <w:bCs w:val="1"/>
          <w:i w:val="1"/>
          <w:iCs w:val="1"/>
          <w:color w:val="auto"/>
        </w:rPr>
        <w:t>Chief Legal Officer</w:t>
      </w:r>
      <w:r>
        <w:rPr>
          <w:rFonts w:ascii="Times New Roman" w:cs="Times New Roman" w:eastAsia="Times New Roman" w:hAnsi="Times New Roman"/>
          <w:sz w:val="18"/>
          <w:szCs w:val="18"/>
          <w:color w:val="auto"/>
        </w:rPr>
        <w:t>”), one or more vice presidents (each, a “</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a Secretary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Secretary</w:t>
      </w:r>
      <w:r>
        <w:rPr>
          <w:rFonts w:ascii="Times New Roman" w:cs="Times New Roman" w:eastAsia="Times New Roman" w:hAnsi="Times New Roman"/>
          <w:sz w:val="18"/>
          <w:szCs w:val="18"/>
          <w:color w:val="auto"/>
        </w:rPr>
        <w:t>”), a treasurer (the “</w:t>
      </w:r>
      <w:r>
        <w:rPr>
          <w:rFonts w:ascii="Times New Roman" w:cs="Times New Roman" w:eastAsia="Times New Roman" w:hAnsi="Times New Roman"/>
          <w:sz w:val="18"/>
          <w:szCs w:val="18"/>
          <w:b w:val="1"/>
          <w:bCs w:val="1"/>
          <w:i w:val="1"/>
          <w:iCs w:val="1"/>
          <w:color w:val="auto"/>
        </w:rPr>
        <w:t>Treasurer</w:t>
      </w:r>
      <w:r>
        <w:rPr>
          <w:rFonts w:ascii="Times New Roman" w:cs="Times New Roman" w:eastAsia="Times New Roman" w:hAnsi="Times New Roman"/>
          <w:sz w:val="18"/>
          <w:szCs w:val="18"/>
          <w:color w:val="auto"/>
        </w:rPr>
        <w:t>”), a controller (the “</w:t>
      </w:r>
      <w:r>
        <w:rPr>
          <w:rFonts w:ascii="Times New Roman" w:cs="Times New Roman" w:eastAsia="Times New Roman" w:hAnsi="Times New Roman"/>
          <w:sz w:val="18"/>
          <w:szCs w:val="18"/>
          <w:b w:val="1"/>
          <w:bCs w:val="1"/>
          <w:i w:val="1"/>
          <w:iCs w:val="1"/>
          <w:color w:val="auto"/>
        </w:rPr>
        <w:t>Controller</w:t>
      </w:r>
      <w:r>
        <w:rPr>
          <w:rFonts w:ascii="Times New Roman" w:cs="Times New Roman" w:eastAsia="Times New Roman" w:hAnsi="Times New Roman"/>
          <w:sz w:val="18"/>
          <w:szCs w:val="18"/>
          <w:color w:val="auto"/>
        </w:rPr>
        <w:t>”) and such other officers with such other titles as the Board of Directors may from time to time determine, including a Chairperson, each of whom shall be appointed by the Board of Directors, each to have such authority, functions or duties as set forth in these Bylaws or as determined by the Board of Directors. Subject to obtaining any written approval(s) under Section 4(a) of the Voting Agreement in connection with the appointment of the chief executive officer of the Corporation, each officer shall be chosen by the Board of Directors and shall hold office for such term as may be prescribed by the Board of Directors and until such person’s successor shall have been duly chosen and qualified, or until such person’s earlier death, disqualification,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7" w:name="page78"/>
    <w:bookmarkEnd w:id="77"/>
    <w:p>
      <w:pPr>
        <w:ind w:right="20"/>
        <w:spacing w:after="0" w:line="266" w:lineRule="auto"/>
        <w:rPr>
          <w:sz w:val="20"/>
          <w:szCs w:val="20"/>
          <w:color w:val="auto"/>
        </w:rPr>
      </w:pPr>
      <w:r>
        <w:rPr>
          <w:rFonts w:ascii="Times New Roman" w:cs="Times New Roman" w:eastAsia="Times New Roman" w:hAnsi="Times New Roman"/>
          <w:sz w:val="18"/>
          <w:szCs w:val="18"/>
          <w:color w:val="auto"/>
        </w:rPr>
        <w:t>resignation or removal. The Board of Directors, in its discretion, from time to time may determine not to appoint one or more of the officers identified in the first sentence of this Section 4.01 or to leave such officer position vacant. Any number of offices may be held by the same person.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Removal, Resignation and Vacancies</w:t>
      </w:r>
      <w:r>
        <w:rPr>
          <w:rFonts w:ascii="Times New Roman" w:cs="Times New Roman" w:eastAsia="Times New Roman" w:hAnsi="Times New Roman"/>
          <w:sz w:val="18"/>
          <w:szCs w:val="18"/>
          <w:color w:val="auto"/>
        </w:rPr>
        <w:t>. Any officer of the Corporation may be removed, with or without cause, by the Board of Directors, without prejudice to the rights, if any, of such officer under any contract to which it is a party. Any officer may resign at any time upon written or electronic notice to the Corporation, without prejudice to the rights, if any, of the Corporation under any contract to which such officer is a party. If any vacancy occurs in any office of the Corporation, the Board of Directors may appoint a successor to fill such vacancy for the remainder of the unexpired term and until a successor shall have been duly chosen and qualified or until such officer’s earlier death, resignation, disqualification or removal.</w:t>
      </w:r>
    </w:p>
    <w:p>
      <w:pPr>
        <w:spacing w:after="0" w:line="187"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Board of Directors may appoint from its members a Chairperson of the Board of Directors. The Board of Directors may, in its sole discretion, from time to time appoint one or more vice chairpersons (each, a “</w:t>
      </w:r>
      <w:r>
        <w:rPr>
          <w:rFonts w:ascii="Times New Roman" w:cs="Times New Roman" w:eastAsia="Times New Roman" w:hAnsi="Times New Roman"/>
          <w:sz w:val="18"/>
          <w:szCs w:val="18"/>
          <w:b w:val="1"/>
          <w:bCs w:val="1"/>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Chairperson</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Chairperson or any Vice Chairperson, preside at meetings of the Stockholders and of the Board of Directors.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have the power to affix the signature of the Corporation to all contracts that have been authorized by the Board of Directors or the Chief Executive Officer. The Chief Financial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Chief Operating Officer shall exercise all the powers and perform the duties of the office of the chief operating officer and shall be responsible for the management and control of the operations of the Corporation. The Chief Operating Officer shall have the power to affix the signature of the Corporation to all contracts that have been authorized by the Board of Directors or the Chief Executive Officer. The Chief Operating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Chief Legal Officer</w:t>
      </w:r>
      <w:r>
        <w:rPr>
          <w:rFonts w:ascii="Times New Roman" w:cs="Times New Roman" w:eastAsia="Times New Roman" w:hAnsi="Times New Roman"/>
          <w:sz w:val="18"/>
          <w:szCs w:val="18"/>
          <w:color w:val="auto"/>
        </w:rPr>
        <w:t>. The Chief Legal Officer shall be the principal legal officer of the Corporation and exercise all the powers and perform the duties of the office of the legal department and shall be responsible for the general direction of and supervision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8" w:name="page79"/>
    <w:bookmarkEnd w:id="78"/>
    <w:p>
      <w:pPr>
        <w:ind w:right="280"/>
        <w:spacing w:after="0" w:line="261" w:lineRule="auto"/>
        <w:rPr>
          <w:sz w:val="20"/>
          <w:szCs w:val="20"/>
          <w:color w:val="auto"/>
        </w:rPr>
      </w:pPr>
      <w:r>
        <w:rPr>
          <w:rFonts w:ascii="Times New Roman" w:cs="Times New Roman" w:eastAsia="Times New Roman" w:hAnsi="Times New Roman"/>
          <w:sz w:val="18"/>
          <w:szCs w:val="18"/>
          <w:color w:val="auto"/>
        </w:rPr>
        <w:t>legal affairs of the Corporation and advising the Board of Directors and the officers of the Corporation on all legal matters. The Chief Legal Officer shall have the power to affix the signature of the Corporation to all contracts that have been authorized by the Board of Directors or the Chief Executive Officer. The Chief Legal Officer shall perform such other duties as such officer may agree with the Chief Executive Officer or as the Board of Directors may from time to time determine.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such powers and duties as shall be prescribed by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 In accordance with Sections 4.01 and 4.14 of these Bylaws, the Board of Directors, the Chief Executive Officer, the Chief Financial Officer, the Chief Operating Officer, the Chief Legal Officer and/or the President may, in his, her or their discretion, from time to time appoint one or more executive vice presidents of the Corporation (each, an “</w:t>
      </w:r>
      <w:r>
        <w:rPr>
          <w:rFonts w:ascii="Times New Roman" w:cs="Times New Roman" w:eastAsia="Times New Roman" w:hAnsi="Times New Roman"/>
          <w:sz w:val="18"/>
          <w:szCs w:val="18"/>
          <w:b w:val="1"/>
          <w:bCs w:val="1"/>
          <w:i w:val="1"/>
          <w:iCs w:val="1"/>
          <w:color w:val="auto"/>
        </w:rPr>
        <w:t>Executive 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senior vice presidents of the Corporation (each, a “</w:t>
      </w:r>
      <w:r>
        <w:rPr>
          <w:rFonts w:ascii="Times New Roman" w:cs="Times New Roman" w:eastAsia="Times New Roman" w:hAnsi="Times New Roman"/>
          <w:sz w:val="18"/>
          <w:szCs w:val="18"/>
          <w:b w:val="1"/>
          <w:bCs w:val="1"/>
          <w:i w:val="1"/>
          <w:iCs w:val="1"/>
          <w:color w:val="auto"/>
        </w:rPr>
        <w:t>Senior Vice President</w:t>
      </w:r>
      <w:r>
        <w:rPr>
          <w:rFonts w:ascii="Times New Roman" w:cs="Times New Roman" w:eastAsia="Times New Roman" w:hAnsi="Times New Roman"/>
          <w:sz w:val="18"/>
          <w:szCs w:val="18"/>
          <w:color w:val="auto"/>
        </w:rPr>
        <w:t>”) and/or assistant vice presidents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(each, an “</w:t>
      </w:r>
      <w:r>
        <w:rPr>
          <w:rFonts w:ascii="Times New Roman" w:cs="Times New Roman" w:eastAsia="Times New Roman" w:hAnsi="Times New Roman"/>
          <w:sz w:val="18"/>
          <w:szCs w:val="18"/>
          <w:b w:val="1"/>
          <w:bCs w:val="1"/>
          <w:i w:val="1"/>
          <w:iCs w:val="1"/>
          <w:color w:val="auto"/>
        </w:rPr>
        <w:t>Assistant Vice President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report to the Chief Financial Officer and, when requested, counsel with and advise the other officers of the Corporation and shall perform such other duties as such officer may agree with the Chief Executive Officer, the Chief Financial Officer or as the Board of Directors may from time to time determine. In accordance with Sections 4.01 and 4.14 of these Bylaws, the Board of Directors, the Chief Executive Officer, the Chief Financial Officer, the Chief Operating Officer, the Chief Legal Officer and/or the President may, in his, her or their discretion, from time to time appoint one or more assistant treasurers of the Corporation (each, an “</w:t>
      </w:r>
      <w:r>
        <w:rPr>
          <w:rFonts w:ascii="Times New Roman" w:cs="Times New Roman" w:eastAsia="Times New Roman" w:hAnsi="Times New Roman"/>
          <w:sz w:val="18"/>
          <w:szCs w:val="18"/>
          <w:b w:val="1"/>
          <w:bCs w:val="1"/>
          <w:i w:val="1"/>
          <w:iCs w:val="1"/>
          <w:color w:val="auto"/>
        </w:rPr>
        <w:t>Assistant Treasurer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report to the Chief Financial Officer and, when requested, counsel with and advise the other officers of the Corporation and shall perform such other duties as such officer may agree with the Chief Executive Officer or the Chief Financial Officer or as the Board of Directors may from time to time determine.</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powers and duties of the Secretary are: (i) to act as Secretary at all meetings of the Board of Directors,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t>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 In accordance with Sections 4.01 and 4.14 of these Bylaws, the Board of Directors, the Chief Executive Officer, the Chief Financial Officer, the Chief Operating Officer, the Chief Legal Officer and/or the President may, in his, her or their discretion, from time to time appoint one or more assistant secretaries of the Corporation (each, an “</w:t>
      </w:r>
      <w:r>
        <w:rPr>
          <w:rFonts w:ascii="Times New Roman" w:cs="Times New Roman" w:eastAsia="Times New Roman" w:hAnsi="Times New Roman"/>
          <w:sz w:val="18"/>
          <w:szCs w:val="18"/>
          <w:b w:val="1"/>
          <w:bCs w:val="1"/>
          <w:i w:val="1"/>
          <w:iCs w:val="1"/>
          <w:color w:val="auto"/>
        </w:rPr>
        <w:t>Assistant Secretary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Appointing Attorneys and Agents; Voting Securities of Other Entities</w:t>
      </w:r>
      <w:r>
        <w:rPr>
          <w:rFonts w:ascii="Times New Roman" w:cs="Times New Roman" w:eastAsia="Times New Roman" w:hAnsi="Times New Roman"/>
          <w:sz w:val="18"/>
          <w:szCs w:val="18"/>
          <w:color w:val="auto"/>
        </w:rPr>
        <w:t>. Unless otherwise provided by resolution adopted by the Board of Directors, the Chairperson, any Vice Chairperson, the Chief Executive Officer, the Chief Financial Officer or the Chief Legal Officer may from time to time appoint an attorney or attorneys or agent or agents of the Corporation, in the name and on behalf of the Corporation, to (a)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and (b) exercise the rights of the Corporation in its capacity as a general partner of a partnership or in its capacity as a managing member of a limited liability company as to which the Corporation, in such capacity, is entitled to exercise pursuant to the applicable partnership agreement or limited liability company operating agreement, including without limitation to take or refrain from taking any action, or to consent in writing, in each case in the name of the Corporation as such general partner or managing member, to any action by such partnership or limited liability company, and may instruct the person or persons so appointed as to the manner of taking such actions or giving such consents, and may execute or cause to be executed in the name and on behalf of the Corporation and under its corporate seal or otherwise, all such written proxies or other instruments as he or she may deem necessary or proper. Unless otherwise provided by resolution adopted by the Board of Directors, any of the rights set forth in this Section 4.13 which may be delegated to an attorney or agent may also be exercised directly by the Chairperson, a Vice Chairperson, the Chief Executive Officer, the Chief Financial Officer or the Chief Legal Officer.</w:t>
      </w:r>
    </w:p>
    <w:p>
      <w:pPr>
        <w:spacing w:after="0" w:line="19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The Chief Executive Officer, the Chief Financial Officer, the Chief Operating Officer, the Chief Legal Officer and/or the President shall have the authority to designate employees of the Corporation to have the title of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80" w:name="page81"/>
    <w:bookmarkEnd w:id="80"/>
    <w:p>
      <w:pPr>
        <w:spacing w:after="0" w:line="256" w:lineRule="auto"/>
        <w:rPr>
          <w:sz w:val="20"/>
          <w:szCs w:val="20"/>
          <w:color w:val="auto"/>
        </w:rPr>
      </w:pPr>
      <w:r>
        <w:rPr>
          <w:rFonts w:ascii="Times New Roman" w:cs="Times New Roman" w:eastAsia="Times New Roman" w:hAnsi="Times New Roman"/>
          <w:sz w:val="18"/>
          <w:szCs w:val="18"/>
          <w:color w:val="auto"/>
        </w:rPr>
        <w:t>Senior Vice President, Vice President, Assistant Vice President, Assistant Treasurer or Assistant Secretary. Any employee so designated shall have the powers and duties determined by the officer making such designation. A person designated as an Executive Vice President, Senior Vice President, Vice President, Assistant Vice President, Assistant Treasurer or Assistant Secretary shall not be deemed to be an officer of the Corporation for the purposes of Article VI of these Bylaws unless the Board of Directors has adopted a resolution approving such person in such capacity as an officer of the Corporation (including by means of direct appointment by the Board of Directors pursuant to Section 4.01 of these Bylaws).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shares of Stock shall be represented by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Delaware General Corporation Law.</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 AND ADVANCEMENT OF EXPENSES</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(including as it presently exists or may hereafter be amended), any person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(any such action, suit or proceeding,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6.03 of these Bylaws, the Corporation shall be required to indemnify a Covered Person in connection with a proceeding (or part thereof) commenced by such Covered Person only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commencement of such proceeding (or part thereof) by the Covered Person was authorized in the specific case by the Board of Directors.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required by law, such payment of expenses in advance of the final disposition of the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made only upon receipt of an undertaking by the Covered Person to repay all amounts advanced if it should be ultimately determined that the Covered Person is not entitled to be indemnified under this Article VI or otherwise.</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under this Article VI (following the final disposition of such proceeding) is not paid in full within sixty (60) days after the Corporation has received a claim therefor by the Covered Person, or if a claim for any advancement of expenses under this Article VI is not paid in full within thirty (30)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Covered Person by this Article VI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 or impaired by an amendment to or repeal of these Bylaws after the occurrence of the act or omission that is the subject of the proceeding for which indemnification or advancement of expenses is sought.</w:t>
      </w:r>
    </w:p>
    <w:p>
      <w:pPr>
        <w:spacing w:after="0" w:line="17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Other Indemnification and Advancement of Expenses</w:t>
      </w:r>
      <w:r>
        <w:rPr>
          <w:rFonts w:ascii="Times New Roman" w:cs="Times New Roman" w:eastAsia="Times New Roman" w:hAnsi="Times New Roman"/>
          <w:sz w:val="18"/>
          <w:szCs w:val="18"/>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be determined by resolution of the Board of Directors.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the name of the Corporation inscribed thereon and shall be in such form as may be approved from time to time by the Board of Directors.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u w:val="single" w:color="auto"/>
          <w:color w:val="auto"/>
        </w:rPr>
        <w:t>Manner of Notice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Notice; Notice by Electronic Transmission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Delaware General Corporation Law, the Certificate of Incorporation or these bylaws shall be effective if given by a form of electronic transmission in a manner consistent with Section 232 of the Delaware General Corporation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960" w:hanging="656"/>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w:t>
      </w:r>
    </w:p>
    <w:p>
      <w:pPr>
        <w:spacing w:after="0" w:line="206" w:lineRule="exact"/>
        <w:rPr>
          <w:rFonts w:ascii="Times New Roman" w:cs="Times New Roman" w:eastAsia="Times New Roman" w:hAnsi="Times New Roman"/>
          <w:sz w:val="18"/>
          <w:szCs w:val="18"/>
          <w:color w:val="auto"/>
        </w:rPr>
      </w:pPr>
    </w:p>
    <w:p>
      <w:pPr>
        <w:ind w:left="660" w:right="420" w:firstLine="644"/>
        <w:spacing w:after="0" w:line="282" w:lineRule="auto"/>
        <w:tabs>
          <w:tab w:leader="none" w:pos="19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77" w:right="1059" w:bottom="1440" w:gutter="0" w:footer="0" w:header="0"/>
        </w:sectPr>
      </w:pPr>
    </w:p>
    <w:bookmarkStart w:id="83" w:name="page84"/>
    <w:bookmarkEnd w:id="83"/>
    <w:p>
      <w:pPr>
        <w:ind w:right="100"/>
        <w:spacing w:after="0" w:line="282" w:lineRule="auto"/>
        <w:rPr>
          <w:sz w:val="20"/>
          <w:szCs w:val="20"/>
          <w:color w:val="auto"/>
        </w:rPr>
      </w:pPr>
      <w:r>
        <w:rPr>
          <w:rFonts w:ascii="Times New Roman" w:cs="Times New Roman" w:eastAsia="Times New Roman" w:hAnsi="Times New Roman"/>
          <w:sz w:val="18"/>
          <w:szCs w:val="18"/>
          <w:color w:val="auto"/>
        </w:rPr>
        <w:t>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7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For the purposes of these Bylaws, an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8" w:lineRule="exact"/>
        <w:rPr>
          <w:sz w:val="20"/>
          <w:szCs w:val="20"/>
          <w:color w:val="auto"/>
        </w:rPr>
      </w:pPr>
    </w:p>
    <w:p>
      <w:pPr>
        <w:ind w:right="200" w:firstLine="656"/>
        <w:spacing w:after="0" w:line="256" w:lineRule="auto"/>
        <w:tabs>
          <w:tab w:leader="none" w:pos="12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Stockholders Sharing an Address</w:t>
      </w:r>
      <w:r>
        <w:rPr>
          <w:rFonts w:ascii="Times New Roman" w:cs="Times New Roman" w:eastAsia="Times New Roman" w:hAnsi="Times New Roman"/>
          <w:sz w:val="18"/>
          <w:szCs w:val="18"/>
          <w:color w:val="auto"/>
        </w:rPr>
        <w:t>. Without limiting the manner by which notice otherwise may be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7.03, shall be deemed to have consented to receiving such single written notice.</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Waiver of Notice of Meetings of Stockholders, Directors and Committees</w:t>
      </w:r>
      <w:r>
        <w:rPr>
          <w:rFonts w:ascii="Times New Roman" w:cs="Times New Roman" w:eastAsia="Times New Roman" w:hAnsi="Times New Roman"/>
          <w:sz w:val="18"/>
          <w:szCs w:val="18"/>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members of a committee or subcommittee of the Board of Directors need be specified in a waiver of notice.</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xml:space="preserve">. Subject to the Voting Agreement, these Bylaws may be altered, amended or repealed, and new bylaws made, only by the affirmative vote of (a) a majority of the Board of Directors or (b) Stockholders representing at least a majority of the votes eligible to be cast in an election of directors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84" w:name="page85"/>
    <w:bookmarkEnd w:id="84"/>
    <w:p>
      <w:pPr>
        <w:spacing w:after="0" w:line="261" w:lineRule="auto"/>
        <w:rPr>
          <w:sz w:val="20"/>
          <w:szCs w:val="20"/>
          <w:color w:val="auto"/>
        </w:rPr>
      </w:pPr>
      <w:r>
        <w:rPr>
          <w:rFonts w:ascii="Times New Roman" w:cs="Times New Roman" w:eastAsia="Times New Roman" w:hAnsi="Times New Roman"/>
          <w:sz w:val="18"/>
          <w:szCs w:val="18"/>
          <w:color w:val="auto"/>
        </w:rPr>
        <w:t>after the date on which the ML Related Parties beneficially own, directly or indirectly, less than twenty-seven and five-tenths percent (27.5%) of all Common Units issued and outstanding, these Bylaws may be altered, amended or repealed, and new bylaws made, only by the affirmative vote of (a) a majority of the Board of Directors or (b) Stockholders representing at least sixty-six and two-thirds percent (662/3%) of the votes eligible to be cast in an election of directors of the Corporation.</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u w:val="single" w:color="auto"/>
          <w:color w:val="auto"/>
        </w:rPr>
        <w:t>Forum Selection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Article XIII of the Certificate of Incorporation is filed in a court other than the courts 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(a) the personal jurisdiction of the state and federal courts in the State of Delaware in connection with any action brought in any such court to enforce the provisions of Article XIII of the Certificate of Incorporation and (b) having service of process made upon such Stockholder in any such action by service upon such Stockholder’s counsel in the Foreign Action as agent for such Stockholder.</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Section 7.07 and Article XIII of the Certificate of Incorporation are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May 1,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1" w:right="14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40" w:hanging="196"/>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May 1, 2025</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March 31, 2025,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right="20" w:firstLine="652"/>
        <w:spacing w:after="0" w:line="28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May 1,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88" w:name="page89"/>
    <w:bookmarkEnd w:id="88"/>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March 31, 2025,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980" w:type="dxa"/>
            <w:vAlign w:val="bottom"/>
          </w:tcPr>
          <w:p>
            <w:pPr>
              <w:spacing w:after="0"/>
              <w:rPr>
                <w:sz w:val="20"/>
                <w:szCs w:val="20"/>
                <w:color w:val="auto"/>
              </w:rPr>
            </w:pPr>
            <w:r>
              <w:rPr>
                <w:rFonts w:ascii="Arial" w:cs="Arial" w:eastAsia="Arial" w:hAnsi="Arial"/>
                <w:sz w:val="18"/>
                <w:szCs w:val="18"/>
                <w:color w:val="auto"/>
              </w:rPr>
              <w:t>Date: May 1, 2025</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Thomas E. Kirn</w:t>
            </w:r>
          </w:p>
        </w:tc>
      </w:tr>
      <w:tr>
        <w:trPr>
          <w:trHeight w:val="191"/>
        </w:trPr>
        <w:tc>
          <w:tcPr>
            <w:tcW w:w="2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2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2"/>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2"/>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6"/>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0"/>
    </w:lvl>
  </w:abstractNum>
  <w:abstractNum w:abstractNumId="16">
    <w:nsid w:val="77465F01"/>
    <w:multiLevelType w:val="hybridMultilevel"/>
    <w:lvl w:ilvl="0">
      <w:lvlJc w:val="left"/>
      <w:lvlText w:val="(%1)"/>
      <w:numFmt w:val="lowerRoman"/>
      <w:start w:val="7"/>
    </w:lvl>
  </w:abstractNum>
  <w:abstractNum w:abstractNumId="17">
    <w:nsid w:val="7724C67E"/>
    <w:multiLevelType w:val="hybridMultilevel"/>
    <w:lvl w:ilvl="0">
      <w:lvlJc w:val="left"/>
      <w:lvlText w:val="%1"/>
      <w:numFmt w:val="upperLetter"/>
      <w:start w:val="35"/>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5"/>
    </w:lvl>
  </w:abstractNum>
  <w:abstractNum w:abstractNumId="24">
    <w:nsid w:val="153EA438"/>
    <w:multiLevelType w:val="hybridMultilevel"/>
    <w:lvl w:ilvl="0">
      <w:lvlJc w:val="left"/>
      <w:lvlText w:val="(%1)"/>
      <w:numFmt w:val="lowerLetter"/>
      <w:start w:val="1"/>
    </w:lvl>
    <w:lvl w:ilvl="1">
      <w:lvlJc w:val="left"/>
      <w:lvlText w:val="(%2)"/>
      <w:numFmt w:val="lowerLetter"/>
      <w:start w:val="4"/>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8"/>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2"/>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lvl w:ilvl="1">
      <w:lvlJc w:val="left"/>
      <w:lvlText w:val="(%2)"/>
      <w:numFmt w:val="lowerRoman"/>
      <w:start w:val="1"/>
    </w:lvl>
  </w:abstractNum>
  <w:abstractNum w:abstractNumId="39">
    <w:nsid w:val="32FFF902"/>
    <w:multiLevelType w:val="hybridMultilevel"/>
    <w:lvl w:ilvl="0">
      <w:lvlJc w:val="left"/>
      <w:lvlText w:val="(%1)"/>
      <w:numFmt w:val="lowerRoman"/>
      <w:start w:val="3"/>
    </w:lvl>
  </w:abstractNum>
  <w:abstractNum w:abstractNumId="40">
    <w:nsid w:val="684A481A"/>
    <w:multiLevelType w:val="hybridMultilevel"/>
    <w:lvl w:ilvl="0">
      <w:lvlJc w:val="left"/>
      <w:lvlText w:val="(%1)"/>
      <w:numFmt w:val="lowerLetter"/>
      <w:start w:val="4"/>
    </w:lvl>
  </w:abstractNum>
  <w:abstractNum w:abstractNumId="41">
    <w:nsid w:val="579478FE"/>
    <w:multiLevelType w:val="hybridMultilevel"/>
    <w:lvl w:ilvl="0">
      <w:lvlJc w:val="left"/>
      <w:lvlText w:val="(%1)"/>
      <w:numFmt w:val="lowerLetter"/>
      <w:start w:val="1"/>
    </w:lvl>
    <w:lvl w:ilvl="1">
      <w:lvlJc w:val="left"/>
      <w:lvlText w:val="(%2)"/>
      <w:numFmt w:val="lowerLetter"/>
      <w:start w:val="35"/>
    </w:lvl>
  </w:abstractNum>
  <w:abstractNum w:abstractNumId="42">
    <w:nsid w:val="749ABB43"/>
    <w:multiLevelType w:val="hybridMultilevel"/>
    <w:lvl w:ilvl="0">
      <w:lvlJc w:val="left"/>
      <w:lvlText w:val="(%1)"/>
      <w:numFmt w:val="upperLetter"/>
      <w:start w:val="3"/>
    </w:lvl>
    <w:lvl w:ilvl="1">
      <w:lvlJc w:val="left"/>
      <w:lvlText w:val="(%2)"/>
      <w:numFmt w:val="lowerRoman"/>
      <w:start w:val="3"/>
    </w:lvl>
  </w:abstractNum>
  <w:abstractNum w:abstractNumId="43">
    <w:nsid w:val="3DC240FB"/>
    <w:multiLevelType w:val="hybridMultilevel"/>
    <w:lvl w:ilvl="0">
      <w:lvlJc w:val="left"/>
      <w:lvlText w:val="(%1)"/>
      <w:numFmt w:val="lowerLetter"/>
      <w:start w:val="3"/>
    </w:lvl>
    <w:lvl w:ilvl="1">
      <w:lvlJc w:val="left"/>
      <w:lvlText w:val="(%2)"/>
      <w:numFmt w:val="lowerRoman"/>
      <w:start w:val="1"/>
    </w:lvl>
  </w:abstractNum>
  <w:abstractNum w:abstractNumId="44">
    <w:nsid w:val="1BA026FA"/>
    <w:multiLevelType w:val="hybridMultilevel"/>
    <w:lvl w:ilvl="0">
      <w:lvlJc w:val="left"/>
      <w:lvlText w:val="(%1)"/>
      <w:numFmt w:val="lowerLetter"/>
      <w:start w:val="35"/>
    </w:lvl>
    <w:lvl w:ilvl="1">
      <w:lvlJc w:val="left"/>
      <w:lvlText w:val="(%2)"/>
      <w:numFmt w:val="lowerRoman"/>
      <w:start w:val="3"/>
    </w:lvl>
  </w:abstractNum>
  <w:abstractNum w:abstractNumId="45">
    <w:nsid w:val="79A1DEAA"/>
    <w:multiLevelType w:val="hybridMultilevel"/>
    <w:lvl w:ilvl="0">
      <w:lvlJc w:val="left"/>
      <w:lvlText w:val="(%1)"/>
      <w:numFmt w:val="lowerLetter"/>
      <w:start w:val="4"/>
    </w:lvl>
  </w:abstractNum>
  <w:abstractNum w:abstractNumId="46">
    <w:nsid w:val="75C6C33A"/>
    <w:multiLevelType w:val="hybridMultilevel"/>
    <w:lvl w:ilvl="0">
      <w:lvlJc w:val="left"/>
      <w:lvlText w:val="(%1)"/>
      <w:numFmt w:val="lowerLetter"/>
      <w:start w:val="6"/>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Roman"/>
      <w:start w:val="4"/>
    </w:lvl>
    <w:lvl w:ilvl="1">
      <w:lvlJc w:val="left"/>
      <w:lvlText w:val="(%2)"/>
      <w:numFmt w:val="lowerLetter"/>
      <w:start w:val="2"/>
    </w:lvl>
  </w:abstractNum>
  <w:abstractNum w:abstractNumId="49">
    <w:nsid w:val="520EEDD1"/>
    <w:multiLevelType w:val="hybridMultilevel"/>
    <w:lvl w:ilvl="0">
      <w:lvlJc w:val="left"/>
      <w:lvlText w:val="(%1)"/>
      <w:numFmt w:val="lowerLetter"/>
      <w:start w:val="5"/>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63" Type="http://schemas.openxmlformats.org/officeDocument/2006/relationships/hyperlink" Target="http://www.sec.gov/Archives/edgar/data/1669779/000155837016009958/cwh-20160930ex31ff0a1e6.htm" TargetMode="External"/><Relationship Id="rId64" Type="http://schemas.openxmlformats.org/officeDocument/2006/relationships/hyperlink" Target="http://www.sec.gov/Archives/edgar/data/1669779/000104746916015424/a2229683zex-4_1.htm" TargetMode="External"/><Relationship Id="rId66" Type="http://schemas.openxmlformats.org/officeDocument/2006/relationships/hyperlink" Target="https://www.sec.gov/Archives/edgar/data/1669779/000155837025001117/cwh-20250219xex10d1.htm" TargetMode="External"/><Relationship Id="rId67" Type="http://schemas.openxmlformats.org/officeDocument/2006/relationships/hyperlink" Target="https://www.sec.gov/Archives/edgar/data/1669779/000155837025001939/cwh-20241231xex10d20.htm" TargetMode="External"/><Relationship Id="rId68" Type="http://schemas.openxmlformats.org/officeDocument/2006/relationships/hyperlink" Target="https://www.sec.gov/Archives/edgar/data/1669779/000155837025001939/cwh-20241231xex10d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2025-05-01T16:08:41Z</dcterms:created>
  <dcterms:modified xsi:type="dcterms:W3CDTF">2025-05-01T16:08:41Z</dcterms:modified>
</cp:coreProperties>
</file>